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234950</wp:posOffset>
            </wp:positionH>
            <wp:positionV relativeFrom="page">
              <wp:posOffset>243205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-224155</wp:posOffset>
            </wp:positionV>
            <wp:extent cx="7100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6" w:lineRule="exact"/>
        <w:rPr>
          <w:sz w:val="24"/>
          <w:szCs w:val="24"/>
          <w:color w:val="auto"/>
        </w:rPr>
      </w:pPr>
    </w:p>
    <w:p>
      <w:pPr>
        <w:ind w:left="800" w:hanging="765"/>
        <w:spacing w:after="0"/>
        <w:tabs>
          <w:tab w:leader="none" w:pos="8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84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quarterly period ended March 31, 2019</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165" w:lineRule="exact"/>
        <w:rPr>
          <w:sz w:val="24"/>
          <w:szCs w:val="24"/>
          <w:color w:val="auto"/>
        </w:rPr>
      </w:pPr>
    </w:p>
    <w:p>
      <w:pPr>
        <w:ind w:left="780" w:hanging="745"/>
        <w:spacing w:after="0"/>
        <w:tabs>
          <w:tab w:leader="none" w:pos="78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rFonts w:ascii="Arial" w:cs="Arial" w:eastAsia="Arial" w:hAnsi="Arial"/>
          <w:sz w:val="21"/>
          <w:szCs w:val="21"/>
          <w:color w:val="auto"/>
        </w:rPr>
      </w:pPr>
    </w:p>
    <w:p>
      <w:pPr>
        <w:ind w:left="5840"/>
        <w:spacing w:after="0"/>
        <w:rPr>
          <w:rFonts w:ascii="Arial" w:cs="Arial" w:eastAsia="Arial" w:hAnsi="Arial"/>
          <w:sz w:val="21"/>
          <w:szCs w:val="21"/>
          <w:color w:val="auto"/>
        </w:rPr>
      </w:pPr>
      <w:r>
        <w:rPr>
          <w:rFonts w:ascii="Arial" w:cs="Arial" w:eastAsia="Arial" w:hAnsi="Arial"/>
          <w:sz w:val="22"/>
          <w:szCs w:val="22"/>
          <w:b w:val="1"/>
          <w:bCs w:val="1"/>
          <w:color w:val="auto"/>
        </w:rPr>
        <w:t>1934</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001-34057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122555</wp:posOffset>
            </wp:positionV>
            <wp:extent cx="2452370"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5237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AGNC INVESTMENT CORP.</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4"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__________________________________________________</w:t>
      </w:r>
    </w:p>
    <w:p>
      <w:pPr>
        <w:sectPr>
          <w:pgSz w:w="11900" w:h="16838" w:orient="portrait"/>
          <w:cols w:equalWidth="0" w:num="1">
            <w:col w:w="11420"/>
          </w:cols>
          <w:pgMar w:left="240" w:top="503" w:right="239" w:bottom="1440" w:gutter="0" w:footer="0" w:header="0"/>
        </w:sectPr>
      </w:pPr>
    </w:p>
    <w:p>
      <w:pPr>
        <w:spacing w:after="0" w:line="152"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26-1701984</w:t>
      </w:r>
    </w:p>
    <w:p>
      <w:pPr>
        <w:spacing w:after="0" w:line="82" w:lineRule="exact"/>
        <w:rPr>
          <w:sz w:val="24"/>
          <w:szCs w:val="24"/>
          <w:color w:val="auto"/>
        </w:rPr>
      </w:pPr>
    </w:p>
    <w:p>
      <w:pPr>
        <w:sectPr>
          <w:pgSz w:w="11900" w:h="16838" w:orient="portrait"/>
          <w:cols w:equalWidth="0" w:num="2">
            <w:col w:w="7640" w:space="720"/>
            <w:col w:w="3060"/>
          </w:cols>
          <w:pgMar w:left="240" w:top="503" w:right="239" w:bottom="1440" w:gutter="0" w:footer="0" w:header="0"/>
          <w:type w:val="continuous"/>
        </w:sectPr>
      </w:pPr>
    </w:p>
    <w:p>
      <w:pPr>
        <w:ind w:left="18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7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77" w:lineRule="exact"/>
        <w:rPr>
          <w:sz w:val="24"/>
          <w:szCs w:val="24"/>
          <w:color w:val="auto"/>
        </w:rPr>
      </w:pPr>
    </w:p>
    <w:p>
      <w:pPr>
        <w:sectPr>
          <w:pgSz w:w="11900" w:h="16838" w:orient="portrait"/>
          <w:cols w:equalWidth="0" w:num="2">
            <w:col w:w="7520" w:space="720"/>
            <w:col w:w="3180"/>
          </w:cols>
          <w:pgMar w:left="240" w:top="503" w:right="2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2 Bethesda Metro Center, 12th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Bethesda, Maryland 20814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(Address of principal executive offices)</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(301) 968-9315</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3480"/>
        <w:spacing w:after="0"/>
        <w:rPr>
          <w:sz w:val="20"/>
          <w:szCs w:val="20"/>
          <w:color w:val="auto"/>
        </w:rPr>
      </w:pPr>
      <w:r>
        <w:rPr>
          <w:rFonts w:ascii="Arial" w:cs="Arial" w:eastAsia="Arial" w:hAnsi="Arial"/>
          <w:sz w:val="16"/>
          <w:szCs w:val="16"/>
          <w:color w:val="auto"/>
        </w:rPr>
        <w:t>__________________________________________________</w:t>
      </w:r>
    </w:p>
    <w:p>
      <w:pPr>
        <w:sectPr>
          <w:pgSz w:w="11900" w:h="16838" w:orient="portrait"/>
          <w:cols w:equalWidth="0" w:num="1">
            <w:col w:w="11420"/>
          </w:cols>
          <w:pgMar w:left="240" w:top="503" w:right="239" w:bottom="1440" w:gutter="0" w:footer="0" w:header="0"/>
          <w:type w:val="continuous"/>
        </w:sectPr>
      </w:pPr>
    </w:p>
    <w:p>
      <w:pPr>
        <w:spacing w:after="0" w:line="161" w:lineRule="exact"/>
        <w:rPr>
          <w:sz w:val="24"/>
          <w:szCs w:val="24"/>
          <w:color w:val="auto"/>
        </w:rPr>
      </w:pPr>
    </w:p>
    <w:p>
      <w:pPr>
        <w:ind w:right="180" w:firstLine="324"/>
        <w:spacing w:after="0" w:line="207" w:lineRule="exact"/>
        <w:rPr>
          <w:sz w:val="20"/>
          <w:szCs w:val="20"/>
          <w:color w:val="auto"/>
        </w:rPr>
      </w:pPr>
      <w:r>
        <w:rPr>
          <w:rFonts w:ascii="Arial" w:cs="Arial" w:eastAsia="Arial" w:hAnsi="Arial"/>
          <w:sz w:val="17"/>
          <w:szCs w:val="17"/>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 w:lineRule="exact"/>
        <w:rPr>
          <w:sz w:val="24"/>
          <w:szCs w:val="24"/>
          <w:color w:val="auto"/>
        </w:rPr>
      </w:pPr>
    </w:p>
    <w:p>
      <w:pPr>
        <w:jc w:val="both"/>
        <w:ind w:firstLine="324"/>
        <w:spacing w:after="0" w:line="209"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2" w:lineRule="exact"/>
        <w:rPr>
          <w:sz w:val="24"/>
          <w:szCs w:val="24"/>
          <w:color w:val="auto"/>
        </w:rPr>
      </w:pPr>
    </w:p>
    <w:p>
      <w:pPr>
        <w:ind w:right="660" w:firstLine="324"/>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02" w:lineRule="exact"/>
        <w:rPr>
          <w:sz w:val="24"/>
          <w:szCs w:val="24"/>
          <w:color w:val="auto"/>
        </w:rPr>
      </w:pPr>
    </w:p>
    <w:tbl>
      <w:tblPr>
        <w:tblLayout w:type="fixed"/>
        <w:tblInd w:w="40" w:type="dxa"/>
        <w:tblCellMar>
          <w:top w:w="0" w:type="dxa"/>
          <w:left w:w="0" w:type="dxa"/>
          <w:bottom w:w="0" w:type="dxa"/>
          <w:right w:w="0" w:type="dxa"/>
        </w:tblCellMar>
      </w:tblPr>
      <w:tr>
        <w:trPr>
          <w:trHeight w:val="269"/>
        </w:trPr>
        <w:tc>
          <w:tcPr>
            <w:tcW w:w="22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4620" w:type="dxa"/>
            <w:vAlign w:val="bottom"/>
            <w:gridSpan w:val="2"/>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3320" w:type="dxa"/>
            <w:vAlign w:val="bottom"/>
          </w:tcPr>
          <w:p>
            <w:pPr>
              <w:ind w:left="720"/>
              <w:spacing w:after="0"/>
              <w:rPr>
                <w:sz w:val="20"/>
                <w:szCs w:val="20"/>
                <w:color w:val="auto"/>
              </w:rPr>
            </w:pPr>
            <w:r>
              <w:rPr>
                <w:rFonts w:ascii="Arial" w:cs="Arial" w:eastAsia="Arial" w:hAnsi="Arial"/>
                <w:sz w:val="17"/>
                <w:szCs w:val="17"/>
                <w:color w:val="auto"/>
              </w:rPr>
              <w:t>Accelerated filer</w:t>
            </w:r>
          </w:p>
        </w:tc>
        <w:tc>
          <w:tcPr>
            <w:tcW w:w="720" w:type="dxa"/>
            <w:vAlign w:val="bottom"/>
          </w:tcPr>
          <w:p>
            <w:pPr>
              <w:ind w:left="640"/>
              <w:spacing w:after="0"/>
              <w:rPr>
                <w:sz w:val="20"/>
                <w:szCs w:val="20"/>
                <w:color w:val="auto"/>
              </w:rPr>
            </w:pPr>
            <w:r>
              <w:rPr>
                <w:rFonts w:ascii="Arial" w:cs="Arial" w:eastAsia="Arial" w:hAnsi="Arial"/>
                <w:sz w:val="15"/>
                <w:szCs w:val="15"/>
                <w:color w:val="auto"/>
                <w:w w:val="71"/>
              </w:rPr>
              <w:t>o</w:t>
            </w:r>
          </w:p>
        </w:tc>
      </w:tr>
      <w:tr>
        <w:trPr>
          <w:trHeight w:val="358"/>
        </w:trPr>
        <w:tc>
          <w:tcPr>
            <w:tcW w:w="2280" w:type="dxa"/>
            <w:vAlign w:val="bottom"/>
          </w:tcPr>
          <w:p>
            <w:pPr>
              <w:spacing w:after="0"/>
              <w:rPr>
                <w:sz w:val="20"/>
                <w:szCs w:val="20"/>
                <w:color w:val="auto"/>
              </w:rPr>
            </w:pPr>
            <w:r>
              <w:rPr>
                <w:rFonts w:ascii="Arial" w:cs="Arial" w:eastAsia="Arial" w:hAnsi="Arial"/>
                <w:sz w:val="17"/>
                <w:szCs w:val="17"/>
                <w:color w:val="auto"/>
              </w:rPr>
              <w:t>Non-accelerated filer</w:t>
            </w:r>
          </w:p>
        </w:tc>
        <w:tc>
          <w:tcPr>
            <w:tcW w:w="620" w:type="dxa"/>
            <w:vAlign w:val="bottom"/>
          </w:tcPr>
          <w:p>
            <w:pPr>
              <w:ind w:left="400"/>
              <w:spacing w:after="0"/>
              <w:rPr>
                <w:sz w:val="20"/>
                <w:szCs w:val="20"/>
                <w:color w:val="auto"/>
              </w:rPr>
            </w:pPr>
            <w:r>
              <w:rPr>
                <w:rFonts w:ascii="Arial" w:cs="Arial" w:eastAsia="Arial" w:hAnsi="Arial"/>
                <w:sz w:val="17"/>
                <w:szCs w:val="17"/>
                <w:color w:val="auto"/>
              </w:rPr>
              <w:t>o</w:t>
            </w:r>
          </w:p>
        </w:tc>
        <w:tc>
          <w:tcPr>
            <w:tcW w:w="4000" w:type="dxa"/>
            <w:vAlign w:val="bottom"/>
          </w:tcPr>
          <w:p>
            <w:pPr>
              <w:ind w:left="120"/>
              <w:spacing w:after="0"/>
              <w:rPr>
                <w:sz w:val="20"/>
                <w:szCs w:val="20"/>
                <w:color w:val="auto"/>
              </w:rPr>
            </w:pPr>
            <w:r>
              <w:rPr>
                <w:rFonts w:ascii="Arial" w:cs="Arial" w:eastAsia="Arial" w:hAnsi="Arial"/>
                <w:sz w:val="17"/>
                <w:szCs w:val="17"/>
                <w:color w:val="auto"/>
              </w:rPr>
              <w:t>(Do not check if a smaller reporting company)</w:t>
            </w:r>
          </w:p>
        </w:tc>
        <w:tc>
          <w:tcPr>
            <w:tcW w:w="3320" w:type="dxa"/>
            <w:vAlign w:val="bottom"/>
          </w:tcPr>
          <w:p>
            <w:pPr>
              <w:ind w:left="720"/>
              <w:spacing w:after="0"/>
              <w:rPr>
                <w:sz w:val="20"/>
                <w:szCs w:val="20"/>
                <w:color w:val="auto"/>
              </w:rPr>
            </w:pPr>
            <w:r>
              <w:rPr>
                <w:rFonts w:ascii="Arial" w:cs="Arial" w:eastAsia="Arial" w:hAnsi="Arial"/>
                <w:sz w:val="17"/>
                <w:szCs w:val="17"/>
                <w:color w:val="auto"/>
              </w:rPr>
              <w:t>Smaller Reporting Company</w:t>
            </w:r>
          </w:p>
        </w:tc>
        <w:tc>
          <w:tcPr>
            <w:tcW w:w="720" w:type="dxa"/>
            <w:vAlign w:val="bottom"/>
          </w:tcPr>
          <w:p>
            <w:pPr>
              <w:ind w:left="640"/>
              <w:spacing w:after="0"/>
              <w:rPr>
                <w:sz w:val="20"/>
                <w:szCs w:val="20"/>
                <w:color w:val="auto"/>
              </w:rPr>
            </w:pPr>
            <w:r>
              <w:rPr>
                <w:rFonts w:ascii="Arial" w:cs="Arial" w:eastAsia="Arial" w:hAnsi="Arial"/>
                <w:sz w:val="15"/>
                <w:szCs w:val="15"/>
                <w:color w:val="auto"/>
                <w:w w:val="71"/>
              </w:rPr>
              <w:t>o</w:t>
            </w:r>
          </w:p>
        </w:tc>
      </w:tr>
      <w:tr>
        <w:trPr>
          <w:trHeight w:val="392"/>
        </w:trPr>
        <w:tc>
          <w:tcPr>
            <w:tcW w:w="228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620" w:type="dxa"/>
            <w:vAlign w:val="bottom"/>
          </w:tcPr>
          <w:p>
            <w:pPr>
              <w:ind w:left="400"/>
              <w:spacing w:after="0"/>
              <w:rPr>
                <w:sz w:val="20"/>
                <w:szCs w:val="20"/>
                <w:color w:val="auto"/>
              </w:rPr>
            </w:pPr>
            <w:r>
              <w:rPr>
                <w:rFonts w:ascii="Arial" w:cs="Arial" w:eastAsia="Arial" w:hAnsi="Arial"/>
                <w:sz w:val="17"/>
                <w:szCs w:val="17"/>
                <w:color w:val="auto"/>
              </w:rPr>
              <w:t>o</w:t>
            </w:r>
          </w:p>
        </w:tc>
        <w:tc>
          <w:tcPr>
            <w:tcW w:w="40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67" w:lineRule="exact"/>
        <w:rPr>
          <w:sz w:val="24"/>
          <w:szCs w:val="24"/>
          <w:color w:val="auto"/>
        </w:rPr>
      </w:pPr>
    </w:p>
    <w:p>
      <w:pPr>
        <w:ind w:right="100" w:firstLine="324"/>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340"/>
        <w:spacing w:after="0" w:line="196" w:lineRule="exact"/>
        <w:tabs>
          <w:tab w:leader="none" w:pos="8240" w:val="left"/>
          <w:tab w:leader="none" w:pos="89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30" w:lineRule="exact"/>
        <w:rPr>
          <w:sz w:val="24"/>
          <w:szCs w:val="24"/>
          <w:color w:val="auto"/>
        </w:rPr>
      </w:pPr>
    </w:p>
    <w:p>
      <w:pPr>
        <w:ind w:left="340"/>
        <w:spacing w:after="0"/>
        <w:rPr>
          <w:sz w:val="20"/>
          <w:szCs w:val="20"/>
          <w:color w:val="auto"/>
        </w:rPr>
      </w:pPr>
      <w:r>
        <w:rPr>
          <w:rFonts w:ascii="Arial" w:cs="Arial" w:eastAsia="Arial" w:hAnsi="Arial"/>
          <w:sz w:val="17"/>
          <w:szCs w:val="17"/>
          <w:color w:val="auto"/>
        </w:rPr>
        <w:t>The number of shares of the issuer's common stock, $0.01 par value, outstanding as of April 30, 2019 was 536,412,404.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290195</wp:posOffset>
            </wp:positionV>
            <wp:extent cx="7100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204470</wp:posOffset>
            </wp:positionV>
            <wp:extent cx="7100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type w:val="continuous"/>
        </w:sectPr>
      </w:pPr>
    </w:p>
    <w:bookmarkStart w:id="1" w:name="page2"/>
    <w:bookmarkEnd w:id="1"/>
    <w:p>
      <w:pPr>
        <w:jc w:val="center"/>
        <w:ind w:right="-599"/>
        <w:spacing w:after="0"/>
        <w:rPr>
          <w:sz w:val="20"/>
          <w:szCs w:val="20"/>
          <w:color w:val="auto"/>
        </w:rPr>
      </w:pPr>
      <w:r>
        <w:rPr>
          <w:rFonts w:ascii="Arial" w:cs="Arial" w:eastAsia="Arial" w:hAnsi="Arial"/>
          <w:sz w:val="18"/>
          <w:szCs w:val="18"/>
          <w:b w:val="1"/>
          <w:bCs w:val="1"/>
          <w:color w:val="auto"/>
        </w:rPr>
        <w:t>AGNC INVESTMENT CORP.</w:t>
      </w:r>
    </w:p>
    <w:p>
      <w:pPr>
        <w:spacing w:after="0" w:line="90"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TABLE OF CONTENTS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gridSpan w:val="5"/>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w:t>
              </w:r>
            </w:hyperlink>
          </w:p>
        </w:tc>
        <w:tc>
          <w:tcPr>
            <w:tcW w:w="7660" w:type="dxa"/>
            <w:vAlign w:val="bottom"/>
            <w:gridSpan w:val="12"/>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FINANCIAL INFORMATION</w:t>
              </w:r>
            </w:hyperlink>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4"/>
        </w:trPr>
        <w:tc>
          <w:tcPr>
            <w:tcW w:w="460" w:type="dxa"/>
            <w:vAlign w:val="bottom"/>
            <w:tcBorders>
              <w:top w:val="single" w:sz="8" w:color="0000EE"/>
            </w:tcBorders>
          </w:tcPr>
          <w:p>
            <w:pPr>
              <w:spacing w:after="0"/>
              <w:rPr>
                <w:rFonts w:ascii="Arial" w:cs="Arial" w:eastAsia="Arial" w:hAnsi="Arial"/>
                <w:sz w:val="16"/>
                <w:szCs w:val="16"/>
                <w:color w:val="0000EE"/>
                <w:w w:val="85"/>
              </w:rPr>
            </w:pPr>
            <w:hyperlink w:anchor="page3">
              <w:r>
                <w:rPr>
                  <w:rFonts w:ascii="Arial" w:cs="Arial" w:eastAsia="Arial" w:hAnsi="Arial"/>
                  <w:sz w:val="16"/>
                  <w:szCs w:val="16"/>
                  <w:color w:val="0000EE"/>
                  <w:w w:val="85"/>
                </w:rPr>
                <w:t>Item 1.</w:t>
              </w:r>
            </w:hyperlink>
          </w:p>
        </w:tc>
        <w:tc>
          <w:tcPr>
            <w:tcW w:w="100" w:type="dxa"/>
            <w:vAlign w:val="bottom"/>
            <w:tcBorders>
              <w:top w:val="single" w:sz="8" w:color="0000EE"/>
            </w:tcBorders>
          </w:tcPr>
          <w:p>
            <w:pPr>
              <w:spacing w:after="0"/>
              <w:rPr>
                <w:sz w:val="22"/>
                <w:szCs w:val="22"/>
                <w:color w:val="auto"/>
              </w:rPr>
            </w:pPr>
          </w:p>
        </w:tc>
        <w:tc>
          <w:tcPr>
            <w:tcW w:w="480" w:type="dxa"/>
            <w:vAlign w:val="bottom"/>
            <w:gridSpan w:val="3"/>
          </w:tcPr>
          <w:p>
            <w:pPr>
              <w:spacing w:after="0"/>
              <w:rPr>
                <w:sz w:val="22"/>
                <w:szCs w:val="22"/>
                <w:color w:val="auto"/>
              </w:rPr>
            </w:pPr>
          </w:p>
        </w:tc>
        <w:tc>
          <w:tcPr>
            <w:tcW w:w="2140" w:type="dxa"/>
            <w:vAlign w:val="bottom"/>
            <w:tcBorders>
              <w:top w:val="single" w:sz="8" w:color="0000EE"/>
            </w:tcBorders>
            <w:gridSpan w:val="9"/>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w:t>
              </w:r>
            </w:hyperlink>
          </w:p>
        </w:tc>
        <w:tc>
          <w:tcPr>
            <w:tcW w:w="5520" w:type="dxa"/>
            <w:vAlign w:val="bottom"/>
            <w:gridSpan w:val="3"/>
          </w:tcPr>
          <w:p>
            <w:pPr>
              <w:spacing w:after="0"/>
              <w:rPr>
                <w:sz w:val="22"/>
                <w:szCs w:val="22"/>
                <w:color w:val="auto"/>
              </w:rPr>
            </w:pPr>
          </w:p>
        </w:tc>
        <w:tc>
          <w:tcPr>
            <w:tcW w:w="1980" w:type="dxa"/>
            <w:vAlign w:val="bottom"/>
            <w:gridSpan w:val="2"/>
          </w:tcPr>
          <w:p>
            <w:pPr>
              <w:jc w:val="center"/>
              <w:ind w:left="1814"/>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60" w:type="dxa"/>
            <w:vAlign w:val="bottom"/>
          </w:tcPr>
          <w:p>
            <w:pPr>
              <w:spacing w:after="0"/>
              <w:rPr>
                <w:sz w:val="22"/>
                <w:szCs w:val="22"/>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6"/>
                <w:szCs w:val="16"/>
                <w:color w:val="0000EE"/>
                <w:w w:val="85"/>
              </w:rPr>
            </w:pPr>
            <w:hyperlink w:anchor="page25">
              <w:r>
                <w:rPr>
                  <w:rFonts w:ascii="Arial" w:cs="Arial" w:eastAsia="Arial" w:hAnsi="Arial"/>
                  <w:sz w:val="16"/>
                  <w:szCs w:val="16"/>
                  <w:color w:val="0000EE"/>
                  <w:w w:val="85"/>
                </w:rPr>
                <w:t>Item 2.</w:t>
              </w:r>
            </w:hyperlink>
          </w:p>
        </w:tc>
        <w:tc>
          <w:tcPr>
            <w:tcW w:w="580" w:type="dxa"/>
            <w:vAlign w:val="bottom"/>
            <w:gridSpan w:val="4"/>
          </w:tcPr>
          <w:p>
            <w:pPr>
              <w:spacing w:after="0"/>
              <w:rPr>
                <w:sz w:val="21"/>
                <w:szCs w:val="21"/>
                <w:color w:val="auto"/>
              </w:rPr>
            </w:pPr>
          </w:p>
        </w:tc>
        <w:tc>
          <w:tcPr>
            <w:tcW w:w="5800" w:type="dxa"/>
            <w:vAlign w:val="bottom"/>
            <w:gridSpan w:val="11"/>
          </w:tcPr>
          <w:p>
            <w:pPr>
              <w:spacing w:after="0"/>
              <w:rPr>
                <w:rFonts w:ascii="Arial" w:cs="Arial" w:eastAsia="Arial" w:hAnsi="Arial"/>
                <w:sz w:val="16"/>
                <w:szCs w:val="16"/>
                <w:color w:val="0000EE"/>
                <w:w w:val="91"/>
              </w:rPr>
            </w:pPr>
            <w:hyperlink w:anchor="page25">
              <w:r>
                <w:rPr>
                  <w:rFonts w:ascii="Arial" w:cs="Arial" w:eastAsia="Arial" w:hAnsi="Arial"/>
                  <w:sz w:val="16"/>
                  <w:szCs w:val="16"/>
                  <w:color w:val="0000EE"/>
                  <w:w w:val="91"/>
                </w:rPr>
                <w:t>Management's Discussion and Analysis of Financial Condition and Results of Operations</w:t>
              </w:r>
            </w:hyperlink>
          </w:p>
        </w:tc>
        <w:tc>
          <w:tcPr>
            <w:tcW w:w="1860" w:type="dxa"/>
            <w:vAlign w:val="bottom"/>
          </w:tcPr>
          <w:p>
            <w:pPr>
              <w:spacing w:after="0"/>
              <w:rPr>
                <w:sz w:val="21"/>
                <w:szCs w:val="21"/>
                <w:color w:val="auto"/>
              </w:rPr>
            </w:pPr>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24</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6"/>
                <w:szCs w:val="16"/>
                <w:color w:val="0000EE"/>
                <w:w w:val="85"/>
              </w:rPr>
            </w:pPr>
            <w:hyperlink w:anchor="page42">
              <w:r>
                <w:rPr>
                  <w:rFonts w:ascii="Arial" w:cs="Arial" w:eastAsia="Arial" w:hAnsi="Arial"/>
                  <w:sz w:val="16"/>
                  <w:szCs w:val="16"/>
                  <w:color w:val="0000EE"/>
                  <w:w w:val="85"/>
                </w:rPr>
                <w:t>Item 3.</w:t>
              </w:r>
            </w:hyperlink>
          </w:p>
        </w:tc>
        <w:tc>
          <w:tcPr>
            <w:tcW w:w="580" w:type="dxa"/>
            <w:vAlign w:val="bottom"/>
            <w:gridSpan w:val="4"/>
          </w:tcPr>
          <w:p>
            <w:pPr>
              <w:spacing w:after="0"/>
              <w:rPr>
                <w:sz w:val="21"/>
                <w:szCs w:val="21"/>
                <w:color w:val="auto"/>
              </w:rPr>
            </w:pPr>
          </w:p>
        </w:tc>
        <w:tc>
          <w:tcPr>
            <w:tcW w:w="5800" w:type="dxa"/>
            <w:vAlign w:val="bottom"/>
            <w:gridSpan w:val="11"/>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Quantitative and Qualitative Disclosures About Market Risk</w:t>
              </w:r>
            </w:hyperlink>
          </w:p>
        </w:tc>
        <w:tc>
          <w:tcPr>
            <w:tcW w:w="1860" w:type="dxa"/>
            <w:vAlign w:val="bottom"/>
          </w:tcPr>
          <w:p>
            <w:pPr>
              <w:spacing w:after="0"/>
              <w:rPr>
                <w:sz w:val="21"/>
                <w:szCs w:val="21"/>
                <w:color w:val="auto"/>
              </w:rPr>
            </w:pPr>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41</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6"/>
                <w:szCs w:val="16"/>
                <w:color w:val="0000EE"/>
                <w:w w:val="85"/>
              </w:rPr>
            </w:pPr>
            <w:hyperlink w:anchor="page46">
              <w:r>
                <w:rPr>
                  <w:rFonts w:ascii="Arial" w:cs="Arial" w:eastAsia="Arial" w:hAnsi="Arial"/>
                  <w:sz w:val="16"/>
                  <w:szCs w:val="16"/>
                  <w:color w:val="0000EE"/>
                  <w:w w:val="85"/>
                </w:rPr>
                <w:t>Item 4.</w:t>
              </w:r>
            </w:hyperlink>
          </w:p>
        </w:tc>
        <w:tc>
          <w:tcPr>
            <w:tcW w:w="580" w:type="dxa"/>
            <w:vAlign w:val="bottom"/>
            <w:gridSpan w:val="4"/>
          </w:tcPr>
          <w:p>
            <w:pPr>
              <w:spacing w:after="0"/>
              <w:rPr>
                <w:sz w:val="21"/>
                <w:szCs w:val="21"/>
                <w:color w:val="auto"/>
              </w:rPr>
            </w:pPr>
          </w:p>
        </w:tc>
        <w:tc>
          <w:tcPr>
            <w:tcW w:w="3920" w:type="dxa"/>
            <w:vAlign w:val="bottom"/>
            <w:gridSpan w:val="10"/>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Controls and Procedures</w:t>
              </w:r>
            </w:hyperlink>
          </w:p>
        </w:tc>
        <w:tc>
          <w:tcPr>
            <w:tcW w:w="3740" w:type="dxa"/>
            <w:vAlign w:val="bottom"/>
            <w:gridSpan w:val="2"/>
          </w:tcPr>
          <w:p>
            <w:pPr>
              <w:spacing w:after="0"/>
              <w:rPr>
                <w:sz w:val="21"/>
                <w:szCs w:val="21"/>
                <w:color w:val="auto"/>
              </w:rPr>
            </w:pPr>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45</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534"/>
        </w:trPr>
        <w:tc>
          <w:tcPr>
            <w:tcW w:w="1040" w:type="dxa"/>
            <w:vAlign w:val="bottom"/>
            <w:gridSpan w:val="5"/>
          </w:tcPr>
          <w:p>
            <w:pPr>
              <w:spacing w:after="0"/>
              <w:rPr>
                <w:rFonts w:ascii="Arial" w:cs="Arial" w:eastAsia="Arial" w:hAnsi="Arial"/>
                <w:sz w:val="16"/>
                <w:szCs w:val="16"/>
                <w:b w:val="1"/>
                <w:bCs w:val="1"/>
                <w:color w:val="0000EE"/>
              </w:rPr>
            </w:pPr>
            <w:hyperlink w:anchor="page46">
              <w:r>
                <w:rPr>
                  <w:rFonts w:ascii="Arial" w:cs="Arial" w:eastAsia="Arial" w:hAnsi="Arial"/>
                  <w:sz w:val="16"/>
                  <w:szCs w:val="16"/>
                  <w:b w:val="1"/>
                  <w:bCs w:val="1"/>
                  <w:color w:val="0000EE"/>
                </w:rPr>
                <w:t>PART II.</w:t>
              </w:r>
            </w:hyperlink>
          </w:p>
        </w:tc>
        <w:tc>
          <w:tcPr>
            <w:tcW w:w="7660" w:type="dxa"/>
            <w:vAlign w:val="bottom"/>
            <w:gridSpan w:val="12"/>
          </w:tcPr>
          <w:p>
            <w:pPr>
              <w:spacing w:after="0"/>
              <w:rPr>
                <w:rFonts w:ascii="Arial" w:cs="Arial" w:eastAsia="Arial" w:hAnsi="Arial"/>
                <w:sz w:val="16"/>
                <w:szCs w:val="16"/>
                <w:b w:val="1"/>
                <w:bCs w:val="1"/>
                <w:color w:val="0000EE"/>
              </w:rPr>
            </w:pPr>
            <w:hyperlink w:anchor="page46">
              <w:r>
                <w:rPr>
                  <w:rFonts w:ascii="Arial" w:cs="Arial" w:eastAsia="Arial" w:hAnsi="Arial"/>
                  <w:sz w:val="16"/>
                  <w:szCs w:val="16"/>
                  <w:b w:val="1"/>
                  <w:bCs w:val="1"/>
                  <w:color w:val="0000EE"/>
                </w:rPr>
                <w:t>OTHER INFORMATION</w:t>
              </w:r>
            </w:hyperlink>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4"/>
        </w:trPr>
        <w:tc>
          <w:tcPr>
            <w:tcW w:w="460" w:type="dxa"/>
            <w:vAlign w:val="bottom"/>
            <w:tcBorders>
              <w:top w:val="single" w:sz="8" w:color="0000EE"/>
            </w:tcBorders>
          </w:tcPr>
          <w:p>
            <w:pPr>
              <w:spacing w:after="0"/>
              <w:rPr>
                <w:rFonts w:ascii="Arial" w:cs="Arial" w:eastAsia="Arial" w:hAnsi="Arial"/>
                <w:sz w:val="16"/>
                <w:szCs w:val="16"/>
                <w:color w:val="0000EE"/>
                <w:w w:val="85"/>
              </w:rPr>
            </w:pPr>
            <w:hyperlink w:anchor="page46">
              <w:r>
                <w:rPr>
                  <w:rFonts w:ascii="Arial" w:cs="Arial" w:eastAsia="Arial" w:hAnsi="Arial"/>
                  <w:sz w:val="16"/>
                  <w:szCs w:val="16"/>
                  <w:color w:val="0000EE"/>
                  <w:w w:val="85"/>
                </w:rPr>
                <w:t>Item 1.</w:t>
              </w:r>
            </w:hyperlink>
          </w:p>
        </w:tc>
        <w:tc>
          <w:tcPr>
            <w:tcW w:w="220" w:type="dxa"/>
            <w:vAlign w:val="bottom"/>
            <w:tcBorders>
              <w:top w:val="single" w:sz="8" w:color="0000EE"/>
            </w:tcBorders>
            <w:gridSpan w:val="3"/>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Borders>
              <w:top w:val="single" w:sz="8" w:color="0000EE"/>
            </w:tcBorders>
            <w:gridSpan w:val="4"/>
          </w:tcPr>
          <w:p>
            <w:pPr>
              <w:spacing w:after="0"/>
              <w:rPr>
                <w:rFonts w:ascii="Arial" w:cs="Arial" w:eastAsia="Arial" w:hAnsi="Arial"/>
                <w:sz w:val="16"/>
                <w:szCs w:val="16"/>
                <w:color w:val="0000EE"/>
                <w:w w:val="85"/>
              </w:rPr>
            </w:pPr>
            <w:hyperlink w:anchor="page46">
              <w:r>
                <w:rPr>
                  <w:rFonts w:ascii="Arial" w:cs="Arial" w:eastAsia="Arial" w:hAnsi="Arial"/>
                  <w:sz w:val="16"/>
                  <w:szCs w:val="16"/>
                  <w:color w:val="0000EE"/>
                  <w:w w:val="85"/>
                </w:rPr>
                <w:t>Legal Proceedings</w:t>
              </w:r>
            </w:hyperlink>
          </w:p>
        </w:tc>
        <w:tc>
          <w:tcPr>
            <w:tcW w:w="640" w:type="dxa"/>
            <w:vAlign w:val="bottom"/>
            <w:tcBorders>
              <w:top w:val="single" w:sz="8" w:color="0000EE"/>
            </w:tcBorders>
            <w:gridSpan w:val="3"/>
          </w:tcPr>
          <w:p>
            <w:pPr>
              <w:spacing w:after="0"/>
              <w:rPr>
                <w:sz w:val="22"/>
                <w:szCs w:val="22"/>
                <w:color w:val="auto"/>
              </w:rPr>
            </w:pPr>
          </w:p>
        </w:tc>
        <w:tc>
          <w:tcPr>
            <w:tcW w:w="5840" w:type="dxa"/>
            <w:vAlign w:val="bottom"/>
            <w:gridSpan w:val="5"/>
          </w:tcPr>
          <w:p>
            <w:pPr>
              <w:spacing w:after="0"/>
              <w:rPr>
                <w:sz w:val="22"/>
                <w:szCs w:val="22"/>
                <w:color w:val="auto"/>
              </w:rPr>
            </w:pPr>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45</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gridSpan w:val="4"/>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6"/>
                <w:szCs w:val="16"/>
                <w:color w:val="0000EE"/>
                <w:w w:val="93"/>
              </w:rPr>
            </w:pPr>
            <w:hyperlink w:anchor="page46">
              <w:r>
                <w:rPr>
                  <w:rFonts w:ascii="Arial" w:cs="Arial" w:eastAsia="Arial" w:hAnsi="Arial"/>
                  <w:sz w:val="16"/>
                  <w:szCs w:val="16"/>
                  <w:color w:val="0000EE"/>
                  <w:w w:val="93"/>
                </w:rPr>
                <w:t>Item 1A.</w:t>
              </w:r>
            </w:hyperlink>
          </w:p>
        </w:tc>
        <w:tc>
          <w:tcPr>
            <w:tcW w:w="460" w:type="dxa"/>
            <w:vAlign w:val="bottom"/>
            <w:gridSpan w:val="2"/>
          </w:tcPr>
          <w:p>
            <w:pPr>
              <w:spacing w:after="0"/>
              <w:rPr>
                <w:sz w:val="21"/>
                <w:szCs w:val="21"/>
                <w:color w:val="auto"/>
              </w:rPr>
            </w:pPr>
          </w:p>
        </w:tc>
        <w:tc>
          <w:tcPr>
            <w:tcW w:w="7660" w:type="dxa"/>
            <w:vAlign w:val="bottom"/>
            <w:gridSpan w:val="12"/>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Risk Factors</w:t>
              </w:r>
            </w:hyperlink>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45</w:t>
              </w:r>
            </w:hyperlink>
          </w:p>
        </w:tc>
      </w:tr>
      <w:tr>
        <w:trPr>
          <w:trHeight w:val="237"/>
        </w:trPr>
        <w:tc>
          <w:tcPr>
            <w:tcW w:w="460" w:type="dxa"/>
            <w:vAlign w:val="bottom"/>
            <w:tcBorders>
              <w:top w:val="single" w:sz="8" w:color="0000EE"/>
            </w:tcBorders>
          </w:tcPr>
          <w:p>
            <w:pPr>
              <w:spacing w:after="0"/>
              <w:rPr>
                <w:rFonts w:ascii="Arial" w:cs="Arial" w:eastAsia="Arial" w:hAnsi="Arial"/>
                <w:sz w:val="16"/>
                <w:szCs w:val="16"/>
                <w:color w:val="0000EE"/>
                <w:w w:val="85"/>
              </w:rPr>
            </w:pPr>
            <w:hyperlink w:anchor="page46">
              <w:r>
                <w:rPr>
                  <w:rFonts w:ascii="Arial" w:cs="Arial" w:eastAsia="Arial" w:hAnsi="Arial"/>
                  <w:sz w:val="16"/>
                  <w:szCs w:val="16"/>
                  <w:color w:val="0000EE"/>
                  <w:w w:val="85"/>
                </w:rPr>
                <w:t>Item 2.</w:t>
              </w:r>
            </w:hyperlink>
          </w:p>
        </w:tc>
        <w:tc>
          <w:tcPr>
            <w:tcW w:w="120" w:type="dxa"/>
            <w:vAlign w:val="bottom"/>
            <w:tcBorders>
              <w:top w:val="single" w:sz="8" w:color="0000EE"/>
            </w:tcBorders>
            <w:gridSpan w:val="2"/>
          </w:tcPr>
          <w:p>
            <w:pPr>
              <w:spacing w:after="0"/>
              <w:rPr>
                <w:sz w:val="20"/>
                <w:szCs w:val="20"/>
                <w:color w:val="auto"/>
              </w:rPr>
            </w:pPr>
          </w:p>
        </w:tc>
        <w:tc>
          <w:tcPr>
            <w:tcW w:w="460" w:type="dxa"/>
            <w:vAlign w:val="bottom"/>
            <w:gridSpan w:val="2"/>
          </w:tcPr>
          <w:p>
            <w:pPr>
              <w:spacing w:after="0"/>
              <w:rPr>
                <w:sz w:val="20"/>
                <w:szCs w:val="20"/>
                <w:color w:val="auto"/>
              </w:rPr>
            </w:pPr>
          </w:p>
        </w:tc>
        <w:tc>
          <w:tcPr>
            <w:tcW w:w="660" w:type="dxa"/>
            <w:vAlign w:val="bottom"/>
            <w:tcBorders>
              <w:top w:val="single" w:sz="8" w:color="0000EE"/>
            </w:tcBorders>
            <w:gridSpan w:val="2"/>
          </w:tcPr>
          <w:p>
            <w:pPr>
              <w:spacing w:after="0"/>
              <w:rPr>
                <w:rFonts w:ascii="Arial" w:cs="Arial" w:eastAsia="Arial" w:hAnsi="Arial"/>
                <w:sz w:val="16"/>
                <w:szCs w:val="16"/>
                <w:color w:val="0000EE"/>
                <w:w w:val="87"/>
              </w:rPr>
            </w:pPr>
            <w:hyperlink w:anchor="page46">
              <w:r>
                <w:rPr>
                  <w:rFonts w:ascii="Arial" w:cs="Arial" w:eastAsia="Arial" w:hAnsi="Arial"/>
                  <w:sz w:val="16"/>
                  <w:szCs w:val="16"/>
                  <w:color w:val="0000EE"/>
                  <w:w w:val="87"/>
                </w:rPr>
                <w:t>Properties</w:t>
              </w:r>
            </w:hyperlink>
          </w:p>
        </w:tc>
        <w:tc>
          <w:tcPr>
            <w:tcW w:w="140" w:type="dxa"/>
            <w:vAlign w:val="bottom"/>
            <w:tcBorders>
              <w:top w:val="single" w:sz="8" w:color="0000EE"/>
            </w:tcBorders>
          </w:tcPr>
          <w:p>
            <w:pPr>
              <w:spacing w:after="0"/>
              <w:rPr>
                <w:sz w:val="20"/>
                <w:szCs w:val="20"/>
                <w:color w:val="auto"/>
              </w:rPr>
            </w:pPr>
          </w:p>
        </w:tc>
        <w:tc>
          <w:tcPr>
            <w:tcW w:w="6860" w:type="dxa"/>
            <w:vAlign w:val="bottom"/>
            <w:gridSpan w:val="9"/>
          </w:tcPr>
          <w:p>
            <w:pPr>
              <w:spacing w:after="0"/>
              <w:rPr>
                <w:sz w:val="20"/>
                <w:szCs w:val="20"/>
                <w:color w:val="auto"/>
              </w:rPr>
            </w:pPr>
          </w:p>
        </w:tc>
        <w:tc>
          <w:tcPr>
            <w:tcW w:w="1900" w:type="dxa"/>
            <w:vAlign w:val="bottom"/>
          </w:tcPr>
          <w:p>
            <w:pPr>
              <w:spacing w:after="0"/>
              <w:rPr>
                <w:sz w:val="20"/>
                <w:szCs w:val="20"/>
                <w:color w:val="auto"/>
              </w:rPr>
            </w:pPr>
          </w:p>
        </w:tc>
        <w:tc>
          <w:tcPr>
            <w:tcW w:w="140" w:type="dxa"/>
            <w:vAlign w:val="bottom"/>
            <w:tcBorders>
              <w:top w:val="single" w:sz="8" w:color="0000EE"/>
            </w:tcBorders>
            <w:gridSpan w:val="2"/>
          </w:tcPr>
          <w:p>
            <w:pPr>
              <w:jc w:val="center"/>
              <w:ind w:right="20"/>
              <w:spacing w:after="0"/>
              <w:rPr>
                <w:rFonts w:ascii="Arial" w:cs="Arial" w:eastAsia="Arial" w:hAnsi="Arial"/>
                <w:sz w:val="15"/>
                <w:szCs w:val="15"/>
                <w:color w:val="0000EE"/>
                <w:w w:val="71"/>
              </w:rPr>
            </w:pPr>
            <w:hyperlink w:anchor="page46">
              <w:r>
                <w:rPr>
                  <w:rFonts w:ascii="Arial" w:cs="Arial" w:eastAsia="Arial" w:hAnsi="Arial"/>
                  <w:sz w:val="15"/>
                  <w:szCs w:val="15"/>
                  <w:color w:val="0000EE"/>
                  <w:w w:val="71"/>
                </w:rPr>
                <w:t>45</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46">
              <w:r>
                <w:rPr>
                  <w:rFonts w:ascii="Arial" w:cs="Arial" w:eastAsia="Arial" w:hAnsi="Arial"/>
                  <w:sz w:val="16"/>
                  <w:szCs w:val="16"/>
                  <w:color w:val="0000EE"/>
                  <w:w w:val="85"/>
                </w:rPr>
                <w:t>Item 3.</w:t>
              </w:r>
            </w:hyperlink>
          </w:p>
        </w:tc>
        <w:tc>
          <w:tcPr>
            <w:tcW w:w="580" w:type="dxa"/>
            <w:vAlign w:val="bottom"/>
            <w:gridSpan w:val="4"/>
          </w:tcPr>
          <w:p>
            <w:pPr>
              <w:spacing w:after="0"/>
              <w:rPr>
                <w:sz w:val="20"/>
                <w:szCs w:val="20"/>
                <w:color w:val="auto"/>
              </w:rPr>
            </w:pPr>
          </w:p>
        </w:tc>
        <w:tc>
          <w:tcPr>
            <w:tcW w:w="2060" w:type="dxa"/>
            <w:vAlign w:val="bottom"/>
            <w:gridSpan w:val="8"/>
          </w:tcPr>
          <w:p>
            <w:pPr>
              <w:spacing w:after="0"/>
              <w:rPr>
                <w:rFonts w:ascii="Arial" w:cs="Arial" w:eastAsia="Arial" w:hAnsi="Arial"/>
                <w:sz w:val="16"/>
                <w:szCs w:val="16"/>
                <w:color w:val="0000EE"/>
                <w:w w:val="91"/>
              </w:rPr>
            </w:pPr>
            <w:hyperlink w:anchor="page46">
              <w:r>
                <w:rPr>
                  <w:rFonts w:ascii="Arial" w:cs="Arial" w:eastAsia="Arial" w:hAnsi="Arial"/>
                  <w:sz w:val="16"/>
                  <w:szCs w:val="16"/>
                  <w:color w:val="0000EE"/>
                  <w:w w:val="91"/>
                </w:rPr>
                <w:t>Defaults upon Senior Securities</w:t>
              </w:r>
            </w:hyperlink>
          </w:p>
        </w:tc>
        <w:tc>
          <w:tcPr>
            <w:tcW w:w="5600" w:type="dxa"/>
            <w:vAlign w:val="bottom"/>
            <w:gridSpan w:val="4"/>
          </w:tcPr>
          <w:p>
            <w:pPr>
              <w:spacing w:after="0"/>
              <w:rPr>
                <w:sz w:val="20"/>
                <w:szCs w:val="20"/>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46">
              <w:r>
                <w:rPr>
                  <w:rFonts w:ascii="Arial" w:cs="Arial" w:eastAsia="Arial" w:hAnsi="Arial"/>
                  <w:sz w:val="16"/>
                  <w:szCs w:val="16"/>
                  <w:color w:val="0000EE"/>
                  <w:w w:val="89"/>
                </w:rPr>
                <w:t>45</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80" w:type="dxa"/>
            <w:vAlign w:val="bottom"/>
            <w:tcBorders>
              <w:left w:val="single" w:sz="8" w:color="0000EE"/>
            </w:tcBorders>
            <w:gridSpan w:val="4"/>
            <w:shd w:val="clear" w:color="auto" w:fill="0000EE"/>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46">
              <w:r>
                <w:rPr>
                  <w:rFonts w:ascii="Arial" w:cs="Arial" w:eastAsia="Arial" w:hAnsi="Arial"/>
                  <w:sz w:val="16"/>
                  <w:szCs w:val="16"/>
                  <w:color w:val="0000EE"/>
                  <w:w w:val="85"/>
                </w:rPr>
                <w:t>Item 4.</w:t>
              </w:r>
            </w:hyperlink>
          </w:p>
        </w:tc>
        <w:tc>
          <w:tcPr>
            <w:tcW w:w="580" w:type="dxa"/>
            <w:vAlign w:val="bottom"/>
            <w:gridSpan w:val="4"/>
          </w:tcPr>
          <w:p>
            <w:pPr>
              <w:spacing w:after="0"/>
              <w:rPr>
                <w:sz w:val="20"/>
                <w:szCs w:val="20"/>
                <w:color w:val="auto"/>
              </w:rPr>
            </w:pPr>
          </w:p>
        </w:tc>
        <w:tc>
          <w:tcPr>
            <w:tcW w:w="2060" w:type="dxa"/>
            <w:vAlign w:val="bottom"/>
            <w:gridSpan w:val="8"/>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Mine Safety Disclosures</w:t>
              </w:r>
            </w:hyperlink>
          </w:p>
        </w:tc>
        <w:tc>
          <w:tcPr>
            <w:tcW w:w="5600" w:type="dxa"/>
            <w:vAlign w:val="bottom"/>
            <w:gridSpan w:val="4"/>
          </w:tcPr>
          <w:p>
            <w:pPr>
              <w:spacing w:after="0"/>
              <w:rPr>
                <w:sz w:val="20"/>
                <w:szCs w:val="20"/>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46">
              <w:r>
                <w:rPr>
                  <w:rFonts w:ascii="Arial" w:cs="Arial" w:eastAsia="Arial" w:hAnsi="Arial"/>
                  <w:sz w:val="16"/>
                  <w:szCs w:val="16"/>
                  <w:color w:val="0000EE"/>
                  <w:w w:val="89"/>
                </w:rPr>
                <w:t>45</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80" w:type="dxa"/>
            <w:vAlign w:val="bottom"/>
            <w:gridSpan w:val="6"/>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46">
              <w:r>
                <w:rPr>
                  <w:rFonts w:ascii="Arial" w:cs="Arial" w:eastAsia="Arial" w:hAnsi="Arial"/>
                  <w:sz w:val="16"/>
                  <w:szCs w:val="16"/>
                  <w:color w:val="0000EE"/>
                  <w:w w:val="85"/>
                </w:rPr>
                <w:t>Item 5.</w:t>
              </w:r>
            </w:hyperlink>
          </w:p>
        </w:tc>
        <w:tc>
          <w:tcPr>
            <w:tcW w:w="580" w:type="dxa"/>
            <w:vAlign w:val="bottom"/>
            <w:gridSpan w:val="4"/>
          </w:tcPr>
          <w:p>
            <w:pPr>
              <w:spacing w:after="0"/>
              <w:rPr>
                <w:sz w:val="20"/>
                <w:szCs w:val="20"/>
                <w:color w:val="auto"/>
              </w:rPr>
            </w:pPr>
          </w:p>
        </w:tc>
        <w:tc>
          <w:tcPr>
            <w:tcW w:w="1180" w:type="dxa"/>
            <w:vAlign w:val="bottom"/>
            <w:gridSpan w:val="4"/>
          </w:tcPr>
          <w:p>
            <w:pPr>
              <w:spacing w:after="0"/>
              <w:rPr>
                <w:rFonts w:ascii="Arial" w:cs="Arial" w:eastAsia="Arial" w:hAnsi="Arial"/>
                <w:sz w:val="16"/>
                <w:szCs w:val="16"/>
                <w:color w:val="0000EE"/>
                <w:w w:val="91"/>
              </w:rPr>
            </w:pPr>
            <w:hyperlink w:anchor="page46">
              <w:r>
                <w:rPr>
                  <w:rFonts w:ascii="Arial" w:cs="Arial" w:eastAsia="Arial" w:hAnsi="Arial"/>
                  <w:sz w:val="16"/>
                  <w:szCs w:val="16"/>
                  <w:color w:val="0000EE"/>
                  <w:w w:val="91"/>
                </w:rPr>
                <w:t>Other Information</w:t>
              </w:r>
            </w:hyperlink>
          </w:p>
        </w:tc>
        <w:tc>
          <w:tcPr>
            <w:tcW w:w="400" w:type="dxa"/>
            <w:vAlign w:val="bottom"/>
            <w:gridSpan w:val="2"/>
          </w:tcPr>
          <w:p>
            <w:pPr>
              <w:spacing w:after="0"/>
              <w:rPr>
                <w:sz w:val="20"/>
                <w:szCs w:val="20"/>
                <w:color w:val="auto"/>
              </w:rPr>
            </w:pPr>
          </w:p>
        </w:tc>
        <w:tc>
          <w:tcPr>
            <w:tcW w:w="6080" w:type="dxa"/>
            <w:vAlign w:val="bottom"/>
            <w:gridSpan w:val="6"/>
          </w:tcPr>
          <w:p>
            <w:pPr>
              <w:spacing w:after="0"/>
              <w:rPr>
                <w:sz w:val="20"/>
                <w:szCs w:val="20"/>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46">
              <w:r>
                <w:rPr>
                  <w:rFonts w:ascii="Arial" w:cs="Arial" w:eastAsia="Arial" w:hAnsi="Arial"/>
                  <w:sz w:val="16"/>
                  <w:szCs w:val="16"/>
                  <w:color w:val="0000EE"/>
                  <w:w w:val="89"/>
                </w:rPr>
                <w:t>45</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480" w:type="dxa"/>
            <w:vAlign w:val="bottom"/>
            <w:gridSpan w:val="8"/>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47">
              <w:r>
                <w:rPr>
                  <w:rFonts w:ascii="Arial" w:cs="Arial" w:eastAsia="Arial" w:hAnsi="Arial"/>
                  <w:sz w:val="16"/>
                  <w:szCs w:val="16"/>
                  <w:color w:val="0000EE"/>
                  <w:w w:val="85"/>
                </w:rPr>
                <w:t>Item 6.</w:t>
              </w:r>
            </w:hyperlink>
          </w:p>
        </w:tc>
        <w:tc>
          <w:tcPr>
            <w:tcW w:w="580" w:type="dxa"/>
            <w:vAlign w:val="bottom"/>
            <w:gridSpan w:val="4"/>
          </w:tcPr>
          <w:p>
            <w:pPr>
              <w:spacing w:after="0"/>
              <w:rPr>
                <w:sz w:val="20"/>
                <w:szCs w:val="20"/>
                <w:color w:val="auto"/>
              </w:rPr>
            </w:pPr>
          </w:p>
        </w:tc>
        <w:tc>
          <w:tcPr>
            <w:tcW w:w="540" w:type="dxa"/>
            <w:vAlign w:val="bottom"/>
          </w:tcPr>
          <w:p>
            <w:pPr>
              <w:spacing w:after="0"/>
              <w:rPr>
                <w:rFonts w:ascii="Arial" w:cs="Arial" w:eastAsia="Arial" w:hAnsi="Arial"/>
                <w:sz w:val="16"/>
                <w:szCs w:val="16"/>
                <w:color w:val="0000EE"/>
                <w:w w:val="92"/>
              </w:rPr>
            </w:pPr>
            <w:hyperlink w:anchor="page47">
              <w:r>
                <w:rPr>
                  <w:rFonts w:ascii="Arial" w:cs="Arial" w:eastAsia="Arial" w:hAnsi="Arial"/>
                  <w:sz w:val="16"/>
                  <w:szCs w:val="16"/>
                  <w:color w:val="0000EE"/>
                  <w:w w:val="92"/>
                </w:rPr>
                <w:t>Exhibits</w:t>
              </w:r>
            </w:hyperlink>
          </w:p>
        </w:tc>
        <w:tc>
          <w:tcPr>
            <w:tcW w:w="640" w:type="dxa"/>
            <w:vAlign w:val="bottom"/>
            <w:gridSpan w:val="3"/>
          </w:tcPr>
          <w:p>
            <w:pPr>
              <w:spacing w:after="0"/>
              <w:rPr>
                <w:sz w:val="20"/>
                <w:szCs w:val="20"/>
                <w:color w:val="auto"/>
              </w:rPr>
            </w:pPr>
          </w:p>
        </w:tc>
        <w:tc>
          <w:tcPr>
            <w:tcW w:w="6480" w:type="dxa"/>
            <w:vAlign w:val="bottom"/>
            <w:gridSpan w:val="8"/>
          </w:tcPr>
          <w:p>
            <w:pPr>
              <w:spacing w:after="0"/>
              <w:rPr>
                <w:sz w:val="20"/>
                <w:szCs w:val="20"/>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47">
              <w:r>
                <w:rPr>
                  <w:rFonts w:ascii="Arial" w:cs="Arial" w:eastAsia="Arial" w:hAnsi="Arial"/>
                  <w:sz w:val="16"/>
                  <w:szCs w:val="16"/>
                  <w:color w:val="0000EE"/>
                  <w:w w:val="89"/>
                </w:rPr>
                <w:t>46</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534"/>
        </w:trPr>
        <w:tc>
          <w:tcPr>
            <w:tcW w:w="680" w:type="dxa"/>
            <w:vAlign w:val="bottom"/>
            <w:gridSpan w:val="4"/>
          </w:tcPr>
          <w:p>
            <w:pPr>
              <w:spacing w:after="0"/>
              <w:rPr>
                <w:sz w:val="20"/>
                <w:szCs w:val="20"/>
                <w:color w:val="auto"/>
              </w:rPr>
            </w:pPr>
            <w:r>
              <w:rPr>
                <w:rFonts w:ascii="Arial" w:cs="Arial" w:eastAsia="Arial" w:hAnsi="Arial"/>
                <w:sz w:val="16"/>
                <w:szCs w:val="16"/>
                <w:color w:val="0000EE"/>
                <w:w w:val="83"/>
              </w:rPr>
              <w:t>Signatures</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49">
              <w:r>
                <w:rPr>
                  <w:rFonts w:ascii="Arial" w:cs="Arial" w:eastAsia="Arial" w:hAnsi="Arial"/>
                  <w:sz w:val="16"/>
                  <w:szCs w:val="16"/>
                  <w:color w:val="0000EE"/>
                  <w:w w:val="89"/>
                </w:rPr>
                <w:t>48</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40"/>
          </w:cols>
          <w:pgMar w:left="280" w:top="580" w:right="8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6"/>
              </w:rPr>
              <w:t>March 31, 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5"/>
              </w:rPr>
              <w:t>December 31, 2018</w:t>
            </w:r>
          </w:p>
        </w:tc>
      </w:tr>
      <w:tr>
        <w:trPr>
          <w:trHeight w:val="237"/>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(Unaudited)</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Agency securities, at fair value (including pledged securities of $89,471 and $78,619, respectively)</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93,044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82,291</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Agency securities transferred to consolidated variable interest entities, at fair value (pledged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Credit risk transfer securities, at fair value (including pledged securities of $142 and $141, respectively)</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1,129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1,012</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Non-Agency securities, at fair value (including pledged securities of $45 and $45,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U.S. Treasury securities, at fair value (including pledged securities of $121 and $0, respectively)</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921</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599</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assets, at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Receivable for investment securities sold (pledged securities)</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489</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Receivable under reverse repurchase agreements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21,813</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526</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r>
      <w:tr>
        <w:trPr>
          <w:trHeight w:val="284"/>
        </w:trPr>
        <w:tc>
          <w:tcPr>
            <w:tcW w:w="81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118,807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109,241</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Repurchase agreements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86,685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75,717</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of consolidated variable interest entities, at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Payable for investment securities purchased</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1,204</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liabilities, at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Dividends payable</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106</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Obligation to return securities borrowed under reverse repurchase agreements, at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21,431</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Accounts payable and other liabilities</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518</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108,306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99,335</w:t>
            </w: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7.750% Series B Cumulative Redeemable Preferred Stock (aggregate liquidation preference of $175)</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r>
      <w:tr>
        <w:trPr>
          <w:trHeight w:val="220"/>
        </w:trPr>
        <w:tc>
          <w:tcPr>
            <w:tcW w:w="8120" w:type="dxa"/>
            <w:vAlign w:val="bottom"/>
          </w:tcPr>
          <w:p>
            <w:pPr>
              <w:ind w:left="280"/>
              <w:spacing w:after="0"/>
              <w:rPr>
                <w:sz w:val="20"/>
                <w:szCs w:val="20"/>
                <w:color w:val="auto"/>
              </w:rPr>
            </w:pPr>
            <w:r>
              <w:rPr>
                <w:rFonts w:ascii="Arial" w:cs="Arial" w:eastAsia="Arial" w:hAnsi="Arial"/>
                <w:sz w:val="16"/>
                <w:szCs w:val="16"/>
                <w:color w:val="auto"/>
                <w:w w:val="93"/>
              </w:rPr>
              <w:t>7.000% Series C Fixed-to-Floating Rate Cumulative Redeemable Preferred Stock (aggregate liquidation preference of</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06"/>
        </w:trPr>
        <w:tc>
          <w:tcPr>
            <w:tcW w:w="8120" w:type="dxa"/>
            <w:vAlign w:val="bottom"/>
          </w:tcPr>
          <w:p>
            <w:pPr>
              <w:ind w:left="280"/>
              <w:spacing w:after="0"/>
              <w:rPr>
                <w:sz w:val="20"/>
                <w:szCs w:val="20"/>
                <w:color w:val="auto"/>
              </w:rPr>
            </w:pPr>
            <w:r>
              <w:rPr>
                <w:rFonts w:ascii="Arial" w:cs="Arial" w:eastAsia="Arial" w:hAnsi="Arial"/>
                <w:sz w:val="16"/>
                <w:szCs w:val="16"/>
                <w:color w:val="auto"/>
              </w:rPr>
              <w:t>$325)</w:t>
            </w:r>
          </w:p>
        </w:tc>
        <w:tc>
          <w:tcPr>
            <w:tcW w:w="220" w:type="dxa"/>
            <w:vAlign w:val="bottom"/>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315</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6.875% Series D Fixed-to-Floating Rate Cumulative Redeemable Preferred Stock (aggregate liquidation preference of</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9"/>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$235)</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Common stock - $0.01 par value; 900 shares authorized; 536.3 shares issued and outstanding</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13,793</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Retained deficit</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(3,433)</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(943)</w:t>
            </w:r>
          </w:p>
        </w:tc>
      </w:tr>
      <w:tr>
        <w:trPr>
          <w:trHeight w:val="217"/>
        </w:trPr>
        <w:tc>
          <w:tcPr>
            <w:tcW w:w="8120" w:type="dxa"/>
            <w:vAlign w:val="bottom"/>
          </w:tcPr>
          <w:p>
            <w:pPr>
              <w:ind w:left="60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10,501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9,906</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118,807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109,241</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 share data)</w:t>
      </w:r>
    </w:p>
    <w:p>
      <w:pPr>
        <w:spacing w:after="0" w:line="346" w:lineRule="exact"/>
        <w:rPr>
          <w:sz w:val="20"/>
          <w:szCs w:val="20"/>
          <w:color w:val="auto"/>
        </w:rPr>
      </w:pPr>
    </w:p>
    <w:p>
      <w:pPr>
        <w:jc w:val="center"/>
        <w:ind w:left="8300"/>
        <w:spacing w:after="0"/>
        <w:rPr>
          <w:sz w:val="20"/>
          <w:szCs w:val="20"/>
          <w:color w:val="auto"/>
        </w:rPr>
      </w:pPr>
      <w:r>
        <w:rPr>
          <w:rFonts w:ascii="Arial" w:cs="Arial" w:eastAsia="Arial" w:hAnsi="Arial"/>
          <w:sz w:val="16"/>
          <w:szCs w:val="16"/>
          <w:b w:val="1"/>
          <w:bCs w:val="1"/>
          <w:color w:val="auto"/>
        </w:rPr>
        <w:t>Three Months Ended March</w:t>
      </w:r>
    </w:p>
    <w:p>
      <w:pPr>
        <w:spacing w:after="0" w:line="26" w:lineRule="exact"/>
        <w:rPr>
          <w:sz w:val="20"/>
          <w:szCs w:val="20"/>
          <w:color w:val="auto"/>
        </w:rPr>
      </w:pPr>
    </w:p>
    <w:p>
      <w:pPr>
        <w:jc w:val="center"/>
        <w:ind w:left="8300"/>
        <w:spacing w:after="0"/>
        <w:rPr>
          <w:sz w:val="20"/>
          <w:szCs w:val="20"/>
          <w:color w:val="auto"/>
        </w:rPr>
      </w:pPr>
      <w:r>
        <w:rPr>
          <w:rFonts w:ascii="Arial" w:cs="Arial" w:eastAsia="Arial" w:hAnsi="Arial"/>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5244465</wp:posOffset>
            </wp:positionH>
            <wp:positionV relativeFrom="paragraph">
              <wp:posOffset>33020</wp:posOffset>
            </wp:positionV>
            <wp:extent cx="13893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0"/>
              <w:spacing w:after="0"/>
              <w:rPr>
                <w:sz w:val="20"/>
                <w:szCs w:val="20"/>
                <w:color w:val="auto"/>
              </w:rPr>
            </w:pPr>
            <w:r>
              <w:rPr>
                <w:rFonts w:ascii="Arial" w:cs="Arial" w:eastAsia="Arial" w:hAnsi="Arial"/>
                <w:sz w:val="16"/>
                <w:szCs w:val="16"/>
                <w:b w:val="1"/>
                <w:bCs w:val="1"/>
                <w:color w:val="auto"/>
              </w:rPr>
              <w:t>2018</w:t>
            </w:r>
          </w:p>
        </w:tc>
      </w:tr>
      <w:tr>
        <w:trPr>
          <w:trHeight w:val="33"/>
        </w:trPr>
        <w:tc>
          <w:tcPr>
            <w:tcW w:w="8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431</w:t>
            </w:r>
          </w:p>
        </w:tc>
      </w:tr>
      <w:tr>
        <w:trPr>
          <w:trHeight w:val="27"/>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37"/>
        </w:trPr>
        <w:tc>
          <w:tcPr>
            <w:tcW w:w="8260" w:type="dxa"/>
            <w:vAlign w:val="bottom"/>
          </w:tcPr>
          <w:p>
            <w:pPr>
              <w:ind w:left="680"/>
              <w:spacing w:after="0"/>
              <w:rPr>
                <w:sz w:val="20"/>
                <w:szCs w:val="20"/>
                <w:color w:val="auto"/>
              </w:rPr>
            </w:pPr>
            <w:r>
              <w:rPr>
                <w:rFonts w:ascii="Arial" w:cs="Arial" w:eastAsia="Arial" w:hAnsi="Arial"/>
                <w:sz w:val="18"/>
                <w:szCs w:val="18"/>
                <w:color w:val="auto"/>
              </w:rPr>
              <w:t>Net interest income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w:t>
            </w:r>
          </w:p>
        </w:tc>
      </w:tr>
      <w:tr>
        <w:trPr>
          <w:trHeight w:val="27"/>
        </w:trPr>
        <w:tc>
          <w:tcPr>
            <w:tcW w:w="8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gain (loss), net: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360"/>
              <w:spacing w:after="0"/>
              <w:rPr>
                <w:sz w:val="20"/>
                <w:szCs w:val="20"/>
                <w:color w:val="auto"/>
              </w:rPr>
            </w:pPr>
            <w:r>
              <w:rPr>
                <w:rFonts w:ascii="Arial" w:cs="Arial" w:eastAsia="Arial" w:hAnsi="Arial"/>
                <w:sz w:val="18"/>
                <w:szCs w:val="18"/>
                <w:color w:val="auto"/>
              </w:rPr>
              <w:t>Gain (loss) on sale of investment securities, net</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Unrealized gain (loss) on investment securities measured at fair value through net income, net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43"/>
        </w:trPr>
        <w:tc>
          <w:tcPr>
            <w:tcW w:w="8260" w:type="dxa"/>
            <w:vAlign w:val="bottom"/>
          </w:tcPr>
          <w:p>
            <w:pPr>
              <w:ind w:left="360"/>
              <w:spacing w:after="0"/>
              <w:rPr>
                <w:sz w:val="20"/>
                <w:szCs w:val="20"/>
                <w:color w:val="auto"/>
              </w:rPr>
            </w:pPr>
            <w:r>
              <w:rPr>
                <w:rFonts w:ascii="Arial" w:cs="Arial" w:eastAsia="Arial" w:hAnsi="Arial"/>
                <w:sz w:val="18"/>
                <w:szCs w:val="18"/>
                <w:color w:val="auto"/>
              </w:rPr>
              <w:t>Gain (loss) on derivative instruments and other securities, net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738</w:t>
            </w:r>
          </w:p>
        </w:tc>
      </w:tr>
      <w:tr>
        <w:trPr>
          <w:trHeight w:val="27"/>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Management fee income</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7"/>
        </w:trPr>
        <w:tc>
          <w:tcPr>
            <w:tcW w:w="8260" w:type="dxa"/>
            <w:vAlign w:val="bottom"/>
          </w:tcPr>
          <w:p>
            <w:pPr>
              <w:ind w:left="680"/>
              <w:spacing w:after="0"/>
              <w:rPr>
                <w:sz w:val="20"/>
                <w:szCs w:val="20"/>
                <w:color w:val="auto"/>
              </w:rPr>
            </w:pPr>
            <w:r>
              <w:rPr>
                <w:rFonts w:ascii="Arial" w:cs="Arial" w:eastAsia="Arial" w:hAnsi="Arial"/>
                <w:sz w:val="18"/>
                <w:szCs w:val="18"/>
                <w:color w:val="auto"/>
              </w:rPr>
              <w:t>Total other gain, net:</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r>
      <w:tr>
        <w:trPr>
          <w:trHeight w:val="27"/>
        </w:trPr>
        <w:tc>
          <w:tcPr>
            <w:tcW w:w="8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360"/>
              <w:spacing w:after="0"/>
              <w:rPr>
                <w:sz w:val="20"/>
                <w:szCs w:val="20"/>
                <w:color w:val="auto"/>
              </w:rPr>
            </w:pPr>
            <w:r>
              <w:rPr>
                <w:rFonts w:ascii="Arial" w:cs="Arial" w:eastAsia="Arial" w:hAnsi="Arial"/>
                <w:sz w:val="18"/>
                <w:szCs w:val="18"/>
                <w:color w:val="auto"/>
              </w:rPr>
              <w:t>Compensation and benefits</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operating expense</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37"/>
        </w:trPr>
        <w:tc>
          <w:tcPr>
            <w:tcW w:w="8260" w:type="dxa"/>
            <w:vAlign w:val="bottom"/>
          </w:tcPr>
          <w:p>
            <w:pPr>
              <w:ind w:left="680"/>
              <w:spacing w:after="0"/>
              <w:rPr>
                <w:sz w:val="20"/>
                <w:szCs w:val="20"/>
                <w:color w:val="auto"/>
              </w:rPr>
            </w:pPr>
            <w:r>
              <w:rPr>
                <w:rFonts w:ascii="Arial" w:cs="Arial" w:eastAsia="Arial" w:hAnsi="Arial"/>
                <w:sz w:val="18"/>
                <w:szCs w:val="18"/>
                <w:color w:val="auto"/>
              </w:rPr>
              <w:t>Total operating expense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8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r>
      <w:tr>
        <w:trPr>
          <w:trHeight w:val="243"/>
        </w:trPr>
        <w:tc>
          <w:tcPr>
            <w:tcW w:w="8260" w:type="dxa"/>
            <w:vAlign w:val="bottom"/>
          </w:tcPr>
          <w:p>
            <w:pPr>
              <w:ind w:left="360"/>
              <w:spacing w:after="0"/>
              <w:rPr>
                <w:sz w:val="20"/>
                <w:szCs w:val="20"/>
                <w:color w:val="auto"/>
              </w:rPr>
            </w:pPr>
            <w:r>
              <w:rPr>
                <w:rFonts w:ascii="Arial" w:cs="Arial" w:eastAsia="Arial" w:hAnsi="Arial"/>
                <w:sz w:val="18"/>
                <w:szCs w:val="18"/>
                <w:color w:val="auto"/>
              </w:rPr>
              <w:t>Dividend on preferred stock</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8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available to common stockholders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r>
      <w:tr>
        <w:trPr>
          <w:trHeight w:val="20"/>
        </w:trPr>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11"/>
        </w:trPr>
        <w:tc>
          <w:tcPr>
            <w:tcW w:w="8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Unrealized gain (loss) on available-for-sale securities, net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Dividend on preferred stock</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97"/>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Comprehensive income (loss) available (attributable) to common stockholders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w:t>
            </w:r>
          </w:p>
        </w:tc>
      </w:tr>
      <w:tr>
        <w:trPr>
          <w:trHeight w:val="311"/>
        </w:trPr>
        <w:tc>
          <w:tcPr>
            <w:tcW w:w="8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304"/>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 - basic</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536.7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391.3</w:t>
            </w:r>
          </w:p>
        </w:tc>
      </w:tr>
      <w:tr>
        <w:trPr>
          <w:trHeight w:val="25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 - diluted</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391.5</w:t>
            </w:r>
          </w:p>
        </w:tc>
      </w:tr>
      <w:tr>
        <w:trPr>
          <w:trHeight w:val="20"/>
        </w:trPr>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91"/>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per common share - basic</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w:t>
            </w:r>
          </w:p>
        </w:tc>
      </w:tr>
      <w:tr>
        <w:trPr>
          <w:trHeight w:val="25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common share - 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0"/>
        </w:trPr>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1"/>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Dividends declared per common share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0.54</w:t>
            </w:r>
          </w:p>
        </w:tc>
      </w:tr>
      <w:tr>
        <w:trPr>
          <w:trHeight w:val="20"/>
        </w:trPr>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40"/>
          </w:cols>
          <w:pgMar w:left="740" w:top="580" w:right="7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7.000% Series</w:t>
            </w: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6.875% Series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7.750% Series</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 Fixed-to-</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D Fixed-to-</w:t>
            </w:r>
          </w:p>
        </w:tc>
        <w:tc>
          <w:tcPr>
            <w:tcW w:w="158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30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Floating Rate</w:t>
            </w:r>
          </w:p>
        </w:tc>
        <w:tc>
          <w:tcPr>
            <w:tcW w:w="10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Floating Rate</w:t>
            </w:r>
          </w:p>
        </w:tc>
        <w:tc>
          <w:tcPr>
            <w:tcW w:w="158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B Cumulative</w:t>
            </w:r>
          </w:p>
        </w:tc>
        <w:tc>
          <w:tcPr>
            <w:tcW w:w="100" w:type="dxa"/>
            <w:vAlign w:val="bottom"/>
          </w:tcPr>
          <w:p>
            <w:pPr>
              <w:spacing w:after="0"/>
              <w:rPr>
                <w:sz w:val="10"/>
                <w:szCs w:val="10"/>
                <w:color w:val="auto"/>
              </w:rPr>
            </w:pPr>
          </w:p>
        </w:tc>
        <w:tc>
          <w:tcPr>
            <w:tcW w:w="10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Cumulative</w:t>
            </w:r>
          </w:p>
        </w:tc>
        <w:tc>
          <w:tcPr>
            <w:tcW w:w="100" w:type="dxa"/>
            <w:vAlign w:val="bottom"/>
          </w:tcPr>
          <w:p>
            <w:pPr>
              <w:spacing w:after="0"/>
              <w:rPr>
                <w:sz w:val="10"/>
                <w:szCs w:val="10"/>
                <w:color w:val="auto"/>
              </w:rPr>
            </w:pPr>
          </w:p>
        </w:tc>
        <w:tc>
          <w:tcPr>
            <w:tcW w:w="10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Cumulative</w:t>
            </w: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0"/>
                <w:szCs w:val="10"/>
                <w:color w:val="auto"/>
              </w:rPr>
            </w:pPr>
          </w:p>
        </w:tc>
        <w:tc>
          <w:tcPr>
            <w:tcW w:w="12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Redeemable</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Redeemable</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Redeemable</w:t>
            </w: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2"/>
                <w:szCs w:val="12"/>
                <w:color w:val="auto"/>
              </w:rPr>
            </w:pPr>
          </w:p>
        </w:tc>
        <w:tc>
          <w:tcPr>
            <w:tcW w:w="66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Preferred Stock</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391.3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11,173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8,754</w:t>
            </w:r>
          </w:p>
        </w:tc>
        <w:tc>
          <w:tcPr>
            <w:tcW w:w="0" w:type="dxa"/>
            <w:vAlign w:val="bottom"/>
          </w:tcPr>
          <w:p>
            <w:pPr>
              <w:spacing w:after="0"/>
              <w:rPr>
                <w:sz w:val="1"/>
                <w:szCs w:val="1"/>
                <w:color w:val="auto"/>
              </w:rPr>
            </w:pPr>
          </w:p>
        </w:tc>
      </w:tr>
      <w:tr>
        <w:trPr>
          <w:trHeight w:val="264"/>
        </w:trPr>
        <w:tc>
          <w:tcPr>
            <w:tcW w:w="230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424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loss:</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380"/>
              <w:spacing w:after="0" w:line="157" w:lineRule="exact"/>
              <w:rPr>
                <w:sz w:val="20"/>
                <w:szCs w:val="20"/>
                <w:color w:val="auto"/>
              </w:rPr>
            </w:pPr>
            <w:r>
              <w:rPr>
                <w:rFonts w:ascii="Arial" w:cs="Arial" w:eastAsia="Arial" w:hAnsi="Arial"/>
                <w:sz w:val="14"/>
                <w:szCs w:val="14"/>
                <w:color w:val="auto"/>
              </w:rPr>
              <w:t>Unrealized loss on available-</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380"/>
              <w:spacing w:after="0"/>
              <w:rPr>
                <w:sz w:val="20"/>
                <w:szCs w:val="20"/>
                <w:color w:val="auto"/>
              </w:rPr>
            </w:pPr>
            <w:r>
              <w:rPr>
                <w:rFonts w:ascii="Arial" w:cs="Arial" w:eastAsia="Arial" w:hAnsi="Arial"/>
                <w:sz w:val="14"/>
                <w:szCs w:val="14"/>
                <w:color w:val="auto"/>
              </w:rPr>
              <w:t>for-sale securities, net</w:t>
            </w:r>
          </w:p>
        </w:tc>
        <w:tc>
          <w:tcPr>
            <w:tcW w:w="1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Stock-based compensation</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2300" w:type="dxa"/>
            <w:vAlign w:val="bottom"/>
          </w:tcPr>
          <w:p>
            <w:pPr>
              <w:ind w:left="540"/>
              <w:spacing w:after="0"/>
              <w:rPr>
                <w:sz w:val="20"/>
                <w:szCs w:val="20"/>
                <w:color w:val="auto"/>
              </w:rPr>
            </w:pPr>
            <w:r>
              <w:rPr>
                <w:rFonts w:ascii="Arial" w:cs="Arial" w:eastAsia="Arial" w:hAnsi="Arial"/>
                <w:sz w:val="14"/>
                <w:szCs w:val="14"/>
                <w:color w:val="auto"/>
                <w:w w:val="97"/>
              </w:rPr>
              <w:t>Preferred dividends declared</w:t>
            </w: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ind w:left="540"/>
              <w:spacing w:after="0"/>
              <w:rPr>
                <w:sz w:val="20"/>
                <w:szCs w:val="20"/>
                <w:color w:val="auto"/>
              </w:rPr>
            </w:pPr>
            <w:r>
              <w:rPr>
                <w:rFonts w:ascii="Arial" w:cs="Arial" w:eastAsia="Arial" w:hAnsi="Arial"/>
                <w:sz w:val="14"/>
                <w:szCs w:val="14"/>
                <w:color w:val="auto"/>
                <w:w w:val="98"/>
              </w:rPr>
              <w:t>Common dividends declared</w:t>
            </w: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83"/>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Balance, March 31, 2018</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391.3</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11,174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(2,358)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(966)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8,338</w:t>
            </w:r>
          </w:p>
        </w:tc>
        <w:tc>
          <w:tcPr>
            <w:tcW w:w="0" w:type="dxa"/>
            <w:vAlign w:val="bottom"/>
          </w:tcPr>
          <w:p>
            <w:pPr>
              <w:spacing w:after="0"/>
              <w:rPr>
                <w:sz w:val="1"/>
                <w:szCs w:val="1"/>
                <w:color w:val="auto"/>
              </w:rPr>
            </w:pPr>
          </w:p>
        </w:tc>
      </w:tr>
      <w:tr>
        <w:trPr>
          <w:trHeight w:val="278"/>
        </w:trPr>
        <w:tc>
          <w:tcPr>
            <w:tcW w:w="23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536.3</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13,793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(3,433)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(943)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9,906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income</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264"/>
        </w:trPr>
        <w:tc>
          <w:tcPr>
            <w:tcW w:w="2300" w:type="dxa"/>
            <w:vAlign w:val="bottom"/>
          </w:tcPr>
          <w:p>
            <w:pPr>
              <w:ind w:left="200"/>
              <w:spacing w:after="0"/>
              <w:rPr>
                <w:sz w:val="20"/>
                <w:szCs w:val="20"/>
                <w:color w:val="auto"/>
              </w:rPr>
            </w:pPr>
            <w:r>
              <w:rPr>
                <w:rFonts w:ascii="Arial" w:cs="Arial" w:eastAsia="Arial" w:hAnsi="Arial"/>
                <w:sz w:val="14"/>
                <w:szCs w:val="14"/>
                <w:color w:val="auto"/>
              </w:rPr>
              <w:t>Other comprehensive income:</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Unrealized gain on available-</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for-sale securities, net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64"/>
        </w:trPr>
        <w:tc>
          <w:tcPr>
            <w:tcW w:w="2300" w:type="dxa"/>
            <w:vAlign w:val="bottom"/>
          </w:tcPr>
          <w:p>
            <w:pPr>
              <w:ind w:left="540"/>
              <w:spacing w:after="0"/>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Issuance of preferred stock</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64"/>
        </w:trPr>
        <w:tc>
          <w:tcPr>
            <w:tcW w:w="2300" w:type="dxa"/>
            <w:vAlign w:val="bottom"/>
          </w:tcPr>
          <w:p>
            <w:pPr>
              <w:ind w:left="540"/>
              <w:spacing w:after="0"/>
              <w:rPr>
                <w:sz w:val="20"/>
                <w:szCs w:val="20"/>
                <w:color w:val="auto"/>
              </w:rPr>
            </w:pPr>
            <w:r>
              <w:rPr>
                <w:rFonts w:ascii="Arial" w:cs="Arial" w:eastAsia="Arial" w:hAnsi="Arial"/>
                <w:sz w:val="14"/>
                <w:szCs w:val="14"/>
                <w:color w:val="auto"/>
                <w:w w:val="97"/>
              </w:rPr>
              <w:t>Preferred dividends declared</w:t>
            </w: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ind w:left="540"/>
              <w:spacing w:after="0"/>
              <w:rPr>
                <w:sz w:val="20"/>
                <w:szCs w:val="20"/>
                <w:color w:val="auto"/>
              </w:rPr>
            </w:pPr>
            <w:r>
              <w:rPr>
                <w:rFonts w:ascii="Arial" w:cs="Arial" w:eastAsia="Arial" w:hAnsi="Arial"/>
                <w:sz w:val="14"/>
                <w:szCs w:val="14"/>
                <w:color w:val="auto"/>
                <w:w w:val="98"/>
              </w:rPr>
              <w:t>Common dividends declared</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Balance, March 31, 2019</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536.3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13,795</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(3,467)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10,501</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64"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1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264"/>
        </w:trPr>
        <w:tc>
          <w:tcPr>
            <w:tcW w:w="8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424</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Amortization of premiums and discounts on mortgage-backed securities, net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69</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loss on sale of investment securities, net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Unrealized (gain) loss on investment securities measured at fair value through net income, net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523</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loss on derivative instruments and other securities, net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(738)</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(Increase) decrease in other assets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in accounts payable and other accrued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288</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Purchases of Agency mortgage-backed securities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(16,038)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(2,287)</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credit risk transfer and non-Agency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Proceeds from sale of Agency mortgage-backed securities</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4,694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1,181</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credit risk transfer and non-Agency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Principal collections on Agency mortgage-backed securities</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1,661</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 collections on credit risk transfer and non-Agency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Payments on U.S. Treasury securities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(1,345)</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U.S. Treasury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1,403</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Net proceeds from reverse repurchase agreements</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231</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(payments on) 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Net payments on other investing activity</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1,287</w:t>
            </w: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repurchase arrangements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930,289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243,168</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Payments on repurchase agreements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(919,321)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(244,507)</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on debt of consolidated variable interest entities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Net proceeds from preferred stock issuance</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dividends paid</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10,884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(1,580)</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cash equivalents and restricted cash</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1,363</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end of period</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1,358</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60"/>
          </w:cols>
          <w:pgMar w:left="820" w:top="580" w:right="8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unaudited interim consolidated financial statements of AGNC Investment Corp. (referred throughout this report as the "Company," "we," "us" and "our") are prepared in accordance with U.S. generally accepted accounting principles ("GAAP") for interim financial information and pursuant to the requirements for reporting on Form 10-Q and Article 10 of Regulation S-X.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 In the opinion of management, all adjustments, consisting solely of normal recurring accruals, necessary for the fair presentation of financial statements for the interim period have been included. The current period’s results of operations are not necessarily indicative of results that ultimately may be achieved for the year.</w:t>
      </w:r>
    </w:p>
    <w:p>
      <w:pPr>
        <w:spacing w:after="0" w:line="11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Our unaudited interim consolidated financial statements include the accounts of all of our wholly-owned subsidiaries and variable interest entities for which we are the primary beneficiary. Significant intercompany accounts and transactions have been eliminated.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Organization</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were organized in Delaware on January 7, 2008 and commenced operations on May 20, 2008 following the completion of our initial public offering. Our common stock is traded on The Nasdaq Global Select Market under the symbol "AGNC."</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are internally-managed, and 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to qualify to be taxed as a real estate investment trust ("REIT") under the Internal Revenue Code of 1986, as amended (the "Internal Revenue Code"). As a REIT, we are required to distribute annually 90% of our taxable income. As a REIT, we will generally not be subject to U.S. federal or state corporate taxes on our taxable income to the extent that we distribute our annual taxable income to our stockholders on a timely basis. It is our intention to distribute 100% of our taxable income, after application of available tax attributes, within the limits prescribed by the Internal Revenue Code, which may extend into the subsequent tax year.</w:t>
      </w:r>
    </w:p>
    <w:p>
      <w:pPr>
        <w:spacing w:after="0" w:line="13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in other investments in, or related to, the housing, mortgage or real estate markets. We fund our investments primarily through borrowings structured as repurchase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CRT securities are risk sharing instruments issued by the GSEs, and similarly structured transactions issued by third-party market participants, that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 of loans exceed certain thresholds. By reducing the amount that they are obligated to repay to holders of CRT securities, the GSEs and/or other third parties offset credit losses on the related loans.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7" w:name="page8"/>
    <w:bookmarkEnd w:id="7"/>
    <w:p>
      <w:pPr>
        <w:jc w:val="both"/>
        <w:ind w:firstLine="405"/>
        <w:spacing w:after="0" w:line="286" w:lineRule="auto"/>
        <w:rPr>
          <w:sz w:val="20"/>
          <w:szCs w:val="20"/>
          <w:color w:val="auto"/>
        </w:rPr>
      </w:pPr>
      <w:r>
        <w:rPr>
          <w:rFonts w:ascii="Arial" w:cs="Arial" w:eastAsia="Arial" w:hAnsi="Arial"/>
          <w:sz w:val="17"/>
          <w:szCs w:val="17"/>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111"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All of our securities are reported at fair value on our consolidated balance sheet. Accounting Standards Codification ("ASC") Topic 320, </w:t>
      </w:r>
      <w:r>
        <w:rPr>
          <w:rFonts w:ascii="Arial" w:cs="Arial" w:eastAsia="Arial" w:hAnsi="Arial"/>
          <w:sz w:val="17"/>
          <w:szCs w:val="17"/>
          <w:i w:val="1"/>
          <w:iCs w:val="1"/>
          <w:color w:val="auto"/>
        </w:rPr>
        <w:t>Investments—</w:t>
      </w:r>
      <w:r>
        <w:rPr>
          <w:rFonts w:ascii="Arial" w:cs="Arial" w:eastAsia="Arial" w:hAnsi="Arial"/>
          <w:sz w:val="17"/>
          <w:szCs w:val="17"/>
          <w:color w:val="auto"/>
        </w:rPr>
        <w:t xml:space="preserve"> </w:t>
      </w:r>
      <w:r>
        <w:rPr>
          <w:rFonts w:ascii="Arial" w:cs="Arial" w:eastAsia="Arial" w:hAnsi="Arial"/>
          <w:sz w:val="17"/>
          <w:szCs w:val="17"/>
          <w:i w:val="1"/>
          <w:iCs w:val="1"/>
          <w:color w:val="auto"/>
        </w:rPr>
        <w:t>Debt and Equity Securities</w:t>
      </w:r>
      <w:r>
        <w:rPr>
          <w:rFonts w:ascii="Arial" w:cs="Arial" w:eastAsia="Arial" w:hAnsi="Arial"/>
          <w:sz w:val="17"/>
          <w:szCs w:val="17"/>
          <w:color w:val="auto"/>
        </w:rPr>
        <w:t>, requires that at the time of purchase, we designate a security as held-to-maturity, available-for-sale or trading, depending on our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ability and intent to hold such security to maturity. Alternatively, we may elect the fair value option of accounting for securities pursuant to ASC Topic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Prior to fiscal year 2017, we primarily designated our investment securities as available-for-sale. On January 1, 2017, we began</w:t>
      </w:r>
      <w:r>
        <w:rPr>
          <w:rFonts w:ascii="Arial" w:cs="Arial" w:eastAsia="Arial" w:hAnsi="Arial"/>
          <w:sz w:val="17"/>
          <w:szCs w:val="17"/>
          <w:i w:val="1"/>
          <w:iCs w:val="1"/>
          <w:color w:val="auto"/>
        </w:rPr>
        <w:t xml:space="preserve"> </w:t>
      </w:r>
      <w:r>
        <w:rPr>
          <w:rFonts w:ascii="Arial" w:cs="Arial" w:eastAsia="Arial" w:hAnsi="Arial"/>
          <w:sz w:val="17"/>
          <w:szCs w:val="17"/>
          <w:color w:val="auto"/>
        </w:rPr>
        <w:t>electing the fair value option of accounting for all investment securities acquired after fiscal year 2016. Unrealized gains and losses on securities classified as available-for-sale are reported in accumulated other comprehensive income ("OCI"). Unrealized gains and losses on securities for which we elected the fair value option or are classified as trading are reported in net income through other gain (loss) during the period in which they occur. Upon the sale of a security designated as available-for-sale, we determine the cost of the security and the amount of unrealized gains or losses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as the fair value changes for these assets are presented in a manner consistent with the presentation and timing of the fair value changes of our derivative instruments.</w:t>
      </w:r>
    </w:p>
    <w:p>
      <w:pPr>
        <w:spacing w:after="0" w:line="129"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estimate the fair value of our investment securities based on prices provided by multiple third-party pricing services and non-binding dealer quotes (collectively "pricing sources"). These pricing sources use various valuation approaches, including market and income approaches, using "Level 2" inputs. The pricing sources primarily utilize a matrix pricing technique that interpolates the estimated fair value of our Agency RMBS based on observed quoted prices for forward contracts in the Agency RMBS "to-be-announced" market ("TBA securities") of the same coupon, maturity and issuer, adjusted to reflect the specific characteristics of the pool of mortgages underlying the Agency security, which may include maximum loan balance, loan vintage, loan-to-value ratio, geography and other characteristics as may be appropriate. The pricing sources may also utilize discounted cash flow model-derived pricing techniques to estimate the fair value of investment securities. Such models incorporate market-based discount rate assumptions based on observable inputs such as recent trading activity, credit data, volatility statistics, benchmark interest rate curves and other market data that are current as of the measurement date and may include certain unobservable inputs, such as assumptions of future levels of prepayment, defaults and loss severities. We review the pricing estimates obtained from the pricing sources and perform procedures to validate their reasonableness. Refer to Note 8 for further discussion of fair value measurements.</w:t>
      </w:r>
    </w:p>
    <w:p>
      <w:pPr>
        <w:spacing w:after="0" w:line="115"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evaluate our investments designated as available-for-sale for other-than-temporary impairment ("OTTI") on at least a quarterly basis. The determination of whether a security is other-than-temporarily impaired may involve judgments and assumptions based on subjective and objective factors. When a security is impaired, an OTTI is considered to have occurred if any one of the following three conditions exists as of the financial reporting date:</w:t>
      </w:r>
    </w:p>
    <w:p>
      <w:pPr>
        <w:jc w:val="both"/>
        <w:ind w:firstLine="8"/>
        <w:spacing w:after="0" w:line="254"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A general allowance for unidentified impairments in a portfolio of securities is not permitted.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8"/>
          <w:szCs w:val="18"/>
          <w:i w:val="1"/>
          <w:iCs w:val="1"/>
          <w:color w:val="auto"/>
        </w:rPr>
        <w:t>Receivables—Nonrefundable Fees and Other Costs</w:t>
      </w:r>
      <w:r>
        <w:rPr>
          <w:rFonts w:ascii="Arial" w:cs="Arial" w:eastAsia="Arial" w:hAnsi="Arial"/>
          <w:sz w:val="18"/>
          <w:szCs w:val="18"/>
          <w:color w:val="auto"/>
        </w:rPr>
        <w:t>.</w:t>
      </w:r>
    </w:p>
    <w:p>
      <w:pPr>
        <w:spacing w:after="0" w:line="13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estimate long-term prepayment speeds of our mortgage securities using a third-party service and market data. The third-party service provider estimates prepayment speeds using models that incorporate the forward yield curve, current mortgage rates, mortgage rates of the outstanding loans, age and size of the outstanding loans, loan-to-value ratios, interest rate volatility and other factors. We review the prepayment speeds estimated by the third-party service and compare the results to market consensus prepayment speeds, if available. We also consider historical prepayment speeds and current market conditions to validate the reasonableness of the third-party estimates. We review our actual and anticipated prepayment experience on at least a quarterly basis and effective yields are recalculated when differences arise between (i) our previously estimated future prepayments and (ii) actual prepayments to date and our current estimated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8" w:name="page9"/>
    <w:bookmarkEnd w:id="8"/>
    <w:p>
      <w:pPr>
        <w:jc w:val="both"/>
        <w:ind w:firstLine="432"/>
        <w:spacing w:after="0" w:line="293" w:lineRule="auto"/>
        <w:rPr>
          <w:sz w:val="20"/>
          <w:szCs w:val="20"/>
          <w:color w:val="auto"/>
        </w:rPr>
      </w:pPr>
      <w:r>
        <w:rPr>
          <w:rFonts w:ascii="Arial" w:cs="Arial" w:eastAsia="Arial" w:hAnsi="Arial"/>
          <w:sz w:val="16"/>
          <w:szCs w:val="16"/>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8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We finance the acquisition of securities for our investment portfolio primarily through repurchase transactions under master repurchase agreements. Pursuant to ASC Topic 860, </w:t>
      </w:r>
      <w:r>
        <w:rPr>
          <w:rFonts w:ascii="Arial" w:cs="Arial" w:eastAsia="Arial" w:hAnsi="Arial"/>
          <w:sz w:val="17"/>
          <w:szCs w:val="17"/>
          <w:i w:val="1"/>
          <w:iCs w:val="1"/>
          <w:color w:val="auto"/>
        </w:rPr>
        <w:t>Transfers and Servicing</w:t>
      </w:r>
      <w:r>
        <w:rPr>
          <w:rFonts w:ascii="Arial" w:cs="Arial" w:eastAsia="Arial" w:hAnsi="Arial"/>
          <w:sz w:val="17"/>
          <w:szCs w:val="17"/>
          <w:color w:val="auto"/>
        </w:rPr>
        <w:t>, we account for repurchase transactions as collateralized financing transactions, which are carried at their contractual amounts (cost), plus accrued interest. Our repurchase agreements typically have maturities of less than one year but may extend up to five years or more. Interest rates on our repurchase agreements generally correspond to one or three-month LIBOR plus or minus a fixed spread. The fair value of our repurchase agreements is assumed to equal cost as the interest rates are considered to be at market.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 and Obligation to Return Securities Borrowed under Reverse Repurchase Agreements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We borrow securities to cover short sales of U.S. Treasury securities through reverse repurchase transactions under our master repurchase agreements (see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Our reverse repurchase agreements typically have maturities of 30 days or less. The fair value of our reverse repurchase agreements is assumed to equal cost as the interest rates are considered to be at market.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as well as to periodically reduce our exposure to Agency RMBS.</w:t>
      </w:r>
    </w:p>
    <w:p>
      <w:pPr>
        <w:spacing w:after="0" w:line="13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We account for derivative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3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use of derivative instruments creates exposure to credit risk relating to potential losses that could be recognized if the counterparties to these instruments fail to perform their obligations under the contracts. Our derivative agreements require that we post or receive collateral to mitigate such risk. We also attempt to minimize our risk of loss by limiting our counterparties to registered central clearing exchanges and major financial institutions with acceptable credit ratings, monitoring positions with individual counterparties and adjusting posted collateral as required.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 agreements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use interest rate swaps to economically hedge the variable cash flows associated with our borrowings made under repurchase agreements. Under our interest rate swap agreements, we typically pay a fixed rate and receive a floating rate based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9" w:name="page10"/>
    <w:bookmarkEnd w:id="9"/>
    <w:p>
      <w:pPr>
        <w:jc w:val="both"/>
        <w:spacing w:after="0" w:line="272" w:lineRule="auto"/>
        <w:rPr>
          <w:sz w:val="20"/>
          <w:szCs w:val="20"/>
          <w:color w:val="auto"/>
        </w:rPr>
      </w:pPr>
      <w:r>
        <w:rPr>
          <w:rFonts w:ascii="Arial" w:cs="Arial" w:eastAsia="Arial" w:hAnsi="Arial"/>
          <w:sz w:val="17"/>
          <w:szCs w:val="17"/>
          <w:color w:val="auto"/>
        </w:rPr>
        <w:t>on one or three-month LIBOR ("payer swaps") with terms up to 20 years. The majority of our interest rate swaps are centrally cleared through a registered commodities exchange. We value centrally cleared interest rate swaps using the daily settlement price, or fair value, determined by the clearing exchange based on a pricing model that references observable market inputs, including LIBOR, swap rates and the forward yield curve. Our centrally cleared swaps require that we post an "initial margin" amount determined by the clearing exchange, which is generally intended to be set at a level sufficient to protect the exchange from the interest rate swap's maximum estimated single-day price movement.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value non-centrally cleared swaps using a combination of third-party valuations obtained from pricing services and the swap counterparty. The third-party valuations are model-driven using observable inputs, including LIBOR, swap rates and the forward yield curve. We also consider both our own and our counterparties' nonperformance risk in estimating the fair value of our interest rate swaps. In considering the effect of nonperformance risk, we assess the impact of netting and credit enhancements, such as collateral postings and guarantees, and have concluded that our own and our counterparty risk is not significant to the overall valuation of these agreements.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swaptions</w:t>
      </w:r>
    </w:p>
    <w:p>
      <w:pPr>
        <w:spacing w:after="0" w:line="17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premium paid for interest rate swaptions is reported as an asset in our consolidated balance sheets. We estimate the fair value of interest rate swaptions using a combination of inputs from counterparty and third-party pricing models based on the fair value of the future interest rate swap that we have the option to enter into as well as the remaining length of time that we have to exercise the option, adjusted for non-performance risk, if any.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and the premium paid.</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securities</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3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 We estimate the fair value of TBA securities based on similar methods used to value our Agency RMBS securities.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U.S. Treasury securities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use U.S. Treasury securities and U.S. Treasury futures contracts to mitigate the potential impact of changes in interest rates on the performance of our portfolio. We borrow U.S. Treasury securities under reverse repurchase agreements to cover short sales of U.S. Treasury securities. We account for these as securities borrowing transactions and recognize an obligation to return the borrowed securities at fair value on our accompanying consolidated balance sheets based on the value of the underlying U.S. Treasury security as of the reporting date. Gains and losses associated with U.S. Treasury securities and U.S. Treasury futures contracts are recognized in gain (loss) on derivative instruments and other securities, net in our consolidated statements of comprehensive income.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We evaluate the existence of any pending or threatened litigation or other potential claims against the Company in accordance with ASC Topic 450,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which requires that we assess the likelihood and range of potential outcomes of any such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10" w:name="page11"/>
    <w:bookmarkEnd w:id="10"/>
    <w:p>
      <w:pPr>
        <w:jc w:val="both"/>
        <w:spacing w:after="0" w:line="279" w:lineRule="auto"/>
        <w:rPr>
          <w:sz w:val="20"/>
          <w:szCs w:val="20"/>
          <w:color w:val="auto"/>
        </w:rPr>
      </w:pPr>
      <w:r>
        <w:rPr>
          <w:rFonts w:ascii="Arial" w:cs="Arial" w:eastAsia="Arial" w:hAnsi="Arial"/>
          <w:sz w:val="17"/>
          <w:szCs w:val="17"/>
          <w:color w:val="auto"/>
        </w:rPr>
        <w:t>matters. We are the defendant in three stockholder derivative lawsuits alleging that certain of our current and former directors and officers breached fiduciary duties and wasted corporate assets relating to past renewals of the management agreement with our former external manager and the internalization of our management on July 1, 2016. Although the outcomes of these cases cannot be predicted with certainty, we do not believe that these cases have merit or will result in a material liability, and, as of March 31, 2019, we did not accrue a loss contingency related to these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consider the applicability and impact of all Accounting Standards Updates ("ASUs") issued by the Financial Accounting Standards Board. ASUs not listed below were determined to be either not applicable, are not expected to have a significant impact on our consolidated financial statements when adopted or did not have a significant impact on our consolidated financial statements upon adoption.</w:t>
      </w:r>
    </w:p>
    <w:p>
      <w:pPr>
        <w:spacing w:after="0" w:line="12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 xml:space="preserve">ASU 2016-13, Financial Instruments - Credit Losses (Topic 326): </w:t>
      </w:r>
      <w:r>
        <w:rPr>
          <w:rFonts w:ascii="Arial" w:cs="Arial" w:eastAsia="Arial" w:hAnsi="Arial"/>
          <w:sz w:val="17"/>
          <w:szCs w:val="17"/>
          <w:color w:val="auto"/>
        </w:rPr>
        <w:t>ASU 2016-13 changes the impairment model for most financial assets and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other instruments. Allowances for credit losses on available-for-sale debt securities will be recognized, rather than direct reductions in the amortized cost of the investments. The new model also requires the estimation of lifetime expected credit losses and corresponding recognition of allowance for losses on trade and other receivables, held-to-maturity debt securities, loans, and other instruments held at amortized cost. The ASU requires certain recurring disclosures and is effective for annual periods, and interim periods within those annual periods, beginning on or after December 15, 2019, with early adoption permitted for annual periods, and interim periods within those annual periods, beginning on or after December 15, 2018. ASU 2016-13 is not expected to have a significant impact on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Securities</w:t>
      </w:r>
    </w:p>
    <w:p>
      <w:pPr>
        <w:spacing w:after="0" w:line="17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of March 31, 2019 and December 31, 2018, our investment portfolio consisted of $95.3 billion and $84.3 billion of investment securities, at fair value, respectively, and $7.0 billion and $7.3 billion of TBA securities, at fair value, respectively. Our TBA position is reported at its net carrying value of $70 million and $70 million as of March 31, 2019 and December 31, 2018, respectively, in derivative assets / (liabilities) on our accompanying consolidated balance sheets. The net carrying value of our TBA position represents the difference between the fair value of the underlying Agency security in the TBA contract and the cost basis or the forward price to be paid or received for the underlying Agency security.</w:t>
      </w:r>
    </w:p>
    <w:p>
      <w:pPr>
        <w:spacing w:after="0" w:line="1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2019 and December 31, 2018, our investment securities had a net unamortized premium balance of $3.0 billion and $2.9 billion, respectively.</w:t>
      </w:r>
    </w:p>
    <w:p>
      <w:pPr>
        <w:spacing w:after="0" w:line="1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tables summarize our investment securities as of March 31, 2019 and December 31, 2018, excluding TBA securities, (dollars in millions). Details of our TBA securities as of each of the respective dates are included in Note 6.</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3"/>
                <w:szCs w:val="13"/>
                <w:color w:val="auto"/>
              </w:rPr>
            </w:pPr>
          </w:p>
        </w:tc>
        <w:tc>
          <w:tcPr>
            <w:tcW w:w="11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3"/>
                <w:szCs w:val="13"/>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20" w:type="dxa"/>
            <w:vAlign w:val="bottom"/>
            <w:gridSpan w:val="2"/>
          </w:tcPr>
          <w:p>
            <w:pPr>
              <w:ind w:left="180"/>
              <w:spacing w:after="0"/>
              <w:rPr>
                <w:sz w:val="20"/>
                <w:szCs w:val="20"/>
                <w:color w:val="auto"/>
              </w:rPr>
            </w:pPr>
            <w:r>
              <w:rPr>
                <w:rFonts w:ascii="Arial" w:cs="Arial" w:eastAsia="Arial" w:hAnsi="Arial"/>
                <w:sz w:val="14"/>
                <w:szCs w:val="14"/>
                <w:color w:val="auto"/>
              </w:rPr>
              <w:t>Fixed rate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92,374</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92,502</w:t>
            </w:r>
          </w:p>
        </w:tc>
        <w:tc>
          <w:tcPr>
            <w:tcW w:w="120" w:type="dxa"/>
            <w:vAlign w:val="bottom"/>
          </w:tcPr>
          <w:p>
            <w:pPr>
              <w:spacing w:after="0"/>
              <w:rPr>
                <w:sz w:val="22"/>
                <w:szCs w:val="22"/>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83,047</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81,753</w:t>
            </w:r>
          </w:p>
        </w:tc>
        <w:tc>
          <w:tcPr>
            <w:tcW w:w="0" w:type="dxa"/>
            <w:vAlign w:val="bottom"/>
          </w:tcPr>
          <w:p>
            <w:pPr>
              <w:spacing w:after="0"/>
              <w:rPr>
                <w:sz w:val="1"/>
                <w:szCs w:val="1"/>
                <w:color w:val="auto"/>
              </w:rPr>
            </w:pPr>
          </w:p>
        </w:tc>
      </w:tr>
      <w:tr>
        <w:trPr>
          <w:trHeight w:val="276"/>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Adjustable rate</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64"/>
        </w:trPr>
        <w:tc>
          <w:tcPr>
            <w:tcW w:w="5620" w:type="dxa"/>
            <w:vAlign w:val="bottom"/>
            <w:gridSpan w:val="2"/>
          </w:tcPr>
          <w:p>
            <w:pPr>
              <w:ind w:left="180"/>
              <w:spacing w:after="0"/>
              <w:rPr>
                <w:sz w:val="20"/>
                <w:szCs w:val="20"/>
                <w:color w:val="auto"/>
              </w:rPr>
            </w:pPr>
            <w:r>
              <w:rPr>
                <w:rFonts w:ascii="Arial" w:cs="Arial" w:eastAsia="Arial" w:hAnsi="Arial"/>
                <w:sz w:val="14"/>
                <w:szCs w:val="14"/>
                <w:color w:val="auto"/>
              </w:rPr>
              <w:t>CMO</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588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276"/>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Interest-only and principal-only strips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64"/>
        </w:trPr>
        <w:tc>
          <w:tcPr>
            <w:tcW w:w="5620" w:type="dxa"/>
            <w:vAlign w:val="bottom"/>
            <w:gridSpan w:val="2"/>
          </w:tcPr>
          <w:p>
            <w:pPr>
              <w:ind w:left="180"/>
              <w:spacing w:after="0"/>
              <w:rPr>
                <w:sz w:val="20"/>
                <w:szCs w:val="20"/>
                <w:color w:val="auto"/>
              </w:rPr>
            </w:pPr>
            <w:r>
              <w:rPr>
                <w:rFonts w:ascii="Arial" w:cs="Arial" w:eastAsia="Arial" w:hAnsi="Arial"/>
                <w:sz w:val="14"/>
                <w:szCs w:val="14"/>
                <w:color w:val="auto"/>
              </w:rPr>
              <w:t>Multifamily</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56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Agency RMBS</w:t>
            </w:r>
          </w:p>
        </w:tc>
        <w:tc>
          <w:tcPr>
            <w:tcW w:w="2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93,325</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93,469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84,019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82,727</w:t>
            </w:r>
          </w:p>
        </w:tc>
        <w:tc>
          <w:tcPr>
            <w:tcW w:w="0" w:type="dxa"/>
            <w:vAlign w:val="bottom"/>
          </w:tcPr>
          <w:p>
            <w:pPr>
              <w:spacing w:after="0"/>
              <w:rPr>
                <w:sz w:val="1"/>
                <w:szCs w:val="1"/>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color w:val="auto"/>
              </w:rPr>
              <w:t>Non-Agency RMBS</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276"/>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CMBS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CRT securities</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investment securities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95,090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95,270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85,569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84,287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Agency RMBS</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Non-Agency</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4"/>
              </w:rPr>
              <w:t>Fannie Mae</w:t>
            </w:r>
          </w:p>
        </w:tc>
        <w:tc>
          <w:tcPr>
            <w:tcW w:w="120" w:type="dxa"/>
            <w:vAlign w:val="bottom"/>
            <w:vMerge w:val="restart"/>
          </w:tcPr>
          <w:p>
            <w:pPr>
              <w:spacing w:after="0"/>
              <w:rPr>
                <w:sz w:val="13"/>
                <w:szCs w:val="13"/>
                <w:color w:val="auto"/>
              </w:rPr>
            </w:pP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b w:val="1"/>
                <w:bCs w:val="1"/>
                <w:color w:val="auto"/>
              </w:rPr>
              <w:t>Freddie Mac</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196"/>
              <w:spacing w:after="0" w:line="153" w:lineRule="exact"/>
              <w:rPr>
                <w:sz w:val="20"/>
                <w:szCs w:val="20"/>
                <w:color w:val="auto"/>
              </w:rPr>
            </w:pPr>
            <w:r>
              <w:rPr>
                <w:rFonts w:ascii="Arial" w:cs="Arial" w:eastAsia="Arial" w:hAnsi="Arial"/>
                <w:sz w:val="14"/>
                <w:szCs w:val="14"/>
                <w:b w:val="1"/>
                <w:bCs w:val="1"/>
                <w:color w:val="auto"/>
              </w:rPr>
              <w:t>Ginnie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RMBS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CMBS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CRT</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Mae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16,709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5,493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22,231</w:t>
            </w: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849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325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1,174</w:t>
            </w:r>
          </w:p>
        </w:tc>
        <w:tc>
          <w:tcPr>
            <w:tcW w:w="0" w:type="dxa"/>
            <w:vAlign w:val="bottom"/>
          </w:tcPr>
          <w:p>
            <w:pPr>
              <w:spacing w:after="0"/>
              <w:rPr>
                <w:sz w:val="1"/>
                <w:szCs w:val="1"/>
                <w:color w:val="auto"/>
              </w:rPr>
            </w:pPr>
          </w:p>
        </w:tc>
      </w:tr>
      <w:tr>
        <w:trPr>
          <w:trHeight w:val="249"/>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Amortized cost</w:t>
            </w:r>
          </w:p>
        </w:tc>
        <w:tc>
          <w:tcPr>
            <w:tcW w:w="10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17,547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5,816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23,392</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(402)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(568)</w:t>
            </w:r>
          </w:p>
        </w:tc>
        <w:tc>
          <w:tcPr>
            <w:tcW w:w="0" w:type="dxa"/>
            <w:vAlign w:val="bottom"/>
          </w:tcPr>
          <w:p>
            <w:pPr>
              <w:spacing w:after="0"/>
              <w:rPr>
                <w:sz w:val="1"/>
                <w:szCs w:val="1"/>
                <w:color w:val="auto"/>
              </w:rPr>
            </w:pPr>
          </w:p>
        </w:tc>
      </w:tr>
      <w:tr>
        <w:trPr>
          <w:trHeight w:val="257"/>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available-for-sale securities, at fair value</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17,164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5,655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22,849</w:t>
            </w:r>
          </w:p>
        </w:tc>
        <w:tc>
          <w:tcPr>
            <w:tcW w:w="0" w:type="dxa"/>
            <w:vAlign w:val="bottom"/>
          </w:tcPr>
          <w:p>
            <w:pPr>
              <w:spacing w:after="0"/>
              <w:rPr>
                <w:sz w:val="1"/>
                <w:szCs w:val="1"/>
                <w:color w:val="auto"/>
              </w:rPr>
            </w:pPr>
          </w:p>
        </w:tc>
      </w:tr>
      <w:tr>
        <w:trPr>
          <w:trHeight w:val="256"/>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Securities remeasured at fair value through earnings:</w:t>
            </w: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42,546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25,501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409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1,087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69,860</w:t>
            </w: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(174)</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1,138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2,012</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00"/>
              <w:spacing w:after="0"/>
              <w:rPr>
                <w:sz w:val="20"/>
                <w:szCs w:val="20"/>
                <w:color w:val="auto"/>
              </w:rPr>
            </w:pPr>
            <w:r>
              <w:rPr>
                <w:rFonts w:ascii="Arial" w:cs="Arial" w:eastAsia="Arial" w:hAnsi="Arial"/>
                <w:sz w:val="13"/>
                <w:szCs w:val="13"/>
                <w:color w:val="auto"/>
              </w:rPr>
              <w:t>Amortized cost</w:t>
            </w: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43,610</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26,329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306</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344</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1,109</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71,698</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999</w:t>
            </w:r>
          </w:p>
        </w:tc>
        <w:tc>
          <w:tcPr>
            <w:tcW w:w="0" w:type="dxa"/>
            <w:vAlign w:val="bottom"/>
          </w:tcPr>
          <w:p>
            <w:pPr>
              <w:spacing w:after="0"/>
              <w:rPr>
                <w:sz w:val="1"/>
                <w:szCs w:val="1"/>
                <w:color w:val="auto"/>
              </w:rPr>
            </w:pPr>
          </w:p>
        </w:tc>
      </w:tr>
      <w:tr>
        <w:trPr>
          <w:trHeight w:val="264"/>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(172)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(276)</w:t>
            </w:r>
          </w:p>
        </w:tc>
        <w:tc>
          <w:tcPr>
            <w:tcW w:w="0" w:type="dxa"/>
            <w:vAlign w:val="bottom"/>
          </w:tcPr>
          <w:p>
            <w:pPr>
              <w:spacing w:after="0"/>
              <w:rPr>
                <w:sz w:val="1"/>
                <w:szCs w:val="1"/>
                <w:color w:val="auto"/>
              </w:rPr>
            </w:pPr>
          </w:p>
        </w:tc>
      </w:tr>
      <w:tr>
        <w:trPr>
          <w:trHeight w:val="250"/>
        </w:trPr>
        <w:tc>
          <w:tcPr>
            <w:tcW w:w="42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Total securities remeasured at fair value through earnings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44,058</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26,568</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313</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353</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1,129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72,421</w:t>
            </w:r>
          </w:p>
        </w:tc>
        <w:tc>
          <w:tcPr>
            <w:tcW w:w="0" w:type="dxa"/>
            <w:vAlign w:val="bottom"/>
          </w:tcPr>
          <w:p>
            <w:pPr>
              <w:spacing w:after="0"/>
              <w:rPr>
                <w:sz w:val="1"/>
                <w:szCs w:val="1"/>
                <w:color w:val="auto"/>
              </w:rPr>
            </w:pPr>
          </w:p>
        </w:tc>
      </w:tr>
      <w:tr>
        <w:trPr>
          <w:trHeight w:val="282"/>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Total securities, at fair value</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61,222</w:t>
            </w:r>
          </w:p>
        </w:tc>
        <w:tc>
          <w:tcPr>
            <w:tcW w:w="1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32,223</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24</w:t>
            </w: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319</w:t>
            </w:r>
          </w:p>
        </w:tc>
        <w:tc>
          <w:tcPr>
            <w:tcW w:w="120" w:type="dxa"/>
            <w:vAlign w:val="bottom"/>
          </w:tcPr>
          <w:p>
            <w:pPr>
              <w:spacing w:after="0"/>
              <w:rPr>
                <w:sz w:val="24"/>
                <w:szCs w:val="2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353</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1,129</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95,270</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Weighted average coupon as of March 31, 2019</w:t>
            </w: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254"/>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 xml:space="preserve">Weighted average yield as of March 31, 2019 </w:t>
            </w:r>
            <w:r>
              <w:rPr>
                <w:rFonts w:ascii="Arial" w:cs="Arial" w:eastAsia="Arial" w:hAnsi="Arial"/>
                <w:sz w:val="8"/>
                <w:szCs w:val="8"/>
                <w:color w:val="auto"/>
              </w:rPr>
              <w:t>1</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4.61%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4.75%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3.29%</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10.5% based on forward rates as of March 31, 2019.</w:t>
      </w: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0"/>
              </w:rPr>
              <w:t>December 31, 2018</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Agency RMBS</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5"/>
          </w:tcPr>
          <w:p>
            <w:pPr>
              <w:jc w:val="right"/>
              <w:ind w:right="516"/>
              <w:spacing w:after="0"/>
              <w:rPr>
                <w:sz w:val="20"/>
                <w:szCs w:val="20"/>
                <w:color w:val="auto"/>
              </w:rPr>
            </w:pPr>
            <w:r>
              <w:rPr>
                <w:rFonts w:ascii="Arial" w:cs="Arial" w:eastAsia="Arial" w:hAnsi="Arial"/>
                <w:sz w:val="14"/>
                <w:szCs w:val="14"/>
                <w:b w:val="1"/>
                <w:bCs w:val="1"/>
                <w:color w:val="auto"/>
              </w:rPr>
              <w:t>Non-Agency</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Fannie</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b w:val="1"/>
                <w:bCs w:val="1"/>
                <w:color w:val="auto"/>
              </w:rPr>
              <w:t>Freddie Mac</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Ginnie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RMBS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CMBS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CRT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Mae</w:t>
            </w:r>
          </w:p>
        </w:tc>
        <w:tc>
          <w:tcPr>
            <w:tcW w:w="100" w:type="dxa"/>
            <w:vAlign w:val="bottom"/>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Mae</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Available-for-sale securities: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Par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17,591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5,673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23,295</w:t>
            </w: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912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343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1,255</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Amortized cost</w:t>
            </w:r>
          </w:p>
        </w:tc>
        <w:tc>
          <w:tcPr>
            <w:tcW w:w="1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18,493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6,014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24,538</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(686)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(264)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(950)</w:t>
            </w:r>
          </w:p>
        </w:tc>
        <w:tc>
          <w:tcPr>
            <w:tcW w:w="0" w:type="dxa"/>
            <w:vAlign w:val="bottom"/>
          </w:tcPr>
          <w:p>
            <w:pPr>
              <w:spacing w:after="0"/>
              <w:rPr>
                <w:sz w:val="1"/>
                <w:szCs w:val="1"/>
                <w:color w:val="auto"/>
              </w:rPr>
            </w:pPr>
          </w:p>
        </w:tc>
      </w:tr>
      <w:tr>
        <w:trPr>
          <w:trHeight w:val="257"/>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available-for-sale securities, at fair value</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17,811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5,752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26</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23,595</w:t>
            </w:r>
          </w:p>
        </w:tc>
        <w:tc>
          <w:tcPr>
            <w:tcW w:w="0" w:type="dxa"/>
            <w:vAlign w:val="bottom"/>
          </w:tcPr>
          <w:p>
            <w:pPr>
              <w:spacing w:after="0"/>
              <w:rPr>
                <w:sz w:val="1"/>
                <w:szCs w:val="1"/>
                <w:color w:val="auto"/>
              </w:rPr>
            </w:pPr>
          </w:p>
        </w:tc>
      </w:tr>
      <w:tr>
        <w:trPr>
          <w:trHeight w:val="256"/>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Securities remeasured at fair value through earnings:</w:t>
            </w: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Par value</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39,453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18,428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268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59,398</w:t>
            </w:r>
          </w:p>
        </w:tc>
        <w:tc>
          <w:tcPr>
            <w:tcW w:w="0" w:type="dxa"/>
            <w:vAlign w:val="bottom"/>
          </w:tcPr>
          <w:p>
            <w:pPr>
              <w:spacing w:after="0"/>
              <w:rPr>
                <w:sz w:val="1"/>
                <w:szCs w:val="1"/>
                <w:color w:val="auto"/>
              </w:rPr>
            </w:pPr>
          </w:p>
        </w:tc>
      </w:tr>
      <w:tr>
        <w:trPr>
          <w:trHeight w:val="262"/>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Unamortized discount</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Unamortized premium</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1,055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638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1,736</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Amortized cost</w:t>
            </w: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40,430</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19,057</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258</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280</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1,006</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61,031</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Gross unrealized gains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303</w:t>
            </w:r>
          </w:p>
        </w:tc>
        <w:tc>
          <w:tcPr>
            <w:tcW w:w="0" w:type="dxa"/>
            <w:vAlign w:val="bottom"/>
          </w:tcPr>
          <w:p>
            <w:pPr>
              <w:spacing w:after="0"/>
              <w:rPr>
                <w:sz w:val="1"/>
                <w:szCs w:val="1"/>
                <w:color w:val="auto"/>
              </w:rPr>
            </w:pPr>
          </w:p>
        </w:tc>
      </w:tr>
      <w:tr>
        <w:trPr>
          <w:trHeight w:val="264"/>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Gross unrealized losses</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(386)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(642)</w:t>
            </w:r>
          </w:p>
        </w:tc>
        <w:tc>
          <w:tcPr>
            <w:tcW w:w="0" w:type="dxa"/>
            <w:vAlign w:val="bottom"/>
          </w:tcPr>
          <w:p>
            <w:pPr>
              <w:spacing w:after="0"/>
              <w:rPr>
                <w:sz w:val="1"/>
                <w:szCs w:val="1"/>
                <w:color w:val="auto"/>
              </w:rPr>
            </w:pPr>
          </w:p>
        </w:tc>
      </w:tr>
      <w:tr>
        <w:trPr>
          <w:trHeight w:val="250"/>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securities remeasured at fair value through earnings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40,267</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18,871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260</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282</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1,012</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60,692</w:t>
            </w:r>
          </w:p>
        </w:tc>
        <w:tc>
          <w:tcPr>
            <w:tcW w:w="0" w:type="dxa"/>
            <w:vAlign w:val="bottom"/>
          </w:tcPr>
          <w:p>
            <w:pPr>
              <w:spacing w:after="0"/>
              <w:rPr>
                <w:sz w:val="1"/>
                <w:szCs w:val="1"/>
                <w:color w:val="auto"/>
              </w:rPr>
            </w:pPr>
          </w:p>
        </w:tc>
      </w:tr>
      <w:tr>
        <w:trPr>
          <w:trHeight w:val="282"/>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Total securities, at fair value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58,078</w:t>
            </w:r>
          </w:p>
        </w:tc>
        <w:tc>
          <w:tcPr>
            <w:tcW w:w="1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24,623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26</w:t>
            </w:r>
          </w:p>
        </w:tc>
        <w:tc>
          <w:tcPr>
            <w:tcW w:w="3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266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282</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1,012</w:t>
            </w:r>
          </w:p>
        </w:tc>
        <w:tc>
          <w:tcPr>
            <w:tcW w:w="120" w:type="dxa"/>
            <w:vAlign w:val="bottom"/>
          </w:tcPr>
          <w:p>
            <w:pPr>
              <w:spacing w:after="0"/>
              <w:rPr>
                <w:sz w:val="24"/>
                <w:szCs w:val="2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84,287</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coupon as of December 31, 2018</w:t>
            </w: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3.37%</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3.86%</w:t>
            </w:r>
          </w:p>
        </w:tc>
        <w:tc>
          <w:tcPr>
            <w:tcW w:w="0" w:type="dxa"/>
            <w:vAlign w:val="bottom"/>
          </w:tcPr>
          <w:p>
            <w:pPr>
              <w:spacing w:after="0"/>
              <w:rPr>
                <w:sz w:val="1"/>
                <w:szCs w:val="1"/>
                <w:color w:val="auto"/>
              </w:rPr>
            </w:pPr>
          </w:p>
        </w:tc>
      </w:tr>
      <w:tr>
        <w:trPr>
          <w:trHeight w:val="254"/>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 xml:space="preserve">Weighted average yield as of December 31, 2018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7.9% based on forward rates as of December 31, 2018.</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887" w:right="259" w:bottom="1440" w:gutter="0" w:footer="0" w:header="0"/>
        </w:sectPr>
      </w:pPr>
    </w:p>
    <w:bookmarkStart w:id="12" w:name="page13"/>
    <w:bookmarkEnd w:id="12"/>
    <w:p>
      <w:pPr>
        <w:ind w:left="440"/>
        <w:spacing w:after="0"/>
        <w:rPr>
          <w:sz w:val="20"/>
          <w:szCs w:val="20"/>
          <w:color w:val="auto"/>
        </w:rPr>
      </w:pPr>
      <w:r>
        <w:rPr>
          <w:rFonts w:ascii="Arial" w:cs="Arial" w:eastAsia="Arial" w:hAnsi="Arial"/>
          <w:sz w:val="18"/>
          <w:szCs w:val="18"/>
          <w:color w:val="auto"/>
        </w:rPr>
        <w:t>As of March 31, 2019 and December 31, 2018, our investments in CRT and non-Agency securities had the following credit ratings: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31, 2019</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December 31, 2018</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CMBS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CMBS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AAA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AA</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BBB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BB</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 Rated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1,129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1,012</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0"/>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20" w:hanging="328"/>
        <w:spacing w:after="0" w:line="255"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Fitch, DBRS, Kroll Bond Rating Agency ("KBRA") and Morningstar credit ratings, stated in terms of the S&amp;P equivalent rating as of each date.</w:t>
      </w:r>
    </w:p>
    <w:p>
      <w:pPr>
        <w:spacing w:after="0" w:line="13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CRT securities reference the performance of loans underlying Agency RMBS issued by Fannie Mae or Freddie Mac, which were subject to their underwriting standards. As of March 31, 2019, our CRT securities had floating and fixed rate coupons ranging from 3.0% to 8.8%, referenced to loans originated between 2011 and 2018 with weighted average coupons ranging from 3.7% to 4.9%. As of December 31, 2018, our CRT securities had floating rate coupons ranging from 3.9% to 9.5%, referenced to loans originated between 2011 and 2018 with weighted average coupons ranging from 3.8% to 4.8%.</w:t>
      </w:r>
    </w:p>
    <w:p>
      <w:pPr>
        <w:spacing w:after="0" w:line="100"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March 31, 2019 and December 31, 2018, the weighted average expected constant prepayment rate ("CPR") over the remaining life of our Agency and high credit quality non-Agency RMBS investment portfolio was 10.5% and 7.9%, respectively. Our estimates can differ materially for different securities and thus our individual holdings have a wide range of projected CPRs. The following table summarizes our investments as of March 31, 2019 and December 31, 2018 according to their estimated weighted average life classification (dollars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March 31, 2019</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December 31, 2018</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Estimated Weighted Average Life of</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1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Coupon</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25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1 year and ≤ 3 years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2,461</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3.94%</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2.83%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3.99%</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2.64%</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&gt; 3 years and ≤ 5 years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18,438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18,225</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3.85%</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3.35%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5,518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5,586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3.35%</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2.73%</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5 years and ≤10 years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74,329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74,354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3.89%</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3.29%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72,503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73,588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3.92%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3.37%</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&gt; 10 years</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3.78%</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4.12%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4,576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4,679</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3.57%</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3.30%</w:t>
            </w:r>
          </w:p>
        </w:tc>
        <w:tc>
          <w:tcPr>
            <w:tcW w:w="0" w:type="dxa"/>
            <w:vAlign w:val="bottom"/>
          </w:tcPr>
          <w:p>
            <w:pPr>
              <w:spacing w:after="0"/>
              <w:rPr>
                <w:sz w:val="1"/>
                <w:szCs w:val="1"/>
                <w:color w:val="auto"/>
              </w:rPr>
            </w:pPr>
          </w:p>
        </w:tc>
      </w:tr>
      <w:tr>
        <w:trPr>
          <w:trHeight w:val="243"/>
        </w:trPr>
        <w:tc>
          <w:tcPr>
            <w:tcW w:w="28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95,270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95,090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85,569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3.31%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gross unrealized loss and fair values of securities classified as available-for-sale by length of time that such securities have been in a continuous unrealized loss position as of March 31, 2019 and December 31, 2018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Unrealized Loss Position For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Securities Classified as Available-for-Sale</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1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3"/>
                <w:szCs w:val="13"/>
                <w:color w:val="auto"/>
              </w:rPr>
            </w:pPr>
          </w:p>
        </w:tc>
        <w:tc>
          <w:tcPr>
            <w:tcW w:w="78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31, 2019</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20,227</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258"/>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December 31, 2018</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4,783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18,231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(878)</w:t>
            </w:r>
          </w:p>
        </w:tc>
        <w:tc>
          <w:tcPr>
            <w:tcW w:w="12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23,014</w:t>
            </w:r>
          </w:p>
        </w:tc>
        <w:tc>
          <w:tcPr>
            <w:tcW w:w="3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did not recognize OTTI charges on our investment securities during the periods presented on our consolidated statements of operations. As of the end of each respective reporting period, a decision had not been made to sell securities in an unrealized loss position and we did not believe it was more likely than not that we would be required to sell such securities before recovery of their amortized cost basis. The unrealized losses on our securities were not due to credit losses given the GSE or U.S. Government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t>agency guarantees, but rather were due to changes in interest rates and prepayment expectations. However, as we continue to actively manage our portfolio, we may recognize additional realized losses on our investment securities upon selecting specific securities to sell.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Sale of Investment Securities</w:t>
      </w:r>
    </w:p>
    <w:p>
      <w:pPr>
        <w:spacing w:after="0" w:line="17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 is a summary of our net gain (loss) from the sale of investment securities for the three months ended March 31, 2019 and 2018 by investment classification of accounting (in millions):</w:t>
      </w:r>
    </w:p>
    <w:p>
      <w:pPr>
        <w:spacing w:after="0" w:line="176"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8"/>
              </w:rPr>
              <w:t>Three Months Ended March 31,</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4"/>
        </w:trPr>
        <w:tc>
          <w:tcPr>
            <w:tcW w:w="3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r>
      <w:tr>
        <w:trPr>
          <w:trHeight w:val="143"/>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89"/>
              </w:rPr>
              <w:t>Available-for-</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5"/>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Sale</w:t>
            </w:r>
          </w:p>
        </w:tc>
        <w:tc>
          <w:tcPr>
            <w:tcW w:w="11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Fair Value Option</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Available-for-Sale</w:t>
            </w:r>
          </w:p>
        </w:tc>
        <w:tc>
          <w:tcPr>
            <w:tcW w:w="11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Fair Value Option</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4"/>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Investment Securities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8"/>
              </w:rPr>
              <w:t xml:space="preserve">Securities </w:t>
            </w:r>
            <w:r>
              <w:rPr>
                <w:rFonts w:ascii="Arial" w:cs="Arial" w:eastAsia="Arial" w:hAnsi="Arial"/>
                <w:sz w:val="8"/>
                <w:szCs w:val="8"/>
                <w:b w:val="1"/>
                <w:bCs w:val="1"/>
                <w:color w:val="auto"/>
                <w:w w:val="88"/>
              </w:rPr>
              <w:t>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w w:val="93"/>
              </w:rPr>
              <w:t>Securities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w w:val="91"/>
              </w:rPr>
              <w:t xml:space="preserve">Securities </w:t>
            </w:r>
            <w:r>
              <w:rPr>
                <w:rFonts w:ascii="Arial" w:cs="Arial" w:eastAsia="Arial" w:hAnsi="Arial"/>
                <w:sz w:val="8"/>
                <w:szCs w:val="8"/>
                <w:b w:val="1"/>
                <w:bCs w:val="1"/>
                <w:color w:val="auto"/>
                <w:w w:val="91"/>
              </w:rPr>
              <w:t>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w w:val="93"/>
              </w:rPr>
              <w:t>Securities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Total</w:t>
            </w:r>
          </w:p>
        </w:tc>
      </w:tr>
      <w:tr>
        <w:trPr>
          <w:trHeight w:val="251"/>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Investment securities sold, at cost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(4,562)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(4,901)</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(1,003)</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(1,390)</w:t>
            </w:r>
          </w:p>
        </w:tc>
      </w:tr>
      <w:tr>
        <w:trPr>
          <w:trHeight w:val="27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Proceeds from investment securities sold </w:t>
            </w:r>
            <w:r>
              <w:rPr>
                <w:rFonts w:ascii="Arial" w:cs="Arial" w:eastAsia="Arial" w:hAnsi="Arial"/>
                <w:sz w:val="8"/>
                <w:szCs w:val="8"/>
                <w:color w:val="auto"/>
              </w:rPr>
              <w:t>1</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4,626</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4,961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1,388</w:t>
            </w:r>
          </w:p>
        </w:tc>
      </w:tr>
      <w:tr>
        <w:trPr>
          <w:trHeight w:val="283"/>
        </w:trPr>
        <w:tc>
          <w:tcPr>
            <w:tcW w:w="3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64</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64"/>
        </w:trPr>
        <w:tc>
          <w:tcPr>
            <w:tcW w:w="3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64"/>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Gross gain on sale of investment securities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10</w:t>
            </w:r>
          </w:p>
        </w:tc>
      </w:tr>
      <w:tr>
        <w:trPr>
          <w:trHeight w:val="27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loss on sale of investment securities</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44"/>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0</wp:posOffset>
            </wp:positionV>
            <wp:extent cx="416814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68140" cy="2603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investment securities sold during the period as of period end.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See Note 10 for a summary of changes in accumulated OCI.</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March 31, 2019 and December 31, 2018, our consolidated financial statements reflect the consolidation of certain variable interest entities ("VIEs") for which we have determined we are the primary beneficiary. The consolidated VIEs consist of CMO trusts backed by fixed or adjustable-rate Agency RMBS.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the CMO trusts is the fair value of the CMO securities and interest and principal-only securities held by us, less principal amounts guaranteed by Fannie Mae and Freddie Mac.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Repurchase Agreements and Other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pledge our securities as collateral under our borrowings structured as repurchase agreements with financial institutions. Interest rates on our borrowings are generally based on LIBOR plus or minus a margin and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March 31, 2019, we had met all margin call requirements. For additional information regarding our pledged assets, please refer to Note 7.</w:t>
      </w:r>
    </w:p>
    <w:p>
      <w:pPr>
        <w:spacing w:after="0" w:line="13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March 31, 2019 and December 31, 2018, we had $86.7 billion and $75.7 billion, respectively, of repurchase agreements outstanding used to fund our investment portfolio and temporary holdings of U.S. Treasury securities. The terms and conditions of our repurchase agreements are typically negotiated on a transaction-by-transaction basis. Our repurchase agreements with original maturities greater than one year have floating interest rates based on an index plus or minus a fixed spread. The following table summarizes our borrowings under repurchase agreements by their remaining maturities as of March 31, 2019 and December 31, 2018 (dollars in millions):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4" w:name="page15"/>
    <w:bookmarkEnd w:id="14"/>
    <w:tbl>
      <w:tblPr>
        <w:tblLayout w:type="fixed"/>
        <w:tblInd w:w="6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6"/>
              </w:rPr>
              <w:t>March 31, 2019</w:t>
            </w:r>
          </w:p>
        </w:tc>
        <w:tc>
          <w:tcPr>
            <w:tcW w:w="12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2018</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6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Remaining Maturity</w:t>
            </w:r>
          </w:p>
        </w:tc>
        <w:tc>
          <w:tcPr>
            <w:tcW w:w="46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160"/>
              <w:spacing w:after="0"/>
              <w:rPr>
                <w:sz w:val="20"/>
                <w:szCs w:val="20"/>
                <w:color w:val="auto"/>
              </w:rPr>
            </w:pPr>
            <w:r>
              <w:rPr>
                <w:rFonts w:ascii="Arial" w:cs="Arial" w:eastAsia="Arial" w:hAnsi="Arial"/>
                <w:sz w:val="16"/>
                <w:szCs w:val="16"/>
                <w:color w:val="auto"/>
              </w:rPr>
              <w:t>≤ 1 month</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44,624</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48,533</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&gt; 1 to ≤ 3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26,690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20,991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60"/>
              <w:spacing w:after="0"/>
              <w:rPr>
                <w:sz w:val="20"/>
                <w:szCs w:val="20"/>
                <w:color w:val="auto"/>
              </w:rPr>
            </w:pPr>
            <w:r>
              <w:rPr>
                <w:rFonts w:ascii="Arial" w:cs="Arial" w:eastAsia="Arial" w:hAnsi="Arial"/>
                <w:sz w:val="16"/>
                <w:szCs w:val="16"/>
                <w:color w:val="auto"/>
              </w:rPr>
              <w:t>&gt; 3 to ≤ 6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2,181</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125</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2,218</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&gt; 6 to ≤ 9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204</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60"/>
              <w:spacing w:after="0"/>
              <w:rPr>
                <w:sz w:val="20"/>
                <w:szCs w:val="20"/>
                <w:color w:val="auto"/>
              </w:rPr>
            </w:pPr>
            <w:r>
              <w:rPr>
                <w:rFonts w:ascii="Arial" w:cs="Arial" w:eastAsia="Arial" w:hAnsi="Arial"/>
                <w:sz w:val="16"/>
                <w:szCs w:val="16"/>
                <w:color w:val="auto"/>
              </w:rPr>
              <w:t>&gt; 9 to ≤ 12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7,554</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288</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&gt; 12 to ≤ 24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516</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60"/>
              <w:spacing w:after="0"/>
              <w:rPr>
                <w:sz w:val="20"/>
                <w:szCs w:val="20"/>
                <w:color w:val="auto"/>
              </w:rPr>
            </w:pPr>
            <w:r>
              <w:rPr>
                <w:rFonts w:ascii="Arial" w:cs="Arial" w:eastAsia="Arial" w:hAnsi="Arial"/>
                <w:sz w:val="16"/>
                <w:szCs w:val="16"/>
                <w:color w:val="auto"/>
              </w:rPr>
              <w:t>&gt; 24 to ≤ 36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1,044</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86,324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81</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75,717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1"/>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U.S. Treasury repo:</w:t>
            </w: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&gt; 1 day to ≤ 1 month</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86,685</w:t>
            </w:r>
          </w:p>
        </w:tc>
        <w:tc>
          <w:tcPr>
            <w:tcW w:w="12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81</w:t>
            </w:r>
          </w:p>
        </w:tc>
        <w:tc>
          <w:tcPr>
            <w:tcW w:w="4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75,717</w:t>
            </w:r>
          </w:p>
        </w:tc>
        <w:tc>
          <w:tcPr>
            <w:tcW w:w="10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As of March 31, 2019 and December 31, 2018, $18.7 billion and $19.5 billion, respectively, of our repurchase agreements had a remaining maturity of one business day and none of our repurchase agreements were due on demand. As of March 31, 2019, we had $10.7 billion of forward commitments to enter into repurchase agreements, with a weighted average forward start date of 85 days and a weighted average interest rate of 2.55%. As of December 31, 2018 we had $10.7 billion of forward commitments to enter into repurchase agreements, with a weighted average forward start date of 9 days and a weighted average interest rate of 2.90%. As of March 31, 2019 and December 31, 2018, 41% and 35%,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40% and 33% of our repurchase agreement funding outstanding as of March 31, 2019 and December 31, 2018,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March 31, 2019 and December 31, 2018, we had $20.4 billion and $21.8 billion, respectively, of reverse repurchase agreements outstanding used primarily to borrow securities to cover short sales of U.S. Treasury securities, for which we had associated obligations to return borrowed securities at fair value of $19.3 billion and $21.4 billion, respectively. As of March 31, 2019 and December 31, 2018, $5.6 billion and $4.5 billion, respectively, of our reverse repurchase agreements were with the FICC sourced through BES.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Debt</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31, 2019 and December 31, 2018, we had debt of consolidated VIEs, at fair value, of $266 million and $275 million, respectively, which had a weighted average interest rate of LIBOR plus 41 and 40 basis points, respectively, and an estimated weighted average life of 5.9 years and 6.1 years,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and Other Hedging Instruments</w:t>
      </w:r>
    </w:p>
    <w:p>
      <w:pPr>
        <w:spacing w:after="0" w:line="17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hedge a portion of our interest rate risk primarily utilizing interest rate swaps, interest rate swaptions, U.S. Treasury securities and U.S. Treasury futures contracts. We utilize TBA securities primarily as a means of investing in the Agency securities market. For additional information regarding our derivative instruments and our overall risk management strategy, please refer to the discussion of derivative and other hedging instruments in Note 3.</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96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Derivative and Other Hedging Instrument Assets (Liabilities), at Fair Value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table below summarizes fair value information about our derivative and other hedging instrument assets/(liabilities) as of March 31,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tcPr>
          <w:p>
            <w:pPr>
              <w:spacing w:after="0"/>
              <w:rPr>
                <w:sz w:val="16"/>
                <w:szCs w:val="16"/>
                <w:color w:val="auto"/>
              </w:rPr>
            </w:pPr>
          </w:p>
        </w:tc>
        <w:tc>
          <w:tcPr>
            <w:tcW w:w="422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4"/>
              </w:rPr>
              <w:t>March 31, 2019</w:t>
            </w:r>
          </w:p>
        </w:tc>
        <w:tc>
          <w:tcPr>
            <w:tcW w:w="120" w:type="dxa"/>
            <w:vAlign w:val="bottom"/>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2018</w:t>
            </w:r>
          </w:p>
        </w:tc>
      </w:tr>
      <w:tr>
        <w:trPr>
          <w:trHeight w:val="223"/>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126</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Swaptions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TBA securities</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110</w:t>
            </w:r>
          </w:p>
        </w:tc>
      </w:tr>
      <w:tr>
        <w:trPr>
          <w:trHeight w:val="33"/>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derivative assets, at fair value</w:t>
            </w:r>
          </w:p>
        </w:tc>
        <w:tc>
          <w:tcPr>
            <w:tcW w:w="4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84"/>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TBA securities</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 short</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84"/>
        </w:trPr>
        <w:tc>
          <w:tcPr>
            <w:tcW w:w="44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 derivative liabilities, at fair value</w:t>
            </w:r>
          </w:p>
        </w:tc>
        <w:tc>
          <w:tcPr>
            <w:tcW w:w="4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w:t>
            </w:r>
          </w:p>
        </w:tc>
      </w:tr>
      <w:tr>
        <w:trPr>
          <w:trHeight w:val="284"/>
        </w:trPr>
        <w:tc>
          <w:tcPr>
            <w:tcW w:w="4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long</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at fair value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4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Obligation to return securities borrowed under reverse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9"/>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short</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repurchase agreements, at fair value</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(19,275)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(21,431)</w:t>
            </w:r>
          </w:p>
        </w:tc>
      </w:tr>
      <w:tr>
        <w:trPr>
          <w:trHeight w:val="244"/>
        </w:trPr>
        <w:tc>
          <w:tcPr>
            <w:tcW w:w="4480" w:type="dxa"/>
            <w:vAlign w:val="bottom"/>
            <w:gridSpan w:val="2"/>
          </w:tcPr>
          <w:p>
            <w:pPr>
              <w:ind w:left="200"/>
              <w:spacing w:after="0"/>
              <w:rPr>
                <w:sz w:val="20"/>
                <w:szCs w:val="20"/>
                <w:color w:val="auto"/>
              </w:rPr>
            </w:pPr>
            <w:r>
              <w:rPr>
                <w:rFonts w:ascii="Arial" w:cs="Arial" w:eastAsia="Arial" w:hAnsi="Arial"/>
                <w:sz w:val="16"/>
                <w:szCs w:val="16"/>
                <w:color w:val="auto"/>
              </w:rPr>
              <w:t>Total U.S. Treasury securities, net at fair value</w:t>
            </w:r>
          </w:p>
        </w:tc>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(19,154)</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(21,385)</w:t>
            </w: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summarize certain characteristics of our derivative and other hedging instruments outstanding as of March 31, 2019 and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2018 (dollars in millions):</w:t>
      </w:r>
    </w:p>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March 31, 2019</w:t>
            </w:r>
          </w:p>
        </w:tc>
        <w:tc>
          <w:tcPr>
            <w:tcW w:w="10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December 31, 2018</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Interest Rate Swaps</w:t>
            </w:r>
          </w:p>
        </w:tc>
        <w:tc>
          <w:tcPr>
            <w:tcW w:w="2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Fixed Pay</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Receive</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Fixed Pay</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Receive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0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Rate </w:t>
            </w:r>
            <w:r>
              <w:rPr>
                <w:rFonts w:ascii="Arial" w:cs="Arial" w:eastAsia="Arial" w:hAnsi="Arial"/>
                <w:sz w:val="8"/>
                <w:szCs w:val="8"/>
                <w:b w:val="1"/>
                <w:bCs w:val="1"/>
                <w:color w:val="auto"/>
                <w:w w:val="92"/>
              </w:rPr>
              <w:t>2</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7"/>
              </w:rPr>
              <w:t xml:space="preserve">Amount </w:t>
            </w:r>
            <w:r>
              <w:rPr>
                <w:rFonts w:ascii="Arial" w:cs="Arial" w:eastAsia="Arial" w:hAnsi="Arial"/>
                <w:sz w:val="8"/>
                <w:szCs w:val="8"/>
                <w:b w:val="1"/>
                <w:bCs w:val="1"/>
                <w:color w:val="auto"/>
                <w:w w:val="97"/>
              </w:rPr>
              <w:t>1</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Rate </w:t>
            </w:r>
            <w:r>
              <w:rPr>
                <w:rFonts w:ascii="Arial" w:cs="Arial" w:eastAsia="Arial" w:hAnsi="Arial"/>
                <w:sz w:val="8"/>
                <w:szCs w:val="8"/>
                <w:b w:val="1"/>
                <w:bCs w:val="1"/>
                <w:color w:val="auto"/>
                <w:w w:val="98"/>
              </w:rPr>
              <w:t>2</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36"/>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20,900</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1.71%</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2.69%</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19,900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2.62%</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w:t>
            </w:r>
          </w:p>
        </w:tc>
        <w:tc>
          <w:tcPr>
            <w:tcW w:w="0" w:type="dxa"/>
            <w:vAlign w:val="bottom"/>
          </w:tcPr>
          <w:p>
            <w:pPr>
              <w:spacing w:after="0"/>
              <w:rPr>
                <w:sz w:val="1"/>
                <w:szCs w:val="1"/>
                <w:color w:val="auto"/>
              </w:rPr>
            </w:pPr>
          </w:p>
        </w:tc>
      </w:tr>
      <w:tr>
        <w:trPr>
          <w:trHeight w:val="237"/>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8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9,425</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8"/>
              </w:rPr>
              <w:t>2.11%</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2.69%</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3.7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8,425</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2.06%</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2.61%</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4.0</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6,225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7,875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6.1</w:t>
            </w:r>
          </w:p>
        </w:tc>
        <w:tc>
          <w:tcPr>
            <w:tcW w:w="0" w:type="dxa"/>
            <w:vAlign w:val="bottom"/>
          </w:tcPr>
          <w:p>
            <w:pPr>
              <w:spacing w:after="0"/>
              <w:rPr>
                <w:sz w:val="1"/>
                <w:szCs w:val="1"/>
                <w:color w:val="auto"/>
              </w:rPr>
            </w:pPr>
          </w:p>
        </w:tc>
      </w:tr>
      <w:tr>
        <w:trPr>
          <w:trHeight w:val="237"/>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8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9,700</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2.30%</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2.68%</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10,550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2.36%</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2.64%</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8.8</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1,925</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2.30%</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2.69%</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13.2</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4,875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11.6</w:t>
            </w:r>
          </w:p>
        </w:tc>
        <w:tc>
          <w:tcPr>
            <w:tcW w:w="0" w:type="dxa"/>
            <w:vAlign w:val="bottom"/>
          </w:tcPr>
          <w:p>
            <w:pPr>
              <w:spacing w:after="0"/>
              <w:rPr>
                <w:sz w:val="1"/>
                <w:szCs w:val="1"/>
                <w:color w:val="auto"/>
              </w:rPr>
            </w:pPr>
          </w:p>
        </w:tc>
      </w:tr>
      <w:tr>
        <w:trPr>
          <w:trHeight w:val="244"/>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48,175</w:t>
            </w:r>
          </w:p>
        </w:tc>
        <w:tc>
          <w:tcPr>
            <w:tcW w:w="12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2.01%</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2.69%</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4.3</w:t>
            </w:r>
          </w:p>
        </w:tc>
        <w:tc>
          <w:tcPr>
            <w:tcW w:w="2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51,625</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2.11%</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2.63%</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5.0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March 31, 2019 and December 31, 2018, notional amount includes forward starting swaps of $4.0 billion and $5.7 billion, respectively, with an average forward start date of 0.2 and 0.5 years, respectively.</w:t>
      </w:r>
    </w:p>
    <w:p>
      <w:pPr>
        <w:ind w:left="660" w:hanging="328"/>
        <w:spacing w:after="0" w:line="255"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Average fixed pay rate includes forward starting swaps. Excluding forward starting swaps, the average fixed pay rate was 1.96% and 1.98% as of March 31, 2019 and December 31, 2018, respectively.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2"/>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Swaptions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Option</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Underlying Payer Swap</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Months to</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Average Fixed</w:t>
            </w:r>
          </w:p>
        </w:tc>
        <w:tc>
          <w:tcPr>
            <w:tcW w:w="1140" w:type="dxa"/>
            <w:vAlign w:val="bottom"/>
            <w:gridSpan w:val="2"/>
            <w:vMerge w:val="continue"/>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Current Option</w:t>
            </w: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140" w:type="dxa"/>
            <w:vAlign w:val="bottom"/>
            <w:gridSpan w:val="2"/>
            <w:vMerge w:val="continue"/>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Receive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Current Option Expiration Date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1"/>
              </w:rPr>
              <w:t>Cost Basis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Pay</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Rate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Date </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(LIBOR)</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2019</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 1 year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2,050</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2.98%</w:t>
            </w:r>
          </w:p>
        </w:tc>
        <w:tc>
          <w:tcPr>
            <w:tcW w:w="10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7.0</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&gt; 1 year ≤ 2 years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2.78%</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84"/>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2,550</w:t>
            </w:r>
          </w:p>
        </w:tc>
        <w:tc>
          <w:tcPr>
            <w:tcW w:w="10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2.94%</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8"/>
              </w:rPr>
              <w:t>3M</w:t>
            </w:r>
          </w:p>
        </w:tc>
        <w:tc>
          <w:tcPr>
            <w:tcW w:w="12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7.6</w:t>
            </w:r>
          </w:p>
        </w:tc>
        <w:tc>
          <w:tcPr>
            <w:tcW w:w="0" w:type="dxa"/>
            <w:vAlign w:val="bottom"/>
          </w:tcPr>
          <w:p>
            <w:pPr>
              <w:spacing w:after="0"/>
              <w:rPr>
                <w:sz w:val="1"/>
                <w:szCs w:val="1"/>
                <w:color w:val="auto"/>
              </w:rPr>
            </w:pPr>
          </w:p>
        </w:tc>
      </w:tr>
      <w:tr>
        <w:trPr>
          <w:trHeight w:val="284"/>
        </w:trPr>
        <w:tc>
          <w:tcPr>
            <w:tcW w:w="3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2018</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1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7.0</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&gt; 1 year ≤ 2 years</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2.78%</w:t>
            </w:r>
          </w:p>
        </w:tc>
        <w:tc>
          <w:tcPr>
            <w:tcW w:w="10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3,500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2.93%</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7.4</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March 31, 2019 and December 31, 2018, ≤ 1 year notional amount includes $700 million of Bermudan swaptions where the options may be exercised on predetermined dates up to their final exercise date, which is six months prior to the underlying swaps' maturity date.</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Treasury Securities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4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Face Amount</w:t>
            </w:r>
          </w:p>
        </w:tc>
        <w:tc>
          <w:tcPr>
            <w:tcW w:w="120" w:type="dxa"/>
            <w:vAlign w:val="bottom"/>
          </w:tcPr>
          <w:p>
            <w:pPr>
              <w:spacing w:after="0"/>
              <w:rPr>
                <w:sz w:val="13"/>
                <w:szCs w:val="13"/>
                <w:color w:val="auto"/>
              </w:rPr>
            </w:pPr>
          </w:p>
        </w:tc>
        <w:tc>
          <w:tcPr>
            <w:tcW w:w="116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 xml:space="preserve">Cost Basis </w:t>
            </w:r>
            <w:r>
              <w:rPr>
                <w:rFonts w:ascii="Arial" w:cs="Arial" w:eastAsia="Arial" w:hAnsi="Arial"/>
                <w:sz w:val="8"/>
                <w:szCs w:val="8"/>
                <w:b w:val="1"/>
                <w:bCs w:val="1"/>
                <w:color w:val="auto"/>
              </w:rPr>
              <w:t>1</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Face Amount</w:t>
            </w:r>
          </w:p>
        </w:tc>
        <w:tc>
          <w:tcPr>
            <w:tcW w:w="200" w:type="dxa"/>
            <w:vAlign w:val="bottom"/>
          </w:tcPr>
          <w:p>
            <w:pPr>
              <w:spacing w:after="0"/>
              <w:rPr>
                <w:sz w:val="13"/>
                <w:szCs w:val="13"/>
                <w:color w:val="auto"/>
              </w:rPr>
            </w:pPr>
          </w:p>
        </w:tc>
        <w:tc>
          <w:tcPr>
            <w:tcW w:w="10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w w:val="94"/>
              </w:rPr>
              <w:t xml:space="preserve">Cost Basis </w:t>
            </w:r>
            <w:r>
              <w:rPr>
                <w:rFonts w:ascii="Arial" w:cs="Arial" w:eastAsia="Arial" w:hAnsi="Arial"/>
                <w:sz w:val="8"/>
                <w:szCs w:val="8"/>
                <w:b w:val="1"/>
                <w:bCs w:val="1"/>
                <w:color w:val="auto"/>
                <w:w w:val="94"/>
              </w:rPr>
              <w:t>1</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(Short)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(Short)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5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7 years</w:t>
            </w:r>
          </w:p>
        </w:tc>
        <w:tc>
          <w:tcPr>
            <w:tcW w:w="160" w:type="dxa"/>
            <w:vAlign w:val="bottom"/>
          </w:tcPr>
          <w:p>
            <w:pPr>
              <w:spacing w:after="0"/>
              <w:rPr>
                <w:sz w:val="20"/>
                <w:szCs w:val="20"/>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(12,990)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(12,976)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(13,285)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(14,357)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(14,410)</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 years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(5,745)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(6,262)</w:t>
            </w:r>
          </w:p>
        </w:tc>
        <w:tc>
          <w:tcPr>
            <w:tcW w:w="0" w:type="dxa"/>
            <w:vAlign w:val="bottom"/>
          </w:tcPr>
          <w:p>
            <w:pPr>
              <w:spacing w:after="0"/>
              <w:rPr>
                <w:sz w:val="1"/>
                <w:szCs w:val="1"/>
                <w:color w:val="auto"/>
              </w:rPr>
            </w:pPr>
          </w:p>
        </w:tc>
      </w:tr>
      <w:tr>
        <w:trPr>
          <w:trHeight w:val="24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Total U.S. Treasury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(18,615)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(18,666)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(19,154)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(21,300)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(21,255)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(21,385)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of March 31, 2019 and December 31, 2018, U.S. Treasury securities had a weighted average yield of 2.66%.</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U.S. Treasury Futures</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3"/>
          </w:tcPr>
          <w:p>
            <w:pPr>
              <w:ind w:left="200"/>
              <w:spacing w:after="0"/>
              <w:rPr>
                <w:sz w:val="20"/>
                <w:szCs w:val="20"/>
                <w:color w:val="auto"/>
              </w:rPr>
            </w:pPr>
            <w:r>
              <w:rPr>
                <w:rFonts w:ascii="Arial" w:cs="Arial" w:eastAsia="Arial" w:hAnsi="Arial"/>
                <w:sz w:val="14"/>
                <w:szCs w:val="14"/>
                <w:b w:val="1"/>
                <w:bCs w:val="1"/>
                <w:color w:val="auto"/>
                <w:w w:val="94"/>
              </w:rPr>
              <w:t>March 31, 2019</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ind w:left="8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43"/>
        </w:trPr>
        <w:tc>
          <w:tcPr>
            <w:tcW w:w="2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0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Cost</w:t>
            </w:r>
          </w:p>
        </w:tc>
        <w:tc>
          <w:tcPr>
            <w:tcW w:w="320" w:type="dxa"/>
            <w:vAlign w:val="bottom"/>
          </w:tcPr>
          <w:p>
            <w:pPr>
              <w:spacing w:after="0"/>
              <w:rPr>
                <w:sz w:val="11"/>
                <w:szCs w:val="11"/>
                <w:color w:val="auto"/>
              </w:rPr>
            </w:pPr>
          </w:p>
        </w:tc>
        <w:tc>
          <w:tcPr>
            <w:tcW w:w="74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Net Carrying</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Amount - Long</w:t>
            </w:r>
          </w:p>
        </w:tc>
        <w:tc>
          <w:tcPr>
            <w:tcW w:w="20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rPr>
              <w:t>Fair</w:t>
            </w: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Net Carrying</w:t>
            </w:r>
          </w:p>
        </w:tc>
      </w:tr>
      <w:tr>
        <w:trPr>
          <w:trHeight w:val="17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Maturity</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89"/>
              </w:rPr>
              <w:t>(Short)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Basis</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254"/>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8"/>
              </w:rPr>
              <w:t xml:space="preserve">Value </w:t>
            </w:r>
            <w:r>
              <w:rPr>
                <w:rFonts w:ascii="Arial" w:cs="Arial" w:eastAsia="Arial" w:hAnsi="Arial"/>
                <w:sz w:val="8"/>
                <w:szCs w:val="8"/>
                <w:b w:val="1"/>
                <w:bCs w:val="1"/>
                <w:color w:val="auto"/>
                <w:w w:val="88"/>
              </w:rPr>
              <w:t>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3"/>
                <w:szCs w:val="13"/>
                <w:b w:val="1"/>
                <w:bCs w:val="1"/>
                <w:color w:val="auto"/>
                <w:w w:val="93"/>
              </w:rPr>
              <w:t>(Short)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Basis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34"/>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w w:val="88"/>
              </w:rPr>
              <w:t xml:space="preserve">Value </w:t>
            </w:r>
            <w:r>
              <w:rPr>
                <w:rFonts w:ascii="Arial" w:cs="Arial" w:eastAsia="Arial" w:hAnsi="Arial"/>
                <w:sz w:val="8"/>
                <w:szCs w:val="8"/>
                <w:b w:val="1"/>
                <w:bCs w:val="1"/>
                <w:color w:val="auto"/>
                <w:w w:val="88"/>
              </w:rPr>
              <w:t>1</w:t>
            </w:r>
          </w:p>
        </w:tc>
      </w:tr>
      <w:tr>
        <w:trPr>
          <w:trHeight w:val="243"/>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10 years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(1,650)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(2,050)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2019</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43"/>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0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Cost</w:t>
            </w:r>
          </w:p>
        </w:tc>
        <w:tc>
          <w:tcPr>
            <w:tcW w:w="3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Net Carrying</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Amount - Long</w:t>
            </w:r>
          </w:p>
        </w:tc>
        <w:tc>
          <w:tcPr>
            <w:tcW w:w="20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Fair</w:t>
            </w:r>
          </w:p>
        </w:tc>
        <w:tc>
          <w:tcPr>
            <w:tcW w:w="900" w:type="dxa"/>
            <w:vAlign w:val="bottom"/>
            <w:gridSpan w:val="2"/>
          </w:tcPr>
          <w:p>
            <w:pPr>
              <w:jc w:val="right"/>
              <w:ind w:right="9"/>
              <w:spacing w:after="0" w:line="135" w:lineRule="exact"/>
              <w:rPr>
                <w:sz w:val="20"/>
                <w:szCs w:val="20"/>
                <w:color w:val="auto"/>
              </w:rPr>
            </w:pPr>
            <w:r>
              <w:rPr>
                <w:rFonts w:ascii="Arial" w:cs="Arial" w:eastAsia="Arial" w:hAnsi="Arial"/>
                <w:sz w:val="13"/>
                <w:szCs w:val="13"/>
                <w:b w:val="1"/>
                <w:bCs w:val="1"/>
                <w:color w:val="auto"/>
              </w:rPr>
              <w:t>Net Carrying</w:t>
            </w:r>
          </w:p>
        </w:tc>
      </w:tr>
      <w:tr>
        <w:trPr>
          <w:trHeight w:val="17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TBA Securities by Coupon</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9"/>
              </w:rPr>
              <w:t>(Short)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Basis</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w w:val="80"/>
              </w:rPr>
              <w:t>Value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3"/>
              </w:rPr>
              <w:t>(Short)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Basis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1</w:t>
            </w:r>
          </w:p>
        </w:tc>
      </w:tr>
      <w:tr>
        <w:trPr>
          <w:trHeight w:val="27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15-Year TBA securities:</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4"/>
        </w:trPr>
        <w:tc>
          <w:tcPr>
            <w:tcW w:w="2740" w:type="dxa"/>
            <w:vAlign w:val="bottom"/>
          </w:tcPr>
          <w:p>
            <w:pPr>
              <w:ind w:left="200"/>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0"/>
              <w:spacing w:after="0"/>
              <w:rPr>
                <w:sz w:val="20"/>
                <w:szCs w:val="20"/>
                <w:color w:val="auto"/>
              </w:rPr>
            </w:pPr>
            <w:r>
              <w:rPr>
                <w:rFonts w:ascii="Arial" w:cs="Arial" w:eastAsia="Arial" w:hAnsi="Arial"/>
                <w:sz w:val="14"/>
                <w:szCs w:val="14"/>
                <w:color w:val="auto"/>
              </w:rPr>
              <w:t>329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566</w:t>
            </w:r>
          </w:p>
        </w:tc>
        <w:tc>
          <w:tcPr>
            <w:tcW w:w="100" w:type="dxa"/>
            <w:vAlign w:val="bottom"/>
          </w:tcPr>
          <w:p>
            <w:pPr>
              <w:spacing w:after="0"/>
              <w:rPr>
                <w:sz w:val="22"/>
                <w:szCs w:val="22"/>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9</w:t>
            </w:r>
          </w:p>
        </w:tc>
      </w:tr>
      <w:tr>
        <w:trPr>
          <w:trHeight w:val="276"/>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3.5%</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1,969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1,996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2,013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1,706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1,708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w:t>
            </w:r>
          </w:p>
        </w:tc>
      </w:tr>
      <w:tr>
        <w:trPr>
          <w:trHeight w:val="264"/>
        </w:trPr>
        <w:tc>
          <w:tcPr>
            <w:tcW w:w="27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4.0%</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1,083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1,108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1,115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1,350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1,370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1,381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w:t>
            </w:r>
          </w:p>
        </w:tc>
      </w:tr>
      <w:tr>
        <w:trPr>
          <w:trHeight w:val="25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15-Year TBA securities</w:t>
            </w:r>
          </w:p>
        </w:tc>
        <w:tc>
          <w:tcPr>
            <w:tcW w:w="1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3,379</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3,432</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3,457</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3,623</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3,635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3,673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38</w:t>
            </w:r>
          </w:p>
        </w:tc>
      </w:tr>
      <w:tr>
        <w:trPr>
          <w:trHeight w:val="258"/>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30-Year TBA securities:</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903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886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899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1,003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w:t>
            </w:r>
          </w:p>
        </w:tc>
      </w:tr>
      <w:tr>
        <w:trPr>
          <w:trHeight w:val="264"/>
        </w:trPr>
        <w:tc>
          <w:tcPr>
            <w:tcW w:w="2740" w:type="dxa"/>
            <w:vAlign w:val="bottom"/>
          </w:tcPr>
          <w:p>
            <w:pPr>
              <w:ind w:left="200"/>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3,084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3,095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jc w:val="right"/>
              <w:ind w:right="50"/>
              <w:spacing w:after="0"/>
              <w:rPr>
                <w:sz w:val="20"/>
                <w:szCs w:val="20"/>
                <w:color w:val="auto"/>
              </w:rPr>
            </w:pPr>
            <w:r>
              <w:rPr>
                <w:rFonts w:ascii="Arial" w:cs="Arial" w:eastAsia="Arial" w:hAnsi="Arial"/>
                <w:sz w:val="14"/>
                <w:szCs w:val="14"/>
                <w:color w:val="auto"/>
              </w:rPr>
              <w:t>3,125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76"/>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(3,148)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(3,238)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3,030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3,073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3,089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w:t>
            </w:r>
          </w:p>
        </w:tc>
      </w:tr>
      <w:tr>
        <w:trPr>
          <w:trHeight w:val="264"/>
        </w:trPr>
        <w:tc>
          <w:tcPr>
            <w:tcW w:w="288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 4.5%</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2,604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2,694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2,712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2,450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2,506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2,534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28</w:t>
            </w:r>
          </w:p>
        </w:tc>
      </w:tr>
      <w:tr>
        <w:trPr>
          <w:trHeight w:val="25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30-Year TBA securities, net</w:t>
            </w: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3,443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3,453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3,498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3,529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3,617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3,649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32</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Total TBA securities,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6,822</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6,885</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6,955</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7,152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7,252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7,322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70</w:t>
            </w: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968" w:right="239" w:bottom="1440" w:gutter="0" w:footer="0" w:header="0"/>
        </w:sectPr>
      </w:pPr>
    </w:p>
    <w:bookmarkStart w:id="17" w:name="page18"/>
    <w:bookmarkEnd w:id="17"/>
    <w:p>
      <w:pPr>
        <w:ind w:left="660" w:hanging="328"/>
        <w:spacing w:after="0" w:line="27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Gain (Loss) From Derivative Instruments and Other Securities, Net</w:t>
      </w:r>
    </w:p>
    <w:p>
      <w:pPr>
        <w:spacing w:after="0" w:line="171" w:lineRule="exact"/>
        <w:rPr>
          <w:sz w:val="20"/>
          <w:szCs w:val="20"/>
          <w:color w:val="auto"/>
        </w:rPr>
      </w:pPr>
    </w:p>
    <w:p>
      <w:pPr>
        <w:ind w:left="60" w:firstLine="648"/>
        <w:spacing w:after="0" w:line="277" w:lineRule="auto"/>
        <w:rPr>
          <w:sz w:val="20"/>
          <w:szCs w:val="20"/>
          <w:color w:val="auto"/>
        </w:rPr>
      </w:pPr>
      <w:r>
        <w:rPr>
          <w:rFonts w:ascii="Arial" w:cs="Arial" w:eastAsia="Arial" w:hAnsi="Arial"/>
          <w:sz w:val="18"/>
          <w:szCs w:val="18"/>
          <w:color w:val="auto"/>
        </w:rPr>
        <w:t>The following table summarizes changes in our derivative and other hedge portfolio and their effect on our consolidated statements of comprehensive income for the three months ended March 31, 2019 and 2018 (in millions):</w:t>
      </w:r>
    </w:p>
    <w:p>
      <w:pPr>
        <w:spacing w:after="0" w:line="9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Settlement,</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42"/>
              <w:spacing w:after="0" w:line="145" w:lineRule="exact"/>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Beginning</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240" w:type="dxa"/>
            <w:vAlign w:val="bottom"/>
          </w:tcPr>
          <w:p>
            <w:pPr>
              <w:spacing w:after="0"/>
              <w:rPr>
                <w:sz w:val="12"/>
                <w:szCs w:val="12"/>
                <w:color w:val="auto"/>
              </w:rPr>
            </w:pPr>
          </w:p>
        </w:tc>
        <w:tc>
          <w:tcPr>
            <w:tcW w:w="120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2"/>
              </w:rPr>
              <w:t>Ending</w:t>
            </w:r>
          </w:p>
        </w:tc>
        <w:tc>
          <w:tcPr>
            <w:tcW w:w="140" w:type="dxa"/>
            <w:vAlign w:val="bottom"/>
          </w:tcPr>
          <w:p>
            <w:pPr>
              <w:spacing w:after="0"/>
              <w:rPr>
                <w:sz w:val="12"/>
                <w:szCs w:val="12"/>
                <w:color w:val="auto"/>
              </w:rPr>
            </w:pPr>
          </w:p>
        </w:tc>
        <w:tc>
          <w:tcPr>
            <w:tcW w:w="12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Instruments and</w:t>
            </w:r>
          </w:p>
        </w:tc>
        <w:tc>
          <w:tcPr>
            <w:tcW w:w="0" w:type="dxa"/>
            <w:vAlign w:val="bottom"/>
          </w:tcPr>
          <w:p>
            <w:pPr>
              <w:spacing w:after="0"/>
              <w:rPr>
                <w:sz w:val="1"/>
                <w:szCs w:val="1"/>
                <w:color w:val="auto"/>
              </w:rPr>
            </w:pPr>
          </w:p>
        </w:tc>
      </w:tr>
      <w:tr>
        <w:trPr>
          <w:trHeight w:val="149"/>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2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3"/>
              </w:rPr>
              <w:t>Other Securities, Net</w:t>
            </w:r>
          </w:p>
        </w:tc>
        <w:tc>
          <w:tcPr>
            <w:tcW w:w="0" w:type="dxa"/>
            <w:vAlign w:val="bottom"/>
          </w:tcPr>
          <w:p>
            <w:pPr>
              <w:spacing w:after="0"/>
              <w:rPr>
                <w:sz w:val="1"/>
                <w:szCs w:val="1"/>
                <w:color w:val="auto"/>
              </w:rPr>
            </w:pPr>
          </w:p>
        </w:tc>
      </w:tr>
      <w:tr>
        <w:trPr>
          <w:trHeight w:val="162"/>
        </w:trPr>
        <w:tc>
          <w:tcPr>
            <w:tcW w:w="43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Notional Amount</w:t>
            </w:r>
          </w:p>
        </w:tc>
        <w:tc>
          <w:tcPr>
            <w:tcW w:w="1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Notional Amount</w:t>
            </w:r>
          </w:p>
        </w:tc>
        <w:tc>
          <w:tcPr>
            <w:tcW w:w="220" w:type="dxa"/>
            <w:vAlign w:val="bottom"/>
            <w:tcBorders>
              <w:bottom w:val="single" w:sz="8" w:color="CCEEFF"/>
            </w:tcBorders>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62"/>
              <w:spacing w:after="0"/>
              <w:rPr>
                <w:sz w:val="20"/>
                <w:szCs w:val="20"/>
                <w:color w:val="auto"/>
              </w:rPr>
            </w:pPr>
            <w:r>
              <w:rPr>
                <w:rFonts w:ascii="Arial" w:cs="Arial" w:eastAsia="Arial" w:hAnsi="Arial"/>
                <w:sz w:val="9"/>
                <w:szCs w:val="9"/>
                <w:b w:val="1"/>
                <w:bCs w:val="1"/>
                <w:color w:val="auto"/>
                <w:w w:val="78"/>
              </w:rPr>
              <w:t>1</w:t>
            </w: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March 31, 2019:</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7,152</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18,442</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(18,772)</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6,822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51,625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48,175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3,500</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(950)</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2,550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(21,345)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7,380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(18,735)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1,650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(996)</w:t>
            </w:r>
          </w:p>
        </w:tc>
        <w:tc>
          <w:tcPr>
            <w:tcW w:w="0" w:type="dxa"/>
            <w:vAlign w:val="bottom"/>
          </w:tcPr>
          <w:p>
            <w:pPr>
              <w:spacing w:after="0"/>
              <w:rPr>
                <w:sz w:val="1"/>
                <w:szCs w:val="1"/>
                <w:color w:val="auto"/>
              </w:rPr>
            </w:pPr>
          </w:p>
        </w:tc>
      </w:tr>
      <w:tr>
        <w:trPr>
          <w:trHeight w:val="73"/>
        </w:trPr>
        <w:tc>
          <w:tcPr>
            <w:tcW w:w="4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March 31, 2018: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15,474</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43,669</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(45,507)</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13,636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43,700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45,250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6,650</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6,750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(10,798)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(734)</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225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(2,909)</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60"/>
        <w:spacing w:after="0"/>
        <w:rPr>
          <w:sz w:val="20"/>
          <w:szCs w:val="20"/>
          <w:color w:val="auto"/>
        </w:rPr>
      </w:pPr>
      <w:r>
        <w:rPr>
          <w:rFonts w:ascii="Arial" w:cs="Arial" w:eastAsia="Arial" w:hAnsi="Arial"/>
          <w:sz w:val="11"/>
          <w:szCs w:val="11"/>
          <w:color w:val="auto"/>
        </w:rPr>
        <w:t>________________________________</w:t>
      </w:r>
    </w:p>
    <w:p>
      <w:pPr>
        <w:spacing w:after="0" w:line="40" w:lineRule="exact"/>
        <w:rPr>
          <w:sz w:val="20"/>
          <w:szCs w:val="20"/>
          <w:color w:val="auto"/>
        </w:rPr>
      </w:pPr>
    </w:p>
    <w:p>
      <w:pPr>
        <w:ind w:left="660" w:right="20" w:hanging="328"/>
        <w:spacing w:after="0" w:line="273"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Amounts exclude other miscellaneous gains and losses recognized in gain (loss) on derivative instruments and other securities, net in our consolidated statements of comprehensive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Pledged Assets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prime brokerage agreements, pursuant to which we receive custody and settlement services,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12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provided for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mark-to-market margin requirements, clearinghouse guarantee funds and other resources that are available in the event of a clearing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t>member default. As of March 31, 2019, our maximum amount at risk with any counterparty other than the Fixed Income Clearing Corporation related to our repurchase agreements was less than 4% of our tangible stockholders' equity. As of March 31, 2019, approximately 7% of our tangible stockholder's equity was at risk with the Fixed Income Clearing Corporation. Equity at risk is defined as the net carrying value of securities pledged under repurchase agreements, including accrued interest plus any cash or assets on deposit to secure the repurchase obligation, less the amount of the repurchase liability, including accrued interest.</w:t>
      </w:r>
    </w:p>
    <w:p>
      <w:pPr>
        <w:spacing w:after="0" w:line="1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International Swaps and Derivatives Association ("ISDA") Master Agreements contain a cross default provision under which a default under the terms of certain of our other indebtedness in excess of certain thresholds causes an event of default under the ISDA Master Agreement. Threshold amounts vary by lender. Following an event of default, we could be required to settle our obligations under the agreements. Additionally, under certain of our ISDA Master Agreements, we could be required to settle our obligations under the agreements if we fail to maintain certain minimum stockholders' equity thresholds or our REIT status or if we fail to comply with limits on our leverage up to certain specified levels. As of March 31, 2019, the fair value of additional collateral that could be required to be posted as a result of the credit-risk-related contingent features being triggered was not material to our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to Counterparties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summarize our assets pledged as collateral under our funding, derivative and prime broker agreements by type, including securities pledged related to securities sold but not yet settled, as of March 31, 2019 and December 31, 2018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center"/>
              <w:ind w:left="368"/>
              <w:spacing w:after="0"/>
              <w:rPr>
                <w:sz w:val="20"/>
                <w:szCs w:val="20"/>
                <w:color w:val="auto"/>
              </w:rPr>
            </w:pPr>
            <w:r>
              <w:rPr>
                <w:rFonts w:ascii="Arial" w:cs="Arial" w:eastAsia="Arial" w:hAnsi="Arial"/>
                <w:sz w:val="14"/>
                <w:szCs w:val="14"/>
                <w:b w:val="1"/>
                <w:bCs w:val="1"/>
                <w:color w:val="auto"/>
                <w:w w:val="96"/>
              </w:rPr>
              <w:t>March 31, 2019</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Assets Pledged to Counterparties </w:t>
            </w:r>
            <w:r>
              <w:rPr>
                <w:rFonts w:ascii="Arial" w:cs="Arial" w:eastAsia="Arial" w:hAnsi="Arial"/>
                <w:sz w:val="8"/>
                <w:szCs w:val="8"/>
                <w:b w:val="1"/>
                <w:bCs w:val="1"/>
                <w:color w:val="auto"/>
              </w:rPr>
              <w:t>1</w:t>
            </w:r>
          </w:p>
        </w:tc>
        <w:tc>
          <w:tcPr>
            <w:tcW w:w="120" w:type="dxa"/>
            <w:vAlign w:val="bottom"/>
            <w:vMerge w:val="restart"/>
          </w:tcPr>
          <w:p>
            <w:pPr>
              <w:spacing w:after="0"/>
              <w:rPr>
                <w:sz w:val="16"/>
                <w:szCs w:val="16"/>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Repurchase Agreements</w:t>
            </w: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Debt of Consolidated</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Prime Broker</w:t>
            </w:r>
          </w:p>
        </w:tc>
        <w:tc>
          <w:tcPr>
            <w:tcW w:w="260" w:type="dxa"/>
            <w:vAlign w:val="bottom"/>
          </w:tcPr>
          <w:p>
            <w:pPr>
              <w:spacing w:after="0"/>
              <w:rPr>
                <w:sz w:val="16"/>
                <w:szCs w:val="16"/>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91"/>
              <w:spacing w:after="0"/>
              <w:rPr>
                <w:sz w:val="20"/>
                <w:szCs w:val="20"/>
                <w:color w:val="auto"/>
              </w:rPr>
            </w:pPr>
            <w:r>
              <w:rPr>
                <w:rFonts w:ascii="Arial" w:cs="Arial" w:eastAsia="Arial" w:hAnsi="Arial"/>
                <w:sz w:val="9"/>
                <w:szCs w:val="9"/>
                <w:b w:val="1"/>
                <w:bCs w:val="1"/>
                <w:color w:val="auto"/>
                <w:w w:val="78"/>
              </w:rPr>
              <w:t>2</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VIEs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xml:space="preserve">Agreements </w:t>
            </w:r>
            <w:r>
              <w:rPr>
                <w:rFonts w:ascii="Arial" w:cs="Arial" w:eastAsia="Arial" w:hAnsi="Arial"/>
                <w:sz w:val="8"/>
                <w:szCs w:val="8"/>
                <w:b w:val="1"/>
                <w:bCs w:val="1"/>
                <w:color w:val="auto"/>
              </w:rPr>
              <w:t>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 - fair value</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89,779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90,496</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CRT - fair value</w:t>
            </w:r>
          </w:p>
        </w:tc>
        <w:tc>
          <w:tcPr>
            <w:tcW w:w="44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Non-Agency - fair value</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U.S. Treasury securities - fair value</w:t>
            </w:r>
          </w:p>
        </w:tc>
        <w:tc>
          <w:tcPr>
            <w:tcW w:w="44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617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Restricted cash and cash equivalents</w:t>
            </w:r>
          </w:p>
        </w:tc>
        <w:tc>
          <w:tcPr>
            <w:tcW w:w="44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43"/>
        </w:trPr>
        <w:tc>
          <w:tcPr>
            <w:tcW w:w="43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90,936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92,097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left="368"/>
              <w:spacing w:after="0"/>
              <w:rPr>
                <w:sz w:val="20"/>
                <w:szCs w:val="20"/>
                <w:color w:val="auto"/>
              </w:rPr>
            </w:pPr>
            <w:r>
              <w:rPr>
                <w:rFonts w:ascii="Arial" w:cs="Arial" w:eastAsia="Arial" w:hAnsi="Arial"/>
                <w:sz w:val="14"/>
                <w:szCs w:val="14"/>
                <w:b w:val="1"/>
                <w:bCs w:val="1"/>
                <w:color w:val="auto"/>
                <w:w w:val="91"/>
              </w:rPr>
              <w:t>December 31, 2018</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Assets Pledged to Counterparties </w:t>
            </w:r>
            <w:r>
              <w:rPr>
                <w:rFonts w:ascii="Arial" w:cs="Arial" w:eastAsia="Arial" w:hAnsi="Arial"/>
                <w:sz w:val="8"/>
                <w:szCs w:val="8"/>
                <w:b w:val="1"/>
                <w:bCs w:val="1"/>
                <w:color w:val="auto"/>
              </w:rPr>
              <w:t>1</w:t>
            </w:r>
          </w:p>
        </w:tc>
        <w:tc>
          <w:tcPr>
            <w:tcW w:w="120" w:type="dxa"/>
            <w:vAlign w:val="bottom"/>
            <w:vMerge w:val="restart"/>
          </w:tcPr>
          <w:p>
            <w:pPr>
              <w:spacing w:after="0"/>
              <w:rPr>
                <w:sz w:val="16"/>
                <w:szCs w:val="16"/>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Repurchase Agreements</w:t>
            </w: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Debt of Consolidated</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Prime Broker</w:t>
            </w:r>
          </w:p>
        </w:tc>
        <w:tc>
          <w:tcPr>
            <w:tcW w:w="260" w:type="dxa"/>
            <w:vAlign w:val="bottom"/>
          </w:tcPr>
          <w:p>
            <w:pPr>
              <w:spacing w:after="0"/>
              <w:rPr>
                <w:sz w:val="16"/>
                <w:szCs w:val="16"/>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91"/>
              <w:spacing w:after="0"/>
              <w:rPr>
                <w:sz w:val="20"/>
                <w:szCs w:val="20"/>
                <w:color w:val="auto"/>
              </w:rPr>
            </w:pPr>
            <w:r>
              <w:rPr>
                <w:rFonts w:ascii="Arial" w:cs="Arial" w:eastAsia="Arial" w:hAnsi="Arial"/>
                <w:sz w:val="9"/>
                <w:szCs w:val="9"/>
                <w:b w:val="1"/>
                <w:bCs w:val="1"/>
                <w:color w:val="auto"/>
                <w:w w:val="78"/>
              </w:rPr>
              <w:t>2</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VIEs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xml:space="preserve">Agreements </w:t>
            </w:r>
            <w:r>
              <w:rPr>
                <w:rFonts w:ascii="Arial" w:cs="Arial" w:eastAsia="Arial" w:hAnsi="Arial"/>
                <w:sz w:val="8"/>
                <w:szCs w:val="8"/>
                <w:b w:val="1"/>
                <w:bCs w:val="1"/>
                <w:color w:val="auto"/>
              </w:rPr>
              <w:t>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 - fair value</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78,997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79,740</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CRT - fair value</w:t>
            </w:r>
          </w:p>
        </w:tc>
        <w:tc>
          <w:tcPr>
            <w:tcW w:w="44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Non-Agency - fair value</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U.S. Treasury securities - fair value</w:t>
            </w:r>
          </w:p>
        </w:tc>
        <w:tc>
          <w:tcPr>
            <w:tcW w:w="44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Restricted cash and cash equivalents</w:t>
            </w:r>
          </w:p>
        </w:tc>
        <w:tc>
          <w:tcPr>
            <w:tcW w:w="44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243"/>
        </w:trPr>
        <w:tc>
          <w:tcPr>
            <w:tcW w:w="43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79,943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81,210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repledged assets received as collateral from counterparties.</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$161 million and $163 million of retained interests in our consolidated VIEs pledged as collateral under repurchase agreements as of March 31, 2019 and December 31, 2018, respectively.</w:t>
      </w: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margin for TBAs cleared through prime brokers and other clearing deposits.</w:t>
      </w:r>
    </w:p>
    <w:p>
      <w:pPr>
        <w:spacing w:after="0" w:line="1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Securities transferred to our consolidated VIEs can only be used to settle the obligations of each respective VIE. However, we may pledge our retained interests in our consolidated VIEs as collateral under our repurchase agreements and derivative contracts. Please refer to Note 4 for additional information regarding our consolidated VIEs.</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summarizes our securities pledged as collateral under our repurchase agreements by the remaining maturity of our borrowings, including securities pledged related to sold but not yet settled securities, as of March 31, 2019 and December 31, 2018 (in millions). For the corresponding borrowings associated with the following amounts and the interest rates thereon, refer to Note 5</w:t>
      </w:r>
      <w:r>
        <w:rPr>
          <w:rFonts w:ascii="Arial" w:cs="Arial" w:eastAsia="Arial" w:hAnsi="Arial"/>
          <w:sz w:val="18"/>
          <w:szCs w:val="18"/>
          <w:i w:val="1"/>
          <w:iCs w:val="1"/>
          <w:color w:val="auto"/>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March 31, 2019</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Accrued</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88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Securities Pledged by Remaining Maturity of Repurchase</w:t>
            </w:r>
          </w:p>
        </w:tc>
        <w:tc>
          <w:tcPr>
            <w:tcW w:w="160" w:type="dxa"/>
            <w:vAlign w:val="bottom"/>
          </w:tcPr>
          <w:p>
            <w:pPr>
              <w:spacing w:after="0"/>
              <w:rPr>
                <w:sz w:val="12"/>
                <w:szCs w:val="12"/>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Fair Value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Interest on</w:t>
            </w:r>
          </w:p>
        </w:tc>
        <w:tc>
          <w:tcPr>
            <w:tcW w:w="160" w:type="dxa"/>
            <w:vAlign w:val="bottom"/>
          </w:tcPr>
          <w:p>
            <w:pPr>
              <w:spacing w:after="0"/>
              <w:rPr>
                <w:sz w:val="12"/>
                <w:szCs w:val="12"/>
                <w:color w:val="auto"/>
              </w:rPr>
            </w:pP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9"/>
              </w:rPr>
              <w:t>Fair Value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Interest on</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Pledged</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8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Pledged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Agreements </w:t>
            </w:r>
            <w:r>
              <w:rPr>
                <w:rFonts w:ascii="Arial" w:cs="Arial" w:eastAsia="Arial" w:hAnsi="Arial"/>
                <w:sz w:val="8"/>
                <w:szCs w:val="8"/>
                <w:b w:val="1"/>
                <w:bCs w:val="1"/>
                <w:color w:val="auto"/>
              </w:rPr>
              <w:t>1,2</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94"/>
              </w:rPr>
              <w:t>Pledged 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30 days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45,673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49,944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50,654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64"/>
        </w:trPr>
        <w:tc>
          <w:tcPr>
            <w:tcW w:w="4020" w:type="dxa"/>
            <w:vAlign w:val="bottom"/>
            <w:gridSpan w:val="2"/>
          </w:tcPr>
          <w:p>
            <w:pPr>
              <w:ind w:left="100"/>
              <w:spacing w:after="0"/>
              <w:rPr>
                <w:sz w:val="20"/>
                <w:szCs w:val="20"/>
                <w:color w:val="auto"/>
              </w:rPr>
            </w:pPr>
            <w:r>
              <w:rPr>
                <w:rFonts w:ascii="Arial" w:cs="Arial" w:eastAsia="Arial" w:hAnsi="Arial"/>
                <w:sz w:val="14"/>
                <w:szCs w:val="14"/>
                <w:color w:val="auto"/>
              </w:rPr>
              <w:t>&gt; 30 and ≤ 60 days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10,792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10,758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14,586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14,810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&gt; 60 and ≤ 90 days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17,282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17,267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7,770</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7,843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&gt; 90 days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15,945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16,108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6,882</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7,079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89,966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89,806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79,182</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80,386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660" w:right="200" w:hanging="328"/>
        <w:spacing w:after="0" w:line="250"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$161 million and $163 million of retained interests in our consolidated VIEs pledged as collateral under repurchase agreements as of March 31, 2019 and December 31, 2018, respectively.</w:t>
      </w:r>
    </w:p>
    <w:p>
      <w:pPr>
        <w:ind w:left="660" w:hanging="328"/>
        <w:spacing w:after="0"/>
        <w:tabs>
          <w:tab w:leader="none" w:pos="6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Excludes $496 million and $437 million of repledged U.S. Treasury securities received as collateral from counterparties as of March 31, 2019 and December 31, 2018, repsectively.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from Counterparties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March 31, 2019 and December 31, 2018, we had assets pledged to us from counterparties as collateral under our reverse repurchase and derivative agreements summarized in the tables below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March 31, 2019</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Reverse</w:t>
            </w:r>
          </w:p>
        </w:tc>
        <w:tc>
          <w:tcPr>
            <w:tcW w:w="140" w:type="dxa"/>
            <w:vAlign w:val="bottom"/>
          </w:tcPr>
          <w:p>
            <w:pPr>
              <w:spacing w:after="0"/>
              <w:rPr>
                <w:sz w:val="13"/>
                <w:szCs w:val="13"/>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120" w:type="dxa"/>
            <w:vAlign w:val="bottom"/>
          </w:tcPr>
          <w:p>
            <w:pPr>
              <w:spacing w:after="0"/>
              <w:rPr>
                <w:sz w:val="13"/>
                <w:szCs w:val="13"/>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2"/>
              </w:rPr>
              <w:t>Repurchase</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Reverse</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3"/>
                <w:szCs w:val="13"/>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2"/>
              </w:rPr>
              <w:t>Repurchase</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Assets Pledged to AGNC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Repurchase</w:t>
            </w: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Repurchase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1"/>
              </w:rPr>
              <w:t>Agreements</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1"/>
              </w:rPr>
              <w:t>Agreements</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Treasury securities -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20,440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21,876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21,948</w:t>
            </w:r>
          </w:p>
        </w:tc>
        <w:tc>
          <w:tcPr>
            <w:tcW w:w="0" w:type="dxa"/>
            <w:vAlign w:val="bottom"/>
          </w:tcPr>
          <w:p>
            <w:pPr>
              <w:spacing w:after="0"/>
              <w:rPr>
                <w:sz w:val="1"/>
                <w:szCs w:val="1"/>
                <w:color w:val="auto"/>
              </w:rPr>
            </w:pPr>
          </w:p>
        </w:tc>
      </w:tr>
      <w:tr>
        <w:trPr>
          <w:trHeight w:val="264"/>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Cash</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64"/>
        </w:trPr>
        <w:tc>
          <w:tcPr>
            <w:tcW w:w="24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20,400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3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20,489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21,876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3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22,077</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$496 million and $437 million of repledged U.S. Treasury securities received as collateral from counterparties as of March 31, 2019 and December 31, 2018, respectively.</w:t>
      </w:r>
    </w:p>
    <w:p>
      <w:pPr>
        <w:spacing w:after="0" w:line="17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U.S Treasury securities received as collateral under our reverse repurchase agreements for which we use to cover short sales of U.S. Treasury securities are accounted for as securities borrowing transactions. We recognize a corresponding obligation to return the borrowed securities at fair value on the accompanying consolidated balance sheets based on the value of the underlying borrowed securities as of the reporting date.</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collateral received is recognized in cash and cash equivalents with a corresponding amount recognized in accounts payable and other accrued liabilities on the accompanying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Assets and Liabilities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March 31, 2019 and December 31, 2018 (in millions):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87"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11"/>
          </w:tcPr>
          <w:p>
            <w:pPr>
              <w:jc w:val="right"/>
              <w:ind w:right="28"/>
              <w:spacing w:after="0"/>
              <w:rPr>
                <w:sz w:val="20"/>
                <w:szCs w:val="20"/>
                <w:color w:val="auto"/>
              </w:rPr>
            </w:pPr>
            <w:r>
              <w:rPr>
                <w:rFonts w:ascii="Arial" w:cs="Arial" w:eastAsia="Arial" w:hAnsi="Arial"/>
                <w:sz w:val="14"/>
                <w:szCs w:val="14"/>
                <w:b w:val="1"/>
                <w:bCs w:val="1"/>
                <w:color w:val="auto"/>
                <w:w w:val="92"/>
              </w:rPr>
              <w:t>Offsetting of Financial and Derivative Assets</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Assets Presented</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center"/>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6"/>
              </w:rPr>
              <w:t>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Financial</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Balance Sheets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Instruments</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 xml:space="preserve">Received </w:t>
            </w:r>
            <w:r>
              <w:rPr>
                <w:rFonts w:ascii="Arial" w:cs="Arial" w:eastAsia="Arial" w:hAnsi="Arial"/>
                <w:sz w:val="8"/>
                <w:szCs w:val="8"/>
                <w:b w:val="1"/>
                <w:bCs w:val="1"/>
                <w:color w:val="auto"/>
                <w:w w:val="88"/>
              </w:rPr>
              <w:t>2</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March 31, 2019</w:t>
            </w: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20,430</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20,430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(17,353)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20,683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20,683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21,813</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21,813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(17,236)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22,086</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22,086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7"/>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2"/>
          </w:tcPr>
          <w:p>
            <w:pPr>
              <w:ind w:left="840"/>
              <w:spacing w:after="0"/>
              <w:rPr>
                <w:sz w:val="20"/>
                <w:szCs w:val="20"/>
                <w:color w:val="auto"/>
              </w:rPr>
            </w:pPr>
            <w:r>
              <w:rPr>
                <w:rFonts w:ascii="Arial" w:cs="Arial" w:eastAsia="Arial" w:hAnsi="Arial"/>
                <w:sz w:val="14"/>
                <w:szCs w:val="14"/>
                <w:b w:val="1"/>
                <w:bCs w:val="1"/>
                <w:color w:val="auto"/>
                <w:w w:val="94"/>
              </w:rPr>
              <w:t>Offsetting of Financial and Derivative Liabilities</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4"/>
          </w:tcPr>
          <w:p>
            <w:pPr>
              <w:jc w:val="center"/>
              <w:ind w:right="12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28"/>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Financial</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2"/>
              </w:rPr>
              <w:t xml:space="preserve">Pledged </w:t>
            </w:r>
            <w:r>
              <w:rPr>
                <w:rFonts w:ascii="Arial" w:cs="Arial" w:eastAsia="Arial" w:hAnsi="Arial"/>
                <w:sz w:val="8"/>
                <w:szCs w:val="8"/>
                <w:b w:val="1"/>
                <w:bCs w:val="1"/>
                <w:color w:val="auto"/>
                <w:w w:val="92"/>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March 31, 2019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86,685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86,685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(17,353)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(69,332)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86,707</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86,707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(69,332)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75,717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75,717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(17,236)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(58,481)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75,757</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(17,276)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(58,481)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320" w:hanging="328"/>
        <w:spacing w:after="0" w:line="241"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6 for a reconciliation of derivative assets / liabilities, at fair value to their sub-components.</w:t>
      </w:r>
    </w:p>
    <w:p>
      <w:pPr>
        <w:ind w:left="660" w:right="160" w:hanging="328"/>
        <w:spacing w:after="0" w:line="255"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cash and securities pledged / received as collateral, at fair value. Amounts include repledged collateral. Amounts presented are limited to collateral pledged sufficient to reduce the net amount to zero for individual counterparties, as applicable.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17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determine the fair value of our financial instruments based on our estimate of the price that would be received to sell the asset or paid to transfer the liability in an orderly transaction between market participants at the measurement date. We typically obtain price estimates from multiple third-party pricing services and dealers or, if applicable, the clearing exchange (see Note 3 for further details.) We utilize a three-level valuation hierarchy for disclosure of fair value measurements. The valuation hierarchy is based upon the transparency of inputs to the valuation of an asset or liability as of the measurement date. A financial instrument's categorization within the hierarchy is based upon the lowest level of input that is significant to the fair value measurement.</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three levels of valuation hierarchy are defined as follows:</w:t>
      </w:r>
    </w:p>
    <w:p>
      <w:pPr>
        <w:spacing w:after="0" w:line="171"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unrestricted assets and liabilities in active markets that are accessible at the measurement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968" w:right="239" w:bottom="1440" w:gutter="0" w:footer="0" w:header="0"/>
        </w:sectPr>
      </w:pPr>
    </w:p>
    <w:bookmarkStart w:id="21" w:name="page22"/>
    <w:bookmarkEnd w:id="21"/>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Level 3 Inputs —Instruments with primarily unobservable market data that cannot be corroborated.</w:t>
      </w:r>
    </w:p>
    <w:p>
      <w:pPr>
        <w:spacing w:after="0" w:line="171" w:lineRule="exact"/>
        <w:rPr>
          <w:sz w:val="20"/>
          <w:szCs w:val="20"/>
          <w:color w:val="auto"/>
        </w:rPr>
      </w:pPr>
    </w:p>
    <w:p>
      <w:pPr>
        <w:jc w:val="both"/>
        <w:ind w:left="60" w:firstLine="432"/>
        <w:spacing w:after="0" w:line="259" w:lineRule="auto"/>
        <w:rPr>
          <w:sz w:val="20"/>
          <w:szCs w:val="20"/>
          <w:color w:val="auto"/>
        </w:rPr>
      </w:pPr>
      <w:r>
        <w:rPr>
          <w:rFonts w:ascii="Arial" w:cs="Arial" w:eastAsia="Arial" w:hAnsi="Arial"/>
          <w:sz w:val="18"/>
          <w:szCs w:val="18"/>
          <w:color w:val="auto"/>
        </w:rPr>
        <w:t>The availability of observable inputs can vary by instrument and is affected by a wide variety of factors, including the type of instrument, whether the instrument is new and not yet established in the marketplace and other characteristics particular to the instrument. Third-party pricing sources may also use certain unobservable inputs, such as assumptions of future levels of prepayment, defaults and loss severities, especially when estimating fair values for securities with lower levels of recent trading activity.</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make inquiries of third-party pricing sources to understand the significant inputs and assumptions they used to determine their prices.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 would indicate and we cannot obtain an understanding from the third-party source as to the significant inputs used to determine the price.</w:t>
      </w:r>
    </w:p>
    <w:p>
      <w:pPr>
        <w:spacing w:after="0" w:line="12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validation procedures described above also influence our determination of the appropriate fair value measurement categorization. The following table provides a summary of our assets and liabilities that are measured at fair value on a recurring basis as of March 31, 2019 and December 31, 2018 based on their categorization within the valuation hierarchy (in millions). There were no transfers between valuation hierarchy levels during the periods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4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820" w:type="dxa"/>
            <w:vAlign w:val="bottom"/>
          </w:tcPr>
          <w:p>
            <w:pPr>
              <w:jc w:val="right"/>
              <w:ind w:right="20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Agency securities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93,044</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82,291</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Agency securities transferred to consolidated VIEs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Credit risk transfer securities</w:t>
            </w: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Non-Agency securities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U.S. Treasury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Swaptions</w:t>
            </w: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0"/>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83"/>
        </w:trPr>
        <w:tc>
          <w:tcPr>
            <w:tcW w:w="4580" w:type="dxa"/>
            <w:vAlign w:val="bottom"/>
          </w:tcPr>
          <w:p>
            <w:pPr>
              <w:ind w:left="4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95,523</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84,560</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51"/>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2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Debt of consolidated VIEs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163"/>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Obligation to return U.S. Treasury securities borrowed under reverse</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4"/>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repurchase agreements</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19,275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21,431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U.S. Treasury futures</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19,306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21,475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Excluded from the table above are financial instruments, including cash and cash equivalents, restricted cash and cash equivalents, receivables, payables and borrowings under repurchase agreements, which are presented in our consolidated financial statements at cost. The cost basis of these instruments is determined to approximate fair value due to their short duration or, in the case of longer-term repo, due to floating rates of interest based on an index plus or minus a fixed spread which is consistent with fixed spreads demanded in the market. We estimate the fair value of these instruments using "Level 1" or "Level 2" inputs.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9. Net Income Per Common Share</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Basic net income per common share is computed by dividing net income applicable to common stock by the weighted-average number of common shares outstanding and the weighted-average number of vested but not yet issued restricted stock units and performance share units outstanding for the respective period. Diluted earnings per common share includes the impact of dilutive potential common shares outstanding during the period using the treasury stock method. Dilutive potential common shares outstanding include unvested restricted stock units and performance share units granted under our long-term incentive program to employees and non-employee Board of Directors. The following table presents the computations of basic and diluted net income per common share for the periods indicated (shares and dollars in millions):</w:t>
      </w:r>
    </w:p>
    <w:p>
      <w:pPr>
        <w:spacing w:after="0" w:line="212"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13335</wp:posOffset>
            </wp:positionV>
            <wp:extent cx="1235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87"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r>
      <w:tr>
        <w:trPr>
          <w:trHeight w:val="256"/>
        </w:trPr>
        <w:tc>
          <w:tcPr>
            <w:tcW w:w="8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number of common shares issued and outstanding</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391.3</w:t>
            </w:r>
          </w:p>
        </w:tc>
      </w:tr>
      <w:tr>
        <w:trPr>
          <w:trHeight w:val="264"/>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Weighted average number of fully vested restricted stock units and performance share units outstanding</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8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number of common shares outstanding - basic</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391.3</w:t>
            </w:r>
          </w:p>
        </w:tc>
      </w:tr>
      <w:tr>
        <w:trPr>
          <w:trHeight w:val="264"/>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Weighted average number of dilutive unvested restricted stock units and performance share units outstanding</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r>
      <w:tr>
        <w:trPr>
          <w:trHeight w:val="24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Weighted average number of common shares outstanding - diluted</w:t>
            </w: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391.5</w:t>
            </w: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0"/>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available to common stockholders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w:t>
            </w:r>
          </w:p>
        </w:tc>
      </w:tr>
      <w:tr>
        <w:trPr>
          <w:trHeight w:val="21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per common share - basic</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0"/>
        </w:trPr>
        <w:tc>
          <w:tcPr>
            <w:tcW w:w="8320" w:type="dxa"/>
            <w:vAlign w:val="bottom"/>
          </w:tcPr>
          <w:p>
            <w:pPr>
              <w:ind w:left="40"/>
              <w:spacing w:after="0"/>
              <w:rPr>
                <w:sz w:val="20"/>
                <w:szCs w:val="20"/>
                <w:color w:val="auto"/>
              </w:rPr>
            </w:pPr>
            <w:r>
              <w:rPr>
                <w:rFonts w:ascii="Arial" w:cs="Arial" w:eastAsia="Arial" w:hAnsi="Arial"/>
                <w:sz w:val="14"/>
                <w:szCs w:val="14"/>
                <w:color w:val="auto"/>
              </w:rPr>
              <w:t>Net income per common share - diluted</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w:t>
            </w: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are authorized to designate and issue up to 10.0 million shares of preferred stock in one or more classes or series. As of March 31, 2019 and December 31, 2018, 8,050 shares were designated as 7.750% Series B Cumulative Redeemable Preferred Stock ("Series B Preferred Stock") and 13,800 shares were designated as 7.00% Series C Fixed-to-Floating Rate Cumulative Redeemable Preferred Stock ("Series C Preferred Stock"). During March 2019, we designated an additional 9,400 shares as 6.875% Series D Fixed-to-Floating Rate Cumulative Redeemable Preferred Stock ("Series D Preferred Stock"). Each share of Series B, C, and D Preferred Stock is represented by 1,000 depositary shares.</w:t>
      </w:r>
    </w:p>
    <w:p>
      <w:pPr>
        <w:spacing w:after="0" w:line="11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ranks on parity with each other. Under certain circumstances upon a change of control, our preferred stock is convertible to shares of our common stock. Holders of our preferred stock and depository shares underlying our preferred stock have no voting rights, except under limited conditions. Beginning on each series' optional redemption date, such shares will be redeemable at $25.00 per depositary share, plus accumulated and unpaid dividends (whether or not declared), exclusively at our option.</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our preferred stock issued and outstanding as of March 31, 2019 (dollars and shares in millions):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Depository</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Fixed-to-Floating</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Issued</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0"/>
              <w:spacing w:after="0" w:line="149" w:lineRule="exact"/>
              <w:rPr>
                <w:sz w:val="20"/>
                <w:szCs w:val="20"/>
                <w:color w:val="auto"/>
              </w:rPr>
            </w:pPr>
            <w:r>
              <w:rPr>
                <w:rFonts w:ascii="Arial" w:cs="Arial" w:eastAsia="Arial" w:hAnsi="Arial"/>
                <w:sz w:val="14"/>
                <w:szCs w:val="14"/>
                <w:b w:val="1"/>
                <w:bCs w:val="1"/>
                <w:color w:val="auto"/>
                <w:w w:val="86"/>
              </w:rPr>
              <w:t>Aggregate</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Optional</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Rate</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Issuance</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and</w:t>
            </w:r>
          </w:p>
        </w:tc>
        <w:tc>
          <w:tcPr>
            <w:tcW w:w="18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900" w:type="dxa"/>
            <w:vAlign w:val="bottom"/>
          </w:tcPr>
          <w:p>
            <w:pPr>
              <w:jc w:val="center"/>
              <w:ind w:right="50"/>
              <w:spacing w:after="0" w:line="149" w:lineRule="exact"/>
              <w:rPr>
                <w:sz w:val="20"/>
                <w:szCs w:val="20"/>
                <w:color w:val="auto"/>
              </w:rPr>
            </w:pPr>
            <w:r>
              <w:rPr>
                <w:rFonts w:ascii="Arial" w:cs="Arial" w:eastAsia="Arial" w:hAnsi="Arial"/>
                <w:sz w:val="14"/>
                <w:szCs w:val="14"/>
                <w:b w:val="1"/>
                <w:bCs w:val="1"/>
                <w:color w:val="auto"/>
                <w:w w:val="92"/>
              </w:rPr>
              <w:t>Liquidation</w:t>
            </w: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Fixed</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Redemption</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Conversion</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Floating</w:t>
            </w:r>
          </w:p>
        </w:tc>
        <w:tc>
          <w:tcPr>
            <w:tcW w:w="0" w:type="dxa"/>
            <w:vAlign w:val="bottom"/>
          </w:tcPr>
          <w:p>
            <w:pPr>
              <w:spacing w:after="0"/>
              <w:rPr>
                <w:sz w:val="1"/>
                <w:szCs w:val="1"/>
                <w:color w:val="auto"/>
              </w:rPr>
            </w:pPr>
          </w:p>
        </w:tc>
      </w:tr>
      <w:tr>
        <w:trPr>
          <w:trHeight w:val="188"/>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88"/>
              </w:rPr>
              <w:t>Preference</w:t>
            </w:r>
          </w:p>
        </w:tc>
        <w:tc>
          <w:tcPr>
            <w:tcW w:w="1000" w:type="dxa"/>
            <w:vAlign w:val="bottom"/>
            <w:tcBorders>
              <w:bottom w:val="single" w:sz="8" w:color="auto"/>
            </w:tcBorders>
          </w:tcPr>
          <w:p>
            <w:pPr>
              <w:jc w:val="center"/>
              <w:ind w:left="50"/>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xml:space="preserve">Date </w:t>
            </w:r>
            <w:r>
              <w:rPr>
                <w:rFonts w:ascii="Arial" w:cs="Arial" w:eastAsia="Arial" w:hAnsi="Arial"/>
                <w:sz w:val="11"/>
                <w:szCs w:val="11"/>
                <w:b w:val="1"/>
                <w:bCs w:val="1"/>
                <w:color w:val="auto"/>
                <w:w w:val="89"/>
              </w:rPr>
              <w:t>2</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Annual Rate</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960" w:type="dxa"/>
            <w:vAlign w:val="bottom"/>
            <w:gridSpan w:val="2"/>
          </w:tcPr>
          <w:p>
            <w:pPr>
              <w:ind w:left="180"/>
              <w:spacing w:after="0"/>
              <w:rPr>
                <w:sz w:val="20"/>
                <w:szCs w:val="20"/>
                <w:color w:val="auto"/>
              </w:rPr>
            </w:pPr>
            <w:r>
              <w:rPr>
                <w:rFonts w:ascii="Arial" w:cs="Arial" w:eastAsia="Arial" w:hAnsi="Arial"/>
                <w:sz w:val="14"/>
                <w:szCs w:val="14"/>
                <w:color w:val="auto"/>
              </w:rPr>
              <w:t>Series B</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May 8, 2014</w:t>
            </w: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8"/>
                <w:szCs w:val="18"/>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175</w:t>
            </w:r>
          </w:p>
        </w:tc>
        <w:tc>
          <w:tcPr>
            <w:tcW w:w="1000" w:type="dxa"/>
            <w:vAlign w:val="bottom"/>
          </w:tcPr>
          <w:p>
            <w:pPr>
              <w:jc w:val="center"/>
              <w:ind w:left="30"/>
              <w:spacing w:after="0"/>
              <w:rPr>
                <w:sz w:val="20"/>
                <w:szCs w:val="20"/>
                <w:color w:val="auto"/>
              </w:rPr>
            </w:pPr>
            <w:r>
              <w:rPr>
                <w:rFonts w:ascii="Arial" w:cs="Arial" w:eastAsia="Arial" w:hAnsi="Arial"/>
                <w:sz w:val="14"/>
                <w:szCs w:val="14"/>
                <w:color w:val="auto"/>
                <w:w w:val="88"/>
              </w:rPr>
              <w:t>7.750%</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May 8, 2019</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124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53"/>
        </w:trPr>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Fixed-to-Floating Rate </w:t>
            </w:r>
            <w:r>
              <w:rPr>
                <w:rFonts w:ascii="Arial" w:cs="Arial" w:eastAsia="Arial" w:hAnsi="Arial"/>
                <w:sz w:val="11"/>
                <w:szCs w:val="11"/>
                <w:b w:val="1"/>
                <w:bCs w:val="1"/>
                <w:color w:val="auto"/>
              </w:rPr>
              <w:t>1</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1960" w:type="dxa"/>
            <w:vAlign w:val="bottom"/>
            <w:gridSpan w:val="2"/>
            <w:vMerge w:val="restart"/>
          </w:tcPr>
          <w:p>
            <w:pPr>
              <w:ind w:left="180"/>
              <w:spacing w:after="0"/>
              <w:rPr>
                <w:sz w:val="20"/>
                <w:szCs w:val="20"/>
                <w:color w:val="auto"/>
              </w:rPr>
            </w:pPr>
            <w:r>
              <w:rPr>
                <w:rFonts w:ascii="Arial" w:cs="Arial" w:eastAsia="Arial" w:hAnsi="Arial"/>
                <w:sz w:val="14"/>
                <w:szCs w:val="14"/>
                <w:color w:val="auto"/>
              </w:rPr>
              <w:t>Series C</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0"/>
              </w:rPr>
              <w:t>August 22, 2017</w:t>
            </w:r>
          </w:p>
        </w:tc>
        <w:tc>
          <w:tcPr>
            <w:tcW w:w="1040" w:type="dxa"/>
            <w:vAlign w:val="bottom"/>
            <w:vMerge w:val="restart"/>
          </w:tcPr>
          <w:p>
            <w:pPr>
              <w:jc w:val="right"/>
              <w:ind w:right="50"/>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rPr>
              <w:t>325</w:t>
            </w:r>
          </w:p>
        </w:tc>
        <w:tc>
          <w:tcPr>
            <w:tcW w:w="1000" w:type="dxa"/>
            <w:vAlign w:val="bottom"/>
            <w:vMerge w:val="restart"/>
          </w:tcPr>
          <w:p>
            <w:pPr>
              <w:jc w:val="center"/>
              <w:ind w:left="30"/>
              <w:spacing w:after="0"/>
              <w:rPr>
                <w:sz w:val="20"/>
                <w:szCs w:val="20"/>
                <w:color w:val="auto"/>
              </w:rPr>
            </w:pPr>
            <w:r>
              <w:rPr>
                <w:rFonts w:ascii="Arial" w:cs="Arial" w:eastAsia="Arial" w:hAnsi="Arial"/>
                <w:sz w:val="14"/>
                <w:szCs w:val="14"/>
                <w:color w:val="auto"/>
                <w:w w:val="88"/>
              </w:rPr>
              <w:t>7.000%</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8"/>
              </w:rPr>
              <w:t>October 15, 2022</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8"/>
              </w:rPr>
              <w:t>October 15, 2022</w:t>
            </w:r>
          </w:p>
        </w:tc>
        <w:tc>
          <w:tcPr>
            <w:tcW w:w="1240" w:type="dxa"/>
            <w:vAlign w:val="bottom"/>
          </w:tcPr>
          <w:p>
            <w:pPr>
              <w:jc w:val="center"/>
              <w:spacing w:after="0"/>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97"/>
        </w:trPr>
        <w:tc>
          <w:tcPr>
            <w:tcW w:w="1960" w:type="dxa"/>
            <w:vAlign w:val="bottom"/>
            <w:gridSpan w:val="2"/>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88"/>
              </w:rPr>
              <w:t>5.111%</w:t>
            </w:r>
          </w:p>
        </w:tc>
        <w:tc>
          <w:tcPr>
            <w:tcW w:w="0" w:type="dxa"/>
            <w:vAlign w:val="bottom"/>
          </w:tcPr>
          <w:p>
            <w:pPr>
              <w:spacing w:after="0"/>
              <w:rPr>
                <w:sz w:val="1"/>
                <w:szCs w:val="1"/>
                <w:color w:val="auto"/>
              </w:rPr>
            </w:pPr>
          </w:p>
        </w:tc>
      </w:tr>
      <w:tr>
        <w:trPr>
          <w:trHeight w:val="87"/>
        </w:trPr>
        <w:tc>
          <w:tcPr>
            <w:tcW w:w="1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196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rPr>
              <w:t>Series D</w:t>
            </w:r>
          </w:p>
        </w:tc>
        <w:tc>
          <w:tcPr>
            <w:tcW w:w="12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9"/>
              </w:rPr>
              <w:t>March 6, 2019</w:t>
            </w:r>
          </w:p>
        </w:tc>
        <w:tc>
          <w:tcPr>
            <w:tcW w:w="10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235</w:t>
            </w:r>
          </w:p>
        </w:tc>
        <w:tc>
          <w:tcPr>
            <w:tcW w:w="1000" w:type="dxa"/>
            <w:vAlign w:val="bottom"/>
            <w:vMerge w:val="restart"/>
            <w:shd w:val="clear" w:color="auto" w:fill="CCEEFF"/>
          </w:tcPr>
          <w:p>
            <w:pPr>
              <w:jc w:val="center"/>
              <w:ind w:left="30"/>
              <w:spacing w:after="0"/>
              <w:rPr>
                <w:sz w:val="20"/>
                <w:szCs w:val="20"/>
                <w:color w:val="auto"/>
              </w:rPr>
            </w:pPr>
            <w:r>
              <w:rPr>
                <w:rFonts w:ascii="Arial" w:cs="Arial" w:eastAsia="Arial" w:hAnsi="Arial"/>
                <w:sz w:val="14"/>
                <w:szCs w:val="14"/>
                <w:color w:val="auto"/>
                <w:w w:val="88"/>
              </w:rPr>
              <w:t>6.875%</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2"/>
              </w:rPr>
              <w:t>April 15, 2024</w:t>
            </w:r>
          </w:p>
        </w:tc>
        <w:tc>
          <w:tcPr>
            <w:tcW w:w="12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4"/>
              </w:rPr>
              <w:t>April 15, 2024</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97"/>
        </w:trPr>
        <w:tc>
          <w:tcPr>
            <w:tcW w:w="1960" w:type="dxa"/>
            <w:vAlign w:val="bottom"/>
            <w:gridSpan w:val="2"/>
            <w:vMerge w:val="continue"/>
            <w:shd w:val="clear" w:color="auto" w:fill="CCEEFF"/>
          </w:tcPr>
          <w:p>
            <w:pPr>
              <w:spacing w:after="0"/>
              <w:rPr>
                <w:sz w:val="8"/>
                <w:szCs w:val="8"/>
                <w:color w:val="auto"/>
              </w:rPr>
            </w:pPr>
          </w:p>
        </w:tc>
        <w:tc>
          <w:tcPr>
            <w:tcW w:w="1280" w:type="dxa"/>
            <w:vAlign w:val="bottom"/>
            <w:gridSpan w:val="2"/>
            <w:vMerge w:val="continue"/>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4.332%</w:t>
            </w:r>
          </w:p>
        </w:tc>
        <w:tc>
          <w:tcPr>
            <w:tcW w:w="0" w:type="dxa"/>
            <w:vAlign w:val="bottom"/>
          </w:tcPr>
          <w:p>
            <w:pPr>
              <w:spacing w:after="0"/>
              <w:rPr>
                <w:sz w:val="1"/>
                <w:szCs w:val="1"/>
                <w:color w:val="auto"/>
              </w:rPr>
            </w:pPr>
          </w:p>
        </w:tc>
      </w:tr>
      <w:tr>
        <w:trPr>
          <w:trHeight w:val="87"/>
        </w:trPr>
        <w:tc>
          <w:tcPr>
            <w:tcW w:w="1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196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17"/>
                <w:szCs w:val="17"/>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711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735</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24765</wp:posOffset>
            </wp:positionV>
            <wp:extent cx="211836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18360" cy="2603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55"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Fixed-to-floating rate redeemable preferred stock accrue dividends at a annual fixed rate of the $25.00 liquidation preference per depository share from the issuance date up to, but not including, the fixed-to-floating rate conversion date; thereafter, dividends will accrue on a floating rate basis equal to 3 month LIBOR plus a fixed spread.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3" w:name="page24"/>
    <w:bookmarkEnd w:id="23"/>
    <w:p>
      <w:pPr>
        <w:ind w:left="660" w:hanging="328"/>
        <w:spacing w:after="0"/>
        <w:tabs>
          <w:tab w:leader="none" w:pos="6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Shares may be redeemed prior to our optional redemption date under certain circumstances intended to preserve our qualification as a REIT for U.S federal income tax purposes.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are authorized by our Board of Directors to enter into agreements with sales agents to publicly offer and sell shares of our common stock in privately negotiated and/or at-the-market transactions from time-to-time up to a maximum aggregate offering price of our common stock through June 14, 2021. During the quarter ended March 31, 2019, we did not sell shares of our common stock under the sales agreements. As of March 31, 2019, shares of our common stock with an aggregate offering price of $660 million remained authorized for issuance under this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changes to accumulated OCI for the three months ended March 31, 2019 and 2018 (in millions):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w w:val="94"/>
              </w:rPr>
              <w:t>Three Months Ended March</w:t>
            </w:r>
          </w:p>
        </w:tc>
      </w:tr>
      <w:tr>
        <w:trPr>
          <w:trHeight w:val="192"/>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2"/>
              </w:rPr>
              <w:t>31,</w:t>
            </w:r>
          </w:p>
        </w:tc>
        <w:tc>
          <w:tcPr>
            <w:tcW w:w="740" w:type="dxa"/>
            <w:vAlign w:val="bottom"/>
            <w:tcBorders>
              <w:bottom w:val="single" w:sz="8" w:color="auto"/>
            </w:tcBorders>
          </w:tcPr>
          <w:p>
            <w:pPr>
              <w:spacing w:after="0"/>
              <w:rPr>
                <w:sz w:val="16"/>
                <w:szCs w:val="16"/>
                <w:color w:val="auto"/>
              </w:rPr>
            </w:pPr>
          </w:p>
        </w:tc>
      </w:tr>
      <w:tr>
        <w:trPr>
          <w:trHeight w:val="264"/>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r>
      <w:tr>
        <w:trPr>
          <w:trHeight w:val="250"/>
        </w:trPr>
        <w:tc>
          <w:tcPr>
            <w:tcW w:w="5740" w:type="dxa"/>
            <w:vAlign w:val="bottom"/>
            <w:gridSpan w:val="2"/>
          </w:tcPr>
          <w:p>
            <w:pPr>
              <w:ind w:left="20"/>
              <w:spacing w:after="0"/>
              <w:rPr>
                <w:sz w:val="20"/>
                <w:szCs w:val="20"/>
                <w:color w:val="auto"/>
              </w:rPr>
            </w:pPr>
            <w:r>
              <w:rPr>
                <w:rFonts w:ascii="Arial" w:cs="Arial" w:eastAsia="Arial" w:hAnsi="Arial"/>
                <w:sz w:val="14"/>
                <w:szCs w:val="14"/>
                <w:b w:val="1"/>
                <w:bCs w:val="1"/>
                <w:color w:val="auto"/>
              </w:rPr>
              <w:t>Beginning Balance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(943)</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(345)</w:t>
            </w:r>
          </w:p>
        </w:tc>
      </w:tr>
      <w:tr>
        <w:trPr>
          <w:trHeight w:val="276"/>
        </w:trPr>
        <w:tc>
          <w:tcPr>
            <w:tcW w:w="57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OCI before reclassifications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r>
      <w:tr>
        <w:trPr>
          <w:trHeight w:val="157"/>
        </w:trPr>
        <w:tc>
          <w:tcPr>
            <w:tcW w:w="574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(Gain) loss amounts for available-for-sale securities reclassified from accumulated OCI to</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8"/>
        </w:trPr>
        <w:tc>
          <w:tcPr>
            <w:tcW w:w="57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realized gain (loss) on sale of investment securities</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43"/>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April 10, 2019, our Board of Directors declared a monthly dividend of $0.18 per common share payable on May 9, 2019 to common stockholders of record as of April 30, 2019.</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March 31, 2019. Our MD&amp;A is presented in six sections:</w:t>
      </w:r>
    </w:p>
    <w:p>
      <w:pPr>
        <w:spacing w:after="0" w:line="5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are an internally-managed Real Estate Investment Trust ("REIT"). We commenced operations on May 20, 2008 following the completion of our initial public offering. Our common stock is traded on The Nasdaq Global Select Market under the symbol "AGNC."</w:t>
      </w:r>
    </w:p>
    <w:p>
      <w:pPr>
        <w:spacing w:after="0" w:line="11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As a REIT, we are required to distribute annually 90% of our taxable income. As a REIT, we will generally not be subject to U.S. federal or state corporate taxes on our taxable income to the extent that we distribute all our annual taxable income to our stockholders on a timely basis. It is our intention to distribute 100% of our taxable income within the time limits prescribed by the Internal Revenue Code, which may extend into the subsequent taxable year.</w:t>
      </w:r>
    </w:p>
    <w:p>
      <w:pPr>
        <w:spacing w:after="0" w:line="9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Federal National Mortgage Association ("Fannie Mae") and Federal Home Loan Mortgage Corporation ("Freddie Mac," and together with Fannie Mae, the "GSEs"), or by a U.S. Government agency, such as Government National Mortgage Association ("Ginnie Mae"). We also invest in other types of mortgage and mortgage-related residential and commercial mortgage-backed securities where repayment of principal and interest is not guaranteed by a GSE or U.S. Government agency and in other investments in, or related to, the housing, mortgage or real estate markets.</w:t>
      </w:r>
    </w:p>
    <w:p>
      <w:pPr>
        <w:spacing w:after="0" w:line="11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 We fund our investments primarily through borrowings structured as repurchase agreements.</w:t>
      </w:r>
    </w:p>
    <w:p>
      <w:pPr>
        <w:spacing w:after="0" w:line="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size and composition of our investment portfolio depends on the investment strategies we implement, availability of attractively priced investments, suitable financing to appropriately leverage our investment portfolio and overall market conditions.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Recent Market Impacts</w:t>
      </w:r>
    </w:p>
    <w:p>
      <w:pPr>
        <w:spacing w:after="0" w:line="31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Following the challenging market conditions experienced in the fourth quarter of 2018, financial markets rebounded in the first quarter of 2019, with the S&amp;P 500 recovering almost the entirety of its fourth quarter decline as investor sentiment improved markedly. Weaker domestic and international economic growth, coupled with benign inflation indicators, led the Federal Reserve to adopt a more neutral monetary policy stance during the first quarter, signaling that further increases to the Federal Funds rate were unlikely in 2019. The Federal Reserve also announced that it would suspend the runoff of its U.S. Treasury portfolio in September 2019, thus maintaining a larger balance sheet than the market previously expected. In response, interest rates decreased materially during the first quarter, with the 10-year U.S. Treasury rate declining 28 basis points from 2.69% as of December 31, 2018 to 2.41% as of March 31, 2019. Agency RMBS posted a strong first quarter, as valuations benefited from the decline in interest rate volatility and the outperformance of specified mortgage securities with favorable prepayment characteristics. Credit assets also performed well during the quarter with the improvement in investor sentiment, recovering much of the valuation declines experienced in the fourth quarter of 2018.</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sectPr>
      </w:pPr>
    </w:p>
    <w:bookmarkStart w:id="25" w:name="page26"/>
    <w:bookmarkEnd w:id="25"/>
    <w:p>
      <w:pPr>
        <w:jc w:val="both"/>
        <w:ind w:firstLine="405"/>
        <w:spacing w:after="0" w:line="287" w:lineRule="auto"/>
        <w:rPr>
          <w:sz w:val="20"/>
          <w:szCs w:val="20"/>
          <w:color w:val="auto"/>
        </w:rPr>
      </w:pPr>
      <w:r>
        <w:rPr>
          <w:rFonts w:ascii="Arial" w:cs="Arial" w:eastAsia="Arial" w:hAnsi="Arial"/>
          <w:sz w:val="16"/>
          <w:szCs w:val="16"/>
          <w:color w:val="auto"/>
        </w:rPr>
        <w:t>The outperformance of our Agency RMBS portfolio relative to interest rate hedges during the first quarter of 2019 led to our total comprehensive income of $1.22 per common share for the quarter. Our economic return on tangible common equity was 7.3% (unannualized) for the quarter, comprised of the $0.67 increase in our tangible net book value per common share and $0.54 per share of common dividends declared during the quarter. During the first quarter, funding costs remained elevated as the prior year-end funding levels persisted through much of the quarter, despite the Fed’s revised outlook and dovish tone. The favorable funding dynamic between Agency RMBS repo and 3-month LIBOR experienced throughout 2018 also abated during the quarter, further negatively impacting our funding costs. In addition, given the sizable decline in interest rates over the last two quarters, our projected lifetime CPR estimates increased during the first quarter, thus leading us to recognize greater premium amortization expense into current period earnings. These factors resulted in a decline in our net interest spread for the first quarter. Although Agency RMBS return expectations are somewhat lower now, we believe that a more stable rate environment should significantly reduce the likelihood that returns will be adversely impacted by interest rate volatility. Consistent with the lower return environment, we anticipate reducing our monthly common stock dividend to $0.16 per share, or $0.48 per share per quarter, beginning with the dividend to be declared in May 2019, subject to the discretion and approval of our Board of Directors.</w:t>
      </w:r>
    </w:p>
    <w:p>
      <w:pPr>
        <w:spacing w:after="0" w:line="11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"at risk" leverage ratio was 9.4x our tangible equity as of March 31, 2019, up from 9.0x as of December 31, 2018. Consistent with higher leverage and the deployment of proceeds from our March 2019 preferred stock equity offering, our investment portfolio increased to $102.2 billion, inclusive of TBAs, as of March 31, 2019 from $91.6 billion as of December 31, 2018.</w:t>
      </w:r>
    </w:p>
    <w:p>
      <w:pPr>
        <w:spacing w:after="0" w:line="12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average cost of our repurchase agreement funding increased to 2.64% for the first quarter, compared to 2.42% for the fourth quarter of 2018. Our total cost of funds, which includes the cost of our repurchase agreements, the implied funding costs of our TBA securities and the cost/benefit of our interest rate swap hedges, increased by 18 basis points to an average of 2.27% for the first quarter, compared to 2.09% for the fourth quarter of 2018.</w:t>
      </w:r>
    </w:p>
    <w:p>
      <w:pPr>
        <w:spacing w:after="0" w:line="9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Our average asset yield, including the implied yield on our TBA assets and excluding "catch-up" premium amortization cost associated with changes in our CPR forecast, increased 7 basis points to 3.33% for the first quarter 2019, from 3.26% for the fourth quarter of 2018, largely due to investments in higher yielding Agency securities. Notwithstanding the sequential increase, our average asset yield, excluding of “catch-up” amortization, for the first quarter was negatively impacted by higher prepayment expectations as our forecasted CPR increased to 10.5% as of March 31, 2019 from 7.9% as of December 31, 2018.</w:t>
      </w:r>
    </w:p>
    <w:p>
      <w:pPr>
        <w:spacing w:after="0" w:line="10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net interest spread, which represents the difference between our asset yield and our cost of funds (excluding “catch-up” amortization and including TBA securities), was 1.06% for the first quarter of 2019, compared to 1.17% for fourth quarter of 2018.</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During the first quarter, we reduced our interest rate hedge portfolio to 77% of our funding liabilities, from 94% as of December 31, 2018. The reduction in our hedge position was in line with the contraction of our asset duration resulting from lower rates and a more benign short-term rate outlook. For additional information regarding our interest rate and spread sensitivity please refer to Item 3.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of this Form 10-Q.</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3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interest rates and prices of generic fixed rate Agency RMBS as of each date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 31,</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June 30,</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 30,</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 31,</w:t>
            </w: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Mar. 31,</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Mar. 31, 2019</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6"/>
              </w:rPr>
              <w:t>vs</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 31, 2018</w:t>
            </w: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LIBOR:</w:t>
            </w: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60" w:type="dxa"/>
            <w:vAlign w:val="bottom"/>
            <w:gridSpan w:val="2"/>
          </w:tcPr>
          <w:p>
            <w:pPr>
              <w:ind w:left="200"/>
              <w:spacing w:after="0"/>
              <w:rPr>
                <w:sz w:val="20"/>
                <w:szCs w:val="20"/>
                <w:color w:val="auto"/>
              </w:rPr>
            </w:pPr>
            <w:r>
              <w:rPr>
                <w:rFonts w:ascii="Arial" w:cs="Arial" w:eastAsia="Arial" w:hAnsi="Arial"/>
                <w:sz w:val="14"/>
                <w:szCs w:val="14"/>
                <w:color w:val="auto"/>
              </w:rPr>
              <w:t>1-Month</w:t>
            </w: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1.88%</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2.09%</w:t>
            </w:r>
          </w:p>
        </w:tc>
        <w:tc>
          <w:tcPr>
            <w:tcW w:w="1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2.26%</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2.50%</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2.49%</w:t>
            </w:r>
          </w:p>
        </w:tc>
        <w:tc>
          <w:tcPr>
            <w:tcW w:w="100" w:type="dxa"/>
            <w:vAlign w:val="bottom"/>
          </w:tcPr>
          <w:p>
            <w:pPr>
              <w:spacing w:after="0"/>
              <w:rPr>
                <w:sz w:val="22"/>
                <w:szCs w:val="22"/>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-0.01 bps</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3-Month</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2.31%</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2.34%</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2.40%</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2.81%</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2.60%</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-0.21 bps</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b w:val="1"/>
                <w:bCs w:val="1"/>
                <w:color w:val="auto"/>
              </w:rPr>
              <w:t>U.S. Treasury Security Rate:</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2-Year U.S. Treasury</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2.27%</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2.53%</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2.82%</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2.49%</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2.27%</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-0.22 bps</w:t>
            </w:r>
          </w:p>
        </w:tc>
        <w:tc>
          <w:tcPr>
            <w:tcW w:w="0" w:type="dxa"/>
            <w:vAlign w:val="bottom"/>
          </w:tcPr>
          <w:p>
            <w:pPr>
              <w:spacing w:after="0"/>
              <w:rPr>
                <w:sz w:val="1"/>
                <w:szCs w:val="1"/>
                <w:color w:val="auto"/>
              </w:rPr>
            </w:pPr>
          </w:p>
        </w:tc>
      </w:tr>
      <w:tr>
        <w:trPr>
          <w:trHeight w:val="264"/>
        </w:trPr>
        <w:tc>
          <w:tcPr>
            <w:tcW w:w="4360" w:type="dxa"/>
            <w:vAlign w:val="bottom"/>
            <w:gridSpan w:val="2"/>
          </w:tcPr>
          <w:p>
            <w:pPr>
              <w:ind w:left="200"/>
              <w:spacing w:after="0"/>
              <w:rPr>
                <w:sz w:val="20"/>
                <w:szCs w:val="20"/>
                <w:color w:val="auto"/>
              </w:rPr>
            </w:pPr>
            <w:r>
              <w:rPr>
                <w:rFonts w:ascii="Arial" w:cs="Arial" w:eastAsia="Arial" w:hAnsi="Arial"/>
                <w:sz w:val="14"/>
                <w:szCs w:val="14"/>
                <w:color w:val="auto"/>
              </w:rPr>
              <w:t>5-Year U.S. Treasury</w:t>
            </w: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2.57%</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2.73%</w:t>
            </w:r>
          </w:p>
        </w:tc>
        <w:tc>
          <w:tcPr>
            <w:tcW w:w="1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2.95%</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2.51%</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2.24%</w:t>
            </w:r>
          </w:p>
        </w:tc>
        <w:tc>
          <w:tcPr>
            <w:tcW w:w="100" w:type="dxa"/>
            <w:vAlign w:val="bottom"/>
          </w:tcPr>
          <w:p>
            <w:pPr>
              <w:spacing w:after="0"/>
              <w:rPr>
                <w:sz w:val="22"/>
                <w:szCs w:val="22"/>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-0.27 bps</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10-Year U.S. Treasury</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2.74%</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2.85%</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3.06%</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2.69%</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2.41%</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-0.28 bps</w:t>
            </w:r>
          </w:p>
        </w:tc>
        <w:tc>
          <w:tcPr>
            <w:tcW w:w="0" w:type="dxa"/>
            <w:vAlign w:val="bottom"/>
          </w:tcPr>
          <w:p>
            <w:pPr>
              <w:spacing w:after="0"/>
              <w:rPr>
                <w:sz w:val="1"/>
                <w:szCs w:val="1"/>
                <w:color w:val="auto"/>
              </w:rPr>
            </w:pPr>
          </w:p>
        </w:tc>
      </w:tr>
      <w:tr>
        <w:trPr>
          <w:trHeight w:val="264"/>
        </w:trPr>
        <w:tc>
          <w:tcPr>
            <w:tcW w:w="4360" w:type="dxa"/>
            <w:vAlign w:val="bottom"/>
            <w:gridSpan w:val="2"/>
          </w:tcPr>
          <w:p>
            <w:pPr>
              <w:ind w:left="200"/>
              <w:spacing w:after="0"/>
              <w:rPr>
                <w:sz w:val="20"/>
                <w:szCs w:val="20"/>
                <w:color w:val="auto"/>
              </w:rPr>
            </w:pPr>
            <w:r>
              <w:rPr>
                <w:rFonts w:ascii="Arial" w:cs="Arial" w:eastAsia="Arial" w:hAnsi="Arial"/>
                <w:sz w:val="14"/>
                <w:szCs w:val="14"/>
                <w:color w:val="auto"/>
              </w:rPr>
              <w:t>30-Year U.S. Treasury</w:t>
            </w: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2.97%</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2.98%</w:t>
            </w:r>
          </w:p>
        </w:tc>
        <w:tc>
          <w:tcPr>
            <w:tcW w:w="1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3.20%</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3.02%</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2.82%</w:t>
            </w:r>
          </w:p>
        </w:tc>
        <w:tc>
          <w:tcPr>
            <w:tcW w:w="100" w:type="dxa"/>
            <w:vAlign w:val="bottom"/>
          </w:tcPr>
          <w:p>
            <w:pPr>
              <w:spacing w:after="0"/>
              <w:rPr>
                <w:sz w:val="22"/>
                <w:szCs w:val="22"/>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-0.20 bps</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Interest Rate Swap Rate:</w:t>
            </w: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60" w:type="dxa"/>
            <w:vAlign w:val="bottom"/>
            <w:gridSpan w:val="2"/>
          </w:tcPr>
          <w:p>
            <w:pPr>
              <w:ind w:left="200"/>
              <w:spacing w:after="0"/>
              <w:rPr>
                <w:sz w:val="20"/>
                <w:szCs w:val="20"/>
                <w:color w:val="auto"/>
              </w:rPr>
            </w:pPr>
            <w:r>
              <w:rPr>
                <w:rFonts w:ascii="Arial" w:cs="Arial" w:eastAsia="Arial" w:hAnsi="Arial"/>
                <w:sz w:val="14"/>
                <w:szCs w:val="14"/>
                <w:color w:val="auto"/>
              </w:rPr>
              <w:t>2-Year Swap</w:t>
            </w: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2.58%</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2.79%</w:t>
            </w:r>
          </w:p>
        </w:tc>
        <w:tc>
          <w:tcPr>
            <w:tcW w:w="1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2.99%</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2.67%</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2.39%</w:t>
            </w:r>
          </w:p>
        </w:tc>
        <w:tc>
          <w:tcPr>
            <w:tcW w:w="100" w:type="dxa"/>
            <w:vAlign w:val="bottom"/>
          </w:tcPr>
          <w:p>
            <w:pPr>
              <w:spacing w:after="0"/>
              <w:rPr>
                <w:sz w:val="22"/>
                <w:szCs w:val="22"/>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-0.28 bps</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5-Year Swap</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2.71%</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2.88%</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2.58%</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2.29%</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-0.29 bps</w:t>
            </w:r>
          </w:p>
        </w:tc>
        <w:tc>
          <w:tcPr>
            <w:tcW w:w="0" w:type="dxa"/>
            <w:vAlign w:val="bottom"/>
          </w:tcPr>
          <w:p>
            <w:pPr>
              <w:spacing w:after="0"/>
              <w:rPr>
                <w:sz w:val="1"/>
                <w:szCs w:val="1"/>
                <w:color w:val="auto"/>
              </w:rPr>
            </w:pPr>
          </w:p>
        </w:tc>
      </w:tr>
      <w:tr>
        <w:trPr>
          <w:trHeight w:val="264"/>
        </w:trPr>
        <w:tc>
          <w:tcPr>
            <w:tcW w:w="4360" w:type="dxa"/>
            <w:vAlign w:val="bottom"/>
            <w:gridSpan w:val="2"/>
          </w:tcPr>
          <w:p>
            <w:pPr>
              <w:ind w:left="200"/>
              <w:spacing w:after="0"/>
              <w:rPr>
                <w:sz w:val="20"/>
                <w:szCs w:val="20"/>
                <w:color w:val="auto"/>
              </w:rPr>
            </w:pPr>
            <w:r>
              <w:rPr>
                <w:rFonts w:ascii="Arial" w:cs="Arial" w:eastAsia="Arial" w:hAnsi="Arial"/>
                <w:sz w:val="14"/>
                <w:szCs w:val="14"/>
                <w:color w:val="auto"/>
              </w:rPr>
              <w:t>10-Year Swap</w:t>
            </w: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2.78%</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2.93%</w:t>
            </w:r>
          </w:p>
        </w:tc>
        <w:tc>
          <w:tcPr>
            <w:tcW w:w="1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3.12%</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2.72%</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2.41%</w:t>
            </w:r>
          </w:p>
        </w:tc>
        <w:tc>
          <w:tcPr>
            <w:tcW w:w="100" w:type="dxa"/>
            <w:vAlign w:val="bottom"/>
          </w:tcPr>
          <w:p>
            <w:pPr>
              <w:spacing w:after="0"/>
              <w:rPr>
                <w:sz w:val="22"/>
                <w:szCs w:val="22"/>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-0.31 bps</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30-Year Swap</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2.82%</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2.93%</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3.13%</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2.85%</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2.58%</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-0.27 bps</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b w:val="1"/>
                <w:bCs w:val="1"/>
                <w:color w:val="auto"/>
              </w:rPr>
              <w:t>30-Year Fixed Rate Agency Price:</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$97.52</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$96.86</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$95.67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$97.54</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$99.55</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64"/>
        </w:trPr>
        <w:tc>
          <w:tcPr>
            <w:tcW w:w="4240" w:type="dxa"/>
            <w:vAlign w:val="bottom"/>
          </w:tcPr>
          <w:p>
            <w:pPr>
              <w:ind w:left="20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$100.20</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$99.52</w:t>
            </w:r>
          </w:p>
        </w:tc>
        <w:tc>
          <w:tcPr>
            <w:tcW w:w="1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3"/>
              </w:rPr>
              <w:t>$98.41</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3"/>
              </w:rPr>
              <w:t>$99.95</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$101.35</w:t>
            </w:r>
          </w:p>
        </w:tc>
        <w:tc>
          <w:tcPr>
            <w:tcW w:w="100" w:type="dxa"/>
            <w:vAlign w:val="bottom"/>
          </w:tcPr>
          <w:p>
            <w:pPr>
              <w:spacing w:after="0"/>
              <w:rPr>
                <w:sz w:val="22"/>
                <w:szCs w:val="22"/>
                <w:color w:val="auto"/>
              </w:rPr>
            </w:pP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$102.61</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$101.96</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$100.97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$101.94</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$102.86</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+$0.92</w:t>
            </w:r>
          </w:p>
        </w:tc>
        <w:tc>
          <w:tcPr>
            <w:tcW w:w="0" w:type="dxa"/>
            <w:vAlign w:val="bottom"/>
          </w:tcPr>
          <w:p>
            <w:pPr>
              <w:spacing w:after="0"/>
              <w:rPr>
                <w:sz w:val="1"/>
                <w:szCs w:val="1"/>
                <w:color w:val="auto"/>
              </w:rPr>
            </w:pPr>
          </w:p>
        </w:tc>
      </w:tr>
      <w:tr>
        <w:trPr>
          <w:trHeight w:val="264"/>
        </w:trPr>
        <w:tc>
          <w:tcPr>
            <w:tcW w:w="4240" w:type="dxa"/>
            <w:vAlign w:val="bottom"/>
          </w:tcPr>
          <w:p>
            <w:pPr>
              <w:ind w:left="20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$104.70</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$104.13</w:t>
            </w:r>
          </w:p>
        </w:tc>
        <w:tc>
          <w:tcPr>
            <w:tcW w:w="1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$103.16</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$103.53</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$104.20</w:t>
            </w:r>
          </w:p>
        </w:tc>
        <w:tc>
          <w:tcPr>
            <w:tcW w:w="100" w:type="dxa"/>
            <w:vAlign w:val="bottom"/>
          </w:tcPr>
          <w:p>
            <w:pPr>
              <w:spacing w:after="0"/>
              <w:rPr>
                <w:sz w:val="22"/>
                <w:szCs w:val="22"/>
                <w:color w:val="auto"/>
              </w:rPr>
            </w:pP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+$0.67</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15-Year Fixed Rate Agency Price:</w:t>
            </w: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20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$97.98</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$97.22</w:t>
            </w:r>
          </w:p>
        </w:tc>
        <w:tc>
          <w:tcPr>
            <w:tcW w:w="1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3"/>
              </w:rPr>
              <w:t>$96.47</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3"/>
              </w:rPr>
              <w:t>$97.70</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3"/>
              </w:rPr>
              <w:t>$99.39</w:t>
            </w:r>
          </w:p>
        </w:tc>
        <w:tc>
          <w:tcPr>
            <w:tcW w:w="100" w:type="dxa"/>
            <w:vAlign w:val="bottom"/>
          </w:tcPr>
          <w:p>
            <w:pPr>
              <w:spacing w:after="0"/>
              <w:rPr>
                <w:sz w:val="22"/>
                <w:szCs w:val="22"/>
                <w:color w:val="auto"/>
              </w:rPr>
            </w:pP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$99.88</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$99.41</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$98.77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$99.80</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$100.89</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64"/>
        </w:trPr>
        <w:tc>
          <w:tcPr>
            <w:tcW w:w="4240" w:type="dxa"/>
            <w:vAlign w:val="bottom"/>
          </w:tcPr>
          <w:p>
            <w:pPr>
              <w:ind w:left="20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$101.94</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$101.16</w:t>
            </w:r>
          </w:p>
        </w:tc>
        <w:tc>
          <w:tcPr>
            <w:tcW w:w="1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$100.51</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$101.23</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$102.28</w:t>
            </w:r>
          </w:p>
        </w:tc>
        <w:tc>
          <w:tcPr>
            <w:tcW w:w="100" w:type="dxa"/>
            <w:vAlign w:val="bottom"/>
          </w:tcPr>
          <w:p>
            <w:pPr>
              <w:spacing w:after="0"/>
              <w:rPr>
                <w:sz w:val="22"/>
                <w:szCs w:val="22"/>
                <w:color w:val="auto"/>
              </w:rPr>
            </w:pP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$102.63</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$102.58</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$101.98</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$102.34</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$103.00</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+$0.66</w:t>
            </w:r>
          </w:p>
        </w:tc>
        <w:tc>
          <w:tcPr>
            <w:tcW w:w="0" w:type="dxa"/>
            <w:vAlign w:val="bottom"/>
          </w:tcPr>
          <w:p>
            <w:pPr>
              <w:spacing w:after="0"/>
              <w:rPr>
                <w:sz w:val="1"/>
                <w:szCs w:val="1"/>
                <w:color w:val="auto"/>
              </w:rPr>
            </w:pPr>
          </w:p>
        </w:tc>
      </w:tr>
      <w:tr>
        <w:trPr>
          <w:trHeight w:val="167"/>
        </w:trPr>
        <w:tc>
          <w:tcPr>
            <w:tcW w:w="4240" w:type="dxa"/>
            <w:vAlign w:val="bottom"/>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660" w:hanging="328"/>
        <w:spacing w:after="0" w:line="273"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is as of 3:00 p.m. (EST) on such date and can vary by source. Prices and interest rates in the table above were obtained from Barclays. LIBOR rates were obtained from Bloomberg.</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As of March 31, 2019 and December 31, 2018, our investment portfolio consisted of $95.3 billion and $84.3 billion of investment securities, at fair value, respectively, and $7.0 billion and $7.3 billion of TBA securities, at fair value, respectively. The following table is a summary of our investment portfolio as of March 31, 2019 and December 31, 2018 (dollars in millions):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March 31, 2019</w:t>
            </w: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2018</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Investment Portfolio (Includes TBAs) </w:t>
            </w:r>
            <w:r>
              <w:rPr>
                <w:rFonts w:ascii="Arial" w:cs="Arial" w:eastAsia="Arial" w:hAnsi="Arial"/>
                <w:sz w:val="8"/>
                <w:szCs w:val="8"/>
                <w:b w:val="1"/>
                <w:bCs w:val="1"/>
                <w:color w:val="auto"/>
              </w:rPr>
              <w:t>1</w:t>
            </w:r>
          </w:p>
        </w:tc>
        <w:tc>
          <w:tcPr>
            <w:tcW w:w="2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3"/>
                <w:szCs w:val="13"/>
                <w:color w:val="auto"/>
              </w:rPr>
            </w:pPr>
          </w:p>
        </w:tc>
        <w:tc>
          <w:tcPr>
            <w:tcW w:w="106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Average</w:t>
            </w: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3"/>
                <w:szCs w:val="13"/>
                <w:color w:val="auto"/>
              </w:rPr>
            </w:pPr>
          </w:p>
        </w:tc>
        <w:tc>
          <w:tcPr>
            <w:tcW w:w="10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Average</w:t>
            </w: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Fixed rate Agency RMBS and TBA securities: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660" w:type="dxa"/>
            <w:vAlign w:val="bottom"/>
            <w:gridSpan w:val="2"/>
          </w:tcPr>
          <w:p>
            <w:pPr>
              <w:ind w:left="160"/>
              <w:spacing w:after="0"/>
              <w:rPr>
                <w:sz w:val="20"/>
                <w:szCs w:val="20"/>
                <w:color w:val="auto"/>
              </w:rPr>
            </w:pPr>
            <w:r>
              <w:rPr>
                <w:rFonts w:ascii="Arial" w:cs="Arial" w:eastAsia="Arial" w:hAnsi="Arial"/>
                <w:sz w:val="14"/>
                <w:szCs w:val="14"/>
                <w:color w:val="auto"/>
              </w:rPr>
              <w:t>≤ 15-year:</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 15-year RMBS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7,205</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7,386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7,294</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15-year TBA securities</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3,432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3,457</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3,635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3,673</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6"/>
        </w:trPr>
        <w:tc>
          <w:tcPr>
            <w:tcW w:w="3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 15-year</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10,646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10,662</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11,021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10,967</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3660" w:type="dxa"/>
            <w:vAlign w:val="bottom"/>
            <w:gridSpan w:val="2"/>
          </w:tcPr>
          <w:p>
            <w:pPr>
              <w:ind w:left="120"/>
              <w:spacing w:after="0"/>
              <w:rPr>
                <w:sz w:val="20"/>
                <w:szCs w:val="20"/>
                <w:color w:val="auto"/>
              </w:rPr>
            </w:pPr>
            <w:r>
              <w:rPr>
                <w:rFonts w:ascii="Arial" w:cs="Arial" w:eastAsia="Arial" w:hAnsi="Arial"/>
                <w:sz w:val="14"/>
                <w:szCs w:val="14"/>
                <w:color w:val="auto"/>
              </w:rPr>
              <w:t>20-year RMBS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761</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778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774</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30-year:</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gridSpan w:val="2"/>
          </w:tcPr>
          <w:p>
            <w:pPr>
              <w:ind w:left="280"/>
              <w:spacing w:after="0"/>
              <w:rPr>
                <w:sz w:val="20"/>
                <w:szCs w:val="20"/>
                <w:color w:val="auto"/>
              </w:rPr>
            </w:pPr>
            <w:r>
              <w:rPr>
                <w:rFonts w:ascii="Arial" w:cs="Arial" w:eastAsia="Arial" w:hAnsi="Arial"/>
                <w:sz w:val="14"/>
                <w:szCs w:val="14"/>
                <w:color w:val="auto"/>
              </w:rPr>
              <w:t>30-year RMBS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84,405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84,536</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83%</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74,883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73,685</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30-year TBA securities</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3,453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3,498</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3,617</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3,649</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Total 30-year</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87,858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88,034</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78,500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77,334</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5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fixed rate Agency RMBS and TBA securities</w:t>
            </w: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99,259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99,457</w:t>
            </w:r>
          </w:p>
        </w:tc>
        <w:tc>
          <w:tcPr>
            <w:tcW w:w="10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90,299</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89,075</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50"/>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Adjustable rate Agency RMBS</w:t>
            </w: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Multifamily</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CMO Agency RMBS:</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CMO</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555</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583</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3660" w:type="dxa"/>
            <w:vAlign w:val="bottom"/>
            <w:gridSpan w:val="2"/>
          </w:tcPr>
          <w:p>
            <w:pPr>
              <w:ind w:left="280"/>
              <w:spacing w:after="0"/>
              <w:rPr>
                <w:sz w:val="20"/>
                <w:szCs w:val="20"/>
                <w:color w:val="auto"/>
              </w:rPr>
            </w:pPr>
            <w:r>
              <w:rPr>
                <w:rFonts w:ascii="Arial" w:cs="Arial" w:eastAsia="Arial" w:hAnsi="Arial"/>
                <w:sz w:val="14"/>
                <w:szCs w:val="14"/>
                <w:color w:val="auto"/>
              </w:rPr>
              <w:t>Interest-only strips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Principal-only strips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CMO Agency RMBS</w:t>
            </w: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721</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734</w:t>
            </w:r>
          </w:p>
        </w:tc>
        <w:tc>
          <w:tcPr>
            <w:tcW w:w="100" w:type="dxa"/>
            <w:vAlign w:val="bottom"/>
            <w:tcBorders>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3.22%</w:t>
            </w:r>
          </w:p>
        </w:tc>
        <w:tc>
          <w:tcPr>
            <w:tcW w:w="10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760</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761</w:t>
            </w:r>
          </w:p>
        </w:tc>
        <w:tc>
          <w:tcPr>
            <w:tcW w:w="12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Agency RMBS and TBA securities</w:t>
            </w: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100,210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100,424</w:t>
            </w:r>
          </w:p>
        </w:tc>
        <w:tc>
          <w:tcPr>
            <w:tcW w:w="10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2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91,271</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90,049</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50"/>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Non-Agency RMBS</w:t>
            </w: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CMBS</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353</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CRT</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1,129</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1,012</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investment portfolio</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101,975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102,225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92,821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91,609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4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TBA securities are presented net of long and short positions. For further details of our TBA securities refer to Note 6 of the accompanying consolidated financial statements.</w:t>
      </w:r>
    </w:p>
    <w:p>
      <w:pPr>
        <w:spacing w:after="0" w:line="1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TBA securities are recorded as derivative instruments in our accompanying consolidated financial statements and our TBA dollar roll transactions represent a form of off-balance sheet financing. As of March 31, 2019 and December 31, 2018, our TBA positions had a net carrying value of $70 million and $70 million, respectively, reported in derivative assets /(liabilities) on our accompanying consolidated balance sheets. The net carrying value represents the difference between the fair value of the underlying Agency security in the TBA contract and the contract price to be paid or received for the underlying Agency security.</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2019 and December 31, 2018, the weighted average yield on our investment securities (excluding TBA securities) was 3.29% and 3.31%,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2" w:right="239" w:bottom="1440" w:gutter="0" w:footer="0" w:header="0"/>
        </w:sectPr>
      </w:pPr>
    </w:p>
    <w:bookmarkStart w:id="28" w:name="page29"/>
    <w:bookmarkEnd w:id="28"/>
    <w:p>
      <w:pPr>
        <w:ind w:left="440"/>
        <w:spacing w:after="0"/>
        <w:rPr>
          <w:sz w:val="20"/>
          <w:szCs w:val="20"/>
          <w:color w:val="auto"/>
        </w:rPr>
      </w:pPr>
      <w:r>
        <w:rPr>
          <w:rFonts w:ascii="Arial" w:cs="Arial" w:eastAsia="Arial" w:hAnsi="Arial"/>
          <w:sz w:val="17"/>
          <w:szCs w:val="17"/>
          <w:color w:val="auto"/>
        </w:rPr>
        <w:t>The following tables summarize certain characteristics of our fixed rate Agency RMBS portfolio, inclusive of TBAs, as of March 31,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(dollars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March 31, 2019</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4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Fixed Rate Agency RMBS and TBA</w:t>
            </w: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ind w:left="180"/>
              <w:spacing w:after="0" w:line="139" w:lineRule="exact"/>
              <w:rPr>
                <w:sz w:val="20"/>
                <w:szCs w:val="20"/>
                <w:color w:val="auto"/>
              </w:rPr>
            </w:pPr>
            <w:r>
              <w:rPr>
                <w:rFonts w:ascii="Arial" w:cs="Arial" w:eastAsia="Arial" w:hAnsi="Arial"/>
                <w:sz w:val="14"/>
                <w:szCs w:val="14"/>
                <w:b w:val="1"/>
                <w:bCs w:val="1"/>
                <w:color w:val="auto"/>
              </w:rPr>
              <w:t>Specified</w:t>
            </w:r>
          </w:p>
        </w:tc>
        <w:tc>
          <w:tcPr>
            <w:tcW w:w="220" w:type="dxa"/>
            <w:vAlign w:val="bottom"/>
          </w:tcPr>
          <w:p>
            <w:pPr>
              <w:spacing w:after="0"/>
              <w:rPr>
                <w:sz w:val="4"/>
                <w:szCs w:val="4"/>
                <w:color w:val="auto"/>
              </w:rPr>
            </w:pPr>
          </w:p>
        </w:tc>
        <w:tc>
          <w:tcPr>
            <w:tcW w:w="112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6"/>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4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2</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3</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xml:space="preserve">Pool % </w:t>
            </w:r>
            <w:r>
              <w:rPr>
                <w:rFonts w:ascii="Arial" w:cs="Arial" w:eastAsia="Arial" w:hAnsi="Arial"/>
                <w:sz w:val="8"/>
                <w:szCs w:val="8"/>
                <w:b w:val="1"/>
                <w:bCs w:val="1"/>
                <w:color w:val="auto"/>
              </w:rPr>
              <w:t>1</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32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101.1%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2,343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2,377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2,369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81%</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101.7%</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3.51%</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4,679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4,704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40%</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102.2%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2,257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2,335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47%</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103.2%</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4.59%</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4.87%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100%</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102.2%</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6.59%</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4.60%</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138</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10,445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10,646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10,662</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102.1%</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3.85%</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44</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58"/>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80%</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101.9%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91%</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103.3%</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4.44%</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105.0%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5.00%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105.5%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5.94%</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3.33%</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132</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17%</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20-year: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89%</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103.3%</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4.46%</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58"/>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3%</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100.1%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30,221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31,022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30,806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51%</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102.9%</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4.07%</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35,956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37,272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37,419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4.57%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15,640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16,352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16,587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73%</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104.8%</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5.00%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120%</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106.5%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5.53%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50%</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110.0%</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6.18%</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3.34%</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149</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50"/>
        </w:trPr>
        <w:tc>
          <w:tcPr>
            <w:tcW w:w="2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85,029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87,858</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88,034</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61%</w:t>
            </w:r>
          </w:p>
        </w:tc>
        <w:tc>
          <w:tcPr>
            <w:tcW w:w="2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103.5%</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4.45%</w:t>
            </w:r>
          </w:p>
        </w:tc>
        <w:tc>
          <w:tcPr>
            <w:tcW w:w="1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28</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96,205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99,259</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99,457</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61%</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103.3%</w:t>
            </w: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4.41%</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29</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3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jc w:val="both"/>
        <w:ind w:left="660" w:hanging="328"/>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Specified pools include pools backed by lower balance loans with original loan balances of up to $200K, HARP pools as defined as pools backed by 100% refinance loans with original LTVs ≥ 80% issued between May 2009 and September 2017, and pools backed by loans 100% originated in New York and Puerto Rico. As of March 31, 2019, lower balance specified pools have a weighted average original loan balance of $111,000 and $117,000 for 15-year and 30-year securities, respectively, and HARP specified pools have a weighted average original LTV of 119% and 136% for 15-year and 30-year securities, respectively.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based on forward rate assumptions as of March 31, 2019.</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2018</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8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4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Fixed Rate Agency RMBS and TBA</w:t>
            </w: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vMerge w:val="restart"/>
          </w:tcPr>
          <w:p>
            <w:pPr>
              <w:ind w:left="180"/>
              <w:spacing w:after="0" w:line="139" w:lineRule="exact"/>
              <w:rPr>
                <w:sz w:val="20"/>
                <w:szCs w:val="20"/>
                <w:color w:val="auto"/>
              </w:rPr>
            </w:pPr>
            <w:r>
              <w:rPr>
                <w:rFonts w:ascii="Arial" w:cs="Arial" w:eastAsia="Arial" w:hAnsi="Arial"/>
                <w:sz w:val="14"/>
                <w:szCs w:val="14"/>
                <w:b w:val="1"/>
                <w:bCs w:val="1"/>
                <w:color w:val="auto"/>
                <w:w w:val="99"/>
              </w:rPr>
              <w:t>Specified</w:t>
            </w: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6"/>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4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8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2</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3</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xml:space="preserve">Pool % </w:t>
            </w:r>
            <w:r>
              <w:rPr>
                <w:rFonts w:ascii="Arial" w:cs="Arial" w:eastAsia="Arial" w:hAnsi="Arial"/>
                <w:sz w:val="8"/>
                <w:szCs w:val="8"/>
                <w:b w:val="1"/>
                <w:bCs w:val="1"/>
                <w:color w:val="auto"/>
              </w:rPr>
              <w:t>1</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58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2.5%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1,139</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75%</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101.2%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2,651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2,677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2,650</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75%</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101.7%</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3.51%</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4,498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4,502</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43%</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101.9%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2,449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2,509</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40%</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103.5%</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4.47%</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99%</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104.0%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4.87%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99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4"/>
              </w:rPr>
              <w:t>100%</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102.4%</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6.55%</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4.57%</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134</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10,863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10,967</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54%</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102.0%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3.82%</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58"/>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80%</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102.0%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91%</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103.4%</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4.45%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100%</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105.2%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5.00%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8"/>
              </w:rPr>
              <w:t>—%</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105.7%</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5.94%</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3.34%</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128</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16%</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20-year: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774</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89%</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103.4%</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4.46%</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44</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58"/>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3,108</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8"/>
              </w:rPr>
              <w:t>3%</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100.1%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22,410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23,258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22,496</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71%</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103.2%</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4.06%</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38,564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38,147</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61%</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103.8%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4.54%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12,777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13,319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13,361</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69%</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104.7%</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4.99%</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117%</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106.8%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5.53%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2"/>
              </w:rPr>
              <w:t>49%</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110.5%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6.17%</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3.35%</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147</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50"/>
        </w:trPr>
        <w:tc>
          <w:tcPr>
            <w:tcW w:w="24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75,803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78,500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77,334</w:t>
            </w:r>
          </w:p>
        </w:tc>
        <w:tc>
          <w:tcPr>
            <w:tcW w:w="10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w w:val="92"/>
              </w:rPr>
              <w:t>63%</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103.6%</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4.41%</w:t>
            </w:r>
          </w:p>
        </w:tc>
        <w:tc>
          <w:tcPr>
            <w:tcW w:w="1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28</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87,418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90,299</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89,075</w:t>
            </w:r>
          </w:p>
        </w:tc>
        <w:tc>
          <w:tcPr>
            <w:tcW w:w="100" w:type="dxa"/>
            <w:vAlign w:val="bottom"/>
          </w:tcPr>
          <w:p>
            <w:pPr>
              <w:spacing w:after="0"/>
              <w:rPr>
                <w:sz w:val="21"/>
                <w:szCs w:val="21"/>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62%</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103.5%</w:t>
            </w: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4.36%</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30</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980" w:right="20" w:hanging="648"/>
        <w:spacing w:after="0" w:line="247" w:lineRule="auto"/>
        <w:tabs>
          <w:tab w:leader="none" w:pos="6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See Note 1 in table above for specified pool composition. As of December 31, 2018, lower balance specified pools have a weighted average original loan balance of $102,000 and $113,000 for 15-year and 30-year securities, respectively, and HARP specified pools have a weighted average original LTV of 119% and 136% for 15-year and 30-year securities, respectively.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based on forward rate assumptions as of December 31, 2018.</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2019 and December 31, 2018, our investments in CRT and non-Agency securities had the following credit ratings: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31, 2019</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December 31, 2018</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CMBS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CMBS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AAA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AA</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BBB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BB</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 Rated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1,129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1,012</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0"/>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20" w:hanging="328"/>
        <w:spacing w:after="0" w:line="255"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Fitch, DBRS, Kroll Bond Rating Agency ("KBRA") and Morningstar credit ratings, stated in terms of the S&amp;P equivalent rating as of each date.</w:t>
      </w:r>
    </w:p>
    <w:p>
      <w:pPr>
        <w:spacing w:after="0" w:line="13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CRT securities reference the performance of loans underlying Agency RMBS issued by Fannie Mae or Freddie Mac, which were subject to their underwriting standards. As of March 31, 2019, our CRT securities had floating and fixed rate coupons ranging from 3.0% to 8.8%, referenced to loans originated between 2011 and 2018 with weighted average coupons ranging from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968"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3.7% to 4.9%. As of December 31, 2018, our CRT securities had floating rate coupons ranging from 3.9% to 9.5%, referenced to loans originated between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2011 and 2018 with weighted average coupons ranging from 3.8% to 4.8%.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the results presented in accordance with GAAP, our results of operations discussed below include certain non-GAAP financial information, including "economic interest income," "economic interest expense," "net spread and dollar roll income," "net spread and dollar roll income, excluding 'catch-up' premium amortization," "estimated taxable income" and the related per common share measures and certain financial metrics derived from such non-GAAP information, such as "cost of funds" and "net interest spread."</w:t>
      </w:r>
    </w:p>
    <w:p>
      <w:pPr>
        <w:spacing w:after="0" w:line="13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"Economic interest income" is measured as interest income (GAAP measure), adjusted (i) to exclude "catch-up" premium amortization associated with changes in CPR estimates and (ii) to include TBA dollar roll implied interest income. "Economic interest expense" is measured as interest expense (GAAP measure) adjusted to include TBA dollar roll implied interest expense and interest rate swap periodic income/(cost). "Net spread and dollar roll income, excluding "catch-up" premium amortization" includes (i) the components of economic interest income and economic interest expense and other miscellaneous dividend and interest income (referred to as "adjusted net interest and dollar roll income"), less (ii) total operating expenses (GAAP measure), net of management fee income (GAAP measure), adjusted, as applicable, to exclude one-time expenses and non-recurring termination fee income recognized in connection with the sale of MTGE Investment Corp. and corresponding termination of the Company's management agreement with MTGE.</w:t>
      </w:r>
    </w:p>
    <w:p>
      <w:pPr>
        <w:spacing w:after="0" w:line="11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w:t>
      </w:r>
    </w:p>
    <w:p>
      <w:pPr>
        <w:spacing w:after="0" w:line="13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Specifically, in the case of "adjusted net interest and dollar roll income,"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in "economic interest expense" is meaningful as interest rate swaps are the primary instrument we use to economically hedge against fluctuations in our borrowing costs and it is more indicative of our total cost of funds than interest expense alone. In the case of "economic interest income" and "net spread and dollar roll income, excluding 'catch-up' premium amortization," we believe the exclusion of "catch-up" adjustments to premium amortization cost or benefit is meaningful as it excludes the cumulative effect from prior reporting periods due to current changes in future prepayment expectations and, therefore, exclusion of such cost or benefit is more indicative of the current earnings potential of our investment portfolio. In the case of estimated taxable income, we believe it is meaningful information because it directly relates to the amount of dividends we are required to distribute to maintain our REIT qualification status.</w:t>
      </w:r>
    </w:p>
    <w:p>
      <w:pPr>
        <w:spacing w:after="0" w:line="12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Financial Data</w:t>
      </w:r>
    </w:p>
    <w:p>
      <w:pPr>
        <w:spacing w:after="0" w:line="225"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The following selected financial data is derived from our interim consolidated financial statements and the notes thereto. The tables below present our condensed consolidated balance sheets as of March 31, 2019 and December 31, 2018 and our condensed consolidated statements of comprehensive income and key statistics for the three months ended March 31, 2019 and 2018 (in millions, except per share amounts):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1" w:name="page32"/>
    <w:bookmarkEnd w:id="31"/>
    <w:tbl>
      <w:tblPr>
        <w:tblLayout w:type="fixed"/>
        <w:tblInd w:w="8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160" w:type="dxa"/>
            <w:vAlign w:val="bottom"/>
            <w:gridSpan w:val="3"/>
          </w:tcPr>
          <w:p>
            <w:pPr>
              <w:ind w:left="20"/>
              <w:spacing w:after="0"/>
              <w:rPr>
                <w:sz w:val="20"/>
                <w:szCs w:val="20"/>
                <w:color w:val="auto"/>
              </w:rPr>
            </w:pPr>
            <w:r>
              <w:rPr>
                <w:rFonts w:ascii="Arial" w:cs="Arial" w:eastAsia="Arial" w:hAnsi="Arial"/>
                <w:sz w:val="14"/>
                <w:szCs w:val="14"/>
                <w:b w:val="1"/>
                <w:bCs w:val="1"/>
                <w:color w:val="auto"/>
              </w:rPr>
              <w:t>($ in Millions, Except Per Share Amounts)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76"/>
        </w:trPr>
        <w:tc>
          <w:tcPr>
            <w:tcW w:w="20" w:type="dxa"/>
            <w:vAlign w:val="bottom"/>
          </w:tcPr>
          <w:p>
            <w:pPr>
              <w:spacing w:after="0"/>
              <w:rPr>
                <w:sz w:val="24"/>
                <w:szCs w:val="24"/>
                <w:color w:val="auto"/>
              </w:rPr>
            </w:pPr>
          </w:p>
        </w:tc>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Sheet Data</w:t>
            </w:r>
          </w:p>
        </w:tc>
        <w:tc>
          <w:tcPr>
            <w:tcW w:w="120" w:type="dxa"/>
            <w:vAlign w:val="bottom"/>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4"/>
              </w:rPr>
              <w:t>March 31, 2019</w:t>
            </w:r>
          </w:p>
        </w:tc>
        <w:tc>
          <w:tcPr>
            <w:tcW w:w="120" w:type="dxa"/>
            <w:vAlign w:val="bottom"/>
            <w:gridSpan w:val="2"/>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2018</w:t>
            </w: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7160" w:type="dxa"/>
            <w:vAlign w:val="bottom"/>
            <w:gridSpan w:val="3"/>
          </w:tcPr>
          <w:p>
            <w:pPr>
              <w:ind w:left="20"/>
              <w:spacing w:after="0"/>
              <w:rPr>
                <w:sz w:val="20"/>
                <w:szCs w:val="20"/>
                <w:color w:val="auto"/>
              </w:rPr>
            </w:pPr>
            <w:r>
              <w:rPr>
                <w:rFonts w:ascii="Arial" w:cs="Arial" w:eastAsia="Arial" w:hAnsi="Arial"/>
                <w:sz w:val="16"/>
                <w:szCs w:val="16"/>
                <w:color w:val="auto"/>
              </w:rPr>
              <w:t>Investment securities, at fair value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95,270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center"/>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84,287</w:t>
            </w:r>
          </w:p>
        </w:tc>
        <w:tc>
          <w:tcPr>
            <w:tcW w:w="20" w:type="dxa"/>
            <w:vAlign w:val="bottom"/>
          </w:tcPr>
          <w:p>
            <w:pPr>
              <w:spacing w:after="0"/>
              <w:rPr>
                <w:sz w:val="19"/>
                <w:szCs w:val="19"/>
                <w:color w:val="auto"/>
              </w:rPr>
            </w:pPr>
          </w:p>
        </w:tc>
      </w:tr>
      <w:tr>
        <w:trPr>
          <w:trHeight w:val="33"/>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118,807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109,241</w:t>
            </w: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160" w:type="dxa"/>
            <w:vAlign w:val="bottom"/>
            <w:gridSpan w:val="3"/>
          </w:tcPr>
          <w:p>
            <w:pPr>
              <w:ind w:left="20"/>
              <w:spacing w:after="0"/>
              <w:rPr>
                <w:sz w:val="20"/>
                <w:szCs w:val="20"/>
                <w:color w:val="auto"/>
              </w:rPr>
            </w:pPr>
            <w:r>
              <w:rPr>
                <w:rFonts w:ascii="Arial" w:cs="Arial" w:eastAsia="Arial" w:hAnsi="Arial"/>
                <w:sz w:val="16"/>
                <w:szCs w:val="16"/>
                <w:color w:val="auto"/>
              </w:rPr>
              <w:t>Repurchase agreements and other debt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86,951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center"/>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75,992</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108,306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99,335</w:t>
            </w: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160" w:type="dxa"/>
            <w:vAlign w:val="bottom"/>
            <w:gridSpan w:val="3"/>
          </w:tcPr>
          <w:p>
            <w:pPr>
              <w:ind w:left="20"/>
              <w:spacing w:after="0"/>
              <w:rPr>
                <w:sz w:val="20"/>
                <w:szCs w:val="20"/>
                <w:color w:val="auto"/>
              </w:rPr>
            </w:pPr>
            <w:r>
              <w:rPr>
                <w:rFonts w:ascii="Arial" w:cs="Arial" w:eastAsia="Arial" w:hAnsi="Arial"/>
                <w:sz w:val="16"/>
                <w:szCs w:val="16"/>
                <w:color w:val="auto"/>
              </w:rPr>
              <w:t>Total stockholders' equity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10,501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center"/>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9,906</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 xml:space="preserve">Net book value per common share </w:t>
            </w:r>
            <w:r>
              <w:rPr>
                <w:rFonts w:ascii="Arial" w:cs="Arial" w:eastAsia="Arial" w:hAnsi="Arial"/>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18.21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17.54</w:t>
            </w:r>
          </w:p>
        </w:tc>
        <w:tc>
          <w:tcPr>
            <w:tcW w:w="20" w:type="dxa"/>
            <w:vAlign w:val="bottom"/>
          </w:tcPr>
          <w:p>
            <w:pPr>
              <w:spacing w:after="0"/>
              <w:rPr>
                <w:sz w:val="23"/>
                <w:szCs w:val="23"/>
                <w:color w:val="auto"/>
              </w:rPr>
            </w:pPr>
          </w:p>
        </w:tc>
      </w:tr>
      <w:tr>
        <w:trPr>
          <w:trHeight w:val="311"/>
        </w:trPr>
        <w:tc>
          <w:tcPr>
            <w:tcW w:w="20" w:type="dxa"/>
            <w:vAlign w:val="bottom"/>
          </w:tcPr>
          <w:p>
            <w:pPr>
              <w:spacing w:after="0"/>
              <w:rPr>
                <w:sz w:val="24"/>
                <w:szCs w:val="24"/>
                <w:color w:val="auto"/>
              </w:rPr>
            </w:pPr>
          </w:p>
        </w:tc>
        <w:tc>
          <w:tcPr>
            <w:tcW w:w="7160" w:type="dxa"/>
            <w:vAlign w:val="bottom"/>
            <w:gridSpan w:val="3"/>
          </w:tcPr>
          <w:p>
            <w:pPr>
              <w:ind w:left="20"/>
              <w:spacing w:after="0"/>
              <w:rPr>
                <w:sz w:val="20"/>
                <w:szCs w:val="20"/>
                <w:color w:val="auto"/>
              </w:rPr>
            </w:pPr>
            <w:r>
              <w:rPr>
                <w:rFonts w:ascii="Arial" w:cs="Arial" w:eastAsia="Arial" w:hAnsi="Arial"/>
                <w:sz w:val="16"/>
                <w:szCs w:val="16"/>
                <w:color w:val="auto"/>
              </w:rPr>
              <w:t xml:space="preserve">Tangible net book value per common share </w:t>
            </w:r>
            <w:r>
              <w:rPr>
                <w:rFonts w:ascii="Arial" w:cs="Arial" w:eastAsia="Arial" w:hAnsi="Arial"/>
                <w:sz w:val="21"/>
                <w:szCs w:val="21"/>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jc w:val="center"/>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16.56</w:t>
            </w:r>
          </w:p>
        </w:tc>
        <w:tc>
          <w:tcPr>
            <w:tcW w:w="20" w:type="dxa"/>
            <w:vAlign w:val="bottom"/>
          </w:tcPr>
          <w:p>
            <w:pPr>
              <w:spacing w:after="0"/>
              <w:rPr>
                <w:sz w:val="24"/>
                <w:szCs w:val="24"/>
                <w:color w:val="auto"/>
              </w:rPr>
            </w:pPr>
          </w:p>
        </w:tc>
      </w:tr>
      <w:tr>
        <w:trPr>
          <w:trHeight w:val="358"/>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right"/>
              <w:ind w:right="159"/>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Statement of Comprehensive Income Data</w:t>
            </w:r>
          </w:p>
        </w:tc>
        <w:tc>
          <w:tcPr>
            <w:tcW w:w="120" w:type="dxa"/>
            <w:vAlign w:val="bottom"/>
            <w:tcBorders>
              <w:bottom w:val="single" w:sz="8" w:color="CCEEFF"/>
            </w:tcBorders>
            <w:gridSpan w:val="2"/>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71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705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431</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16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206</w:t>
            </w:r>
          </w:p>
        </w:tc>
        <w:tc>
          <w:tcPr>
            <w:tcW w:w="2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71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160" w:type="dxa"/>
            <w:vAlign w:val="bottom"/>
            <w:gridSpan w:val="3"/>
          </w:tcPr>
          <w:p>
            <w:pPr>
              <w:ind w:left="20"/>
              <w:spacing w:after="0"/>
              <w:rPr>
                <w:sz w:val="20"/>
                <w:szCs w:val="20"/>
                <w:color w:val="auto"/>
              </w:rPr>
            </w:pPr>
            <w:r>
              <w:rPr>
                <w:rFonts w:ascii="Arial" w:cs="Arial" w:eastAsia="Arial" w:hAnsi="Arial"/>
                <w:sz w:val="14"/>
                <w:szCs w:val="14"/>
                <w:color w:val="auto"/>
              </w:rPr>
              <w:t>Other gain (loss), net</w:t>
            </w:r>
          </w:p>
        </w:tc>
        <w:tc>
          <w:tcPr>
            <w:tcW w:w="14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2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71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716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424</w:t>
            </w:r>
          </w:p>
        </w:tc>
        <w:tc>
          <w:tcPr>
            <w:tcW w:w="2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71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Dividend on preferred stock</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23"/>
                <w:szCs w:val="23"/>
                <w:color w:val="auto"/>
              </w:rPr>
            </w:pPr>
          </w:p>
        </w:tc>
      </w:tr>
      <w:tr>
        <w:trPr>
          <w:trHeight w:val="296"/>
        </w:trPr>
        <w:tc>
          <w:tcPr>
            <w:tcW w:w="20" w:type="dxa"/>
            <w:vAlign w:val="bottom"/>
          </w:tcPr>
          <w:p>
            <w:pPr>
              <w:spacing w:after="0"/>
              <w:rPr>
                <w:sz w:val="24"/>
                <w:szCs w:val="24"/>
                <w:color w:val="auto"/>
              </w:rPr>
            </w:pPr>
          </w:p>
        </w:tc>
        <w:tc>
          <w:tcPr>
            <w:tcW w:w="716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Net income available to common stockholders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415</w:t>
            </w:r>
          </w:p>
        </w:tc>
        <w:tc>
          <w:tcPr>
            <w:tcW w:w="20" w:type="dxa"/>
            <w:vAlign w:val="bottom"/>
          </w:tcPr>
          <w:p>
            <w:pPr>
              <w:spacing w:after="0"/>
              <w:rPr>
                <w:sz w:val="24"/>
                <w:szCs w:val="24"/>
                <w:color w:val="auto"/>
              </w:rPr>
            </w:pPr>
          </w:p>
        </w:tc>
      </w:tr>
      <w:tr>
        <w:trPr>
          <w:trHeight w:val="278"/>
        </w:trPr>
        <w:tc>
          <w:tcPr>
            <w:tcW w:w="20" w:type="dxa"/>
            <w:vAlign w:val="bottom"/>
          </w:tcPr>
          <w:p>
            <w:pPr>
              <w:spacing w:after="0"/>
              <w:rPr>
                <w:sz w:val="24"/>
                <w:szCs w:val="24"/>
                <w:color w:val="auto"/>
              </w:rPr>
            </w:pPr>
          </w:p>
        </w:tc>
        <w:tc>
          <w:tcPr>
            <w:tcW w:w="7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716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jc w:val="center"/>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424</w:t>
            </w:r>
          </w:p>
        </w:tc>
        <w:tc>
          <w:tcPr>
            <w:tcW w:w="2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71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20" w:type="dxa"/>
            <w:vAlign w:val="bottom"/>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7160" w:type="dxa"/>
            <w:vAlign w:val="bottom"/>
            <w:gridSpan w:val="3"/>
          </w:tcPr>
          <w:p>
            <w:pPr>
              <w:ind w:left="20"/>
              <w:spacing w:after="0"/>
              <w:rPr>
                <w:sz w:val="20"/>
                <w:szCs w:val="20"/>
                <w:color w:val="auto"/>
              </w:rPr>
            </w:pPr>
            <w:r>
              <w:rPr>
                <w:rFonts w:ascii="Arial" w:cs="Arial" w:eastAsia="Arial" w:hAnsi="Arial"/>
                <w:sz w:val="14"/>
                <w:szCs w:val="14"/>
                <w:color w:val="auto"/>
              </w:rPr>
              <w:t>Comprehensive income (loss)</w:t>
            </w:r>
          </w:p>
        </w:tc>
        <w:tc>
          <w:tcPr>
            <w:tcW w:w="14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(197)</w:t>
            </w:r>
          </w:p>
        </w:tc>
        <w:tc>
          <w:tcPr>
            <w:tcW w:w="2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71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Dividend on preferred stock</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23"/>
                <w:szCs w:val="23"/>
                <w:color w:val="auto"/>
              </w:rPr>
            </w:pPr>
          </w:p>
        </w:tc>
      </w:tr>
      <w:tr>
        <w:trPr>
          <w:trHeight w:val="296"/>
        </w:trPr>
        <w:tc>
          <w:tcPr>
            <w:tcW w:w="20" w:type="dxa"/>
            <w:vAlign w:val="bottom"/>
          </w:tcPr>
          <w:p>
            <w:pPr>
              <w:spacing w:after="0"/>
              <w:rPr>
                <w:sz w:val="24"/>
                <w:szCs w:val="24"/>
                <w:color w:val="auto"/>
              </w:rPr>
            </w:pPr>
          </w:p>
        </w:tc>
        <w:tc>
          <w:tcPr>
            <w:tcW w:w="716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Comprehensive income (loss) available (attributable) to common stockholders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655</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20" w:type="dxa"/>
            <w:vAlign w:val="bottom"/>
          </w:tcPr>
          <w:p>
            <w:pPr>
              <w:spacing w:after="0"/>
              <w:rPr>
                <w:sz w:val="24"/>
                <w:szCs w:val="24"/>
                <w:color w:val="auto"/>
              </w:rPr>
            </w:pPr>
          </w:p>
        </w:tc>
      </w:tr>
      <w:tr>
        <w:trPr>
          <w:trHeight w:val="278"/>
        </w:trPr>
        <w:tc>
          <w:tcPr>
            <w:tcW w:w="20" w:type="dxa"/>
            <w:vAlign w:val="bottom"/>
          </w:tcPr>
          <w:p>
            <w:pPr>
              <w:spacing w:after="0"/>
              <w:rPr>
                <w:sz w:val="24"/>
                <w:szCs w:val="24"/>
                <w:color w:val="auto"/>
              </w:rPr>
            </w:pPr>
          </w:p>
        </w:tc>
        <w:tc>
          <w:tcPr>
            <w:tcW w:w="7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716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536.7</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391.3</w:t>
            </w:r>
          </w:p>
        </w:tc>
        <w:tc>
          <w:tcPr>
            <w:tcW w:w="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7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537.2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391.5</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716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Net income per common share - 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0.48</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w:t>
            </w:r>
          </w:p>
        </w:tc>
        <w:tc>
          <w:tcPr>
            <w:tcW w:w="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7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Net income per common share -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0.47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center"/>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716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Comprehensive income (loss) per common share - basic and 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(0.53)</w:t>
            </w:r>
          </w:p>
        </w:tc>
        <w:tc>
          <w:tcPr>
            <w:tcW w:w="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7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Dividends declared per common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0.54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center"/>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0.54</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Three Months Ended March 31,</w:t>
            </w:r>
          </w:p>
        </w:tc>
        <w:tc>
          <w:tcPr>
            <w:tcW w:w="20" w:type="dxa"/>
            <w:vAlign w:val="bottom"/>
            <w:tcBorders>
              <w:bottom w:val="single" w:sz="8" w:color="auto"/>
            </w:tcBorders>
          </w:tcPr>
          <w:p>
            <w:pPr>
              <w:spacing w:after="0"/>
              <w:rPr>
                <w:sz w:val="24"/>
                <w:szCs w:val="24"/>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7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Other Data (Unaudited) *</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r>
      <w:tr>
        <w:trPr>
          <w:trHeight w:val="256"/>
        </w:trPr>
        <w:tc>
          <w:tcPr>
            <w:tcW w:w="20" w:type="dxa"/>
            <w:vAlign w:val="bottom"/>
            <w:shd w:val="clear" w:color="auto" w:fill="CCEEFF"/>
          </w:tcPr>
          <w:p>
            <w:pPr>
              <w:spacing w:after="0"/>
              <w:rPr>
                <w:sz w:val="22"/>
                <w:szCs w:val="22"/>
                <w:color w:val="auto"/>
              </w:rPr>
            </w:pPr>
          </w:p>
        </w:tc>
        <w:tc>
          <w:tcPr>
            <w:tcW w:w="71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Average investment securities - at par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87,021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53,986</w:t>
            </w:r>
          </w:p>
        </w:tc>
        <w:tc>
          <w:tcPr>
            <w:tcW w:w="20" w:type="dxa"/>
            <w:vAlign w:val="bottom"/>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160" w:type="dxa"/>
            <w:vAlign w:val="bottom"/>
            <w:gridSpan w:val="3"/>
          </w:tcPr>
          <w:p>
            <w:pPr>
              <w:spacing w:after="0"/>
              <w:rPr>
                <w:sz w:val="20"/>
                <w:szCs w:val="20"/>
                <w:color w:val="auto"/>
              </w:rPr>
            </w:pPr>
            <w:r>
              <w:rPr>
                <w:rFonts w:ascii="Arial" w:cs="Arial" w:eastAsia="Arial" w:hAnsi="Arial"/>
                <w:sz w:val="14"/>
                <w:szCs w:val="14"/>
                <w:color w:val="auto"/>
              </w:rPr>
              <w:t>Average investment securities - at cost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89,952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jc w:val="center"/>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56,573</w:t>
            </w:r>
          </w:p>
        </w:tc>
        <w:tc>
          <w:tcPr>
            <w:tcW w:w="2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71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Average net TBA portfolio - at cost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8,002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15,585</w:t>
            </w:r>
          </w:p>
        </w:tc>
        <w:tc>
          <w:tcPr>
            <w:tcW w:w="20" w:type="dxa"/>
            <w:vAlign w:val="bottom"/>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7160" w:type="dxa"/>
            <w:vAlign w:val="bottom"/>
            <w:gridSpan w:val="3"/>
          </w:tcPr>
          <w:p>
            <w:pPr>
              <w:spacing w:after="0"/>
              <w:rPr>
                <w:sz w:val="20"/>
                <w:szCs w:val="20"/>
                <w:color w:val="auto"/>
              </w:rPr>
            </w:pPr>
            <w:r>
              <w:rPr>
                <w:rFonts w:ascii="Arial" w:cs="Arial" w:eastAsia="Arial" w:hAnsi="Arial"/>
                <w:sz w:val="14"/>
                <w:szCs w:val="14"/>
                <w:color w:val="auto"/>
              </w:rPr>
              <w:t>Average total assets - at fair value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114,994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jc w:val="center"/>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68,781</w:t>
            </w:r>
          </w:p>
        </w:tc>
        <w:tc>
          <w:tcPr>
            <w:tcW w:w="2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71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 xml:space="preserve">Average Agency repurchase agreements and other debt outstanding </w:t>
            </w:r>
            <w:r>
              <w:rPr>
                <w:rFonts w:ascii="Arial" w:cs="Arial" w:eastAsia="Arial" w:hAnsi="Arial"/>
                <w:sz w:val="8"/>
                <w:szCs w:val="8"/>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82,070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49,567</w:t>
            </w:r>
          </w:p>
        </w:tc>
        <w:tc>
          <w:tcPr>
            <w:tcW w:w="20" w:type="dxa"/>
            <w:vAlign w:val="bottom"/>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7160" w:type="dxa"/>
            <w:vAlign w:val="bottom"/>
            <w:gridSpan w:val="3"/>
          </w:tcPr>
          <w:p>
            <w:pPr>
              <w:spacing w:after="0"/>
              <w:rPr>
                <w:sz w:val="20"/>
                <w:szCs w:val="20"/>
                <w:color w:val="auto"/>
              </w:rPr>
            </w:pPr>
            <w:r>
              <w:rPr>
                <w:rFonts w:ascii="Arial" w:cs="Arial" w:eastAsia="Arial" w:hAnsi="Arial"/>
                <w:sz w:val="14"/>
                <w:szCs w:val="14"/>
                <w:color w:val="auto"/>
              </w:rPr>
              <w:t xml:space="preserve">Average stockholders' equity </w:t>
            </w:r>
            <w:r>
              <w:rPr>
                <w:rFonts w:ascii="Arial" w:cs="Arial" w:eastAsia="Arial" w:hAnsi="Arial"/>
                <w:sz w:val="8"/>
                <w:szCs w:val="8"/>
                <w:color w:val="auto"/>
              </w:rPr>
              <w:t>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10,186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jc w:val="center"/>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8,535</w:t>
            </w:r>
          </w:p>
        </w:tc>
        <w:tc>
          <w:tcPr>
            <w:tcW w:w="2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71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 xml:space="preserve">Average tangible net book value "at risk" leverage </w:t>
            </w:r>
            <w:r>
              <w:rPr>
                <w:rFonts w:ascii="Arial" w:cs="Arial" w:eastAsia="Arial" w:hAnsi="Arial"/>
                <w:sz w:val="8"/>
                <w:szCs w:val="8"/>
                <w:color w:val="auto"/>
              </w:rPr>
              <w:t>5</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9.3:1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8.2:1</w:t>
            </w:r>
          </w:p>
        </w:tc>
        <w:tc>
          <w:tcPr>
            <w:tcW w:w="20" w:type="dxa"/>
            <w:vAlign w:val="bottom"/>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7160" w:type="dxa"/>
            <w:vAlign w:val="bottom"/>
            <w:gridSpan w:val="3"/>
          </w:tcPr>
          <w:p>
            <w:pPr>
              <w:spacing w:after="0"/>
              <w:rPr>
                <w:sz w:val="20"/>
                <w:szCs w:val="20"/>
                <w:color w:val="auto"/>
              </w:rPr>
            </w:pPr>
            <w:r>
              <w:rPr>
                <w:rFonts w:ascii="Arial" w:cs="Arial" w:eastAsia="Arial" w:hAnsi="Arial"/>
                <w:sz w:val="14"/>
                <w:szCs w:val="14"/>
                <w:color w:val="auto"/>
              </w:rPr>
              <w:t xml:space="preserve">Tangible net book value "at risk" leverage </w:t>
            </w:r>
            <w:r>
              <w:rPr>
                <w:rFonts w:ascii="Arial" w:cs="Arial" w:eastAsia="Arial" w:hAnsi="Arial"/>
                <w:sz w:val="14"/>
                <w:szCs w:val="14"/>
                <w:i w:val="1"/>
                <w:iCs w:val="1"/>
                <w:color w:val="auto"/>
              </w:rPr>
              <w:t>(as of period end)</w:t>
            </w:r>
            <w:r>
              <w:rPr>
                <w:rFonts w:ascii="Arial" w:cs="Arial" w:eastAsia="Arial" w:hAnsi="Arial"/>
                <w:sz w:val="14"/>
                <w:szCs w:val="14"/>
                <w:color w:val="auto"/>
              </w:rPr>
              <w:t xml:space="preserve"> </w:t>
            </w:r>
            <w:r>
              <w:rPr>
                <w:rFonts w:ascii="Arial" w:cs="Arial" w:eastAsia="Arial" w:hAnsi="Arial"/>
                <w:sz w:val="8"/>
                <w:szCs w:val="8"/>
                <w:color w:val="auto"/>
              </w:rPr>
              <w:t>6</w:t>
            </w:r>
          </w:p>
        </w:tc>
        <w:tc>
          <w:tcPr>
            <w:tcW w:w="140" w:type="dxa"/>
            <w:vAlign w:val="bottom"/>
          </w:tcPr>
          <w:p>
            <w:pPr>
              <w:spacing w:after="0"/>
              <w:rPr>
                <w:sz w:val="22"/>
                <w:szCs w:val="22"/>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8.2:1</w:t>
            </w:r>
          </w:p>
        </w:tc>
        <w:tc>
          <w:tcPr>
            <w:tcW w:w="2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71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 xml:space="preserve">Economic return on tangible common equity </w:t>
            </w:r>
            <w:r>
              <w:rPr>
                <w:rFonts w:ascii="Arial" w:cs="Arial" w:eastAsia="Arial" w:hAnsi="Arial"/>
                <w:sz w:val="8"/>
                <w:szCs w:val="8"/>
                <w:color w:val="auto"/>
              </w:rPr>
              <w:t>7</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7160" w:type="dxa"/>
            <w:vAlign w:val="bottom"/>
            <w:gridSpan w:val="3"/>
          </w:tcPr>
          <w:p>
            <w:pPr>
              <w:spacing w:after="0"/>
              <w:rPr>
                <w:sz w:val="20"/>
                <w:szCs w:val="20"/>
                <w:color w:val="auto"/>
              </w:rPr>
            </w:pPr>
            <w:r>
              <w:rPr>
                <w:rFonts w:ascii="Arial" w:cs="Arial" w:eastAsia="Arial" w:hAnsi="Arial"/>
                <w:sz w:val="14"/>
                <w:szCs w:val="14"/>
                <w:color w:val="auto"/>
              </w:rPr>
              <w:t>Expenses % of average total assets</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0.10 %</w:t>
            </w:r>
          </w:p>
        </w:tc>
        <w:tc>
          <w:tcPr>
            <w:tcW w:w="2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71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Expenses % of average assets, including average net TBA position</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0.09 %</w:t>
            </w:r>
          </w:p>
        </w:tc>
        <w:tc>
          <w:tcPr>
            <w:tcW w:w="20" w:type="dxa"/>
            <w:vAlign w:val="bottom"/>
            <w:shd w:val="clear" w:color="auto" w:fill="CCEEFF"/>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7160" w:type="dxa"/>
            <w:vAlign w:val="bottom"/>
            <w:gridSpan w:val="3"/>
          </w:tcPr>
          <w:p>
            <w:pPr>
              <w:spacing w:after="0"/>
              <w:rPr>
                <w:sz w:val="20"/>
                <w:szCs w:val="20"/>
                <w:color w:val="auto"/>
              </w:rPr>
            </w:pPr>
            <w:r>
              <w:rPr>
                <w:rFonts w:ascii="Arial" w:cs="Arial" w:eastAsia="Arial" w:hAnsi="Arial"/>
                <w:sz w:val="14"/>
                <w:szCs w:val="14"/>
                <w:color w:val="auto"/>
              </w:rPr>
              <w:t>Expenses % of average stockholders' equity</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0.75%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0.84 %</w:t>
            </w:r>
          </w:p>
        </w:tc>
        <w:tc>
          <w:tcPr>
            <w:tcW w:w="20" w:type="dxa"/>
            <w:vAlign w:val="bottom"/>
          </w:tcPr>
          <w:p>
            <w:pPr>
              <w:spacing w:after="0"/>
              <w:rPr>
                <w:sz w:val="22"/>
                <w:szCs w:val="22"/>
                <w:color w:val="auto"/>
              </w:rPr>
            </w:pPr>
          </w:p>
        </w:tc>
      </w:tr>
    </w:tbl>
    <w:p>
      <w:pPr>
        <w:spacing w:after="0"/>
        <w:rPr>
          <w:sz w:val="20"/>
          <w:szCs w:val="20"/>
          <w:color w:val="auto"/>
        </w:rPr>
      </w:pPr>
      <w:r>
        <w:rPr>
          <w:rFonts w:ascii="Arial" w:cs="Arial" w:eastAsia="Arial" w:hAnsi="Arial"/>
          <w:sz w:val="11"/>
          <w:szCs w:val="11"/>
          <w:color w:val="auto"/>
        </w:rPr>
        <w:t>________________________________</w:t>
      </w:r>
    </w:p>
    <w:p>
      <w:pPr>
        <w:ind w:left="340"/>
        <w:spacing w:after="0"/>
        <w:rPr>
          <w:sz w:val="20"/>
          <w:szCs w:val="20"/>
          <w:color w:val="auto"/>
        </w:rPr>
      </w:pPr>
      <w:r>
        <w:rPr>
          <w:rFonts w:ascii="Arial" w:cs="Arial" w:eastAsia="Arial" w:hAnsi="Arial"/>
          <w:sz w:val="14"/>
          <w:szCs w:val="14"/>
          <w:color w:val="auto"/>
        </w:rPr>
        <w:t>* Except as noted below, average numbers for each period are weighted based on days on our books and records.</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640"/>
          </w:cols>
          <w:pgMar w:left="240" w:top="806" w:right="1019" w:bottom="1440" w:gutter="0" w:footer="0" w:header="0"/>
        </w:sectPr>
      </w:pPr>
    </w:p>
    <w:bookmarkStart w:id="32" w:name="page33"/>
    <w:bookmarkEnd w:id="32"/>
    <w:p>
      <w:pPr>
        <w:ind w:left="980" w:hanging="648"/>
        <w:spacing w:after="0" w:line="250" w:lineRule="auto"/>
        <w:tabs>
          <w:tab w:leader="none" w:pos="6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Net book value per common share is calculated as total stockholders' equity, less preferred stock liquidation preference, divided by number of common shares outstanding as of period end.</w:t>
      </w: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Tangible net book value per common share excludes goodwill.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Other debt includes debt of consolidated VIEs. Amount excludes U.S. Treasury repo agreements and TBA contracts.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Average stockholders' equity calculated as average month-ended stockholders' equity during the period.</w:t>
      </w:r>
    </w:p>
    <w:p>
      <w:pPr>
        <w:spacing w:after="0" w:line="1" w:lineRule="exact"/>
        <w:rPr>
          <w:rFonts w:ascii="Arial" w:cs="Arial" w:eastAsia="Arial" w:hAnsi="Arial"/>
          <w:sz w:val="14"/>
          <w:szCs w:val="14"/>
          <w:color w:val="auto"/>
        </w:rPr>
      </w:pPr>
    </w:p>
    <w:p>
      <w:pPr>
        <w:ind w:left="980" w:right="20" w:hanging="648"/>
        <w:spacing w:after="0" w:line="260" w:lineRule="auto"/>
        <w:tabs>
          <w:tab w:leader="none" w:pos="656" w:val="left"/>
        </w:tabs>
        <w:numPr>
          <w:ilvl w:val="0"/>
          <w:numId w:val="28"/>
        </w:numPr>
        <w:rPr>
          <w:rFonts w:ascii="Arial" w:cs="Arial" w:eastAsia="Arial" w:hAnsi="Arial"/>
          <w:sz w:val="13"/>
          <w:szCs w:val="13"/>
          <w:color w:val="auto"/>
        </w:rPr>
      </w:pPr>
      <w:r>
        <w:rPr>
          <w:rFonts w:ascii="Arial" w:cs="Arial" w:eastAsia="Arial" w:hAnsi="Arial"/>
          <w:sz w:val="13"/>
          <w:szCs w:val="13"/>
          <w:color w:val="auto"/>
        </w:rPr>
        <w:t>Average tangible net book value "at risk" leverage is calculated by dividing the sum of daily weighted average mortgage borrowings outstanding (Agency repo, other debt and TBA securities (at cost)) for the period by the sum of average stockholders' equity adjusted to exclude goodwill for the period. Leverage excludes U.S. Treasury repurchase agreements.</w:t>
      </w:r>
    </w:p>
    <w:p>
      <w:pPr>
        <w:ind w:left="980" w:right="20" w:hanging="648"/>
        <w:spacing w:after="0" w:line="241" w:lineRule="auto"/>
        <w:tabs>
          <w:tab w:leader="none" w:pos="6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"At risk" leverage as of period end is calculated by dividing the sum of mortgage borrowings outstanding and receivable/payable for unsettled investment securities as of period end (at cost) by the sum of total stockholders' equity adjusted to exclude goodwill as of period end. Leverage excludes U.S. Treasury repurchase agreements.</w:t>
      </w:r>
    </w:p>
    <w:p>
      <w:pPr>
        <w:ind w:left="980" w:right="20" w:hanging="648"/>
        <w:spacing w:after="0" w:line="255" w:lineRule="auto"/>
        <w:tabs>
          <w:tab w:leader="none" w:pos="6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Economic return on tangible common equity represents the sum of the change in tangible net book value per common share and dividends declared on common stock during the period over beginning tangible net book value per common share.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Interest Income and Asset Yields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table summarizes our economic interest income (a non-GAAP measure) for the three months ended March 31, 2019 and 2018, which includes the combination of interest income (a GAAP measure) on our holdings reported as investment securities on our consolidated balance sheets, adjusted to exclude estimated "catch-up" premium amortization adjustments due to changes in our CPR forecast, and implied interest income on our TBA securities (dollars in millions):</w:t>
      </w:r>
    </w:p>
    <w:p>
      <w:pPr>
        <w:spacing w:after="0" w:line="273" w:lineRule="exact"/>
        <w:rPr>
          <w:sz w:val="20"/>
          <w:szCs w:val="20"/>
          <w:color w:val="auto"/>
        </w:rPr>
      </w:pPr>
    </w:p>
    <w:tbl>
      <w:tblPr>
        <w:tblLayout w:type="fixed"/>
        <w:tblInd w:w="98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4"/>
                <w:szCs w:val="14"/>
                <w:b w:val="1"/>
                <w:bCs w:val="1"/>
                <w:color w:val="auto"/>
                <w:w w:val="95"/>
              </w:rPr>
              <w:t>Three Months Ended March 31,</w:t>
            </w:r>
          </w:p>
        </w:tc>
        <w:tc>
          <w:tcPr>
            <w:tcW w:w="720" w:type="dxa"/>
            <w:vAlign w:val="bottom"/>
            <w:tcBorders>
              <w:bottom w:val="single" w:sz="8" w:color="auto"/>
            </w:tcBorders>
          </w:tcPr>
          <w:p>
            <w:pPr>
              <w:spacing w:after="0"/>
              <w:rPr>
                <w:sz w:val="16"/>
                <w:szCs w:val="16"/>
                <w:color w:val="auto"/>
              </w:rPr>
            </w:pPr>
          </w:p>
        </w:tc>
      </w:tr>
      <w:tr>
        <w:trPr>
          <w:trHeight w:val="264"/>
        </w:trPr>
        <w:tc>
          <w:tcPr>
            <w:tcW w:w="5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r>
      <w:tr>
        <w:trPr>
          <w:trHeight w:val="263"/>
        </w:trPr>
        <w:tc>
          <w:tcPr>
            <w:tcW w:w="5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w w:val="98"/>
              </w:rPr>
              <w:t>Amount</w:t>
            </w: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Yield</w:t>
            </w:r>
          </w:p>
        </w:tc>
        <w:tc>
          <w:tcPr>
            <w:tcW w:w="160" w:type="dxa"/>
            <w:vAlign w:val="bottom"/>
          </w:tcPr>
          <w:p>
            <w:pPr>
              <w:spacing w:after="0"/>
              <w:rPr>
                <w:sz w:val="22"/>
                <w:szCs w:val="22"/>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jc w:val="right"/>
              <w:ind w:right="228"/>
              <w:spacing w:after="0"/>
              <w:rPr>
                <w:sz w:val="20"/>
                <w:szCs w:val="20"/>
                <w:color w:val="auto"/>
              </w:rPr>
            </w:pPr>
            <w:r>
              <w:rPr>
                <w:rFonts w:ascii="Arial" w:cs="Arial" w:eastAsia="Arial" w:hAnsi="Arial"/>
                <w:sz w:val="14"/>
                <w:szCs w:val="14"/>
                <w:b w:val="1"/>
                <w:bCs w:val="1"/>
                <w:color w:val="auto"/>
              </w:rPr>
              <w:t>Yield</w:t>
            </w:r>
          </w:p>
        </w:tc>
      </w:tr>
      <w:tr>
        <w:trPr>
          <w:trHeight w:val="264"/>
        </w:trPr>
        <w:tc>
          <w:tcPr>
            <w:tcW w:w="54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r>
      <w:tr>
        <w:trPr>
          <w:trHeight w:val="276"/>
        </w:trPr>
        <w:tc>
          <w:tcPr>
            <w:tcW w:w="5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Cash/coupon 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3.70 %</w:t>
            </w:r>
          </w:p>
        </w:tc>
      </w:tr>
      <w:tr>
        <w:trPr>
          <w:trHeight w:val="264"/>
        </w:trPr>
        <w:tc>
          <w:tcPr>
            <w:tcW w:w="54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Net premium amortization</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(0.65)%</w:t>
            </w:r>
          </w:p>
        </w:tc>
      </w:tr>
      <w:tr>
        <w:trPr>
          <w:trHeight w:val="256"/>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3.14 %</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3.05 %</w:t>
            </w:r>
          </w:p>
        </w:tc>
      </w:tr>
      <w:tr>
        <w:trPr>
          <w:trHeight w:val="264"/>
        </w:trPr>
        <w:tc>
          <w:tcPr>
            <w:tcW w:w="54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w w:val="97"/>
              </w:rPr>
              <w:t>Estimated "catch-up" premium amortization cost (benefit) due to change in CPR forecast</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0.17 %</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(0.15)%</w:t>
            </w:r>
          </w:p>
        </w:tc>
      </w:tr>
      <w:tr>
        <w:trPr>
          <w:trHeight w:val="256"/>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3.31 %</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2.90 %</w:t>
            </w:r>
          </w:p>
        </w:tc>
      </w:tr>
      <w:tr>
        <w:trPr>
          <w:trHeight w:val="264"/>
        </w:trPr>
        <w:tc>
          <w:tcPr>
            <w:tcW w:w="54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 xml:space="preserve">TBA dollar roll income - implied interest income </w:t>
            </w:r>
            <w:r>
              <w:rPr>
                <w:rFonts w:ascii="Arial" w:cs="Arial" w:eastAsia="Arial" w:hAnsi="Arial"/>
                <w:sz w:val="8"/>
                <w:szCs w:val="8"/>
                <w:color w:val="auto"/>
              </w:rPr>
              <w:t>1,2</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3.55 %</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3.08 %</w:t>
            </w:r>
          </w:p>
        </w:tc>
      </w:tr>
      <w:tr>
        <w:trPr>
          <w:trHeight w:val="243"/>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Economic interest income, excluding "catch-up" amortization (non-GAAP measure) </w:t>
            </w:r>
            <w:r>
              <w:rPr>
                <w:rFonts w:ascii="Arial" w:cs="Arial" w:eastAsia="Arial" w:hAnsi="Arial"/>
                <w:sz w:val="8"/>
                <w:szCs w:val="8"/>
                <w:color w:val="auto"/>
              </w:rPr>
              <w:t>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2.94 %</w:t>
            </w: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64"/>
        </w:trPr>
        <w:tc>
          <w:tcPr>
            <w:tcW w:w="5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0"/>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actual portfolio CPR for investment securities held during the period</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157"/>
        </w:trPr>
        <w:tc>
          <w:tcPr>
            <w:tcW w:w="5440" w:type="dxa"/>
            <w:vAlign w:val="bottom"/>
          </w:tcPr>
          <w:p>
            <w:pPr>
              <w:ind w:left="20"/>
              <w:spacing w:after="0" w:line="157" w:lineRule="exact"/>
              <w:rPr>
                <w:sz w:val="20"/>
                <w:szCs w:val="20"/>
                <w:color w:val="auto"/>
              </w:rPr>
            </w:pPr>
            <w:r>
              <w:rPr>
                <w:rFonts w:ascii="Arial" w:cs="Arial" w:eastAsia="Arial" w:hAnsi="Arial"/>
                <w:sz w:val="14"/>
                <w:szCs w:val="14"/>
                <w:color w:val="auto"/>
                <w:w w:val="97"/>
              </w:rPr>
              <w:t>Weighted average projected CPR for the remaining life of investment securities held as of</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8"/>
        </w:trPr>
        <w:tc>
          <w:tcPr>
            <w:tcW w:w="5440" w:type="dxa"/>
            <w:vAlign w:val="bottom"/>
          </w:tcPr>
          <w:p>
            <w:pPr>
              <w:ind w:left="20"/>
              <w:spacing w:after="0"/>
              <w:rPr>
                <w:sz w:val="20"/>
                <w:szCs w:val="20"/>
                <w:color w:val="auto"/>
              </w:rPr>
            </w:pPr>
            <w:r>
              <w:rPr>
                <w:rFonts w:ascii="Arial" w:cs="Arial" w:eastAsia="Arial" w:hAnsi="Arial"/>
                <w:sz w:val="14"/>
                <w:szCs w:val="14"/>
                <w:color w:val="auto"/>
              </w:rPr>
              <w:t>period end</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76"/>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8"/>
                <w:szCs w:val="8"/>
                <w:color w:val="auto"/>
              </w:rPr>
              <w:t>4</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58"/>
        </w:trPr>
        <w:tc>
          <w:tcPr>
            <w:tcW w:w="5440" w:type="dxa"/>
            <w:vAlign w:val="bottom"/>
          </w:tcPr>
          <w:p>
            <w:pPr>
              <w:ind w:left="20"/>
              <w:spacing w:after="0"/>
              <w:rPr>
                <w:sz w:val="20"/>
                <w:szCs w:val="20"/>
                <w:color w:val="auto"/>
              </w:rPr>
            </w:pPr>
            <w:r>
              <w:rPr>
                <w:rFonts w:ascii="Arial" w:cs="Arial" w:eastAsia="Arial" w:hAnsi="Arial"/>
                <w:sz w:val="14"/>
                <w:szCs w:val="14"/>
                <w:color w:val="auto"/>
              </w:rPr>
              <w:t>10-year U.S. Treasury rate as of period end</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r>
    </w:tbl>
    <w:p>
      <w:pPr>
        <w:ind w:left="6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Reported in gain (loss) on derivatives instruments and other securities, net in the accompanying consolidated statements of operations.</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Implied interest income from TBA dollar roll transactions is computed as the sum of (i) TBA dollar roll income and (ii) estimated TBA implied funding cost (see </w:t>
      </w:r>
      <w:r>
        <w:rPr>
          <w:rFonts w:ascii="Arial" w:cs="Arial" w:eastAsia="Arial" w:hAnsi="Arial"/>
          <w:sz w:val="14"/>
          <w:szCs w:val="14"/>
          <w:i w:val="1"/>
          <w:iCs w:val="1"/>
          <w:color w:val="auto"/>
        </w:rPr>
        <w:t>Economic Interest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Expense and Aggregate Cost of Funds </w:t>
      </w:r>
      <w:r>
        <w:rPr>
          <w:rFonts w:ascii="Arial" w:cs="Arial" w:eastAsia="Arial" w:hAnsi="Arial"/>
          <w:sz w:val="14"/>
          <w:szCs w:val="14"/>
          <w:color w:val="auto"/>
        </w:rPr>
        <w:t>below). TBA dollar roll income represents the price differential, or "price drop," between the TBA price for current month settlement versus the</w:t>
      </w:r>
      <w:r>
        <w:rPr>
          <w:rFonts w:ascii="Arial" w:cs="Arial" w:eastAsia="Arial" w:hAnsi="Arial"/>
          <w:sz w:val="14"/>
          <w:szCs w:val="14"/>
          <w:i w:val="1"/>
          <w:iCs w:val="1"/>
          <w:color w:val="auto"/>
        </w:rPr>
        <w:t xml:space="preserve"> </w:t>
      </w:r>
      <w:r>
        <w:rPr>
          <w:rFonts w:ascii="Arial" w:cs="Arial" w:eastAsia="Arial" w:hAnsi="Arial"/>
          <w:sz w:val="14"/>
          <w:szCs w:val="14"/>
          <w:color w:val="auto"/>
        </w:rPr>
        <w:t>TBA price for 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combined asset yield is calculated on a weighted average basis based on our average investment and TBA balances outstanding during the period and their respective yields.</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Source: Freddie Mac Primary Fixed Mortgage Rate Mortgage Market Survey</w:t>
      </w:r>
    </w:p>
    <w:p>
      <w:pPr>
        <w:spacing w:after="0" w:line="1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principal elements impacting our economic interest income are the size of our average investment portfolio and the yield (actual and implied) on our securities. The following table includes a summary of the estimated impact of each of these elements on our economic interest income for the three months ended March 31, 2019, compared to the prior year period (in millions):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0"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4"/>
          <w:szCs w:val="14"/>
          <w:b w:val="1"/>
          <w:bCs w:val="1"/>
          <w:color w:val="auto"/>
        </w:rPr>
        <w:t>Impact of Changes in the Principal Elements Impacting Economic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March 31, 2019 vs.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Due to Change in Average</w:t>
            </w:r>
          </w:p>
        </w:tc>
      </w:tr>
      <w:tr>
        <w:trPr>
          <w:trHeight w:val="153"/>
        </w:trPr>
        <w:tc>
          <w:tcPr>
            <w:tcW w:w="6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280" w:type="dxa"/>
            <w:vAlign w:val="bottom"/>
          </w:tcPr>
          <w:p>
            <w:pPr>
              <w:spacing w:after="0"/>
              <w:rPr>
                <w:sz w:val="13"/>
                <w:szCs w:val="13"/>
                <w:color w:val="auto"/>
              </w:rPr>
            </w:pPr>
          </w:p>
        </w:tc>
        <w:tc>
          <w:tcPr>
            <w:tcW w:w="13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3"/>
              </w:rPr>
              <w:t>Portfolio</w:t>
            </w:r>
          </w:p>
        </w:tc>
        <w:tc>
          <w:tcPr>
            <w:tcW w:w="340" w:type="dxa"/>
            <w:vAlign w:val="bottom"/>
          </w:tcPr>
          <w:p>
            <w:pPr>
              <w:spacing w:after="0"/>
              <w:rPr>
                <w:sz w:val="13"/>
                <w:szCs w:val="13"/>
                <w:color w:val="auto"/>
              </w:rPr>
            </w:pPr>
          </w:p>
        </w:tc>
        <w:tc>
          <w:tcPr>
            <w:tcW w:w="1120" w:type="dxa"/>
            <w:vAlign w:val="bottom"/>
          </w:tcPr>
          <w:p>
            <w:pPr>
              <w:jc w:val="right"/>
              <w:ind w:right="488"/>
              <w:spacing w:after="0" w:line="153" w:lineRule="exact"/>
              <w:rPr>
                <w:sz w:val="20"/>
                <w:szCs w:val="20"/>
                <w:color w:val="auto"/>
              </w:rPr>
            </w:pPr>
            <w:r>
              <w:rPr>
                <w:rFonts w:ascii="Arial" w:cs="Arial" w:eastAsia="Arial" w:hAnsi="Arial"/>
                <w:sz w:val="14"/>
                <w:szCs w:val="14"/>
                <w:b w:val="1"/>
                <w:bCs w:val="1"/>
                <w:color w:val="auto"/>
              </w:rPr>
              <w:t>Asset</w:t>
            </w:r>
          </w:p>
        </w:tc>
      </w:tr>
      <w:tr>
        <w:trPr>
          <w:trHeight w:val="192"/>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(Decrease)</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Size</w:t>
            </w:r>
          </w:p>
        </w:tc>
        <w:tc>
          <w:tcPr>
            <w:tcW w:w="34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Yield</w:t>
            </w:r>
          </w:p>
        </w:tc>
      </w:tr>
      <w:tr>
        <w:trPr>
          <w:trHeight w:val="250"/>
        </w:trPr>
        <w:tc>
          <w:tcPr>
            <w:tcW w:w="6760" w:type="dxa"/>
            <w:vAlign w:val="bottom"/>
          </w:tcPr>
          <w:p>
            <w:pPr>
              <w:ind w:left="40"/>
              <w:spacing w:after="0"/>
              <w:rPr>
                <w:sz w:val="20"/>
                <w:szCs w:val="20"/>
                <w:color w:val="auto"/>
              </w:rPr>
            </w:pPr>
            <w:r>
              <w:rPr>
                <w:rFonts w:ascii="Arial" w:cs="Arial" w:eastAsia="Arial" w:hAnsi="Arial"/>
                <w:sz w:val="14"/>
                <w:szCs w:val="14"/>
                <w:color w:val="auto"/>
              </w:rPr>
              <w:t>Interest Income (GAAP measure)</w:t>
            </w: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Estimated "catch-up" premium amortization due to change in CPR forecast</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r>
      <w:tr>
        <w:trPr>
          <w:trHeight w:val="250"/>
        </w:trPr>
        <w:tc>
          <w:tcPr>
            <w:tcW w:w="6760" w:type="dxa"/>
            <w:vAlign w:val="bottom"/>
          </w:tcPr>
          <w:p>
            <w:pPr>
              <w:ind w:left="40"/>
              <w:spacing w:after="0"/>
              <w:rPr>
                <w:sz w:val="20"/>
                <w:szCs w:val="20"/>
                <w:color w:val="auto"/>
              </w:rPr>
            </w:pPr>
            <w:r>
              <w:rPr>
                <w:rFonts w:ascii="Arial" w:cs="Arial" w:eastAsia="Arial" w:hAnsi="Arial"/>
                <w:sz w:val="14"/>
                <w:szCs w:val="14"/>
                <w:color w:val="auto"/>
              </w:rPr>
              <w:t>Interest income, excluding "catch-up" premium amortization</w:t>
            </w:r>
          </w:p>
        </w:tc>
        <w:tc>
          <w:tcPr>
            <w:tcW w:w="1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80</w:t>
            </w: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TBA dollar roll income - implied interest income</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43"/>
        </w:trPr>
        <w:tc>
          <w:tcPr>
            <w:tcW w:w="6760" w:type="dxa"/>
            <w:vAlign w:val="bottom"/>
          </w:tcPr>
          <w:p>
            <w:pPr>
              <w:ind w:left="4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w:t>
            </w:r>
          </w:p>
        </w:tc>
      </w:tr>
      <w:tr>
        <w:trPr>
          <w:trHeight w:val="20"/>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average investment portfolio, inclusive of TBAs, increased 36% (at cost) for the three months ended March 31, 2019, compared to the prior year period, in line with the deployment of new equity capital and an increase in our tangible equity "at risk" leverage ratio. The increase in our average asset yield over the prior year period was largely due to changes in asset composition, as we increased our holdings of higher coupon, 30-year fixed rate securities relative to shorter duration assets.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8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primary measure of leverage is our tangible net book value "at risk" leverage ratio, which is measured as the sum of our Agency repurchase agreements, other debt used to fund our investment securities and net TBA position (at cost) (together referred to as "mortgage borrowings") and our net receivable/payable for unsettled investment securities, divided by our total stockholders' equity adjusted to exclude goodwill and other intangible asset.</w:t>
      </w:r>
    </w:p>
    <w:p>
      <w:pPr>
        <w:spacing w:after="0" w:line="9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for further discussion of TBA securities and dollar roll transactions). Repurchase agreements used to fund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U.S. Treasury securities ("U.S. Treasury repo") are excluded from our measure of leverage due to the temporary and highly liquid nature of these investments.</w:t>
      </w:r>
    </w:p>
    <w:p>
      <w:pPr>
        <w:spacing w:after="0" w:line="13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tangible net book value "at risk" leverage increased to 9.4x as of March 31, 2019, compared to 9.0x as of December 31, 2018 and 8.2x as of March 31, 2018, in light of improved overall levered returns on Agency RMBS and the availability of suitable financing. The table below presents a summary of our leverage ratios for the periods listed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20" w:type="dxa"/>
            <w:vAlign w:val="bottom"/>
            <w:gridSpan w:val="9"/>
            <w:vMerge w:val="restart"/>
          </w:tcPr>
          <w:p>
            <w:pPr>
              <w:jc w:val="center"/>
              <w:ind w:right="80"/>
              <w:spacing w:after="0"/>
              <w:rPr>
                <w:sz w:val="20"/>
                <w:szCs w:val="20"/>
                <w:color w:val="auto"/>
              </w:rPr>
            </w:pPr>
            <w:r>
              <w:rPr>
                <w:rFonts w:ascii="Arial" w:cs="Arial" w:eastAsia="Arial" w:hAnsi="Arial"/>
                <w:sz w:val="13"/>
                <w:szCs w:val="13"/>
                <w:b w:val="1"/>
                <w:bCs w:val="1"/>
                <w:color w:val="auto"/>
                <w:w w:val="86"/>
              </w:rPr>
              <w:t>Agency Repurchase Agreements and Other Debt</w:t>
            </w:r>
          </w:p>
        </w:tc>
        <w:tc>
          <w:tcPr>
            <w:tcW w:w="120" w:type="dxa"/>
            <w:vAlign w:val="bottom"/>
          </w:tcPr>
          <w:p>
            <w:pPr>
              <w:spacing w:after="0"/>
              <w:rPr>
                <w:sz w:val="12"/>
                <w:szCs w:val="12"/>
                <w:color w:val="auto"/>
              </w:rPr>
            </w:pPr>
          </w:p>
        </w:tc>
        <w:tc>
          <w:tcPr>
            <w:tcW w:w="1540" w:type="dxa"/>
            <w:vAlign w:val="bottom"/>
            <w:gridSpan w:val="4"/>
            <w:vMerge w:val="restart"/>
          </w:tcPr>
          <w:p>
            <w:pPr>
              <w:jc w:val="right"/>
              <w:ind w:right="272"/>
              <w:spacing w:after="0"/>
              <w:rPr>
                <w:sz w:val="20"/>
                <w:szCs w:val="20"/>
                <w:color w:val="auto"/>
              </w:rPr>
            </w:pPr>
            <w:r>
              <w:rPr>
                <w:rFonts w:ascii="Arial" w:cs="Arial" w:eastAsia="Arial" w:hAnsi="Arial"/>
                <w:sz w:val="13"/>
                <w:szCs w:val="13"/>
                <w:b w:val="1"/>
                <w:bCs w:val="1"/>
                <w:color w:val="auto"/>
              </w:rPr>
              <w:t>Net TBA Position</w:t>
            </w:r>
          </w:p>
        </w:tc>
        <w:tc>
          <w:tcPr>
            <w:tcW w:w="120" w:type="dxa"/>
            <w:vAlign w:val="bottom"/>
          </w:tcPr>
          <w:p>
            <w:pPr>
              <w:spacing w:after="0"/>
              <w:rPr>
                <w:sz w:val="12"/>
                <w:szCs w:val="12"/>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Average</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20" w:type="dxa"/>
            <w:vAlign w:val="bottom"/>
            <w:gridSpan w:val="9"/>
            <w:vMerge w:val="continue"/>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100"/>
              <w:spacing w:after="0" w:line="126" w:lineRule="exact"/>
              <w:rPr>
                <w:sz w:val="20"/>
                <w:szCs w:val="20"/>
                <w:color w:val="auto"/>
              </w:rPr>
            </w:pPr>
            <w:r>
              <w:rPr>
                <w:rFonts w:ascii="Arial" w:cs="Arial" w:eastAsia="Arial" w:hAnsi="Arial"/>
                <w:sz w:val="13"/>
                <w:szCs w:val="13"/>
                <w:b w:val="1"/>
                <w:bCs w:val="1"/>
                <w:color w:val="auto"/>
                <w:w w:val="89"/>
              </w:rPr>
              <w:t>Tangible Net</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5"/>
              <w:spacing w:after="0"/>
              <w:rPr>
                <w:sz w:val="20"/>
                <w:szCs w:val="20"/>
                <w:color w:val="auto"/>
              </w:rPr>
            </w:pPr>
            <w:r>
              <w:rPr>
                <w:rFonts w:ascii="Arial" w:cs="Arial" w:eastAsia="Arial" w:hAnsi="Arial"/>
                <w:sz w:val="9"/>
                <w:szCs w:val="9"/>
                <w:b w:val="1"/>
                <w:bCs w:val="1"/>
                <w:color w:val="auto"/>
                <w:w w:val="78"/>
              </w:rPr>
              <w:t>1</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right"/>
              <w:ind w:right="372"/>
              <w:spacing w:after="0" w:line="135" w:lineRule="exact"/>
              <w:rPr>
                <w:sz w:val="20"/>
                <w:szCs w:val="20"/>
                <w:color w:val="auto"/>
              </w:rPr>
            </w:pPr>
            <w:r>
              <w:rPr>
                <w:rFonts w:ascii="Arial" w:cs="Arial" w:eastAsia="Arial" w:hAnsi="Arial"/>
                <w:sz w:val="13"/>
                <w:szCs w:val="13"/>
                <w:b w:val="1"/>
                <w:bCs w:val="1"/>
                <w:color w:val="auto"/>
              </w:rPr>
              <w:t xml:space="preserve">Long/(Short) </w:t>
            </w:r>
            <w:r>
              <w:rPr>
                <w:rFonts w:ascii="Arial" w:cs="Arial" w:eastAsia="Arial" w:hAnsi="Arial"/>
                <w:sz w:val="8"/>
                <w:szCs w:val="8"/>
                <w:b w:val="1"/>
                <w:bCs w:val="1"/>
                <w:color w:val="auto"/>
              </w:rPr>
              <w:t>2</w:t>
            </w:r>
          </w:p>
        </w:tc>
        <w:tc>
          <w:tcPr>
            <w:tcW w:w="120" w:type="dxa"/>
            <w:vAlign w:val="bottom"/>
          </w:tcPr>
          <w:p>
            <w:pPr>
              <w:spacing w:after="0"/>
              <w:rPr>
                <w:sz w:val="12"/>
                <w:szCs w:val="1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Book Value</w:t>
            </w: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Average</w:t>
            </w: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Tangible Net</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rPr>
              <w:t>"At Risk"</w:t>
            </w:r>
          </w:p>
        </w:tc>
        <w:tc>
          <w:tcPr>
            <w:tcW w:w="102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rPr>
              <w:t>"At Risk"</w:t>
            </w:r>
          </w:p>
        </w:tc>
        <w:tc>
          <w:tcPr>
            <w:tcW w:w="102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6"/>
              </w:rPr>
              <w:t>Book Value "At</w:t>
            </w:r>
          </w:p>
        </w:tc>
        <w:tc>
          <w:tcPr>
            <w:tcW w:w="9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"At Risk"</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Leverage</w:t>
            </w:r>
          </w:p>
        </w:tc>
        <w:tc>
          <w:tcPr>
            <w:tcW w:w="10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Leverage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Risk" Leverage</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Leverage</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Average Daily</w:t>
            </w:r>
          </w:p>
        </w:tc>
        <w:tc>
          <w:tcPr>
            <w:tcW w:w="12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Maximum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Ending</w:t>
            </w:r>
          </w:p>
        </w:tc>
        <w:tc>
          <w:tcPr>
            <w:tcW w:w="12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Daily</w:t>
            </w:r>
          </w:p>
        </w:tc>
        <w:tc>
          <w:tcPr>
            <w:tcW w:w="140" w:type="dxa"/>
            <w:vAlign w:val="bottom"/>
          </w:tcPr>
          <w:p>
            <w:pPr>
              <w:spacing w:after="0"/>
              <w:rPr>
                <w:sz w:val="11"/>
                <w:szCs w:val="11"/>
                <w:color w:val="auto"/>
              </w:rPr>
            </w:pPr>
          </w:p>
        </w:tc>
        <w:tc>
          <w:tcPr>
            <w:tcW w:w="640" w:type="dxa"/>
            <w:vAlign w:val="bottom"/>
          </w:tcPr>
          <w:p>
            <w:pPr>
              <w:jc w:val="right"/>
              <w:ind w:right="112"/>
              <w:spacing w:after="0" w:line="135" w:lineRule="exact"/>
              <w:rPr>
                <w:sz w:val="20"/>
                <w:szCs w:val="20"/>
                <w:color w:val="auto"/>
              </w:rPr>
            </w:pPr>
            <w:r>
              <w:rPr>
                <w:rFonts w:ascii="Arial" w:cs="Arial" w:eastAsia="Arial" w:hAnsi="Arial"/>
                <w:sz w:val="13"/>
                <w:szCs w:val="13"/>
                <w:b w:val="1"/>
                <w:bCs w:val="1"/>
                <w:color w:val="auto"/>
                <w:w w:val="99"/>
              </w:rPr>
              <w:t>Ending</w:t>
            </w: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during the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during the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78"/>
              </w:rPr>
              <w:t>as of</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as of</w:t>
            </w:r>
          </w:p>
        </w:tc>
        <w:tc>
          <w:tcPr>
            <w:tcW w:w="0" w:type="dxa"/>
            <w:vAlign w:val="bottom"/>
          </w:tcPr>
          <w:p>
            <w:pPr>
              <w:spacing w:after="0"/>
              <w:rPr>
                <w:sz w:val="1"/>
                <w:szCs w:val="1"/>
                <w:color w:val="auto"/>
              </w:rPr>
            </w:pPr>
          </w:p>
        </w:tc>
      </w:tr>
      <w:tr>
        <w:trPr>
          <w:trHeight w:val="17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Quarter Ended</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3"/>
              </w:rPr>
              <w:t>Daily Amount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4"/>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 xml:space="preserve">Period </w:t>
            </w:r>
            <w:r>
              <w:rPr>
                <w:rFonts w:ascii="Arial" w:cs="Arial" w:eastAsia="Arial" w:hAnsi="Arial"/>
                <w:sz w:val="8"/>
                <w:szCs w:val="8"/>
                <w:b w:val="1"/>
                <w:bCs w:val="1"/>
                <w:color w:val="auto"/>
                <w:w w:val="86"/>
              </w:rPr>
              <w:t>3</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xml:space="preserve">Period </w:t>
            </w:r>
            <w:r>
              <w:rPr>
                <w:rFonts w:ascii="Arial" w:cs="Arial" w:eastAsia="Arial" w:hAnsi="Arial"/>
                <w:sz w:val="8"/>
                <w:szCs w:val="8"/>
                <w:b w:val="1"/>
                <w:bCs w:val="1"/>
                <w:color w:val="auto"/>
                <w:w w:val="90"/>
              </w:rPr>
              <w:t>4</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 xml:space="preserve">Period End </w:t>
            </w:r>
            <w:r>
              <w:rPr>
                <w:rFonts w:ascii="Arial" w:cs="Arial" w:eastAsia="Arial" w:hAnsi="Arial"/>
                <w:sz w:val="8"/>
                <w:szCs w:val="8"/>
                <w:b w:val="1"/>
                <w:bCs w:val="1"/>
                <w:color w:val="auto"/>
                <w:w w:val="88"/>
              </w:rPr>
              <w:t>3</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xml:space="preserve">Period End </w:t>
            </w:r>
            <w:r>
              <w:rPr>
                <w:rFonts w:ascii="Arial" w:cs="Arial" w:eastAsia="Arial" w:hAnsi="Arial"/>
                <w:sz w:val="8"/>
                <w:szCs w:val="8"/>
                <w:b w:val="1"/>
                <w:bCs w:val="1"/>
                <w:color w:val="auto"/>
                <w:w w:val="91"/>
              </w:rPr>
              <w:t>5</w:t>
            </w:r>
          </w:p>
        </w:tc>
        <w:tc>
          <w:tcPr>
            <w:tcW w:w="0" w:type="dxa"/>
            <w:vAlign w:val="bottom"/>
          </w:tcPr>
          <w:p>
            <w:pPr>
              <w:spacing w:after="0"/>
              <w:rPr>
                <w:sz w:val="1"/>
                <w:szCs w:val="1"/>
                <w:color w:val="auto"/>
              </w:rPr>
            </w:pPr>
          </w:p>
        </w:tc>
      </w:tr>
      <w:tr>
        <w:trPr>
          <w:trHeight w:val="257"/>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31, 2019</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82,070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87,877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86,590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8,002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6,885</w:t>
            </w:r>
          </w:p>
        </w:tc>
        <w:tc>
          <w:tcPr>
            <w:tcW w:w="10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9.3:1</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8.8:1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9.4:1</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9.0:1</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December 31, 2018</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68,499</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5"/>
              <w:spacing w:after="0"/>
              <w:rPr>
                <w:sz w:val="20"/>
                <w:szCs w:val="20"/>
                <w:color w:val="auto"/>
              </w:rPr>
            </w:pPr>
            <w:r>
              <w:rPr>
                <w:rFonts w:ascii="Arial" w:cs="Arial" w:eastAsia="Arial" w:hAnsi="Arial"/>
                <w:sz w:val="14"/>
                <w:szCs w:val="14"/>
                <w:color w:val="auto"/>
              </w:rPr>
              <w:t>77,442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75,992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4"/>
              <w:spacing w:after="0"/>
              <w:rPr>
                <w:sz w:val="20"/>
                <w:szCs w:val="20"/>
                <w:color w:val="auto"/>
              </w:rPr>
            </w:pPr>
            <w:r>
              <w:rPr>
                <w:rFonts w:ascii="Arial" w:cs="Arial" w:eastAsia="Arial" w:hAnsi="Arial"/>
                <w:sz w:val="14"/>
                <w:szCs w:val="14"/>
                <w:color w:val="auto"/>
              </w:rPr>
              <w:t>8,066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7,252</w:t>
            </w:r>
          </w:p>
        </w:tc>
        <w:tc>
          <w:tcPr>
            <w:tcW w:w="102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8.4:1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7.9:1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9.0:1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8.5:1</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31, 2018</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49,567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50,645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49,292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15,585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13,529</w:t>
            </w:r>
          </w:p>
        </w:tc>
        <w:tc>
          <w:tcPr>
            <w:tcW w:w="10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8.2:1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7.7:1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8.2:1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7.6:1</w:t>
            </w:r>
          </w:p>
        </w:tc>
        <w:tc>
          <w:tcPr>
            <w:tcW w:w="0" w:type="dxa"/>
            <w:vAlign w:val="bottom"/>
          </w:tcPr>
          <w:p>
            <w:pPr>
              <w:spacing w:after="0"/>
              <w:rPr>
                <w:sz w:val="1"/>
                <w:szCs w:val="1"/>
                <w:color w:val="auto"/>
              </w:rPr>
            </w:pPr>
          </w:p>
        </w:tc>
      </w:tr>
      <w:tr>
        <w:trPr>
          <w:trHeight w:val="115"/>
        </w:trPr>
        <w:tc>
          <w:tcPr>
            <w:tcW w:w="2740" w:type="dxa"/>
            <w:vAlign w:val="bottom"/>
          </w:tcPr>
          <w:p>
            <w:pPr>
              <w:spacing w:after="0" w:line="115" w:lineRule="exact"/>
              <w:rPr>
                <w:sz w:val="20"/>
                <w:szCs w:val="20"/>
                <w:color w:val="auto"/>
              </w:rPr>
            </w:pPr>
            <w:r>
              <w:rPr>
                <w:rFonts w:ascii="Arial" w:cs="Arial" w:eastAsia="Arial" w:hAnsi="Arial"/>
                <w:sz w:val="11"/>
                <w:szCs w:val="11"/>
                <w:color w:val="auto"/>
              </w:rPr>
              <w:t>________________________________</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Other debt includes debt of consolidated VIEs. Amounts exclude U.S. Treasury repo agreements.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Tangible net book value "at risk" leverage includes the components of "at risk" leverage with stockholders' equity adjusted to exclude goodwill and other intangible assets, net.</w:t>
      </w:r>
    </w:p>
    <w:p>
      <w:pPr>
        <w:spacing w:after="0" w:line="12" w:lineRule="exact"/>
        <w:rPr>
          <w:rFonts w:ascii="Arial" w:cs="Arial" w:eastAsia="Arial" w:hAnsi="Arial"/>
          <w:sz w:val="13"/>
          <w:szCs w:val="13"/>
          <w:color w:val="auto"/>
        </w:rPr>
      </w:pPr>
    </w:p>
    <w:p>
      <w:pPr>
        <w:ind w:left="660" w:hanging="328"/>
        <w:spacing w:after="0" w:line="241"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Average "at risk" leverage during the period was calculated by dividing the sum of our daily weighted average mortgage borrowings outstanding during the period by the sum of our average month-ended stockholders' equity less our average investment in REIT equity securities for the period.</w:t>
      </w:r>
    </w:p>
    <w:p>
      <w:pPr>
        <w:ind w:left="660" w:hanging="328"/>
        <w:spacing w:after="0" w:line="293" w:lineRule="auto"/>
        <w:tabs>
          <w:tab w:leader="none" w:pos="6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"At risk" leverage as of period end is calculated by dividing the sum of our mortgage borrowings outstanding and our receivable/payable for unsettled investment securities as of period end (at cost) by the sum of our total stockholders' equity less the fair value of investments in REIT equity securities at period end. Leverage excludes U.S. Treasury repo agreements.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Interest Expense and Aggregate Cost of Funds</w:t>
      </w:r>
    </w:p>
    <w:p>
      <w:pPr>
        <w:spacing w:after="0" w:line="18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summarizes our economic interest expense and aggregate cost of funds (non-GAAP measures) for the three months ended March 31, 2019 and 2018 (dollars in millions), which includes the combination of interest expense on Agency repurchase agreements and other debt (GAAP measure), implied interest expense on our TBA securities and interest rate swap periodic interest (income) cost: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900" w:right="239" w:bottom="1440" w:gutter="0" w:footer="0" w:header="0"/>
        </w:sectPr>
      </w:pPr>
    </w:p>
    <w:bookmarkStart w:id="34" w:name="page35"/>
    <w:bookmarkEnd w:id="34"/>
    <w:tbl>
      <w:tblPr>
        <w:tblLayout w:type="fixed"/>
        <w:tblInd w:w="192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9"/>
          </w:tcPr>
          <w:p>
            <w:pPr>
              <w:ind w:left="540"/>
              <w:spacing w:after="0"/>
              <w:rPr>
                <w:sz w:val="20"/>
                <w:szCs w:val="20"/>
                <w:color w:val="auto"/>
              </w:rPr>
            </w:pPr>
            <w:r>
              <w:rPr>
                <w:rFonts w:ascii="Arial" w:cs="Arial" w:eastAsia="Arial" w:hAnsi="Arial"/>
                <w:sz w:val="14"/>
                <w:szCs w:val="14"/>
                <w:b w:val="1"/>
                <w:bCs w:val="1"/>
                <w:color w:val="auto"/>
                <w:w w:val="95"/>
              </w:rPr>
              <w:t>Three Months Ended March 31,</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6"/>
              </w:rPr>
              <w:t>2019</w:t>
            </w:r>
          </w:p>
        </w:tc>
        <w:tc>
          <w:tcPr>
            <w:tcW w:w="6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Economic Interest Expense and Aggregate Cost of Funds </w:t>
            </w:r>
            <w:r>
              <w:rPr>
                <w:rFonts w:ascii="Arial" w:cs="Arial" w:eastAsia="Arial" w:hAnsi="Arial"/>
                <w:sz w:val="8"/>
                <w:szCs w:val="8"/>
                <w:b w:val="1"/>
                <w:bCs w:val="1"/>
                <w:color w:val="auto"/>
              </w:rPr>
              <w:t>1</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7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3"/>
                <w:szCs w:val="13"/>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60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w w:val="91"/>
              </w:rPr>
              <w:t>Cost of</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9"/>
              </w:rPr>
              <w:t>Funds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9"/>
              </w:rPr>
              <w:t>Funds</w:t>
            </w:r>
          </w:p>
        </w:tc>
        <w:tc>
          <w:tcPr>
            <w:tcW w:w="0" w:type="dxa"/>
            <w:vAlign w:val="bottom"/>
          </w:tcPr>
          <w:p>
            <w:pPr>
              <w:spacing w:after="0"/>
              <w:rPr>
                <w:sz w:val="1"/>
                <w:szCs w:val="1"/>
                <w:color w:val="auto"/>
              </w:rPr>
            </w:pPr>
          </w:p>
        </w:tc>
      </w:tr>
      <w:tr>
        <w:trPr>
          <w:trHeight w:val="156"/>
        </w:trPr>
        <w:tc>
          <w:tcPr>
            <w:tcW w:w="43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Repurchase agreement and other debt - interest expense (GAAP</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measure)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2.64 %</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TBA dollar roll income - implied interest expense </w:t>
            </w:r>
            <w:r>
              <w:rPr>
                <w:rFonts w:ascii="Arial" w:cs="Arial" w:eastAsia="Arial" w:hAnsi="Arial"/>
                <w:sz w:val="8"/>
                <w:szCs w:val="8"/>
                <w:color w:val="auto"/>
              </w:rPr>
              <w:t>2,3</w:t>
            </w: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2.60 %</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56"/>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Economic interest expense - before interest rate swap costs </w:t>
            </w:r>
            <w:r>
              <w:rPr>
                <w:rFonts w:ascii="Arial" w:cs="Arial" w:eastAsia="Arial" w:hAnsi="Arial"/>
                <w:sz w:val="8"/>
                <w:szCs w:val="8"/>
                <w:color w:val="auto"/>
              </w:rPr>
              <w:t>4</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2.64 %</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Interest rate swap periodic interest (income) cost, net </w:t>
            </w:r>
            <w:r>
              <w:rPr>
                <w:rFonts w:ascii="Arial" w:cs="Arial" w:eastAsia="Arial" w:hAnsi="Arial"/>
                <w:sz w:val="8"/>
                <w:szCs w:val="8"/>
                <w:color w:val="auto"/>
              </w:rPr>
              <w:t>2,5</w:t>
            </w: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43"/>
        </w:trPr>
        <w:tc>
          <w:tcPr>
            <w:tcW w:w="4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economic interest expense (non-GAAP measure)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8890</wp:posOffset>
            </wp:positionV>
            <wp:extent cx="20751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1"/>
          <w:szCs w:val="11"/>
          <w:color w:val="auto"/>
        </w:rPr>
        <w:t>________________________________</w:t>
      </w:r>
    </w:p>
    <w:p>
      <w:pPr>
        <w:ind w:left="660" w:right="380" w:hanging="328"/>
        <w:spacing w:after="0" w:line="241"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Amounts exclude interest rate swap termination fees and variation margin settlements paid or received, forward starting swaps and the impact of other supplemental hedges, such as swaptions and U.S. Treasury positions.</w:t>
      </w: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 w:lineRule="exact"/>
        <w:rPr>
          <w:rFonts w:ascii="Arial" w:cs="Arial" w:eastAsia="Arial" w:hAnsi="Arial"/>
          <w:sz w:val="14"/>
          <w:szCs w:val="14"/>
          <w:color w:val="auto"/>
        </w:rPr>
      </w:pPr>
    </w:p>
    <w:p>
      <w:pPr>
        <w:jc w:val="both"/>
        <w:ind w:left="660" w:right="100" w:hanging="328"/>
        <w:spacing w:after="0" w:line="241"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implied funding cost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for all TBA transactions is weighted based on our daily average TBA balance outstanding for the period.</w:t>
      </w:r>
    </w:p>
    <w:p>
      <w:pPr>
        <w:spacing w:after="0" w:line="1" w:lineRule="exact"/>
        <w:rPr>
          <w:rFonts w:ascii="Arial" w:cs="Arial" w:eastAsia="Arial" w:hAnsi="Arial"/>
          <w:sz w:val="14"/>
          <w:szCs w:val="14"/>
          <w:color w:val="auto"/>
        </w:rPr>
      </w:pPr>
    </w:p>
    <w:p>
      <w:pPr>
        <w:ind w:left="660" w:right="220" w:hanging="328"/>
        <w:spacing w:after="0" w:line="241"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combined cost of funds for total mortgage borrowings outstanding, before interest rate swap costs, is calculated on a weighted average basis based on average repo, other debt and TBA balances outstanding during the period and their respective cost of funds.</w:t>
      </w: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Interest rate swap periodic interest (income) cost is measured as a percent of average mortgage borrowings outstanding for the period.</w:t>
      </w:r>
    </w:p>
    <w:p>
      <w:pPr>
        <w:spacing w:after="0" w:line="2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principal elements impacting our economic interest expense are (i) the size of our average mortgage borrowings and interest rate swap portfolio outstanding during the period, (ii) the average interest rate (actual and implied) on our mortgage borrowings and (iii) the average net interest rate paid/received on our interest rate swaps. The following table includes a summary of the estimated impact of these elements on our economic interest expense for the three months ended March 31, 2019, compared to the prior year period (in millions):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23495</wp:posOffset>
            </wp:positionV>
            <wp:extent cx="68351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Three Months Ended March 31, 2019 vs.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23495</wp:posOffset>
            </wp:positionV>
            <wp:extent cx="68351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103"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Due to Change in Average</w:t>
            </w:r>
          </w:p>
        </w:tc>
      </w:tr>
      <w:tr>
        <w:trPr>
          <w:trHeight w:val="153"/>
        </w:trPr>
        <w:tc>
          <w:tcPr>
            <w:tcW w:w="6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Total Increase /</w:t>
            </w:r>
          </w:p>
        </w:tc>
        <w:tc>
          <w:tcPr>
            <w:tcW w:w="100" w:type="dxa"/>
            <w:vAlign w:val="bottom"/>
          </w:tcPr>
          <w:p>
            <w:pPr>
              <w:spacing w:after="0"/>
              <w:rPr>
                <w:sz w:val="13"/>
                <w:szCs w:val="13"/>
                <w:color w:val="auto"/>
              </w:rPr>
            </w:pPr>
          </w:p>
        </w:tc>
        <w:tc>
          <w:tcPr>
            <w:tcW w:w="13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Borrowing / Swap</w:t>
            </w:r>
          </w:p>
        </w:tc>
        <w:tc>
          <w:tcPr>
            <w:tcW w:w="120" w:type="dxa"/>
            <w:vAlign w:val="bottom"/>
          </w:tcPr>
          <w:p>
            <w:pPr>
              <w:spacing w:after="0"/>
              <w:rPr>
                <w:sz w:val="13"/>
                <w:szCs w:val="13"/>
                <w:color w:val="auto"/>
              </w:rPr>
            </w:pPr>
          </w:p>
        </w:tc>
        <w:tc>
          <w:tcPr>
            <w:tcW w:w="126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w w:val="92"/>
              </w:rPr>
              <w:t>Borrowing / Swap</w:t>
            </w:r>
          </w:p>
        </w:tc>
      </w:tr>
      <w:tr>
        <w:trPr>
          <w:trHeight w:val="192"/>
        </w:trPr>
        <w:tc>
          <w:tcPr>
            <w:tcW w:w="62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Rate</w:t>
            </w:r>
          </w:p>
        </w:tc>
      </w:tr>
      <w:tr>
        <w:trPr>
          <w:trHeight w:val="256"/>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Repurchase agreements and other debt interest expense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w:t>
            </w:r>
          </w:p>
        </w:tc>
      </w:tr>
      <w:tr>
        <w:trPr>
          <w:trHeight w:val="264"/>
        </w:trPr>
        <w:tc>
          <w:tcPr>
            <w:tcW w:w="6360" w:type="dxa"/>
            <w:vAlign w:val="bottom"/>
            <w:gridSpan w:val="2"/>
          </w:tcPr>
          <w:p>
            <w:pPr>
              <w:ind w:left="20"/>
              <w:spacing w:after="0"/>
              <w:rPr>
                <w:sz w:val="20"/>
                <w:szCs w:val="20"/>
                <w:color w:val="auto"/>
              </w:rPr>
            </w:pPr>
            <w:r>
              <w:rPr>
                <w:rFonts w:ascii="Arial" w:cs="Arial" w:eastAsia="Arial" w:hAnsi="Arial"/>
                <w:sz w:val="14"/>
                <w:szCs w:val="14"/>
                <w:color w:val="auto"/>
              </w:rPr>
              <w:t>TBA dollar roll income - implied interest expense</w:t>
            </w: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22</w:t>
            </w:r>
          </w:p>
        </w:tc>
      </w:tr>
      <w:tr>
        <w:trPr>
          <w:trHeight w:val="27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 swap periodic interest income/cost</w:t>
            </w:r>
          </w:p>
        </w:tc>
        <w:tc>
          <w:tcPr>
            <w:tcW w:w="1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r>
      <w:tr>
        <w:trPr>
          <w:trHeight w:val="243"/>
        </w:trPr>
        <w:tc>
          <w:tcPr>
            <w:tcW w:w="6360" w:type="dxa"/>
            <w:vAlign w:val="bottom"/>
            <w:gridSpan w:val="2"/>
          </w:tcPr>
          <w:p>
            <w:pPr>
              <w:ind w:left="20"/>
              <w:spacing w:after="0"/>
              <w:rPr>
                <w:sz w:val="20"/>
                <w:szCs w:val="20"/>
                <w:color w:val="auto"/>
              </w:rPr>
            </w:pPr>
            <w:r>
              <w:rPr>
                <w:rFonts w:ascii="Arial" w:cs="Arial" w:eastAsia="Arial" w:hAnsi="Arial"/>
                <w:sz w:val="14"/>
                <w:szCs w:val="14"/>
                <w:color w:val="auto"/>
              </w:rPr>
              <w:t>Total change in economic interest expense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w:t>
            </w:r>
          </w:p>
        </w:tc>
      </w:tr>
      <w:tr>
        <w:trPr>
          <w:trHeight w:val="20"/>
        </w:trPr>
        <w:tc>
          <w:tcPr>
            <w:tcW w:w="6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average mortgage borrowings, inclusive of TBAs, increased by 38% for the three months ended March 31, 2019 compared to the prior year period as a function of our higher asset base. The increase in the average interest rate (actual and implied) on our mortgage borrowings was largely a function of increases in the Federal Funds rate during fiscal year 2018. The decrease in our periodic swap costs was due to the receive-floating rate leg of our interest rate swaps resetting to higher prevailing three-month LIBOR rates.</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 below presents a summary of the ratio of our average interest rates swaps outstanding, excluding forward starting swaps, to our average mortgage borrowings for the three months ended March 31, 2019 and 2018 (dollars in millions):</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8"/>
              </w:rPr>
              <w:t>Average Ratio of Interest Rate Swaps (Excluding Forward Starting Swaps) to Mortgage Borrowings Outstanding</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r>
      <w:tr>
        <w:trPr>
          <w:trHeight w:val="256"/>
        </w:trPr>
        <w:tc>
          <w:tcPr>
            <w:tcW w:w="7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Agency repo and other debt outstanding</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82,070</w:t>
            </w: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49,567</w:t>
            </w:r>
          </w:p>
        </w:tc>
      </w:tr>
      <w:tr>
        <w:trPr>
          <w:trHeight w:val="264"/>
        </w:trPr>
        <w:tc>
          <w:tcPr>
            <w:tcW w:w="75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Average net TBA portfolio outstanding - at cost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8,002</w:t>
            </w:r>
          </w:p>
        </w:tc>
        <w:tc>
          <w:tcPr>
            <w:tcW w:w="1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15,585</w:t>
            </w:r>
          </w:p>
        </w:tc>
      </w:tr>
      <w:tr>
        <w:trPr>
          <w:trHeight w:val="256"/>
        </w:trPr>
        <w:tc>
          <w:tcPr>
            <w:tcW w:w="7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mortgage borrowings outstanding</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90,072</w:t>
            </w: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65,152</w:t>
            </w:r>
          </w:p>
        </w:tc>
      </w:tr>
      <w:tr>
        <w:trPr>
          <w:trHeight w:val="264"/>
        </w:trPr>
        <w:tc>
          <w:tcPr>
            <w:tcW w:w="7500" w:type="dxa"/>
            <w:vAlign w:val="bottom"/>
            <w:gridSpan w:val="2"/>
          </w:tcPr>
          <w:p>
            <w:pPr>
              <w:ind w:left="40"/>
              <w:spacing w:after="0"/>
              <w:rPr>
                <w:sz w:val="20"/>
                <w:szCs w:val="20"/>
                <w:color w:val="auto"/>
              </w:rPr>
            </w:pPr>
            <w:r>
              <w:rPr>
                <w:rFonts w:ascii="Arial" w:cs="Arial" w:eastAsia="Arial" w:hAnsi="Arial"/>
                <w:sz w:val="14"/>
                <w:szCs w:val="14"/>
                <w:color w:val="auto"/>
              </w:rPr>
              <w:t>Average notional amount of interest rate swaps outstanding (excluding forward starting swaps)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45,158</w:t>
            </w:r>
          </w:p>
        </w:tc>
        <w:tc>
          <w:tcPr>
            <w:tcW w:w="180" w:type="dxa"/>
            <w:vAlign w:val="bottom"/>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-8255</wp:posOffset>
            </wp:positionV>
            <wp:extent cx="64058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05880" cy="171450"/>
                    </a:xfrm>
                    <a:prstGeom prst="rect">
                      <a:avLst/>
                    </a:prstGeom>
                    <a:noFill/>
                  </pic:spPr>
                </pic:pic>
              </a:graphicData>
            </a:graphic>
          </wp:anchor>
        </w:drawing>
      </w:r>
    </w:p>
    <w:p>
      <w:pPr>
        <w:spacing w:after="0" w:line="29" w:lineRule="exact"/>
        <w:rPr>
          <w:sz w:val="20"/>
          <w:szCs w:val="20"/>
          <w:color w:val="auto"/>
        </w:rPr>
      </w:pPr>
    </w:p>
    <w:tbl>
      <w:tblPr>
        <w:tblLayout w:type="fixed"/>
        <w:tblInd w:w="660" w:type="dxa"/>
        <w:tblCellMar>
          <w:top w:w="0" w:type="dxa"/>
          <w:left w:w="0" w:type="dxa"/>
          <w:bottom w:w="0" w:type="dxa"/>
          <w:right w:w="0" w:type="dxa"/>
        </w:tblCellMar>
      </w:tblPr>
      <w:tr>
        <w:trPr>
          <w:trHeight w:val="194"/>
        </w:trPr>
        <w:tc>
          <w:tcPr>
            <w:tcW w:w="7500" w:type="dxa"/>
            <w:vAlign w:val="bottom"/>
          </w:tcPr>
          <w:p>
            <w:pPr>
              <w:ind w:left="40"/>
              <w:spacing w:after="0"/>
              <w:rPr>
                <w:sz w:val="20"/>
                <w:szCs w:val="20"/>
                <w:color w:val="auto"/>
              </w:rPr>
            </w:pPr>
            <w:r>
              <w:rPr>
                <w:rFonts w:ascii="Arial" w:cs="Arial" w:eastAsia="Arial" w:hAnsi="Arial"/>
                <w:sz w:val="14"/>
                <w:szCs w:val="14"/>
                <w:color w:val="auto"/>
              </w:rPr>
              <w:t>Ratio of average interest rate swaps to mortgage borrowings outstanding</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50 %</w:t>
            </w:r>
          </w:p>
        </w:tc>
        <w:tc>
          <w:tcPr>
            <w:tcW w:w="18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63 %</w:t>
            </w:r>
          </w:p>
        </w:tc>
      </w:tr>
      <w:tr>
        <w:trPr>
          <w:trHeight w:val="20"/>
        </w:trPr>
        <w:tc>
          <w:tcPr>
            <w:tcW w:w="75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78"/>
        </w:trPr>
        <w:tc>
          <w:tcPr>
            <w:tcW w:w="7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7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Average interest rate swap pay-fixed rate (excluding forward starting swaps)</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1.97 %</w:t>
            </w: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1.72 %</w:t>
            </w:r>
          </w:p>
        </w:tc>
      </w:tr>
      <w:tr>
        <w:trPr>
          <w:trHeight w:val="264"/>
        </w:trPr>
        <w:tc>
          <w:tcPr>
            <w:tcW w:w="7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Average interest rate swap receive-floating rate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w:t>
            </w:r>
          </w:p>
        </w:tc>
        <w:tc>
          <w:tcPr>
            <w:tcW w:w="18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r>
      <w:tr>
        <w:trPr>
          <w:trHeight w:val="243"/>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Average interest rate swap net pay/(receive) rate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(0.75)%</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0.09 %</w:t>
            </w:r>
          </w:p>
        </w:tc>
      </w:tr>
      <w:tr>
        <w:trPr>
          <w:trHeight w:val="20"/>
        </w:trPr>
        <w:tc>
          <w:tcPr>
            <w:tcW w:w="75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6" w:right="239" w:bottom="1440" w:gutter="0" w:footer="0" w:header="0"/>
        </w:sectPr>
      </w:pPr>
    </w:p>
    <w:bookmarkStart w:id="35" w:name="page36"/>
    <w:bookmarkEnd w:id="35"/>
    <w:p>
      <w:pPr>
        <w:jc w:val="both"/>
        <w:ind w:firstLine="432"/>
        <w:spacing w:after="0" w:line="259" w:lineRule="auto"/>
        <w:rPr>
          <w:sz w:val="20"/>
          <w:szCs w:val="20"/>
          <w:color w:val="auto"/>
        </w:rPr>
      </w:pPr>
      <w:r>
        <w:rPr>
          <w:rFonts w:ascii="Arial" w:cs="Arial" w:eastAsia="Arial" w:hAnsi="Arial"/>
          <w:sz w:val="18"/>
          <w:szCs w:val="18"/>
          <w:color w:val="auto"/>
        </w:rPr>
        <w:t>For the three months ended March 31, 2019 and 2018, we had an average forward starting swap balance of $5.9 billion and $3.4 billion, respectively. Forward starting interest rate swaps do not impact our economic interest expense and aggregate cost of funds until they commence accruing net interest settlements on their forward start dates. Including forward starting swaps, our average ratio of interest rate swaps outstanding to our average mortgage borrowings was 57% and 68% for the three months ended March 31, 2019 and 2018,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Spread</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a summary of our net interest spread (including the impact of TBA dollar roll income, interest rate swaps and excluding "catch-up" premium amortization) for the three months ended March 31, 2019 and 2018:</w:t>
      </w:r>
    </w:p>
    <w:p>
      <w:pPr>
        <w:spacing w:after="0" w:line="258"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 March</w:t>
            </w:r>
          </w:p>
        </w:tc>
      </w:tr>
      <w:tr>
        <w:trPr>
          <w:trHeight w:val="192"/>
        </w:trPr>
        <w:tc>
          <w:tcPr>
            <w:tcW w:w="6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31,</w:t>
            </w:r>
          </w:p>
        </w:tc>
        <w:tc>
          <w:tcPr>
            <w:tcW w:w="740" w:type="dxa"/>
            <w:vAlign w:val="bottom"/>
            <w:tcBorders>
              <w:bottom w:val="single" w:sz="8" w:color="auto"/>
            </w:tcBorders>
          </w:tcPr>
          <w:p>
            <w:pPr>
              <w:spacing w:after="0"/>
              <w:rPr>
                <w:sz w:val="16"/>
                <w:szCs w:val="16"/>
                <w:color w:val="auto"/>
              </w:rPr>
            </w:pPr>
          </w:p>
        </w:tc>
      </w:tr>
      <w:tr>
        <w:trPr>
          <w:trHeight w:val="264"/>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Investment and TBA Securities - Net Interest Spread</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r>
      <w:tr>
        <w:trPr>
          <w:trHeight w:val="256"/>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asset yield, excluding "catch-up" premium amortization</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3.33 %</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2.94 %</w:t>
            </w:r>
          </w:p>
        </w:tc>
      </w:tr>
      <w:tr>
        <w:trPr>
          <w:trHeight w:val="264"/>
        </w:trPr>
        <w:tc>
          <w:tcPr>
            <w:tcW w:w="62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Average aggregate cost of funds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r>
      <w:tr>
        <w:trPr>
          <w:trHeight w:val="243"/>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Average net interest spread, excluding "catch-up" premium amortization</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1.26 %</w:t>
            </w:r>
          </w:p>
        </w:tc>
      </w:tr>
      <w:tr>
        <w:trPr>
          <w:trHeight w:val="20"/>
        </w:trPr>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presents a summary of our net spread and dollar roll income, excluding estimated "catch-up" premium amortization, per diluted common share (a non-GAAP financial measure) and a reconciliation to our net interest income (the most comparable GAAP financial measure) for the three months ended March 31, 2019 and 2018 (dollars in millions):</w:t>
      </w:r>
    </w:p>
    <w:p>
      <w:pPr>
        <w:spacing w:after="0" w:line="200"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13335</wp:posOffset>
            </wp:positionV>
            <wp:extent cx="11836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87" w:lineRule="exact"/>
        <w:rPr>
          <w:sz w:val="20"/>
          <w:szCs w:val="20"/>
          <w:color w:val="auto"/>
        </w:rPr>
      </w:pPr>
    </w:p>
    <w:tbl>
      <w:tblPr>
        <w:tblLayout w:type="fixed"/>
        <w:tblInd w:w="1560" w:type="dxa"/>
        <w:tblCellMar>
          <w:top w:w="0" w:type="dxa"/>
          <w:left w:w="0" w:type="dxa"/>
          <w:bottom w:w="0" w:type="dxa"/>
          <w:right w:w="0" w:type="dxa"/>
        </w:tblCellMar>
      </w:tblPr>
      <w:tr>
        <w:trPr>
          <w:trHeight w:val="192"/>
        </w:trPr>
        <w:tc>
          <w:tcPr>
            <w:tcW w:w="64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 (GAAP measure)</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64"/>
        </w:trPr>
        <w:tc>
          <w:tcPr>
            <w:tcW w:w="6460" w:type="dxa"/>
            <w:vAlign w:val="bottom"/>
          </w:tcPr>
          <w:p>
            <w:pPr>
              <w:ind w:left="160"/>
              <w:spacing w:after="0"/>
              <w:rPr>
                <w:sz w:val="20"/>
                <w:szCs w:val="20"/>
                <w:color w:val="auto"/>
              </w:rPr>
            </w:pPr>
            <w:r>
              <w:rPr>
                <w:rFonts w:ascii="Arial" w:cs="Arial" w:eastAsia="Arial" w:hAnsi="Arial"/>
                <w:sz w:val="14"/>
                <w:szCs w:val="14"/>
                <w:color w:val="auto"/>
              </w:rPr>
              <w:t xml:space="preserve">TBA dollar roll income, net </w:t>
            </w:r>
            <w:r>
              <w:rPr>
                <w:rFonts w:ascii="Arial" w:cs="Arial" w:eastAsia="Arial" w:hAnsi="Arial"/>
                <w:sz w:val="8"/>
                <w:szCs w:val="8"/>
                <w:color w:val="auto"/>
              </w:rPr>
              <w:t>1</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76"/>
        </w:trPr>
        <w:tc>
          <w:tcPr>
            <w:tcW w:w="6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 xml:space="preserve">Interest rate swap periodic interest income (cost), net </w:t>
            </w:r>
            <w:r>
              <w:rPr>
                <w:rFonts w:ascii="Arial" w:cs="Arial" w:eastAsia="Arial" w:hAnsi="Arial"/>
                <w:sz w:val="8"/>
                <w:szCs w:val="8"/>
                <w:color w:val="auto"/>
              </w:rPr>
              <w:t>1</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4"/>
        </w:trPr>
        <w:tc>
          <w:tcPr>
            <w:tcW w:w="64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 xml:space="preserve">Other interest and dividend income </w:t>
            </w:r>
            <w:r>
              <w:rPr>
                <w:rFonts w:ascii="Arial" w:cs="Arial" w:eastAsia="Arial" w:hAnsi="Arial"/>
                <w:sz w:val="8"/>
                <w:szCs w:val="8"/>
                <w:color w:val="auto"/>
              </w:rPr>
              <w:t>1</w:t>
            </w: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interest and dollar roll income</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264"/>
        </w:trPr>
        <w:tc>
          <w:tcPr>
            <w:tcW w:w="6460" w:type="dxa"/>
            <w:vAlign w:val="bottom"/>
          </w:tcPr>
          <w:p>
            <w:pPr>
              <w:ind w:left="20"/>
              <w:spacing w:after="0"/>
              <w:rPr>
                <w:sz w:val="20"/>
                <w:szCs w:val="20"/>
                <w:color w:val="auto"/>
              </w:rPr>
            </w:pPr>
            <w:r>
              <w:rPr>
                <w:rFonts w:ascii="Arial" w:cs="Arial" w:eastAsia="Arial" w:hAnsi="Arial"/>
                <w:sz w:val="14"/>
                <w:szCs w:val="14"/>
                <w:color w:val="auto"/>
              </w:rPr>
              <w:t>Other operating income (expense):</w:t>
            </w: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Management fee income</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64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Operating expenses</w:t>
            </w: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50"/>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other operating income (expense), net</w:t>
            </w: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50"/>
        </w:trPr>
        <w:tc>
          <w:tcPr>
            <w:tcW w:w="6460" w:type="dxa"/>
            <w:vAlign w:val="bottom"/>
          </w:tcPr>
          <w:p>
            <w:pPr>
              <w:ind w:left="20"/>
              <w:spacing w:after="0"/>
              <w:rPr>
                <w:sz w:val="20"/>
                <w:szCs w:val="20"/>
                <w:color w:val="auto"/>
              </w:rPr>
            </w:pPr>
            <w:r>
              <w:rPr>
                <w:rFonts w:ascii="Arial" w:cs="Arial" w:eastAsia="Arial" w:hAnsi="Arial"/>
                <w:sz w:val="14"/>
                <w:szCs w:val="14"/>
                <w:color w:val="auto"/>
              </w:rPr>
              <w:t>Net spread and dollar roll income</w:t>
            </w:r>
          </w:p>
        </w:tc>
        <w:tc>
          <w:tcPr>
            <w:tcW w:w="18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270"/>
        </w:trPr>
        <w:tc>
          <w:tcPr>
            <w:tcW w:w="6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 on preferred stock</w:t>
            </w: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50"/>
        </w:trPr>
        <w:tc>
          <w:tcPr>
            <w:tcW w:w="6460" w:type="dxa"/>
            <w:vAlign w:val="bottom"/>
          </w:tcPr>
          <w:p>
            <w:pPr>
              <w:ind w:left="20"/>
              <w:spacing w:after="0"/>
              <w:rPr>
                <w:sz w:val="20"/>
                <w:szCs w:val="20"/>
                <w:color w:val="auto"/>
              </w:rPr>
            </w:pPr>
            <w:r>
              <w:rPr>
                <w:rFonts w:ascii="Arial" w:cs="Arial" w:eastAsia="Arial" w:hAnsi="Arial"/>
                <w:sz w:val="14"/>
                <w:szCs w:val="14"/>
                <w:color w:val="auto"/>
              </w:rPr>
              <w:t>Net spread and dollar roll income available to common stockholders (non-GAAP measure)</w:t>
            </w:r>
          </w:p>
        </w:tc>
        <w:tc>
          <w:tcPr>
            <w:tcW w:w="18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276"/>
        </w:trPr>
        <w:tc>
          <w:tcPr>
            <w:tcW w:w="6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Estimated "catch-up" premium amortization (benefit) cost due to change in CPR forecast</w:t>
            </w:r>
          </w:p>
        </w:tc>
        <w:tc>
          <w:tcPr>
            <w:tcW w:w="18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37"/>
        </w:trPr>
        <w:tc>
          <w:tcPr>
            <w:tcW w:w="6460" w:type="dxa"/>
            <w:vAlign w:val="bottom"/>
          </w:tcPr>
          <w:p>
            <w:pPr>
              <w:ind w:left="20"/>
              <w:spacing w:after="0" w:line="137" w:lineRule="exact"/>
              <w:rPr>
                <w:sz w:val="20"/>
                <w:szCs w:val="20"/>
                <w:color w:val="auto"/>
              </w:rPr>
            </w:pPr>
            <w:r>
              <w:rPr>
                <w:rFonts w:ascii="Arial" w:cs="Arial" w:eastAsia="Arial" w:hAnsi="Arial"/>
                <w:sz w:val="14"/>
                <w:szCs w:val="14"/>
                <w:color w:val="auto"/>
              </w:rPr>
              <w:t>Net spread and dollar roll income, excluding "catch-up" premium amortization, available to common</w:t>
            </w: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1"/>
                <w:szCs w:val="11"/>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21"/>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stockholders (non-GAAP measure)</w:t>
            </w:r>
          </w:p>
        </w:tc>
        <w:tc>
          <w:tcPr>
            <w:tcW w:w="18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4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536.7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391.3</w:t>
            </w:r>
          </w:p>
        </w:tc>
        <w:tc>
          <w:tcPr>
            <w:tcW w:w="0" w:type="dxa"/>
            <w:vAlign w:val="bottom"/>
          </w:tcPr>
          <w:p>
            <w:pPr>
              <w:spacing w:after="0"/>
              <w:rPr>
                <w:sz w:val="1"/>
                <w:szCs w:val="1"/>
                <w:color w:val="auto"/>
              </w:rPr>
            </w:pPr>
          </w:p>
        </w:tc>
      </w:tr>
      <w:tr>
        <w:trPr>
          <w:trHeight w:val="21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537.2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391.5</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spread and dollar roll income per common share - basic</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0.65</w:t>
            </w:r>
          </w:p>
        </w:tc>
        <w:tc>
          <w:tcPr>
            <w:tcW w:w="0" w:type="dxa"/>
            <w:vAlign w:val="bottom"/>
          </w:tcPr>
          <w:p>
            <w:pPr>
              <w:spacing w:after="0"/>
              <w:rPr>
                <w:sz w:val="1"/>
                <w:szCs w:val="1"/>
                <w:color w:val="auto"/>
              </w:rPr>
            </w:pPr>
          </w:p>
        </w:tc>
      </w:tr>
      <w:tr>
        <w:trPr>
          <w:trHeight w:val="21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per common share - diluted</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0.65</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w w:val="99"/>
              </w:rPr>
              <w:t>Net spread and dollar roll income, excluding "catch-up" premium amortization, per common share - basic</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21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7"/>
              </w:rPr>
              <w:t>Net spread and dollar roll income, excluding "catch-up" premium amortization, per common share - diluted</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8890</wp:posOffset>
            </wp:positionV>
            <wp:extent cx="11836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Investment Securities, Net</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During the three months ended March 31, 2019, the average fair value of our investment portfolio increased 169 basis points to 100.2% of the weighted average cost basis as of March 31, 2019 due to the decline in long-term interest rates and the outperformance of specified Agency RMBS with favorable prepayment characteristics. During the prior year period, the average fair value of our investment portfolio declined 200 basis points to 97.3% of the weighted average cost basis as of March 31, 2018, due to higher interest rates and lower pay-up values for specified Agency RMBS.</w:t>
      </w:r>
    </w:p>
    <w:p>
      <w:pPr>
        <w:sectPr>
          <w:pgSz w:w="11900" w:h="16838" w:orient="portrait"/>
          <w:cols w:equalWidth="0" w:num="1">
            <w:col w:w="11420"/>
          </w:cols>
          <w:pgMar w:left="240" w:top="746"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746" w:right="239" w:bottom="1440" w:gutter="0" w:footer="0" w:header="0"/>
          <w:type w:val="continuous"/>
        </w:sectPr>
      </w:pPr>
    </w:p>
    <w:bookmarkStart w:id="36" w:name="page37"/>
    <w:bookmarkEnd w:id="36"/>
    <w:p>
      <w:pPr>
        <w:ind w:left="500"/>
        <w:spacing w:after="0"/>
        <w:rPr>
          <w:sz w:val="20"/>
          <w:szCs w:val="20"/>
          <w:color w:val="auto"/>
        </w:rPr>
      </w:pPr>
      <w:r>
        <w:rPr>
          <w:rFonts w:ascii="Arial" w:cs="Arial" w:eastAsia="Arial" w:hAnsi="Arial"/>
          <w:sz w:val="16"/>
          <w:szCs w:val="16"/>
          <w:color w:val="auto"/>
        </w:rPr>
        <w:t>The following table is a summary of our net gain (loss) on investment securities for the three months ended March 31, 2019 and 2018 (in millions):</w:t>
      </w:r>
    </w:p>
    <w:p>
      <w:pPr>
        <w:spacing w:after="0" w:line="253"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264"/>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Gain (Loss) on Investment Securities, Net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r>
      <w:tr>
        <w:trPr>
          <w:trHeight w:val="256"/>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Gain (loss) on sale of investment securities, net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64"/>
        </w:trPr>
        <w:tc>
          <w:tcPr>
            <w:tcW w:w="7860" w:type="dxa"/>
            <w:vAlign w:val="bottom"/>
            <w:gridSpan w:val="2"/>
          </w:tcPr>
          <w:p>
            <w:pPr>
              <w:ind w:left="20"/>
              <w:spacing w:after="0"/>
              <w:rPr>
                <w:sz w:val="20"/>
                <w:szCs w:val="20"/>
                <w:color w:val="auto"/>
              </w:rPr>
            </w:pPr>
            <w:r>
              <w:rPr>
                <w:rFonts w:ascii="Arial" w:cs="Arial" w:eastAsia="Arial" w:hAnsi="Arial"/>
                <w:sz w:val="14"/>
                <w:szCs w:val="14"/>
                <w:color w:val="auto"/>
              </w:rPr>
              <w:t xml:space="preserve">Unrealized gain (loss) on investment securities measured at fair value through net income, net </w:t>
            </w:r>
            <w:r>
              <w:rPr>
                <w:rFonts w:ascii="Arial" w:cs="Arial" w:eastAsia="Arial" w:hAnsi="Arial"/>
                <w:sz w:val="8"/>
                <w:szCs w:val="8"/>
                <w:color w:val="auto"/>
              </w:rPr>
              <w:t>2</w:t>
            </w: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1,060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(523)</w:t>
            </w:r>
          </w:p>
        </w:tc>
      </w:tr>
      <w:tr>
        <w:trPr>
          <w:trHeight w:val="27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Unrealized gain (loss) on investment securities measured at fair value through other comprehensive income, net</w:t>
            </w: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w:t>
            </w:r>
          </w:p>
        </w:tc>
      </w:tr>
      <w:tr>
        <w:trPr>
          <w:trHeight w:val="244"/>
        </w:trPr>
        <w:tc>
          <w:tcPr>
            <w:tcW w:w="7860" w:type="dxa"/>
            <w:vAlign w:val="bottom"/>
            <w:gridSpan w:val="2"/>
          </w:tcPr>
          <w:p>
            <w:pPr>
              <w:ind w:left="20"/>
              <w:spacing w:after="0"/>
              <w:rPr>
                <w:sz w:val="20"/>
                <w:szCs w:val="20"/>
                <w:color w:val="auto"/>
              </w:rPr>
            </w:pPr>
            <w:r>
              <w:rPr>
                <w:rFonts w:ascii="Arial" w:cs="Arial" w:eastAsia="Arial" w:hAnsi="Arial"/>
                <w:sz w:val="14"/>
                <w:szCs w:val="14"/>
                <w:color w:val="auto"/>
              </w:rPr>
              <w:t>Total gain (loss) on investment securities, net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1,520</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0</wp:posOffset>
            </wp:positionV>
            <wp:extent cx="147510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5105" cy="260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980" w:right="20" w:hanging="648"/>
        <w:spacing w:after="0" w:line="241" w:lineRule="auto"/>
        <w:tabs>
          <w:tab w:leader="none" w:pos="656"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exclude gain (loss) on TBA securities, which are reported in gain (loss) on derivative instruments and other securities, net in our Consolidated Statements of Comprehensive Income.</w:t>
      </w:r>
    </w:p>
    <w:p>
      <w:pPr>
        <w:ind w:left="660" w:hanging="328"/>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Investment securities acquired after fiscal year 2016 are measured at fair value through net income (see Note 3 of our Consolidated Financial Statements in this Form 10-Q).</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is a summary of our gain (loss) on derivative instruments and other securities, net for the three months ended March 31,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(in millions):</w:t>
      </w:r>
    </w:p>
    <w:p>
      <w:pPr>
        <w:spacing w:after="0" w:line="297" w:lineRule="exact"/>
        <w:rPr>
          <w:sz w:val="20"/>
          <w:szCs w:val="20"/>
          <w:color w:val="auto"/>
        </w:rPr>
      </w:pPr>
    </w:p>
    <w:tbl>
      <w:tblPr>
        <w:tblLayout w:type="fixed"/>
        <w:tblInd w:w="76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264"/>
        </w:trPr>
        <w:tc>
          <w:tcPr>
            <w:tcW w:w="76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r>
      <w:tr>
        <w:trPr>
          <w:trHeight w:val="256"/>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 periodic interest income (cost), net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58"/>
        </w:trPr>
        <w:tc>
          <w:tcPr>
            <w:tcW w:w="7620" w:type="dxa"/>
            <w:vAlign w:val="bottom"/>
          </w:tcPr>
          <w:p>
            <w:pPr>
              <w:ind w:left="20"/>
              <w:spacing w:after="0"/>
              <w:rPr>
                <w:sz w:val="20"/>
                <w:szCs w:val="20"/>
                <w:color w:val="auto"/>
              </w:rPr>
            </w:pPr>
            <w:r>
              <w:rPr>
                <w:rFonts w:ascii="Arial" w:cs="Arial" w:eastAsia="Arial" w:hAnsi="Arial"/>
                <w:sz w:val="14"/>
                <w:szCs w:val="14"/>
                <w:color w:val="auto"/>
              </w:rPr>
              <w:t>Realized gain (loss) on derivative instruments and other securities, net:</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762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TBA securities - dollar roll income, net</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r>
      <w:tr>
        <w:trPr>
          <w:trHeight w:val="264"/>
        </w:trPr>
        <w:tc>
          <w:tcPr>
            <w:tcW w:w="7620" w:type="dxa"/>
            <w:vAlign w:val="bottom"/>
          </w:tcPr>
          <w:p>
            <w:pPr>
              <w:ind w:left="1180"/>
              <w:spacing w:after="0"/>
              <w:rPr>
                <w:sz w:val="20"/>
                <w:szCs w:val="20"/>
                <w:color w:val="auto"/>
              </w:rPr>
            </w:pPr>
            <w:r>
              <w:rPr>
                <w:rFonts w:ascii="Arial" w:cs="Arial" w:eastAsia="Arial" w:hAnsi="Arial"/>
                <w:sz w:val="14"/>
                <w:szCs w:val="14"/>
                <w:color w:val="auto"/>
              </w:rPr>
              <w:t>TBA securities - mark-to-market net gain (loss)</w:t>
            </w: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(432)</w:t>
            </w:r>
          </w:p>
        </w:tc>
      </w:tr>
      <w:tr>
        <w:trPr>
          <w:trHeight w:val="276"/>
        </w:trPr>
        <w:tc>
          <w:tcPr>
            <w:tcW w:w="762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Payer swaptions</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r>
      <w:tr>
        <w:trPr>
          <w:trHeight w:val="264"/>
        </w:trPr>
        <w:tc>
          <w:tcPr>
            <w:tcW w:w="7620" w:type="dxa"/>
            <w:vAlign w:val="bottom"/>
          </w:tcPr>
          <w:p>
            <w:pPr>
              <w:ind w:left="1180"/>
              <w:spacing w:after="0"/>
              <w:rPr>
                <w:sz w:val="20"/>
                <w:szCs w:val="20"/>
                <w:color w:val="auto"/>
              </w:rPr>
            </w:pPr>
            <w:r>
              <w:rPr>
                <w:rFonts w:ascii="Arial" w:cs="Arial" w:eastAsia="Arial" w:hAnsi="Arial"/>
                <w:sz w:val="14"/>
                <w:szCs w:val="14"/>
                <w:color w:val="auto"/>
              </w:rPr>
              <w:t>U.S. Treasury securities - long position</w:t>
            </w:r>
          </w:p>
        </w:tc>
        <w:tc>
          <w:tcPr>
            <w:tcW w:w="1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62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U.S. Treasury securities - short position</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64"/>
        </w:trPr>
        <w:tc>
          <w:tcPr>
            <w:tcW w:w="7620" w:type="dxa"/>
            <w:vAlign w:val="bottom"/>
          </w:tcPr>
          <w:p>
            <w:pPr>
              <w:ind w:left="1180"/>
              <w:spacing w:after="0"/>
              <w:rPr>
                <w:sz w:val="20"/>
                <w:szCs w:val="20"/>
                <w:color w:val="auto"/>
              </w:rPr>
            </w:pPr>
            <w:r>
              <w:rPr>
                <w:rFonts w:ascii="Arial" w:cs="Arial" w:eastAsia="Arial" w:hAnsi="Arial"/>
                <w:sz w:val="14"/>
                <w:szCs w:val="14"/>
                <w:color w:val="auto"/>
              </w:rPr>
              <w:t>U.S. Treasury futures - short position</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110</w:t>
            </w:r>
          </w:p>
        </w:tc>
      </w:tr>
      <w:tr>
        <w:trPr>
          <w:trHeight w:val="276"/>
        </w:trPr>
        <w:tc>
          <w:tcPr>
            <w:tcW w:w="762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Interest rate swaps - termination fees and variation margin settlements, net</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582</w:t>
            </w:r>
          </w:p>
        </w:tc>
      </w:tr>
      <w:tr>
        <w:trPr>
          <w:trHeight w:val="264"/>
        </w:trPr>
        <w:tc>
          <w:tcPr>
            <w:tcW w:w="7620" w:type="dxa"/>
            <w:vAlign w:val="bottom"/>
            <w:tcBorders>
              <w:bottom w:val="single" w:sz="8" w:color="CCEEFF"/>
            </w:tcBorders>
          </w:tcPr>
          <w:p>
            <w:pPr>
              <w:ind w:left="118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r>
      <w:tr>
        <w:trPr>
          <w:trHeight w:val="256"/>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realized gain (loss) on derivative instruments and other securities, net</w:t>
            </w: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332</w:t>
            </w:r>
          </w:p>
        </w:tc>
      </w:tr>
      <w:tr>
        <w:trPr>
          <w:trHeight w:val="258"/>
        </w:trPr>
        <w:tc>
          <w:tcPr>
            <w:tcW w:w="7620" w:type="dxa"/>
            <w:vAlign w:val="bottom"/>
          </w:tcPr>
          <w:p>
            <w:pPr>
              <w:ind w:left="20"/>
              <w:spacing w:after="0"/>
              <w:rPr>
                <w:sz w:val="20"/>
                <w:szCs w:val="20"/>
                <w:color w:val="auto"/>
              </w:rPr>
            </w:pPr>
            <w:r>
              <w:rPr>
                <w:rFonts w:ascii="Arial" w:cs="Arial" w:eastAsia="Arial" w:hAnsi="Arial"/>
                <w:sz w:val="14"/>
                <w:szCs w:val="14"/>
                <w:color w:val="auto"/>
              </w:rPr>
              <w:t>Unrealized gain (loss) on derivative instruments and other securities, net:</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762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TBA securities - mark-to-market net gain (loss)</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r>
      <w:tr>
        <w:trPr>
          <w:trHeight w:val="264"/>
        </w:trPr>
        <w:tc>
          <w:tcPr>
            <w:tcW w:w="7620" w:type="dxa"/>
            <w:vAlign w:val="bottom"/>
          </w:tcPr>
          <w:p>
            <w:pPr>
              <w:ind w:left="1180"/>
              <w:spacing w:after="0"/>
              <w:rPr>
                <w:sz w:val="20"/>
                <w:szCs w:val="20"/>
                <w:color w:val="auto"/>
              </w:rPr>
            </w:pPr>
            <w:r>
              <w:rPr>
                <w:rFonts w:ascii="Arial" w:cs="Arial" w:eastAsia="Arial" w:hAnsi="Arial"/>
                <w:sz w:val="14"/>
                <w:szCs w:val="14"/>
                <w:color w:val="auto"/>
              </w:rPr>
              <w:t>Interest rate swaps</w:t>
            </w: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90</w:t>
            </w:r>
          </w:p>
        </w:tc>
      </w:tr>
      <w:tr>
        <w:trPr>
          <w:trHeight w:val="276"/>
        </w:trPr>
        <w:tc>
          <w:tcPr>
            <w:tcW w:w="762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Payer swaptions</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r>
      <w:tr>
        <w:trPr>
          <w:trHeight w:val="264"/>
        </w:trPr>
        <w:tc>
          <w:tcPr>
            <w:tcW w:w="7620" w:type="dxa"/>
            <w:vAlign w:val="bottom"/>
          </w:tcPr>
          <w:p>
            <w:pPr>
              <w:ind w:left="1180"/>
              <w:spacing w:after="0"/>
              <w:rPr>
                <w:sz w:val="20"/>
                <w:szCs w:val="20"/>
                <w:color w:val="auto"/>
              </w:rPr>
            </w:pPr>
            <w:r>
              <w:rPr>
                <w:rFonts w:ascii="Arial" w:cs="Arial" w:eastAsia="Arial" w:hAnsi="Arial"/>
                <w:sz w:val="14"/>
                <w:szCs w:val="14"/>
                <w:color w:val="auto"/>
              </w:rPr>
              <w:t>U.S. Treasury securities - short position</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209</w:t>
            </w:r>
          </w:p>
        </w:tc>
      </w:tr>
      <w:tr>
        <w:trPr>
          <w:trHeight w:val="276"/>
        </w:trPr>
        <w:tc>
          <w:tcPr>
            <w:tcW w:w="762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U.S. Treasury futures - short position</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264"/>
        </w:trPr>
        <w:tc>
          <w:tcPr>
            <w:tcW w:w="7620" w:type="dxa"/>
            <w:vAlign w:val="bottom"/>
            <w:tcBorders>
              <w:bottom w:val="single" w:sz="8" w:color="CCEEFF"/>
            </w:tcBorders>
          </w:tcPr>
          <w:p>
            <w:pPr>
              <w:ind w:left="118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r>
      <w:tr>
        <w:trPr>
          <w:trHeight w:val="250"/>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unrealized gain (loss) on derivative instruments and other securities, net</w:t>
            </w: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415</w:t>
            </w:r>
          </w:p>
        </w:tc>
      </w:tr>
      <w:tr>
        <w:trPr>
          <w:trHeight w:val="243"/>
        </w:trPr>
        <w:tc>
          <w:tcPr>
            <w:tcW w:w="7620" w:type="dxa"/>
            <w:vAlign w:val="bottom"/>
          </w:tcPr>
          <w:p>
            <w:pPr>
              <w:ind w:left="20"/>
              <w:spacing w:after="0"/>
              <w:rPr>
                <w:sz w:val="20"/>
                <w:szCs w:val="20"/>
                <w:color w:val="auto"/>
              </w:rPr>
            </w:pPr>
            <w:r>
              <w:rPr>
                <w:rFonts w:ascii="Arial" w:cs="Arial" w:eastAsia="Arial" w:hAnsi="Arial"/>
                <w:sz w:val="14"/>
                <w:szCs w:val="14"/>
                <w:color w:val="auto"/>
              </w:rPr>
              <w:t>Total gain (loss) on derivative instruments and other securities, net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738</w:t>
            </w:r>
          </w:p>
        </w:tc>
      </w:tr>
      <w:tr>
        <w:trPr>
          <w:trHeight w:val="20"/>
        </w:trPr>
        <w:tc>
          <w:tcPr>
            <w:tcW w:w="7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3 and 6 of our Consolidated Financial Statements in this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Taxable Income</w:t>
      </w:r>
    </w:p>
    <w:p>
      <w:pPr>
        <w:spacing w:after="0" w:line="18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For the three months ended March 31, 2019 and 2018, we had estimated taxable income available to common stockholders of $196 million and $80 million (or $0.36 and $0.20 per diluted common share), respectively. Income determined under GAAP differs from income determined under U.S. federal income tax rules because of both temporary and permanent differences in income and expense recognition. The primary differences are (i) unrealized gains and losses on derivative instruments and other securities marked-to-market in current income for GAAP purposes, but excluded from taxable income until realized or settled, (ii) timing differences, both temporary and potentially permanent, in the recognition of certain realized gains and losses and (iii) temporary differences related to the amortization of premiums and discounts on investments. Furthermore, our estimated taxable income is subject to potential adjustments up to the time of filing our appropriate tax returns, which occurs after the end of our</w:t>
      </w:r>
    </w:p>
    <w:p>
      <w:pPr>
        <w:sectPr>
          <w:pgSz w:w="11900" w:h="16838" w:orient="portrait"/>
          <w:cols w:equalWidth="0" w:num="1">
            <w:col w:w="11420"/>
          </w:cols>
          <w:pgMar w:left="240" w:top="746"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746" w:right="239" w:bottom="1440" w:gutter="0" w:footer="0" w:header="0"/>
          <w:type w:val="continuous"/>
        </w:sectPr>
      </w:pPr>
    </w:p>
    <w:bookmarkStart w:id="37" w:name="page38"/>
    <w:bookmarkEnd w:id="37"/>
    <w:p>
      <w:pPr>
        <w:spacing w:after="0" w:line="277" w:lineRule="auto"/>
        <w:rPr>
          <w:sz w:val="20"/>
          <w:szCs w:val="20"/>
          <w:color w:val="auto"/>
        </w:rPr>
      </w:pPr>
      <w:r>
        <w:rPr>
          <w:rFonts w:ascii="Arial" w:cs="Arial" w:eastAsia="Arial" w:hAnsi="Arial"/>
          <w:sz w:val="18"/>
          <w:szCs w:val="18"/>
          <w:color w:val="auto"/>
        </w:rPr>
        <w:t>fiscal year. The following is a reconciliation of our GAAP net income to our estimated taxable income for the three months ended March 31, 2019 and 2018 (dollars in millions, except per share amounts):</w:t>
      </w:r>
    </w:p>
    <w:p>
      <w:pPr>
        <w:spacing w:after="0" w:line="257"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264"/>
        </w:trPr>
        <w:tc>
          <w:tcPr>
            <w:tcW w:w="76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r>
      <w:tr>
        <w:trPr>
          <w:trHeight w:val="256"/>
        </w:trPr>
        <w:tc>
          <w:tcPr>
            <w:tcW w:w="7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424</w:t>
            </w:r>
          </w:p>
        </w:tc>
      </w:tr>
      <w:tr>
        <w:trPr>
          <w:trHeight w:val="264"/>
        </w:trPr>
        <w:tc>
          <w:tcPr>
            <w:tcW w:w="7680" w:type="dxa"/>
            <w:vAlign w:val="bottom"/>
          </w:tcPr>
          <w:p>
            <w:pPr>
              <w:ind w:left="40"/>
              <w:spacing w:after="0"/>
              <w:rPr>
                <w:sz w:val="20"/>
                <w:szCs w:val="20"/>
                <w:color w:val="auto"/>
              </w:rPr>
            </w:pPr>
            <w:r>
              <w:rPr>
                <w:rFonts w:ascii="Arial" w:cs="Arial" w:eastAsia="Arial" w:hAnsi="Arial"/>
                <w:sz w:val="14"/>
                <w:szCs w:val="14"/>
                <w:color w:val="auto"/>
              </w:rPr>
              <w:t>Estimated book to tax differences:</w:t>
            </w: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7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Premium amortization, net</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264"/>
        </w:trPr>
        <w:tc>
          <w:tcPr>
            <w:tcW w:w="7680" w:type="dxa"/>
            <w:vAlign w:val="bottom"/>
          </w:tcPr>
          <w:p>
            <w:pPr>
              <w:ind w:left="160"/>
              <w:spacing w:after="0"/>
              <w:rPr>
                <w:sz w:val="20"/>
                <w:szCs w:val="20"/>
                <w:color w:val="auto"/>
              </w:rPr>
            </w:pPr>
            <w:r>
              <w:rPr>
                <w:rFonts w:ascii="Arial" w:cs="Arial" w:eastAsia="Arial" w:hAnsi="Arial"/>
                <w:sz w:val="14"/>
                <w:szCs w:val="14"/>
                <w:color w:val="auto"/>
              </w:rPr>
              <w:t>Realized gain/loss, net</w:t>
            </w: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(652)</w:t>
            </w:r>
          </w:p>
        </w:tc>
      </w:tr>
      <w:tr>
        <w:trPr>
          <w:trHeight w:val="276"/>
        </w:trPr>
        <w:tc>
          <w:tcPr>
            <w:tcW w:w="7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capital loss/(utilization of net capital loss carryforward)</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w:t>
            </w:r>
          </w:p>
        </w:tc>
      </w:tr>
      <w:tr>
        <w:trPr>
          <w:trHeight w:val="264"/>
        </w:trPr>
        <w:tc>
          <w:tcPr>
            <w:tcW w:w="7680" w:type="dxa"/>
            <w:vAlign w:val="bottom"/>
          </w:tcPr>
          <w:p>
            <w:pPr>
              <w:ind w:left="160"/>
              <w:spacing w:after="0"/>
              <w:rPr>
                <w:sz w:val="20"/>
                <w:szCs w:val="20"/>
                <w:color w:val="auto"/>
              </w:rPr>
            </w:pPr>
            <w:r>
              <w:rPr>
                <w:rFonts w:ascii="Arial" w:cs="Arial" w:eastAsia="Arial" w:hAnsi="Arial"/>
                <w:sz w:val="14"/>
                <w:szCs w:val="14"/>
                <w:color w:val="auto"/>
              </w:rPr>
              <w:t>Unrealized (gain)/loss, net</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108</w:t>
            </w:r>
          </w:p>
        </w:tc>
      </w:tr>
      <w:tr>
        <w:trPr>
          <w:trHeight w:val="270"/>
        </w:trPr>
        <w:tc>
          <w:tcPr>
            <w:tcW w:w="7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50"/>
        </w:trPr>
        <w:tc>
          <w:tcPr>
            <w:tcW w:w="7680" w:type="dxa"/>
            <w:vAlign w:val="bottom"/>
            <w:tcBorders>
              <w:bottom w:val="single" w:sz="8" w:color="CCEEFF"/>
            </w:tcBorders>
          </w:tcPr>
          <w:p>
            <w:pPr>
              <w:ind w:left="840"/>
              <w:spacing w:after="0"/>
              <w:rPr>
                <w:sz w:val="20"/>
                <w:szCs w:val="20"/>
                <w:color w:val="auto"/>
              </w:rPr>
            </w:pPr>
            <w:r>
              <w:rPr>
                <w:rFonts w:ascii="Arial" w:cs="Arial" w:eastAsia="Arial" w:hAnsi="Arial"/>
                <w:sz w:val="14"/>
                <w:szCs w:val="14"/>
                <w:color w:val="auto"/>
              </w:rPr>
              <w:t>Total book to tax differences</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r>
      <w:tr>
        <w:trPr>
          <w:trHeight w:val="256"/>
        </w:trPr>
        <w:tc>
          <w:tcPr>
            <w:tcW w:w="7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Estimated REIT taxable income</w:t>
            </w: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w:t>
            </w:r>
          </w:p>
        </w:tc>
      </w:tr>
      <w:tr>
        <w:trPr>
          <w:trHeight w:val="264"/>
        </w:trPr>
        <w:tc>
          <w:tcPr>
            <w:tcW w:w="76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Dividend on preferred stock</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r>
      <w:tr>
        <w:trPr>
          <w:trHeight w:val="243"/>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Estimated REIT taxable income available to common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r>
      <w:tr>
        <w:trPr>
          <w:trHeight w:val="20"/>
        </w:trPr>
        <w:tc>
          <w:tcPr>
            <w:tcW w:w="7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50"/>
        </w:trPr>
        <w:tc>
          <w:tcPr>
            <w:tcW w:w="7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Weighted average number of common shares outstanding - basic</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536.7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391.3</w:t>
            </w:r>
          </w:p>
        </w:tc>
      </w:tr>
      <w:tr>
        <w:trPr>
          <w:trHeight w:val="21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Weighted average number of common shares outstanding - diluted</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537.2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391.5</w:t>
            </w:r>
          </w:p>
        </w:tc>
      </w:tr>
      <w:tr>
        <w:trPr>
          <w:trHeight w:val="20"/>
        </w:trPr>
        <w:tc>
          <w:tcPr>
            <w:tcW w:w="7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50"/>
        </w:trPr>
        <w:tc>
          <w:tcPr>
            <w:tcW w:w="7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Estimated REIT taxable income per common share - 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0.20</w:t>
            </w:r>
          </w:p>
        </w:tc>
      </w:tr>
      <w:tr>
        <w:trPr>
          <w:trHeight w:val="21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Estimated REIT taxable income per common share -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0.20</w:t>
            </w:r>
          </w:p>
        </w:tc>
      </w:tr>
      <w:tr>
        <w:trPr>
          <w:trHeight w:val="20"/>
        </w:trPr>
        <w:tc>
          <w:tcPr>
            <w:tcW w:w="7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64"/>
        </w:trPr>
        <w:tc>
          <w:tcPr>
            <w:tcW w:w="7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0"/>
        </w:trPr>
        <w:tc>
          <w:tcPr>
            <w:tcW w:w="7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Beginning cumulative non-deductible net capital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w:t>
            </w:r>
          </w:p>
        </w:tc>
      </w:tr>
      <w:tr>
        <w:trPr>
          <w:trHeight w:val="264"/>
        </w:trPr>
        <w:tc>
          <w:tcPr>
            <w:tcW w:w="7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Increase (decrease) in net capital loss carryforward</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245</w:t>
            </w:r>
          </w:p>
        </w:tc>
      </w:tr>
      <w:tr>
        <w:trPr>
          <w:trHeight w:val="250"/>
        </w:trPr>
        <w:tc>
          <w:tcPr>
            <w:tcW w:w="7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Ending cumulative non-deductible net capital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602</w:t>
            </w:r>
          </w:p>
        </w:tc>
      </w:tr>
      <w:tr>
        <w:trPr>
          <w:trHeight w:val="243"/>
        </w:trPr>
        <w:tc>
          <w:tcPr>
            <w:tcW w:w="7680" w:type="dxa"/>
            <w:vAlign w:val="bottom"/>
          </w:tcPr>
          <w:p>
            <w:pPr>
              <w:ind w:left="40"/>
              <w:spacing w:after="0"/>
              <w:rPr>
                <w:sz w:val="20"/>
                <w:szCs w:val="20"/>
                <w:color w:val="auto"/>
              </w:rPr>
            </w:pPr>
            <w:r>
              <w:rPr>
                <w:rFonts w:ascii="Arial" w:cs="Arial" w:eastAsia="Arial" w:hAnsi="Arial"/>
                <w:sz w:val="14"/>
                <w:szCs w:val="14"/>
                <w:color w:val="auto"/>
              </w:rPr>
              <w:t>Ending cumulative non-deductible net capital loss per common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w:t>
            </w:r>
          </w:p>
        </w:tc>
      </w:tr>
      <w:tr>
        <w:trPr>
          <w:trHeight w:val="20"/>
        </w:trPr>
        <w:tc>
          <w:tcPr>
            <w:tcW w:w="7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4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primary sources of funds are borrowings under master repurchase agreements, asset sales, receipts of monthly principal and interest payments on our investment portfolio and equity offerings. We may also enter into TBA contracts to acquire or dispose of Agency RMBS and TBA dollar roll transactions to finance Agency RMBS purchases. Because the level of our borrowings can be adjusted daily, the level of cash and cash equivalents carried on our balance sheet is significantly less important than the potential liquidity available under our borrowing arrangements. Our leverage will vary periodically depending on market conditions and our assessment of risks and returns. We generally would expect our leverage to be within six to twelve times the amount of our tangible stockholders' equity. However, under certain market conditions, we may operate at leverage levels outside of this range for extended periods of time.</w:t>
      </w:r>
    </w:p>
    <w:p>
      <w:pPr>
        <w:spacing w:after="0" w:line="11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currently believe that we have sufficient liquidity and capital resources available for the acquisition of additional investments, repayments on borrowings, maintenance of any margin requirements and the payment of cash dividends as required for our continued qualification as a REIT. We currently expect to distribute 100% of our taxable income so that we are not subject to U.S. federal and state corporate income taxes. Our REIT distribution requirement of at least 90% of our taxable income limits our ability to retain earnings and thereby replenish or increase capital from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Capital</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2019 and December 31, 2018, our mortgage borrowings consisted of the following (dollars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8"/>
              </w:rPr>
              <w:t>March 31, 2019</w:t>
            </w: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0"/>
              </w:rPr>
              <w:t>December 31, 2018</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Mortgage Borrowings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6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Repurchase agreements </w:t>
            </w:r>
            <w:r>
              <w:rPr>
                <w:rFonts w:ascii="Arial" w:cs="Arial" w:eastAsia="Arial" w:hAnsi="Arial"/>
                <w:sz w:val="8"/>
                <w:szCs w:val="8"/>
                <w:color w:val="auto"/>
              </w:rPr>
              <w:t>1</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86,324</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75,717</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64"/>
        </w:trPr>
        <w:tc>
          <w:tcPr>
            <w:tcW w:w="6040" w:type="dxa"/>
            <w:vAlign w:val="bottom"/>
            <w:gridSpan w:val="2"/>
          </w:tcPr>
          <w:p>
            <w:pPr>
              <w:ind w:left="40"/>
              <w:spacing w:after="0"/>
              <w:rPr>
                <w:sz w:val="20"/>
                <w:szCs w:val="20"/>
                <w:color w:val="auto"/>
              </w:rPr>
            </w:pPr>
            <w:r>
              <w:rPr>
                <w:rFonts w:ascii="Arial" w:cs="Arial" w:eastAsia="Arial" w:hAnsi="Arial"/>
                <w:sz w:val="14"/>
                <w:szCs w:val="14"/>
                <w:color w:val="auto"/>
              </w:rPr>
              <w:t>Debt of consolidated variable interest entities, at fair value</w:t>
            </w: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60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debt</w:t>
            </w:r>
          </w:p>
        </w:tc>
        <w:tc>
          <w:tcPr>
            <w:tcW w:w="2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86,590</w:t>
            </w:r>
          </w:p>
        </w:tc>
        <w:tc>
          <w:tcPr>
            <w:tcW w:w="1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75,992</w:t>
            </w: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TBA position, at cost</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6,885</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7,252</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43"/>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mortgage borrowings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93,475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83,244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9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 excludes $361 million of repurchase agreements used to fund purchases of U.S. Treasury securities as of March 31, 2019.</w:t>
      </w:r>
    </w:p>
    <w:p>
      <w:pPr>
        <w:spacing w:after="0" w:line="1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tangible net book value "at risk" leverage was 9.4x and 9.0x as of March 31, 2019 and December 31, 2018, respectively, measured as the sum of our total mortgage borrowings and net payable / (receivable) for unsettled investment securities, divided by the sum of our total stockholders' equity adjusted to exclude goodwill.</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Repurchase Agreements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part of our investment strategy, we borrow against our investment portfolio pursuant to master repurchase agreements. We expect that the majority of our borrowings under repurchase agreements will have maturities ranging up to one year but may have terms ranging up to five years or longer. Borrowings with maturities greater than one year typically have floating rates of interest based on LIBOR plus or minus a fixed spread.</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31, 2019, we had $86.3 billion of repurchase agreements outstanding used to fund acquisitions of investment securities with a weighted average interest rate of 2.82% and a weighted average remaining days-to-maturity of 81 days, compared $75.7 billion, 2.79% and 49 days, respectively, as of December 31, 2018.</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 limit our counterparty exposure, we diversify our funding across multiple counterparties and by counterparty region. As of March 31, 2019, we had master repurchase agreements with 47 financial institutions located throughout North America, Europe and Asia, including counterparties accessed through our wholly-owned captive broker-dealer subsidiary, Bethesda Securities, LLC ("BES"). BES has direct access to bilateral and triparty funding, including the General Collateral Finance Repo service offered by the Fixed Income Clearing Corporation, or "FICC," which provides us greater depth and diversity of funding at favorable terms relative to traditional bilateral repurchase agreement funding. As of March 31, 2019, $35.6 billion of our repurchase agreement funding was sourced through BES.</w:t>
      </w:r>
    </w:p>
    <w:p>
      <w:pPr>
        <w:spacing w:after="0" w:line="139"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table below includes a summary of our Agency RMBS repurchase agreement funding by number of repo counterparties and counterparty region as of March 31, 2019. For further details regarding our borrowings under repurchase agreements as of March 31, 2019, please refer to Notes 5 and 7 to our Consolidated Financial Statements in this Form 10-Q.</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42" w:right="239" w:bottom="1440" w:gutter="0" w:footer="0" w:header="0"/>
        </w:sectPr>
      </w:pPr>
    </w:p>
    <w:bookmarkStart w:id="39" w:name="page40"/>
    <w:bookmarkEnd w:id="39"/>
    <w:tbl>
      <w:tblPr>
        <w:tblLayout w:type="fixed"/>
        <w:tblInd w:w="272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Number of Counter-</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Counter-Party Region</w:t>
            </w:r>
          </w:p>
        </w:tc>
        <w:tc>
          <w:tcPr>
            <w:tcW w:w="100" w:type="dxa"/>
            <w:vAlign w:val="bottom"/>
            <w:vMerge w:val="restart"/>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Repurchase</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Parties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Agreement Funding</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040" w:type="dxa"/>
            <w:vAlign w:val="bottom"/>
            <w:gridSpan w:val="2"/>
          </w:tcPr>
          <w:p>
            <w:pPr>
              <w:ind w:left="160"/>
              <w:spacing w:after="0"/>
              <w:rPr>
                <w:sz w:val="20"/>
                <w:szCs w:val="20"/>
                <w:color w:val="auto"/>
              </w:rPr>
            </w:pPr>
            <w:r>
              <w:rPr>
                <w:rFonts w:ascii="Arial" w:cs="Arial" w:eastAsia="Arial" w:hAnsi="Arial"/>
                <w:sz w:val="14"/>
                <w:szCs w:val="14"/>
                <w:color w:val="auto"/>
              </w:rPr>
              <w:t>FICC</w:t>
            </w:r>
          </w:p>
        </w:tc>
        <w:tc>
          <w:tcPr>
            <w:tcW w:w="142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40%</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27</w:t>
            </w: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40%</w:t>
            </w:r>
          </w:p>
        </w:tc>
        <w:tc>
          <w:tcPr>
            <w:tcW w:w="0" w:type="dxa"/>
            <w:vAlign w:val="bottom"/>
          </w:tcPr>
          <w:p>
            <w:pPr>
              <w:spacing w:after="0"/>
              <w:rPr>
                <w:sz w:val="1"/>
                <w:szCs w:val="1"/>
                <w:color w:val="auto"/>
              </w:rPr>
            </w:pPr>
          </w:p>
        </w:tc>
      </w:tr>
      <w:tr>
        <w:trPr>
          <w:trHeight w:val="250"/>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Total North America</w:t>
            </w:r>
          </w:p>
        </w:tc>
        <w:tc>
          <w:tcPr>
            <w:tcW w:w="1420" w:type="dxa"/>
            <w:vAlign w:val="bottom"/>
          </w:tcPr>
          <w:p>
            <w:pPr>
              <w:jc w:val="center"/>
              <w:spacing w:after="0"/>
              <w:rPr>
                <w:sz w:val="20"/>
                <w:szCs w:val="20"/>
                <w:color w:val="auto"/>
              </w:rPr>
            </w:pPr>
            <w:r>
              <w:rPr>
                <w:rFonts w:ascii="Arial" w:cs="Arial" w:eastAsia="Arial" w:hAnsi="Arial"/>
                <w:sz w:val="14"/>
                <w:szCs w:val="14"/>
                <w:color w:val="auto"/>
                <w:w w:val="89"/>
              </w:rPr>
              <w:t>28</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80%</w:t>
            </w:r>
          </w:p>
        </w:tc>
        <w:tc>
          <w:tcPr>
            <w:tcW w:w="0" w:type="dxa"/>
            <w:vAlign w:val="bottom"/>
          </w:tcPr>
          <w:p>
            <w:pPr>
              <w:spacing w:after="0"/>
              <w:rPr>
                <w:sz w:val="1"/>
                <w:szCs w:val="1"/>
                <w:color w:val="auto"/>
              </w:rPr>
            </w:pPr>
          </w:p>
        </w:tc>
      </w:tr>
      <w:tr>
        <w:trPr>
          <w:trHeight w:val="27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64"/>
        </w:trPr>
        <w:tc>
          <w:tcPr>
            <w:tcW w:w="3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Asia</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6%</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Amounts available to be borrowed under our repurchase agreements are dependent upon lender collateral requirements and the lender's determination of the fair value of the securities pledged as collateral, which fluctuates with changes in interest rates, credit quality and liquidity conditions within the investment banking, mortgage finance and real estate industries. In addition, our counterparties apply a "haircut" to our pledged collateral, which means our collateral is valued at slightly less than market value. This haircut reflects the underlying risk of the specific collateral and protects our counterparty against a change in its value, but conversely subjects us to counterparty credit risk and limits the amount we can borrow against our investment securities. Our master repurchase agreements do not specify the haircut; rather haircuts are determined on an individual repurchase transaction basis. Throughout the three months ended March 31, 2019, haircuts on our pledged collateral remained stable and, as of March 31, 2019, our weighted average haircut was approximately 3.9% of the value of our collateral, inclusive of collateral funded through BES. As of March 31, 2019, our maximum amount at risk (or the amount of our repurchase liabilities in excess of the value of collateral pledged) with any counterparty related to our repurchase agreements, excluding the FICC, was less than 4% of our tangible stockholders' equity, with our top five repo counterparties, excluding the FICC, representing less than 13% of our tangible stockholders' equity. As of March 31, 2019, approximately 7% of our tangible stockholder's equity was at risk with the FICC. We could be exposed to credit risk if the FICC or an FICC netting member defaults on its obligations. However, we believe that the risk is minimal due to the FICC's initial and daily mark-to-market margin requirements, guarantee funds and other resources that are available in the event of a default.</w:t>
      </w:r>
    </w:p>
    <w:p>
      <w:pPr>
        <w:spacing w:after="0" w:line="12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may be required to pledge additional assets to our counterparties in the event the estimated fair value of the existing collateral pledged under our agreements declines and our counterparties demand additional collateral (a "margin call"), which may take the form of additional securities or cash. Specifically, margin calls would result from a decline in the fair value of our investment securities securing our repurchase agreements as well as due to prepayments on the mortgages securing such securities. Similarly, if the estimated fair value of our investment securities increases due to changes in interest rates or other factors, counterparties may release collateral back to us. Our repurchase agreements generally provide that the valuations of securities securing our repurchase agreements are to be obtained from a generally recognized source agreed to by the parties. In certain circumstances, however, our lenders have the sole discretion to determine the value of pledged collateral. In such instances, our lenders are required to act in good faith in making determinations of value. Our repurchase agreements generally provide that in the event of a margin call, we must provide additional securities or cash on the same business day that a margin call is made if the lender provides us notice prior to the margin notice deadline on such day.</w:t>
      </w:r>
    </w:p>
    <w:p>
      <w:pPr>
        <w:spacing w:after="0" w:line="11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March 31, 2019, we had met all of our margin requirements and we had unrestricted cash and cash equivalents of $0.9 billion and unpledged securities of approximately $4.5 billion, including securities pledged to us and unpledged interests in our consolidated VIEs, available to meet margin calls on our repurchase agreements and other funding liabilities, derivative instruments and for other corporate purposes.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Although we believe we will have adequate sources of liquidity available to us through repurchase agreement financing to execute our business strategy, there can be no assurances that repurchase agreement financing will be available to us upon the maturity of our current repurchase agreements to allow us to renew or replace our repurchase agreement financing on favorable terms or at all. If our repurchase agreement lenders default on their obligations to resell the underlying collateral back to us at the end of the term, we could incur a loss equal to the difference between the value of the collateral and the cash we originally received.</w:t>
      </w:r>
    </w:p>
    <w:p>
      <w:pPr>
        <w:spacing w:after="0" w:line="13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To help manage the adverse impact of interest rate changes on the value of our investment portfolio as well as our cash flows, we utilize an interest rate risk management strategy under which we use derivative financial instruments. In particular, we attempt to mitigate the risk of the cost of our variable rate liabilities increasing at a faster rate than the earnings of our long-term fixed rate assets during a period of rising interest rates. The primary derivative instruments that we use are interest rate swaps, interest rate swaptions, U.S. Treasury securities and U.S. Treasury futures contracts. Please refer to Notes 3 and 6 to our Consolidated Financial Statements in this Form 10-Q for further details regarding our use of derivative instruments.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87" w:right="239" w:bottom="1440" w:gutter="0" w:footer="0" w:header="0"/>
        </w:sectPr>
      </w:pPr>
    </w:p>
    <w:bookmarkStart w:id="40" w:name="page41"/>
    <w:bookmarkEnd w:id="40"/>
    <w:p>
      <w:pPr>
        <w:jc w:val="both"/>
        <w:ind w:firstLine="432"/>
        <w:spacing w:after="0" w:line="270" w:lineRule="auto"/>
        <w:rPr>
          <w:sz w:val="20"/>
          <w:szCs w:val="20"/>
          <w:color w:val="auto"/>
        </w:rPr>
      </w:pPr>
      <w:r>
        <w:rPr>
          <w:rFonts w:ascii="Arial" w:cs="Arial" w:eastAsia="Arial" w:hAnsi="Arial"/>
          <w:sz w:val="17"/>
          <w:szCs w:val="17"/>
          <w:color w:val="auto"/>
        </w:rPr>
        <w:t>As with repurchase agreements, our derivative agreements typically require that we pledge/receive collateral to/from our counterparties. Our counterparties, or the central clearing agency, typically have the sole discretion to determine the value of the derivative instruments and the value of the collateral securing such instruments. In the event of a margin call, we must provide additional collateral generally on the same or next business day. We minimize counterparty credit risk associated with our derivative instruments by limiting our counterparties to registered central clearing exchanges and major financial institutions with acceptable credit ratings and by monitoring positions with individual counterparties. Excluding centrally cleared derivative instruments, as of March 31, 2019, our amount at risk with any counterparty related to our interest rate swap and swaption agreements was less than 1% of our stockholders' equity. In the case of centrally cleared derivative instruments, we could be exposed to credit risk if the exchange or a central clearing member defaults on its obligations. However, we believe that the risk is minimal due to initial and daily mark-to-market margin requirements, guarantee funds and other resources that are available in the event of a default.</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Dollar Roll Transactions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TBA dollar roll transactions used to finance the purchase of Agency RMBS represent a form of off-balance sheet financing accounted for as derivative instruments. (See Notes 3 and 6 to our Consolidated Financial Statements in this Form 10-Q additional details on of our TBA transactions). Under certain market conditions, it may be uneconomical for us to roll our TBA contracts into future months and we may need to take or make physical delivery of the underlying securities. If we were required to take physical delivery to settle a long TBA contract, we would have to fund our total purchase commitment with cash or other financing sources and our liquidity position could be negatively impacted. As of March 31, 2019, we had a net long TBA position with a total market value of $7.0 billion and a net carrying value of $70 million recognized in derivative assets/(liabilities), at fair value, on our Consolidated Balance Sheets in this Form 10-Q.</w:t>
      </w:r>
    </w:p>
    <w:p>
      <w:pPr>
        <w:spacing w:after="0" w:line="13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TBA dollar roll contracts are also subject to margin requirements governed by the Mortgage-Backed Securities Division ("MBSD") of the FICC and by our prime brokerage agreements, which may establish margin levels in excess of the MBSD. Such provisions require that we establish an initial margin based on the notional value of the TBA contract, which is subject to increase if the estimated fair value of our TBA contract or the estimated fair value of our pledged collateral declines. The MBSD has the sole discretion to determine the value of our TBA contracts and of the pledged collateral securing such contracts. In the event of a margin call, we must generally provide additional collateral on the same business day.</w:t>
      </w:r>
    </w:p>
    <w:p>
      <w:pPr>
        <w:spacing w:after="0" w:line="1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Settlement of our TBA obligations by taking delivery of the underlying securities as well as satisfying margin requirements could negatively impact our liquidity position. However, since we do not use TBA dollar roll transactions as our primary source of financing, we believe that we will have adequate sources of liquidity to meet such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Bethesda Securities Regulatory Capital Requirements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BES is subject to regulations of the securities business that include but are not limited to trade practices, capital structure, recordkeeping and conduct of directors, officers and employees. As a self-clearing registered broker-dealer, BES is required to maintain minimum net regulatory capital as defined by SEC Rule 15c3-1 (the "Rule"). As of March 31, 2019, the minimum net capital required was $0.3 million and BES had excess net capital of $594.2 million. Regulatory capital in excess of the minimum required by the Rule is held to meet levels required by clearing organizations, the clearing bank and other repo counterparties.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 and TBA Eligible Securities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maintain a portfolio of highly liquid mortgage-backed securities. We may sell our Agency securities through the TBA market by delivering them into TBA contracts, subject to "good delivery" provisions promulgated by Securities Industry and Financial Markets Association ("SIFMA"). We may alternatively sell Agency securities that have more unique attributes on a specified basis when such securities trade at a premium over generic TBA securities or if the securities are not otherwise eligible for TBA delivery. Since the TBA market is the second most liquid market (after the U.S. Treasury market), maintaining a significant level of Agency securities eligible for TBA delivery enhances our liquidity profile and provides price support for our TBA eligible securities at or above generic TBA prices. As of March 31, 2019, approximately 94% of our fixed rate Agency RMBS portfolio was eligible for TBA delivery.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Capital</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To the extent we raise additional equity capital, we may use cash proceeds from such transactions to purchase additional investment securities, to make scheduled payments of principal and interest on our funding liabilities and/or for other general corporate purposes. There can be no assurance, however, that we will be able to raise additional equity capital at any particular time or on any particular terms. Furthermore, when the trading price of our common stock is significantly less than our estimate of our current tangible net book value per common share, among other conditions, we may repurchase shares of our common stock, subject to the provisions of a stock repurchase program in effect at such time.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March 31, 2019,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March 31, 2019, we had not guaranteed obligations of unconsolidated entities or entered into a commitment or intent to provide funding to such entities.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This document contains forward-looking statements within the meaning of the Private Securities Litigation Reform Act of 1995. These forward-looking statements are based on estimates, projections, beliefs and assumptions of our management as of the date of this Quarterly Report on Form 10-Q and involve risks and uncertainties in predicting future results and conditions. Our actual performance could differ materially from those projected or anticipated in any forward looking statements due to a variety of factors, including, without limitation, changes in interest rates, the yield curve or prepayment rates; the availability and terms of financing; changes in the market value of our assets; the effectiveness of our risk mitigation strategies; conditions in the market for Agency and other mortgage securities; or legislative or regulatory changes that affect our status as a REIT or our exemption from the Investment Company Act of 1940 or that affect the GSE’s or secondary mortgage market in which we participate. A discussion of risks and uncertainties that could cause actual results to differ from any of our forward-looking statements is included in our most recent Annual Report on Form 10-K and this document under Item 1A. </w:t>
      </w:r>
      <w:r>
        <w:rPr>
          <w:rFonts w:ascii="Arial" w:cs="Arial" w:eastAsia="Arial" w:hAnsi="Arial"/>
          <w:sz w:val="17"/>
          <w:szCs w:val="17"/>
          <w:i w:val="1"/>
          <w:iCs w:val="1"/>
          <w:color w:val="auto"/>
        </w:rPr>
        <w:t>Risk Factors</w:t>
      </w:r>
      <w:r>
        <w:rPr>
          <w:rFonts w:ascii="Arial" w:cs="Arial" w:eastAsia="Arial" w:hAnsi="Arial"/>
          <w:sz w:val="17"/>
          <w:szCs w:val="17"/>
          <w:color w:val="auto"/>
        </w:rPr>
        <w:t>. We caution readers not to place undue reliance on our forward-looking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10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asset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our investments will also differ from our expectations, which could reduce the effectiveness of our hedging strategies and may cause losses on such transactions and adversely affect our cash flow.</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3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duration and convexity of our assets using both a third-party risk management system and market data. We review the duration estimates from the third-party model and may make adjustments based on our judgment to better reflect any unique characteristics and market trading conventions associated with certain types of securities.</w:t>
      </w:r>
    </w:p>
    <w:p>
      <w:pPr>
        <w:spacing w:after="0" w:line="12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table below quantifies the estimated changes in the fair value of our investment portfolio (including derivatives and other securities used for hedging purposes) and in our tangible net book value per common share as of March 31, 2019 and December 31, 2018 should interest rates go up or down by 50 and 100 basis points, assuming instantaneous parallel shifts in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96" w:right="239" w:bottom="1440" w:gutter="0" w:footer="0" w:header="0"/>
        </w:sectPr>
      </w:pPr>
    </w:p>
    <w:bookmarkStart w:id="42" w:name="page43"/>
    <w:bookmarkEnd w:id="42"/>
    <w:p>
      <w:pPr>
        <w:jc w:val="both"/>
        <w:spacing w:after="0" w:line="342" w:lineRule="auto"/>
        <w:rPr>
          <w:sz w:val="20"/>
          <w:szCs w:val="20"/>
          <w:color w:val="auto"/>
        </w:rPr>
      </w:pPr>
      <w:r>
        <w:rPr>
          <w:rFonts w:ascii="Arial" w:cs="Arial" w:eastAsia="Arial" w:hAnsi="Arial"/>
          <w:sz w:val="16"/>
          <w:szCs w:val="16"/>
          <w:color w:val="auto"/>
        </w:rPr>
        <w:t>yield curve and including the impact of both duration and convexity. All values in the table below are measured as percentage changes from the base interest rate scenario. The base interest rate scenario assumes interest rates and prepayment projections as of March 31, 2019 and December 31, 2018.</w:t>
      </w:r>
    </w:p>
    <w:p>
      <w:pPr>
        <w:spacing w:after="0" w:line="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To the extent that these estimates or other assumptions do not hold true, which is likely in a period of high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8"/>
          <w:szCs w:val="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23495</wp:posOffset>
            </wp:positionV>
            <wp:extent cx="56597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9755" cy="8890"/>
                    </a:xfrm>
                    <a:prstGeom prst="rect">
                      <a:avLst/>
                    </a:prstGeom>
                    <a:noFill/>
                  </pic:spPr>
                </pic:pic>
              </a:graphicData>
            </a:graphic>
          </wp:anchor>
        </w:drawing>
      </w:r>
    </w:p>
    <w:p>
      <w:pPr>
        <w:spacing w:after="0" w:line="10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Pr>
          <w:p>
            <w:pPr>
              <w:spacing w:after="0"/>
              <w:rPr>
                <w:sz w:val="16"/>
                <w:szCs w:val="16"/>
                <w:color w:val="auto"/>
              </w:rPr>
            </w:pPr>
          </w:p>
        </w:tc>
        <w:tc>
          <w:tcPr>
            <w:tcW w:w="286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2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Estimated Change</w:t>
            </w:r>
          </w:p>
        </w:tc>
        <w:tc>
          <w:tcPr>
            <w:tcW w:w="15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1"/>
              </w:rPr>
              <w:t>Estimated Change</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Estimated Change</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Estimated Change in</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in Tangible Net</w:t>
            </w:r>
          </w:p>
        </w:tc>
        <w:tc>
          <w:tcPr>
            <w:tcW w:w="144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Tangible Net Book</w:t>
            </w:r>
          </w:p>
        </w:tc>
        <w:tc>
          <w:tcPr>
            <w:tcW w:w="0" w:type="dxa"/>
            <w:vAlign w:val="bottom"/>
          </w:tcPr>
          <w:p>
            <w:pPr>
              <w:spacing w:after="0"/>
              <w:rPr>
                <w:sz w:val="1"/>
                <w:szCs w:val="1"/>
                <w:color w:val="auto"/>
              </w:rPr>
            </w:pPr>
          </w:p>
        </w:tc>
      </w:tr>
      <w:tr>
        <w:trPr>
          <w:trHeight w:val="149"/>
        </w:trPr>
        <w:tc>
          <w:tcPr>
            <w:tcW w:w="2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80" w:type="dxa"/>
            <w:vAlign w:val="bottom"/>
            <w:vMerge w:val="restart"/>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in Portfolio Market</w:t>
            </w: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Book Value Per</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in Portfolio Market</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Value Per Common</w:t>
            </w:r>
          </w:p>
        </w:tc>
        <w:tc>
          <w:tcPr>
            <w:tcW w:w="0" w:type="dxa"/>
            <w:vAlign w:val="bottom"/>
          </w:tcPr>
          <w:p>
            <w:pPr>
              <w:spacing w:after="0"/>
              <w:rPr>
                <w:sz w:val="1"/>
                <w:szCs w:val="1"/>
                <w:color w:val="auto"/>
              </w:rPr>
            </w:pPr>
          </w:p>
        </w:tc>
      </w:tr>
      <w:tr>
        <w:trPr>
          <w:trHeight w:val="192"/>
        </w:trPr>
        <w:tc>
          <w:tcPr>
            <w:tcW w:w="29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Share</w:t>
            </w:r>
          </w:p>
        </w:tc>
        <w:tc>
          <w:tcPr>
            <w:tcW w:w="1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-1.0%</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-10.6%</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-0.7%</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-7.3%</w:t>
            </w:r>
          </w:p>
        </w:tc>
        <w:tc>
          <w:tcPr>
            <w:tcW w:w="0" w:type="dxa"/>
            <w:vAlign w:val="bottom"/>
          </w:tcPr>
          <w:p>
            <w:pPr>
              <w:spacing w:after="0"/>
              <w:rPr>
                <w:sz w:val="1"/>
                <w:szCs w:val="1"/>
                <w:color w:val="auto"/>
              </w:rPr>
            </w:pPr>
          </w:p>
        </w:tc>
      </w:tr>
      <w:tr>
        <w:trPr>
          <w:trHeight w:val="264"/>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-0.2%</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-2.6%</w:t>
            </w:r>
          </w:p>
        </w:tc>
        <w:tc>
          <w:tcPr>
            <w:tcW w:w="1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-0.1%</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8"/>
              </w:rPr>
              <w:t>-1.0%</w:t>
            </w:r>
          </w:p>
        </w:tc>
        <w:tc>
          <w:tcPr>
            <w:tcW w:w="0" w:type="dxa"/>
            <w:vAlign w:val="bottom"/>
          </w:tcPr>
          <w:p>
            <w:pPr>
              <w:spacing w:after="0"/>
              <w:rPr>
                <w:sz w:val="1"/>
                <w:szCs w:val="1"/>
                <w:color w:val="auto"/>
              </w:rPr>
            </w:pPr>
          </w:p>
        </w:tc>
      </w:tr>
      <w:tr>
        <w:trPr>
          <w:trHeight w:val="276"/>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-0.3%</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-3.6%</w:t>
            </w: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-0.3%</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-3.1%</w:t>
            </w:r>
          </w:p>
        </w:tc>
        <w:tc>
          <w:tcPr>
            <w:tcW w:w="0" w:type="dxa"/>
            <w:vAlign w:val="bottom"/>
          </w:tcPr>
          <w:p>
            <w:pPr>
              <w:spacing w:after="0"/>
              <w:rPr>
                <w:sz w:val="1"/>
                <w:szCs w:val="1"/>
                <w:color w:val="auto"/>
              </w:rPr>
            </w:pPr>
          </w:p>
        </w:tc>
      </w:tr>
      <w:tr>
        <w:trPr>
          <w:trHeight w:val="258"/>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-1.1%</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-12.4%</w:t>
            </w:r>
          </w:p>
        </w:tc>
        <w:tc>
          <w:tcPr>
            <w:tcW w:w="1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-0.9%</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8"/>
              </w:rPr>
              <w:t>-9.3%</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Derived from models that are dependent on inputs and assumptions provided by third parties, assumes there are no changes in mortgage spreads and assumes a static portfolio. Actual results could differ materially from these estimates.</w:t>
      </w:r>
    </w:p>
    <w:p>
      <w:pPr>
        <w:ind w:left="660" w:hanging="328"/>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Prepayment risk is the risk that our assets will be repaid at a faster rate than anticipated. Interest rates and numerous other factors affect the rate of prepayments, including housing prices, general economic conditions, loan age, size and loan-to-value ratios, and the pace of GSE buyouts of delinquent loans underlying our securities among other factors. Generally, prepayments increase during periods of falling mortgage interest rates and decrease during periods of rising mortgage interest rates. However, this may not always be the case.</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Risk</w:t>
      </w:r>
    </w:p>
    <w:p>
      <w:pPr>
        <w:spacing w:after="0" w:line="17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Extension risk is the risk that our assets will be repaid at a slower rate than anticipated and generally increases when interest rates rise. In which case, we may have to finance our investments at potentially higher costs without the ability to reinvest principal into higher yielding securities because borrowers prepay their mortgages at a slower pace than originally expected, adversely impacting our net interest spread, and thus our net interest income.</w:t>
      </w:r>
    </w:p>
    <w:p>
      <w:pPr>
        <w:spacing w:after="0" w:line="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31, 2019 and December 31, 2018, our investment securities (excluding TBAs) had a weighted average projected CPR of 10.5% and 7.9%, respectively, and a weighted average yield of 3.29% and 3.31%, respectively. The table below presents estimated weighted average projected CPRs and yields for our investment securities should interest rates go up or down by 50 and 100 basis points.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6"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23495</wp:posOffset>
            </wp:positionV>
            <wp:extent cx="56172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17210" cy="8890"/>
                    </a:xfrm>
                    <a:prstGeom prst="rect">
                      <a:avLst/>
                    </a:prstGeom>
                    <a:noFill/>
                  </pic:spPr>
                </pic:pic>
              </a:graphicData>
            </a:graphic>
          </wp:anchor>
        </w:drawing>
      </w:r>
    </w:p>
    <w:p>
      <w:pPr>
        <w:spacing w:after="0" w:line="103"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Pr>
          <w:p>
            <w:pPr>
              <w:spacing w:after="0"/>
              <w:rPr>
                <w:sz w:val="16"/>
                <w:szCs w:val="16"/>
                <w:color w:val="auto"/>
              </w:rPr>
            </w:pPr>
          </w:p>
        </w:tc>
        <w:tc>
          <w:tcPr>
            <w:tcW w:w="276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80" w:type="dxa"/>
            <w:vAlign w:val="bottom"/>
            <w:vMerge w:val="restart"/>
          </w:tcPr>
          <w:p>
            <w:pPr>
              <w:spacing w:after="0"/>
              <w:rPr>
                <w:sz w:val="13"/>
                <w:szCs w:val="13"/>
                <w:color w:val="auto"/>
              </w:rPr>
            </w:pP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50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4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Projected CPR</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xml:space="preserve">Asset Yield </w:t>
            </w:r>
            <w:r>
              <w:rPr>
                <w:rFonts w:ascii="Arial" w:cs="Arial" w:eastAsia="Arial" w:hAnsi="Arial"/>
                <w:sz w:val="8"/>
                <w:szCs w:val="8"/>
                <w:b w:val="1"/>
                <w:bCs w:val="1"/>
                <w:color w:val="auto"/>
                <w:w w:val="90"/>
              </w:rPr>
              <w:t>2</w:t>
            </w:r>
          </w:p>
        </w:tc>
        <w:tc>
          <w:tcPr>
            <w:tcW w:w="1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Projected CPR</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xml:space="preserve">Asset Yield </w:t>
            </w:r>
            <w:r>
              <w:rPr>
                <w:rFonts w:ascii="Arial" w:cs="Arial" w:eastAsia="Arial" w:hAnsi="Arial"/>
                <w:sz w:val="8"/>
                <w:szCs w:val="8"/>
                <w:b w:val="1"/>
                <w:bCs w:val="1"/>
                <w:color w:val="auto"/>
                <w:w w:val="90"/>
              </w:rPr>
              <w:t>2</w:t>
            </w:r>
          </w:p>
        </w:tc>
        <w:tc>
          <w:tcPr>
            <w:tcW w:w="0" w:type="dxa"/>
            <w:vAlign w:val="bottom"/>
          </w:tcPr>
          <w:p>
            <w:pPr>
              <w:spacing w:after="0"/>
              <w:rPr>
                <w:sz w:val="1"/>
                <w:szCs w:val="1"/>
                <w:color w:val="auto"/>
              </w:rPr>
            </w:pPr>
          </w:p>
        </w:tc>
      </w:tr>
      <w:tr>
        <w:trPr>
          <w:trHeight w:val="256"/>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20.3%</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3.01%</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14.1%</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3.15%</w:t>
            </w:r>
          </w:p>
        </w:tc>
        <w:tc>
          <w:tcPr>
            <w:tcW w:w="0" w:type="dxa"/>
            <w:vAlign w:val="bottom"/>
          </w:tcPr>
          <w:p>
            <w:pPr>
              <w:spacing w:after="0"/>
              <w:rPr>
                <w:sz w:val="1"/>
                <w:szCs w:val="1"/>
                <w:color w:val="auto"/>
              </w:rPr>
            </w:pPr>
          </w:p>
        </w:tc>
      </w:tr>
      <w:tr>
        <w:trPr>
          <w:trHeight w:val="264"/>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15.0%</w:t>
            </w:r>
          </w:p>
        </w:tc>
        <w:tc>
          <w:tcPr>
            <w:tcW w:w="10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3.17%</w:t>
            </w:r>
          </w:p>
        </w:tc>
        <w:tc>
          <w:tcPr>
            <w:tcW w:w="1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0"/>
              </w:rPr>
              <w:t>10.3%</w:t>
            </w:r>
          </w:p>
        </w:tc>
        <w:tc>
          <w:tcPr>
            <w:tcW w:w="12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3.25%</w:t>
            </w:r>
          </w:p>
        </w:tc>
        <w:tc>
          <w:tcPr>
            <w:tcW w:w="0" w:type="dxa"/>
            <w:vAlign w:val="bottom"/>
          </w:tcPr>
          <w:p>
            <w:pPr>
              <w:spacing w:after="0"/>
              <w:rPr>
                <w:sz w:val="1"/>
                <w:szCs w:val="1"/>
                <w:color w:val="auto"/>
              </w:rPr>
            </w:pPr>
          </w:p>
        </w:tc>
      </w:tr>
      <w:tr>
        <w:trPr>
          <w:trHeight w:val="276"/>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7.7%</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3.36%</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6.5%</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3.33%</w:t>
            </w:r>
          </w:p>
        </w:tc>
        <w:tc>
          <w:tcPr>
            <w:tcW w:w="0" w:type="dxa"/>
            <w:vAlign w:val="bottom"/>
          </w:tcPr>
          <w:p>
            <w:pPr>
              <w:spacing w:after="0"/>
              <w:rPr>
                <w:sz w:val="1"/>
                <w:szCs w:val="1"/>
                <w:color w:val="auto"/>
              </w:rPr>
            </w:pPr>
          </w:p>
        </w:tc>
      </w:tr>
      <w:tr>
        <w:trPr>
          <w:trHeight w:val="258"/>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320" w:type="dxa"/>
            <w:vAlign w:val="bottom"/>
          </w:tcPr>
          <w:p>
            <w:pPr>
              <w:jc w:val="center"/>
              <w:spacing w:after="0"/>
              <w:rPr>
                <w:sz w:val="20"/>
                <w:szCs w:val="20"/>
                <w:color w:val="auto"/>
              </w:rPr>
            </w:pPr>
            <w:r>
              <w:rPr>
                <w:rFonts w:ascii="Arial" w:cs="Arial" w:eastAsia="Arial" w:hAnsi="Arial"/>
                <w:sz w:val="14"/>
                <w:szCs w:val="14"/>
                <w:color w:val="auto"/>
                <w:w w:val="93"/>
              </w:rPr>
              <w:t>6.2%</w:t>
            </w:r>
          </w:p>
        </w:tc>
        <w:tc>
          <w:tcPr>
            <w:tcW w:w="10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3.40%</w:t>
            </w:r>
          </w:p>
        </w:tc>
        <w:tc>
          <w:tcPr>
            <w:tcW w:w="1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3"/>
              </w:rPr>
              <w:t>5.7%</w:t>
            </w:r>
          </w:p>
        </w:tc>
        <w:tc>
          <w:tcPr>
            <w:tcW w:w="12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3.38%</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Derived from models that are dependent on inputs and assumptions provided by third parties and assumes a static portfolio. Actual results could differ materially from these estimates. Table excludes TBA securities.</w:t>
      </w:r>
    </w:p>
    <w:p>
      <w:pPr>
        <w:ind w:left="660" w:hanging="328"/>
        <w:spacing w:after="0"/>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Asset yield based on historical cost basis and does not include the impact of retroactive "catch-up" premium amortization adjustments due to changes in projected CPR.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w:t>
      </w:r>
    </w:p>
    <w:p>
      <w:pPr>
        <w:spacing w:after="0" w:line="17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Spread risk is the risk that the market spread between the yield on our assets and the yield on benchmark interest rates linked to our interest rate hedges, such as U.S. Treasury rates and interest rate swap rates, may vary. The inherent spread risk associated with our investment securities and the resulting fluctuations in fair value of these securities can occur independent of interest rates and may relate to other factors impacting the mortgage and fixed income markets, such as actual or anticipated monetary policy actions by U.S. and foreign central banks, liquidity, or changes in required rates of return on different assets. Our strategies are generally not specifically designed to protect against spread risk, thus while we use interest rate swaps and other hedges to attempt to protect against moves in interest rates, our tangible net book value could decline if spreads widen.</w:t>
      </w:r>
    </w:p>
    <w:p>
      <w:pPr>
        <w:spacing w:after="0" w:line="12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table below quantifies the estimated changes in the fair value of our assets, net of hedges, and our tangible net book value per common share as of March 31, 2019 and December 31, 2018 should spreads widen or tighten by 10 and 25 basis points. The estimated impact of changes in spreads is in addition to our interest rate shock sensitivity included in the interest rate shock table above. The table below assumes a spread duration of 4.9 and 5.6 years as of March 31, 2019 and December 31, 2018, respectively, based on interest rates and prices as of such dates. However, our portfolio's sensitivity of mortgage spread changes will vary with changes in interest rates and in the size and composition of our portfolio. Therefore, actual results could differ materially from our estimates.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Spread Sensitivity </w:t>
      </w:r>
      <w:r>
        <w:rPr>
          <w:rFonts w:ascii="Arial" w:cs="Arial" w:eastAsia="Arial" w:hAnsi="Arial"/>
          <w:sz w:val="8"/>
          <w:szCs w:val="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23495</wp:posOffset>
            </wp:positionV>
            <wp:extent cx="56597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9755" cy="8890"/>
                    </a:xfrm>
                    <a:prstGeom prst="rect">
                      <a:avLst/>
                    </a:prstGeom>
                    <a:noFill/>
                  </pic:spPr>
                </pic:pic>
              </a:graphicData>
            </a:graphic>
          </wp:anchor>
        </w:drawing>
      </w:r>
    </w:p>
    <w:p>
      <w:pPr>
        <w:spacing w:after="0" w:line="10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Pr>
          <w:p>
            <w:pPr>
              <w:spacing w:after="0"/>
              <w:rPr>
                <w:sz w:val="16"/>
                <w:szCs w:val="16"/>
                <w:color w:val="auto"/>
              </w:rPr>
            </w:pPr>
          </w:p>
        </w:tc>
        <w:tc>
          <w:tcPr>
            <w:tcW w:w="278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3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Estimated Change</w:t>
            </w:r>
          </w:p>
        </w:tc>
        <w:tc>
          <w:tcPr>
            <w:tcW w:w="152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3"/>
              </w:rPr>
              <w:t>Estimated Change</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Estimated Change</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Estimated Change</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in Tangible Net</w:t>
            </w:r>
          </w:p>
        </w:tc>
        <w:tc>
          <w:tcPr>
            <w:tcW w:w="1440" w:type="dxa"/>
            <w:vAlign w:val="bottom"/>
            <w:gridSpan w:val="2"/>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 Tangible Net</w:t>
            </w:r>
          </w:p>
        </w:tc>
        <w:tc>
          <w:tcPr>
            <w:tcW w:w="0" w:type="dxa"/>
            <w:vAlign w:val="bottom"/>
          </w:tcPr>
          <w:p>
            <w:pPr>
              <w:spacing w:after="0"/>
              <w:rPr>
                <w:sz w:val="1"/>
                <w:szCs w:val="1"/>
                <w:color w:val="auto"/>
              </w:rPr>
            </w:pPr>
          </w:p>
        </w:tc>
      </w:tr>
      <w:tr>
        <w:trPr>
          <w:trHeight w:val="149"/>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MBS Spread</w:t>
            </w:r>
          </w:p>
        </w:tc>
        <w:tc>
          <w:tcPr>
            <w:tcW w:w="180" w:type="dxa"/>
            <w:vAlign w:val="bottom"/>
            <w:vMerge w:val="restart"/>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in Portfolio Market</w:t>
            </w: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Book Value Per</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in Portfolio Market</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Book Value Per</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Share</w:t>
            </w:r>
          </w:p>
        </w:tc>
        <w:tc>
          <w:tcPr>
            <w:tcW w:w="1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Share</w:t>
            </w:r>
          </w:p>
        </w:tc>
        <w:tc>
          <w:tcPr>
            <w:tcW w:w="0" w:type="dxa"/>
            <w:vAlign w:val="bottom"/>
          </w:tcPr>
          <w:p>
            <w:pPr>
              <w:spacing w:after="0"/>
              <w:rPr>
                <w:sz w:val="1"/>
                <w:szCs w:val="1"/>
                <w:color w:val="auto"/>
              </w:rPr>
            </w:pPr>
          </w:p>
        </w:tc>
      </w:tr>
      <w:tr>
        <w:trPr>
          <w:trHeight w:val="25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+1.2%</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+13.5%</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+14.3%</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40" w:type="dxa"/>
            <w:vAlign w:val="bottom"/>
          </w:tcPr>
          <w:p>
            <w:pPr>
              <w:jc w:val="center"/>
              <w:spacing w:after="0"/>
              <w:rPr>
                <w:sz w:val="20"/>
                <w:szCs w:val="20"/>
                <w:color w:val="auto"/>
              </w:rPr>
            </w:pPr>
            <w:r>
              <w:rPr>
                <w:rFonts w:ascii="Arial" w:cs="Arial" w:eastAsia="Arial" w:hAnsi="Arial"/>
                <w:sz w:val="14"/>
                <w:szCs w:val="14"/>
                <w:color w:val="auto"/>
                <w:w w:val="99"/>
              </w:rPr>
              <w:t>+0.5%</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+5.4%</w:t>
            </w:r>
          </w:p>
        </w:tc>
        <w:tc>
          <w:tcPr>
            <w:tcW w:w="1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+0.6%</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+5.7%</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-0.5%</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-5.4%</w:t>
            </w: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-0.6%</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-5.7%</w:t>
            </w:r>
          </w:p>
        </w:tc>
        <w:tc>
          <w:tcPr>
            <w:tcW w:w="0" w:type="dxa"/>
            <w:vAlign w:val="bottom"/>
          </w:tcPr>
          <w:p>
            <w:pPr>
              <w:spacing w:after="0"/>
              <w:rPr>
                <w:sz w:val="1"/>
                <w:szCs w:val="1"/>
                <w:color w:val="auto"/>
              </w:rPr>
            </w:pPr>
          </w:p>
        </w:tc>
      </w:tr>
      <w:tr>
        <w:trPr>
          <w:trHeight w:val="258"/>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-1.2%</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-13.5%</w:t>
            </w:r>
          </w:p>
        </w:tc>
        <w:tc>
          <w:tcPr>
            <w:tcW w:w="1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-1.4%</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-14.3%</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provided by third parties, assumes there are no changes in interest rates and assumes a static portfolio. Actual results could differ materially from these estimates.</w:t>
      </w:r>
    </w:p>
    <w:p>
      <w:pPr>
        <w:ind w:left="660" w:hanging="328"/>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38"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7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liquidity risk principally arises from financing long-term fixed rate assets with shorter-term variable rate borrowings. As of March 31, 2019, we had unrestricted cash and cash equivalents of $0.9 billion and unpledged securities of approximately $4.5 billion available to meet margin calls on our funding liabilities and derivative contracts and for other corporate purposes. However, should the value of our collateral or the value of our derivative instruments suddenly decrease, margin calls relating to our funding liabilities and derivative agreements could increase,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even force us to sell assets, especially if correlated with asset price declines or faster prepayment rates on our assets.</w:t>
      </w:r>
    </w:p>
    <w:p>
      <w:pPr>
        <w:spacing w:after="0" w:line="1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addition, we often utilize TBA dollar roll transactions to invest in and finance Agency RMBS. Under certain conditions it may be uneconomical to roll our TBA dollar roll transactions beyond the next settlement date and we could have to take physical delivery of the underlying securities and settle our obligations for cash, which could negatively impact our liquidity position, result in defaults or force us to sell assets under adverse conditions.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credit sensitive investments, such as CRT and non-Agency securities, expose us to the risk of nonpayment of principal, interest or other remuneration we are contractually entitled to. We are also exposed to credit risk in the event our derivative counterparties do not perform under the terms of our derivative agreements or in the event our repurchase agreement counterparties default on their obligations to resell the underlying collateral back to us at the end of the repo term.</w:t>
      </w:r>
    </w:p>
    <w:p>
      <w:pPr>
        <w:spacing w:after="0" w:line="13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accept credit exposure related to our credit sensitive assets at levels we deem to be prudent within the context of our overall investment strategy. We attempt to manage this risk through prudent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monitor and adjust the amount of collateral pledged based on changes in market value.</w:t>
      </w:r>
    </w:p>
    <w:p>
      <w:pPr>
        <w:spacing w:after="0" w:line="1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is no guarantee that our efforts to manage credit risk will be successful and we could suffer losses if credit performance is worse than our expectations or our counterparties default on their obligations. Excluding amounts cleared through a central clearing exchange, as of March 31, 2019, our maximum amount at risk with any counterparty related to our repurchase agreements was less than 4% of our tangible stockholders' equity and less than 1% of tangible stockholders' equity related to our interest rate swap and swaption agreements.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3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including our Chief Executive Officer and Chief Financial Officer, evaluated the effectiveness of the design and operation of our disclosure controls and procedures as of March 31, 2019. Based on the foregoing, our Chief Executive Officer and Chief Financial Officer concluded that our disclosure controls and procedures were effective.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There have been no material changes to such matters previously disclosed in our Annual Report on Form 10-K for the year ended December 31, 2018.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There have been no material changes to the risk factors previously disclosed in our Annual Report on Form 10-K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0" w:right="239" w:bottom="1440" w:gutter="0" w:footer="0" w:header="0"/>
        </w:sectPr>
      </w:pPr>
    </w:p>
    <w:bookmarkStart w:id="46" w:name="page47"/>
    <w:bookmarkEnd w:id="46"/>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Exhibit Index</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72"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29">
        <w:r>
          <w:rPr>
            <w:rFonts w:ascii="Arial" w:cs="Arial" w:eastAsia="Arial" w:hAnsi="Arial"/>
            <w:sz w:val="18"/>
            <w:szCs w:val="18"/>
            <w:color w:val="auto"/>
          </w:rPr>
          <w:t>*3.1 AGNC Investment Corp. Amended and Restated Certificate of Incorporation, as amended, incorporated herein by reference</w:t>
        </w:r>
      </w:hyperlink>
      <w:r>
        <w:rPr>
          <w:rFonts w:ascii="Arial" w:cs="Arial" w:eastAsia="Arial" w:hAnsi="Arial"/>
          <w:sz w:val="18"/>
          <w:szCs w:val="18"/>
          <w:color w:val="auto"/>
        </w:rPr>
        <w:t xml:space="preserve"> </w:t>
      </w:r>
      <w:hyperlink r:id="rId29">
        <w:r>
          <w:rPr>
            <w:rFonts w:ascii="Arial" w:cs="Arial" w:eastAsia="Arial" w:hAnsi="Arial"/>
            <w:sz w:val="18"/>
            <w:szCs w:val="18"/>
            <w:color w:val="auto"/>
          </w:rPr>
          <w:t>to Exhibit 3.1 of Form 10-Q for the quarter ended March 31, 2018 (File No. 001-34057), filed May 7, 2018.</w:t>
        </w:r>
      </w:hyperlink>
    </w:p>
    <w:p>
      <w:pPr>
        <w:spacing w:after="0" w:line="116" w:lineRule="exact"/>
        <w:rPr>
          <w:sz w:val="20"/>
          <w:szCs w:val="20"/>
          <w:color w:val="auto"/>
        </w:rPr>
      </w:pPr>
    </w:p>
    <w:p>
      <w:pPr>
        <w:jc w:val="both"/>
        <w:ind w:left="1300" w:right="20" w:firstLine="648"/>
        <w:spacing w:after="0" w:line="277" w:lineRule="auto"/>
        <w:rPr>
          <w:rFonts w:ascii="Arial" w:cs="Arial" w:eastAsia="Arial" w:hAnsi="Arial"/>
          <w:sz w:val="18"/>
          <w:szCs w:val="18"/>
          <w:color w:val="auto"/>
        </w:rPr>
      </w:pPr>
      <w:hyperlink r:id="rId30">
        <w:r>
          <w:rPr>
            <w:rFonts w:ascii="Arial" w:cs="Arial" w:eastAsia="Arial" w:hAnsi="Arial"/>
            <w:sz w:val="18"/>
            <w:szCs w:val="18"/>
            <w:color w:val="auto"/>
          </w:rPr>
          <w:t>*3.2 AGNC Investment Corp. Third Amended and Restated Bylaws, as amended, incorporated herein by reference to Exhibit 3.2</w:t>
        </w:r>
      </w:hyperlink>
      <w:r>
        <w:rPr>
          <w:rFonts w:ascii="Arial" w:cs="Arial" w:eastAsia="Arial" w:hAnsi="Arial"/>
          <w:sz w:val="18"/>
          <w:szCs w:val="18"/>
          <w:color w:val="auto"/>
        </w:rPr>
        <w:t xml:space="preserve"> </w:t>
      </w:r>
      <w:hyperlink r:id="rId30">
        <w:r>
          <w:rPr>
            <w:rFonts w:ascii="Arial" w:cs="Arial" w:eastAsia="Arial" w:hAnsi="Arial"/>
            <w:sz w:val="18"/>
            <w:szCs w:val="18"/>
            <w:color w:val="auto"/>
          </w:rPr>
          <w:t>of Form 10-Q for the quarter ended September 30, 2016 (File No. 001-34057), filed November 7, 2016.</w:t>
        </w:r>
      </w:hyperlink>
    </w:p>
    <w:p>
      <w:pPr>
        <w:spacing w:after="0" w:line="116"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31">
        <w:r>
          <w:rPr>
            <w:rFonts w:ascii="Arial" w:cs="Arial" w:eastAsia="Arial" w:hAnsi="Arial"/>
            <w:sz w:val="18"/>
            <w:szCs w:val="18"/>
            <w:color w:val="auto"/>
          </w:rPr>
          <w:t>*3.3 Certificate of Designations of 7.750% Series B Cumulative Redeemable Preferred Stock, incorporated herein by reference</w:t>
        </w:r>
      </w:hyperlink>
      <w:r>
        <w:rPr>
          <w:rFonts w:ascii="Arial" w:cs="Arial" w:eastAsia="Arial" w:hAnsi="Arial"/>
          <w:sz w:val="18"/>
          <w:szCs w:val="18"/>
          <w:color w:val="auto"/>
        </w:rPr>
        <w:t xml:space="preserve"> </w:t>
      </w:r>
      <w:hyperlink r:id="rId31">
        <w:r>
          <w:rPr>
            <w:rFonts w:ascii="Arial" w:cs="Arial" w:eastAsia="Arial" w:hAnsi="Arial"/>
            <w:sz w:val="18"/>
            <w:szCs w:val="18"/>
            <w:color w:val="auto"/>
          </w:rPr>
          <w:t>to Exhibit 3.4 of Form 8-A (File No. 001-34057), filed May 7, 2014.</w:t>
        </w:r>
      </w:hyperlink>
    </w:p>
    <w:p>
      <w:pPr>
        <w:spacing w:after="0" w:line="116"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32">
        <w:r>
          <w:rPr>
            <w:rFonts w:ascii="Arial" w:cs="Arial" w:eastAsia="Arial" w:hAnsi="Arial"/>
            <w:sz w:val="18"/>
            <w:szCs w:val="18"/>
            <w:color w:val="auto"/>
          </w:rPr>
          <w:t>*3.4 Certificate of Designations of 7.00% Series C Fixed-to-Floating Rate Cumulative Redeemable Preferred Stock,</w:t>
        </w:r>
      </w:hyperlink>
      <w:r>
        <w:rPr>
          <w:rFonts w:ascii="Arial" w:cs="Arial" w:eastAsia="Arial" w:hAnsi="Arial"/>
          <w:sz w:val="18"/>
          <w:szCs w:val="18"/>
          <w:color w:val="auto"/>
        </w:rPr>
        <w:t xml:space="preserve"> </w:t>
      </w:r>
      <w:hyperlink r:id="rId32">
        <w:r>
          <w:rPr>
            <w:rFonts w:ascii="Arial" w:cs="Arial" w:eastAsia="Arial" w:hAnsi="Arial"/>
            <w:sz w:val="18"/>
            <w:szCs w:val="18"/>
            <w:color w:val="auto"/>
          </w:rPr>
          <w:t>incorporated herein by reference to Exhibit 3.5 of Form 8-A (File No. 001-34057), filed August 18, 2017.</w:t>
        </w:r>
      </w:hyperlink>
    </w:p>
    <w:p>
      <w:pPr>
        <w:spacing w:after="0" w:line="116"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33">
        <w:r>
          <w:rPr>
            <w:rFonts w:ascii="Arial" w:cs="Arial" w:eastAsia="Arial" w:hAnsi="Arial"/>
            <w:sz w:val="18"/>
            <w:szCs w:val="18"/>
            <w:color w:val="auto"/>
          </w:rPr>
          <w:t>*3.5 Certificate of Elimination of 8.000% Series A Cumulative Redeemable Preferred Stock, incorporated herein by reference to</w:t>
        </w:r>
      </w:hyperlink>
      <w:r>
        <w:rPr>
          <w:rFonts w:ascii="Arial" w:cs="Arial" w:eastAsia="Arial" w:hAnsi="Arial"/>
          <w:sz w:val="18"/>
          <w:szCs w:val="18"/>
          <w:color w:val="auto"/>
        </w:rPr>
        <w:t xml:space="preserve"> </w:t>
      </w:r>
      <w:hyperlink r:id="rId33">
        <w:r>
          <w:rPr>
            <w:rFonts w:ascii="Arial" w:cs="Arial" w:eastAsia="Arial" w:hAnsi="Arial"/>
            <w:sz w:val="18"/>
            <w:szCs w:val="18"/>
            <w:color w:val="auto"/>
          </w:rPr>
          <w:t>Exhibit 3.1 of Form 8-K (File No 001-34057), filed October 26, 2017.</w:t>
        </w:r>
      </w:hyperlink>
    </w:p>
    <w:p>
      <w:pPr>
        <w:spacing w:after="0" w:line="116"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34">
        <w:r>
          <w:rPr>
            <w:rFonts w:ascii="Arial" w:cs="Arial" w:eastAsia="Arial" w:hAnsi="Arial"/>
            <w:sz w:val="18"/>
            <w:szCs w:val="18"/>
            <w:color w:val="auto"/>
          </w:rPr>
          <w:t>*3.6 Certificate of Designations of 6.875% Series D Fixed-to-Floating Rate Cumulative Redeemable Preferred Stock,</w:t>
        </w:r>
      </w:hyperlink>
      <w:r>
        <w:rPr>
          <w:rFonts w:ascii="Arial" w:cs="Arial" w:eastAsia="Arial" w:hAnsi="Arial"/>
          <w:sz w:val="18"/>
          <w:szCs w:val="18"/>
          <w:color w:val="auto"/>
        </w:rPr>
        <w:t xml:space="preserve"> </w:t>
      </w:r>
      <w:hyperlink r:id="rId34">
        <w:r>
          <w:rPr>
            <w:rFonts w:ascii="Arial" w:cs="Arial" w:eastAsia="Arial" w:hAnsi="Arial"/>
            <w:sz w:val="18"/>
            <w:szCs w:val="18"/>
            <w:color w:val="auto"/>
          </w:rPr>
          <w:t>incorporated herein by reference to Exhibit 3.5 of Form 8-A (File No 001-34057), filed March 6, 2019.</w:t>
        </w:r>
      </w:hyperlink>
    </w:p>
    <w:p>
      <w:pPr>
        <w:spacing w:after="0" w:line="116" w:lineRule="exact"/>
        <w:rPr>
          <w:sz w:val="20"/>
          <w:szCs w:val="20"/>
          <w:color w:val="auto"/>
        </w:rPr>
      </w:pPr>
    </w:p>
    <w:p>
      <w:pPr>
        <w:jc w:val="both"/>
        <w:ind w:left="1300" w:firstLine="648"/>
        <w:spacing w:after="0" w:line="264" w:lineRule="auto"/>
        <w:rPr>
          <w:rFonts w:ascii="Arial" w:cs="Arial" w:eastAsia="Arial" w:hAnsi="Arial"/>
          <w:sz w:val="18"/>
          <w:szCs w:val="18"/>
          <w:color w:val="auto"/>
        </w:rPr>
      </w:pPr>
      <w:hyperlink r:id="rId29">
        <w:r>
          <w:rPr>
            <w:rFonts w:ascii="Arial" w:cs="Arial" w:eastAsia="Arial" w:hAnsi="Arial"/>
            <w:sz w:val="18"/>
            <w:szCs w:val="18"/>
            <w:color w:val="auto"/>
          </w:rPr>
          <w:t>*4.1 Instruments defining the rights of holders of securities: See Article IV of our Amended and Restated Certificate of</w:t>
        </w:r>
      </w:hyperlink>
      <w:r>
        <w:rPr>
          <w:rFonts w:ascii="Arial" w:cs="Arial" w:eastAsia="Arial" w:hAnsi="Arial"/>
          <w:sz w:val="18"/>
          <w:szCs w:val="18"/>
          <w:color w:val="auto"/>
        </w:rPr>
        <w:t xml:space="preserve"> </w:t>
      </w:r>
      <w:hyperlink r:id="rId29">
        <w:r>
          <w:rPr>
            <w:rFonts w:ascii="Arial" w:cs="Arial" w:eastAsia="Arial" w:hAnsi="Arial"/>
            <w:sz w:val="18"/>
            <w:szCs w:val="18"/>
            <w:color w:val="auto"/>
          </w:rPr>
          <w:t>Incorporation, as amended, incorporated herein by reference to Exhibit 3.1 of Form 10-Q for the quarter ended March 31, 2018 (File No.</w:t>
        </w:r>
      </w:hyperlink>
      <w:r>
        <w:rPr>
          <w:rFonts w:ascii="Arial" w:cs="Arial" w:eastAsia="Arial" w:hAnsi="Arial"/>
          <w:sz w:val="18"/>
          <w:szCs w:val="18"/>
          <w:color w:val="auto"/>
        </w:rPr>
        <w:t xml:space="preserve"> </w:t>
      </w:r>
      <w:hyperlink r:id="rId29">
        <w:r>
          <w:rPr>
            <w:rFonts w:ascii="Arial" w:cs="Arial" w:eastAsia="Arial" w:hAnsi="Arial"/>
            <w:sz w:val="18"/>
            <w:szCs w:val="18"/>
            <w:color w:val="auto"/>
          </w:rPr>
          <w:t>001-34057) filed May 7, 2018.</w:t>
        </w:r>
      </w:hyperlink>
    </w:p>
    <w:p>
      <w:pPr>
        <w:spacing w:after="0" w:line="127" w:lineRule="exact"/>
        <w:rPr>
          <w:rFonts w:ascii="Arial" w:cs="Arial" w:eastAsia="Arial" w:hAnsi="Arial"/>
          <w:sz w:val="18"/>
          <w:szCs w:val="18"/>
          <w:color w:val="auto"/>
        </w:rPr>
      </w:pPr>
    </w:p>
    <w:p>
      <w:pPr>
        <w:jc w:val="both"/>
        <w:ind w:left="1300" w:firstLine="648"/>
        <w:spacing w:after="0" w:line="264" w:lineRule="auto"/>
        <w:rPr>
          <w:rFonts w:ascii="Arial" w:cs="Arial" w:eastAsia="Arial" w:hAnsi="Arial"/>
          <w:sz w:val="18"/>
          <w:szCs w:val="18"/>
          <w:color w:val="auto"/>
        </w:rPr>
      </w:pPr>
      <w:hyperlink r:id="rId30">
        <w:r>
          <w:rPr>
            <w:rFonts w:ascii="Arial" w:cs="Arial" w:eastAsia="Arial" w:hAnsi="Arial"/>
            <w:sz w:val="18"/>
            <w:szCs w:val="18"/>
            <w:color w:val="auto"/>
          </w:rPr>
          <w:t>*4.2 Instruments defining the rights of holders of securities: See Article VI of our Third Amended and Restated Bylaws, as</w:t>
        </w:r>
      </w:hyperlink>
      <w:r>
        <w:rPr>
          <w:rFonts w:ascii="Arial" w:cs="Arial" w:eastAsia="Arial" w:hAnsi="Arial"/>
          <w:sz w:val="18"/>
          <w:szCs w:val="18"/>
          <w:color w:val="auto"/>
        </w:rPr>
        <w:t xml:space="preserve"> </w:t>
      </w:r>
      <w:hyperlink r:id="rId30">
        <w:r>
          <w:rPr>
            <w:rFonts w:ascii="Arial" w:cs="Arial" w:eastAsia="Arial" w:hAnsi="Arial"/>
            <w:sz w:val="18"/>
            <w:szCs w:val="18"/>
            <w:color w:val="auto"/>
          </w:rPr>
          <w:t>amended, incorporated herein by reference to Exhibit 3.2 of Form 10-Q for the quarter ended September 30, 2016 (File No. 001-34057)</w:t>
        </w:r>
      </w:hyperlink>
      <w:r>
        <w:rPr>
          <w:rFonts w:ascii="Arial" w:cs="Arial" w:eastAsia="Arial" w:hAnsi="Arial"/>
          <w:sz w:val="18"/>
          <w:szCs w:val="18"/>
          <w:color w:val="auto"/>
        </w:rPr>
        <w:t xml:space="preserve"> </w:t>
      </w:r>
      <w:hyperlink r:id="rId30">
        <w:r>
          <w:rPr>
            <w:rFonts w:ascii="Arial" w:cs="Arial" w:eastAsia="Arial" w:hAnsi="Arial"/>
            <w:sz w:val="18"/>
            <w:szCs w:val="18"/>
            <w:color w:val="auto"/>
          </w:rPr>
          <w:t>filed November 7, 2016.</w:t>
        </w:r>
      </w:hyperlink>
    </w:p>
    <w:p>
      <w:pPr>
        <w:spacing w:after="0" w:line="127" w:lineRule="exact"/>
        <w:rPr>
          <w:rFonts w:ascii="Arial" w:cs="Arial" w:eastAsia="Arial" w:hAnsi="Arial"/>
          <w:sz w:val="18"/>
          <w:szCs w:val="18"/>
          <w:color w:val="auto"/>
        </w:rPr>
      </w:pPr>
    </w:p>
    <w:p>
      <w:pPr>
        <w:jc w:val="both"/>
        <w:ind w:left="1300" w:firstLine="648"/>
        <w:spacing w:after="0" w:line="277" w:lineRule="auto"/>
        <w:rPr>
          <w:rFonts w:ascii="Arial" w:cs="Arial" w:eastAsia="Arial" w:hAnsi="Arial"/>
          <w:sz w:val="18"/>
          <w:szCs w:val="18"/>
          <w:color w:val="auto"/>
        </w:rPr>
      </w:pPr>
      <w:hyperlink r:id="rId35">
        <w:r>
          <w:rPr>
            <w:rFonts w:ascii="Arial" w:cs="Arial" w:eastAsia="Arial" w:hAnsi="Arial"/>
            <w:sz w:val="18"/>
            <w:szCs w:val="18"/>
            <w:color w:val="auto"/>
          </w:rPr>
          <w:t>*4.3 Form of Certificate for Common Stock, incorporated herein by reference to Exhibit 4.3 of Form 10-Q for the quarter ended</w:t>
        </w:r>
      </w:hyperlink>
      <w:r>
        <w:rPr>
          <w:rFonts w:ascii="Arial" w:cs="Arial" w:eastAsia="Arial" w:hAnsi="Arial"/>
          <w:sz w:val="18"/>
          <w:szCs w:val="18"/>
          <w:color w:val="auto"/>
        </w:rPr>
        <w:t xml:space="preserve"> </w:t>
      </w:r>
      <w:hyperlink r:id="rId35">
        <w:r>
          <w:rPr>
            <w:rFonts w:ascii="Arial" w:cs="Arial" w:eastAsia="Arial" w:hAnsi="Arial"/>
            <w:sz w:val="18"/>
            <w:szCs w:val="18"/>
            <w:color w:val="auto"/>
          </w:rPr>
          <w:t>September 30, 2016 (File No. 001-34057), filed November 7, 2016.</w:t>
        </w:r>
      </w:hyperlink>
    </w:p>
    <w:p>
      <w:pPr>
        <w:spacing w:after="0" w:line="116" w:lineRule="exact"/>
        <w:rPr>
          <w:sz w:val="20"/>
          <w:szCs w:val="20"/>
          <w:color w:val="auto"/>
        </w:rPr>
      </w:pPr>
    </w:p>
    <w:p>
      <w:pPr>
        <w:ind w:left="1960"/>
        <w:spacing w:after="0"/>
        <w:tabs>
          <w:tab w:leader="none" w:pos="2420" w:val="left"/>
        </w:tabs>
        <w:rPr>
          <w:rFonts w:ascii="Arial" w:cs="Arial" w:eastAsia="Arial" w:hAnsi="Arial"/>
          <w:sz w:val="16"/>
          <w:szCs w:val="16"/>
          <w:color w:val="auto"/>
        </w:rPr>
      </w:pPr>
      <w:hyperlink r:id="rId36">
        <w:r>
          <w:rPr>
            <w:rFonts w:ascii="Arial" w:cs="Arial" w:eastAsia="Arial" w:hAnsi="Arial"/>
            <w:sz w:val="18"/>
            <w:szCs w:val="18"/>
            <w:color w:val="auto"/>
          </w:rPr>
          <w:t>*4.4</w:t>
        </w:r>
      </w:hyperlink>
      <w:r>
        <w:rPr>
          <w:rFonts w:ascii="Arial" w:cs="Arial" w:eastAsia="Arial" w:hAnsi="Arial"/>
          <w:sz w:val="18"/>
          <w:szCs w:val="18"/>
          <w:color w:val="auto"/>
        </w:rPr>
        <w:tab/>
      </w:r>
      <w:hyperlink r:id="rId36">
        <w:r>
          <w:rPr>
            <w:rFonts w:ascii="Arial" w:cs="Arial" w:eastAsia="Arial" w:hAnsi="Arial"/>
            <w:sz w:val="16"/>
            <w:szCs w:val="16"/>
            <w:color w:val="auto"/>
          </w:rPr>
          <w:t>Specimen 7.750% Series B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36">
        <w:r>
          <w:rPr>
            <w:rFonts w:ascii="Arial" w:cs="Arial" w:eastAsia="Arial" w:hAnsi="Arial"/>
            <w:sz w:val="18"/>
            <w:szCs w:val="18"/>
            <w:color w:val="auto"/>
          </w:rPr>
          <w:t>4.1 of Form 8-A (File No. 001-34057), filed May 7, 2014.</w:t>
        </w:r>
      </w:hyperlink>
    </w:p>
    <w:p>
      <w:pPr>
        <w:spacing w:after="0" w:line="157"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37">
        <w:r>
          <w:rPr>
            <w:rFonts w:ascii="Arial" w:cs="Arial" w:eastAsia="Arial" w:hAnsi="Arial"/>
            <w:sz w:val="18"/>
            <w:szCs w:val="18"/>
            <w:color w:val="auto"/>
          </w:rPr>
          <w:t>*4.5 Specimen 7.00% Series C Fixed-to-Floating Rate Cumulative Redeemable Preferred Stock Certificate, incorporated herein</w:t>
        </w:r>
      </w:hyperlink>
      <w:r>
        <w:rPr>
          <w:rFonts w:ascii="Arial" w:cs="Arial" w:eastAsia="Arial" w:hAnsi="Arial"/>
          <w:sz w:val="18"/>
          <w:szCs w:val="18"/>
          <w:color w:val="auto"/>
        </w:rPr>
        <w:t xml:space="preserve"> </w:t>
      </w:r>
      <w:hyperlink r:id="rId37">
        <w:r>
          <w:rPr>
            <w:rFonts w:ascii="Arial" w:cs="Arial" w:eastAsia="Arial" w:hAnsi="Arial"/>
            <w:sz w:val="18"/>
            <w:szCs w:val="18"/>
            <w:color w:val="auto"/>
          </w:rPr>
          <w:t>by reference to Exhibit 4.1 of Form 8-A (File No. 001-34057), filed August 18, 2017.</w:t>
        </w:r>
      </w:hyperlink>
    </w:p>
    <w:p>
      <w:pPr>
        <w:spacing w:after="0" w:line="116" w:lineRule="exact"/>
        <w:rPr>
          <w:sz w:val="20"/>
          <w:szCs w:val="20"/>
          <w:color w:val="auto"/>
        </w:rPr>
      </w:pPr>
    </w:p>
    <w:p>
      <w:pPr>
        <w:jc w:val="both"/>
        <w:ind w:left="1300" w:right="20" w:firstLine="648"/>
        <w:spacing w:after="0" w:line="277" w:lineRule="auto"/>
        <w:rPr>
          <w:rFonts w:ascii="Arial" w:cs="Arial" w:eastAsia="Arial" w:hAnsi="Arial"/>
          <w:sz w:val="18"/>
          <w:szCs w:val="18"/>
          <w:color w:val="auto"/>
        </w:rPr>
      </w:pPr>
      <w:hyperlink r:id="rId38">
        <w:r>
          <w:rPr>
            <w:rFonts w:ascii="Arial" w:cs="Arial" w:eastAsia="Arial" w:hAnsi="Arial"/>
            <w:sz w:val="18"/>
            <w:szCs w:val="18"/>
            <w:color w:val="auto"/>
          </w:rPr>
          <w:t>*4.6 Specimen 6.875% Series D Fixed-to-Floating Rate Cumulative Redeemable Preferred Stock Certificate, incorporated herein</w:t>
        </w:r>
      </w:hyperlink>
      <w:r>
        <w:rPr>
          <w:rFonts w:ascii="Arial" w:cs="Arial" w:eastAsia="Arial" w:hAnsi="Arial"/>
          <w:sz w:val="18"/>
          <w:szCs w:val="18"/>
          <w:color w:val="auto"/>
        </w:rPr>
        <w:t xml:space="preserve"> </w:t>
      </w:r>
      <w:hyperlink r:id="rId38">
        <w:r>
          <w:rPr>
            <w:rFonts w:ascii="Arial" w:cs="Arial" w:eastAsia="Arial" w:hAnsi="Arial"/>
            <w:sz w:val="18"/>
            <w:szCs w:val="18"/>
            <w:color w:val="auto"/>
          </w:rPr>
          <w:t>by reference to Exhibit 4.1 of Form 8-A (File No. 001-34057), filed March 6, 2019.</w:t>
        </w:r>
      </w:hyperlink>
    </w:p>
    <w:p>
      <w:pPr>
        <w:spacing w:after="0" w:line="116" w:lineRule="exact"/>
        <w:rPr>
          <w:sz w:val="20"/>
          <w:szCs w:val="20"/>
          <w:color w:val="auto"/>
        </w:rPr>
      </w:pPr>
    </w:p>
    <w:p>
      <w:pPr>
        <w:jc w:val="both"/>
        <w:ind w:left="1300" w:firstLine="648"/>
        <w:spacing w:after="0" w:line="264" w:lineRule="auto"/>
        <w:rPr>
          <w:rFonts w:ascii="Arial" w:cs="Arial" w:eastAsia="Arial" w:hAnsi="Arial"/>
          <w:sz w:val="18"/>
          <w:szCs w:val="18"/>
          <w:color w:val="auto"/>
        </w:rPr>
      </w:pPr>
      <w:hyperlink r:id="rId39">
        <w:r>
          <w:rPr>
            <w:rFonts w:ascii="Arial" w:cs="Arial" w:eastAsia="Arial" w:hAnsi="Arial"/>
            <w:sz w:val="18"/>
            <w:szCs w:val="18"/>
            <w:color w:val="auto"/>
          </w:rPr>
          <w:t>*4.7Deposit Agreement relating to 7.750% Series B Cumulative Redeemable Preferred Stock, dated May 8, 2014, among</w:t>
        </w:r>
      </w:hyperlink>
      <w:r>
        <w:rPr>
          <w:rFonts w:ascii="Arial" w:cs="Arial" w:eastAsia="Arial" w:hAnsi="Arial"/>
          <w:sz w:val="18"/>
          <w:szCs w:val="18"/>
          <w:color w:val="auto"/>
        </w:rPr>
        <w:t xml:space="preserve"> </w:t>
      </w:r>
      <w:hyperlink r:id="rId39">
        <w:r>
          <w:rPr>
            <w:rFonts w:ascii="Arial" w:cs="Arial" w:eastAsia="Arial" w:hAnsi="Arial"/>
            <w:sz w:val="18"/>
            <w:szCs w:val="18"/>
            <w:color w:val="auto"/>
          </w:rPr>
          <w:t>American Capital Agency Corp., Computershare Inc. and Computershare Trust Company, N.A., jointly as depositary, incorporated herein</w:t>
        </w:r>
      </w:hyperlink>
      <w:r>
        <w:rPr>
          <w:rFonts w:ascii="Arial" w:cs="Arial" w:eastAsia="Arial" w:hAnsi="Arial"/>
          <w:sz w:val="18"/>
          <w:szCs w:val="18"/>
          <w:color w:val="auto"/>
        </w:rPr>
        <w:t xml:space="preserve"> </w:t>
      </w:r>
      <w:hyperlink r:id="rId39">
        <w:r>
          <w:rPr>
            <w:rFonts w:ascii="Arial" w:cs="Arial" w:eastAsia="Arial" w:hAnsi="Arial"/>
            <w:sz w:val="18"/>
            <w:szCs w:val="18"/>
            <w:color w:val="auto"/>
          </w:rPr>
          <w:t>by reference to Exhibit 4.2 of Form 8-K (File No. 001-34057), filed May 8, 2014.</w:t>
        </w:r>
      </w:hyperlink>
    </w:p>
    <w:p>
      <w:pPr>
        <w:spacing w:after="0" w:line="127" w:lineRule="exact"/>
        <w:rPr>
          <w:rFonts w:ascii="Arial" w:cs="Arial" w:eastAsia="Arial" w:hAnsi="Arial"/>
          <w:sz w:val="18"/>
          <w:szCs w:val="18"/>
          <w:color w:val="auto"/>
        </w:rPr>
      </w:pPr>
    </w:p>
    <w:p>
      <w:pPr>
        <w:jc w:val="both"/>
        <w:ind w:left="1300" w:firstLine="648"/>
        <w:spacing w:after="0" w:line="264" w:lineRule="auto"/>
        <w:rPr>
          <w:rFonts w:ascii="Arial" w:cs="Arial" w:eastAsia="Arial" w:hAnsi="Arial"/>
          <w:sz w:val="18"/>
          <w:szCs w:val="18"/>
          <w:color w:val="auto"/>
        </w:rPr>
      </w:pPr>
      <w:hyperlink r:id="rId39">
        <w:r>
          <w:rPr>
            <w:rFonts w:ascii="Arial" w:cs="Arial" w:eastAsia="Arial" w:hAnsi="Arial"/>
            <w:sz w:val="18"/>
            <w:szCs w:val="18"/>
            <w:color w:val="auto"/>
          </w:rPr>
          <w:t>*4.8 Form of Depositary Receipt representing 1/1,000th of a share of 7.750% Series B Cumulative Redeemable Preferred Stock</w:t>
        </w:r>
      </w:hyperlink>
      <w:r>
        <w:rPr>
          <w:rFonts w:ascii="Arial" w:cs="Arial" w:eastAsia="Arial" w:hAnsi="Arial"/>
          <w:sz w:val="18"/>
          <w:szCs w:val="18"/>
          <w:color w:val="auto"/>
        </w:rPr>
        <w:t xml:space="preserve"> </w:t>
      </w:r>
      <w:hyperlink r:id="rId39">
        <w:r>
          <w:rPr>
            <w:rFonts w:ascii="Arial" w:cs="Arial" w:eastAsia="Arial" w:hAnsi="Arial"/>
            <w:sz w:val="18"/>
            <w:szCs w:val="18"/>
            <w:color w:val="auto"/>
          </w:rPr>
          <w:t>(included as part of Exhibit 4.7), incorporated herein by reference to Exhibit A of Exhibit 4.2 of Form 8-K (File No. 001-34057), filed May</w:t>
        </w:r>
      </w:hyperlink>
      <w:r>
        <w:rPr>
          <w:rFonts w:ascii="Arial" w:cs="Arial" w:eastAsia="Arial" w:hAnsi="Arial"/>
          <w:sz w:val="18"/>
          <w:szCs w:val="18"/>
          <w:color w:val="auto"/>
        </w:rPr>
        <w:t xml:space="preserve"> </w:t>
      </w:r>
      <w:hyperlink r:id="rId39">
        <w:r>
          <w:rPr>
            <w:rFonts w:ascii="Arial" w:cs="Arial" w:eastAsia="Arial" w:hAnsi="Arial"/>
            <w:sz w:val="18"/>
            <w:szCs w:val="18"/>
            <w:color w:val="auto"/>
          </w:rPr>
          <w:t>8, 2014.</w:t>
        </w:r>
      </w:hyperlink>
    </w:p>
    <w:p>
      <w:pPr>
        <w:spacing w:after="0" w:line="127" w:lineRule="exact"/>
        <w:rPr>
          <w:rFonts w:ascii="Arial" w:cs="Arial" w:eastAsia="Arial" w:hAnsi="Arial"/>
          <w:sz w:val="18"/>
          <w:szCs w:val="18"/>
          <w:color w:val="auto"/>
        </w:rPr>
      </w:pPr>
    </w:p>
    <w:p>
      <w:pPr>
        <w:jc w:val="both"/>
        <w:ind w:left="1300" w:firstLine="648"/>
        <w:spacing w:after="0" w:line="264" w:lineRule="auto"/>
        <w:rPr>
          <w:rFonts w:ascii="Arial" w:cs="Arial" w:eastAsia="Arial" w:hAnsi="Arial"/>
          <w:sz w:val="18"/>
          <w:szCs w:val="18"/>
          <w:color w:val="auto"/>
        </w:rPr>
      </w:pPr>
      <w:hyperlink r:id="rId40">
        <w:r>
          <w:rPr>
            <w:rFonts w:ascii="Arial" w:cs="Arial" w:eastAsia="Arial" w:hAnsi="Arial"/>
            <w:sz w:val="18"/>
            <w:szCs w:val="18"/>
            <w:color w:val="auto"/>
          </w:rPr>
          <w:t>*4.9Deposit Agreement relating to 7.00% Series C Fixed-to-Floating Rate Cumulative Redeemable Preferred Stock, dated August</w:t>
        </w:r>
      </w:hyperlink>
      <w:r>
        <w:rPr>
          <w:rFonts w:ascii="Arial" w:cs="Arial" w:eastAsia="Arial" w:hAnsi="Arial"/>
          <w:sz w:val="18"/>
          <w:szCs w:val="18"/>
          <w:color w:val="auto"/>
        </w:rPr>
        <w:t xml:space="preserve"> </w:t>
      </w:r>
      <w:hyperlink r:id="rId40">
        <w:r>
          <w:rPr>
            <w:rFonts w:ascii="Arial" w:cs="Arial" w:eastAsia="Arial" w:hAnsi="Arial"/>
            <w:sz w:val="18"/>
            <w:szCs w:val="18"/>
            <w:color w:val="auto"/>
          </w:rPr>
          <w:t>22, 2017, among AGNC Investment Corp., Computershare Inc. and Computershare Trust Company, N.A., jointly as depositary,</w:t>
        </w:r>
      </w:hyperlink>
      <w:r>
        <w:rPr>
          <w:rFonts w:ascii="Arial" w:cs="Arial" w:eastAsia="Arial" w:hAnsi="Arial"/>
          <w:sz w:val="18"/>
          <w:szCs w:val="18"/>
          <w:color w:val="auto"/>
        </w:rPr>
        <w:t xml:space="preserve"> </w:t>
      </w:r>
      <w:hyperlink r:id="rId40">
        <w:r>
          <w:rPr>
            <w:rFonts w:ascii="Arial" w:cs="Arial" w:eastAsia="Arial" w:hAnsi="Arial"/>
            <w:sz w:val="18"/>
            <w:szCs w:val="18"/>
            <w:color w:val="auto"/>
          </w:rPr>
          <w:t>incorporated herein by reference to Exhibit 4.2 of Form 8-K (File No. 001-34057) filed August 22, 2017.</w:t>
        </w:r>
      </w:hyperlink>
    </w:p>
    <w:p>
      <w:pPr>
        <w:spacing w:after="0" w:line="127" w:lineRule="exact"/>
        <w:rPr>
          <w:rFonts w:ascii="Arial" w:cs="Arial" w:eastAsia="Arial" w:hAnsi="Arial"/>
          <w:sz w:val="18"/>
          <w:szCs w:val="18"/>
          <w:color w:val="auto"/>
        </w:rPr>
      </w:pPr>
    </w:p>
    <w:p>
      <w:pPr>
        <w:jc w:val="both"/>
        <w:ind w:left="1300" w:firstLine="648"/>
        <w:spacing w:after="0" w:line="264" w:lineRule="auto"/>
        <w:rPr>
          <w:rFonts w:ascii="Arial" w:cs="Arial" w:eastAsia="Arial" w:hAnsi="Arial"/>
          <w:sz w:val="18"/>
          <w:szCs w:val="18"/>
          <w:color w:val="auto"/>
        </w:rPr>
      </w:pPr>
      <w:hyperlink r:id="rId40">
        <w:r>
          <w:rPr>
            <w:rFonts w:ascii="Arial" w:cs="Arial" w:eastAsia="Arial" w:hAnsi="Arial"/>
            <w:sz w:val="18"/>
            <w:szCs w:val="18"/>
            <w:color w:val="auto"/>
          </w:rPr>
          <w:t>*4.10 Form of Depositary Receipt representing 1/1,000th of a share of 7.00% Series C Fixed-to-Floating Rate Cumulative</w:t>
        </w:r>
      </w:hyperlink>
      <w:r>
        <w:rPr>
          <w:rFonts w:ascii="Arial" w:cs="Arial" w:eastAsia="Arial" w:hAnsi="Arial"/>
          <w:sz w:val="18"/>
          <w:szCs w:val="18"/>
          <w:color w:val="auto"/>
        </w:rPr>
        <w:t xml:space="preserve"> </w:t>
      </w:r>
      <w:hyperlink r:id="rId40">
        <w:r>
          <w:rPr>
            <w:rFonts w:ascii="Arial" w:cs="Arial" w:eastAsia="Arial" w:hAnsi="Arial"/>
            <w:sz w:val="18"/>
            <w:szCs w:val="18"/>
            <w:color w:val="auto"/>
          </w:rPr>
          <w:t>Redeemable Preferred Stock (included as part of Exhibit 4.9), incorporated herein by reference to Exhibit A of Exhibit 4.2 of Form 8-K</w:t>
        </w:r>
      </w:hyperlink>
      <w:r>
        <w:rPr>
          <w:rFonts w:ascii="Arial" w:cs="Arial" w:eastAsia="Arial" w:hAnsi="Arial"/>
          <w:sz w:val="18"/>
          <w:szCs w:val="18"/>
          <w:color w:val="auto"/>
        </w:rPr>
        <w:t xml:space="preserve"> </w:t>
      </w:r>
      <w:hyperlink r:id="rId40">
        <w:r>
          <w:rPr>
            <w:rFonts w:ascii="Arial" w:cs="Arial" w:eastAsia="Arial" w:hAnsi="Arial"/>
            <w:sz w:val="18"/>
            <w:szCs w:val="18"/>
            <w:color w:val="auto"/>
          </w:rPr>
          <w:t>(File No. 001-34057) filed August 22, 2017.</w:t>
        </w:r>
      </w:hyperlink>
    </w:p>
    <w:p>
      <w:pPr>
        <w:spacing w:after="0" w:line="208"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0" w:right="239" w:bottom="1440" w:gutter="0" w:footer="0" w:header="0"/>
        </w:sectPr>
      </w:pPr>
    </w:p>
    <w:bookmarkStart w:id="47" w:name="page48"/>
    <w:bookmarkEnd w:id="47"/>
    <w:p>
      <w:pPr>
        <w:jc w:val="both"/>
        <w:ind w:left="1300" w:firstLine="648"/>
        <w:spacing w:after="0" w:line="264" w:lineRule="auto"/>
        <w:rPr>
          <w:rFonts w:ascii="Arial" w:cs="Arial" w:eastAsia="Arial" w:hAnsi="Arial"/>
          <w:sz w:val="18"/>
          <w:szCs w:val="18"/>
          <w:color w:val="auto"/>
        </w:rPr>
      </w:pPr>
      <w:hyperlink r:id="rId41">
        <w:r>
          <w:rPr>
            <w:rFonts w:ascii="Arial" w:cs="Arial" w:eastAsia="Arial" w:hAnsi="Arial"/>
            <w:sz w:val="18"/>
            <w:szCs w:val="18"/>
            <w:color w:val="auto"/>
          </w:rPr>
          <w:t>*4.11 Deposit Agreement relating to 6.875% Series D Fixed-to-Floating Rate Cumulative Redeemable Preferred Stock, dated</w:t>
        </w:r>
      </w:hyperlink>
      <w:r>
        <w:rPr>
          <w:rFonts w:ascii="Arial" w:cs="Arial" w:eastAsia="Arial" w:hAnsi="Arial"/>
          <w:sz w:val="18"/>
          <w:szCs w:val="18"/>
          <w:color w:val="auto"/>
        </w:rPr>
        <w:t xml:space="preserve"> </w:t>
      </w:r>
      <w:hyperlink r:id="rId41">
        <w:r>
          <w:rPr>
            <w:rFonts w:ascii="Arial" w:cs="Arial" w:eastAsia="Arial" w:hAnsi="Arial"/>
            <w:sz w:val="18"/>
            <w:szCs w:val="18"/>
            <w:color w:val="auto"/>
          </w:rPr>
          <w:t>March 6, 2019, among AGNC Investment Corp., Computershare Inc. and Computershare Trust Company, N.A., jointly as depositary,</w:t>
        </w:r>
      </w:hyperlink>
      <w:r>
        <w:rPr>
          <w:rFonts w:ascii="Arial" w:cs="Arial" w:eastAsia="Arial" w:hAnsi="Arial"/>
          <w:sz w:val="18"/>
          <w:szCs w:val="18"/>
          <w:color w:val="auto"/>
        </w:rPr>
        <w:t xml:space="preserve"> </w:t>
      </w:r>
      <w:hyperlink r:id="rId41">
        <w:r>
          <w:rPr>
            <w:rFonts w:ascii="Arial" w:cs="Arial" w:eastAsia="Arial" w:hAnsi="Arial"/>
            <w:sz w:val="18"/>
            <w:szCs w:val="18"/>
            <w:color w:val="auto"/>
          </w:rPr>
          <w:t>incorporated herein by reference to Exhibit 4.2 of Form 8-K (File No. 001-34057) filed March 6, 2019.</w:t>
        </w:r>
      </w:hyperlink>
    </w:p>
    <w:p>
      <w:pPr>
        <w:spacing w:after="0" w:line="127" w:lineRule="exact"/>
        <w:rPr>
          <w:rFonts w:ascii="Arial" w:cs="Arial" w:eastAsia="Arial" w:hAnsi="Arial"/>
          <w:sz w:val="18"/>
          <w:szCs w:val="18"/>
          <w:color w:val="auto"/>
        </w:rPr>
      </w:pPr>
    </w:p>
    <w:p>
      <w:pPr>
        <w:jc w:val="both"/>
        <w:ind w:left="1300" w:firstLine="648"/>
        <w:spacing w:after="0" w:line="264" w:lineRule="auto"/>
        <w:rPr>
          <w:rFonts w:ascii="Arial" w:cs="Arial" w:eastAsia="Arial" w:hAnsi="Arial"/>
          <w:sz w:val="18"/>
          <w:szCs w:val="18"/>
          <w:color w:val="auto"/>
        </w:rPr>
      </w:pPr>
      <w:hyperlink r:id="rId41">
        <w:r>
          <w:rPr>
            <w:rFonts w:ascii="Arial" w:cs="Arial" w:eastAsia="Arial" w:hAnsi="Arial"/>
            <w:sz w:val="18"/>
            <w:szCs w:val="18"/>
            <w:color w:val="auto"/>
          </w:rPr>
          <w:t>*4.12Form of Depositary Receipt representing 1/1,000th of a share of 6.875% Series D Fixed-to-Floating Rate Cumulative</w:t>
        </w:r>
      </w:hyperlink>
      <w:r>
        <w:rPr>
          <w:rFonts w:ascii="Arial" w:cs="Arial" w:eastAsia="Arial" w:hAnsi="Arial"/>
          <w:sz w:val="18"/>
          <w:szCs w:val="18"/>
          <w:color w:val="auto"/>
        </w:rPr>
        <w:t xml:space="preserve"> </w:t>
      </w:r>
      <w:hyperlink r:id="rId41">
        <w:r>
          <w:rPr>
            <w:rFonts w:ascii="Arial" w:cs="Arial" w:eastAsia="Arial" w:hAnsi="Arial"/>
            <w:sz w:val="18"/>
            <w:szCs w:val="18"/>
            <w:color w:val="auto"/>
          </w:rPr>
          <w:t>Redeemable Preferred Stock (included as part of Exhibit 4.11), incorporated herein by reference to Exhibit A of Exhibit 4.2 of Form 8-K</w:t>
        </w:r>
      </w:hyperlink>
      <w:r>
        <w:rPr>
          <w:rFonts w:ascii="Arial" w:cs="Arial" w:eastAsia="Arial" w:hAnsi="Arial"/>
          <w:sz w:val="18"/>
          <w:szCs w:val="18"/>
          <w:color w:val="auto"/>
        </w:rPr>
        <w:t xml:space="preserve"> </w:t>
      </w:r>
      <w:hyperlink r:id="rId41">
        <w:r>
          <w:rPr>
            <w:rFonts w:ascii="Arial" w:cs="Arial" w:eastAsia="Arial" w:hAnsi="Arial"/>
            <w:sz w:val="18"/>
            <w:szCs w:val="18"/>
            <w:color w:val="auto"/>
          </w:rPr>
          <w:t>(File No. 001-34057) filed March 6, 2019.</w:t>
        </w:r>
      </w:hyperlink>
    </w:p>
    <w:p>
      <w:pPr>
        <w:spacing w:after="0" w:line="127" w:lineRule="exact"/>
        <w:rPr>
          <w:rFonts w:ascii="Arial" w:cs="Arial" w:eastAsia="Arial" w:hAnsi="Arial"/>
          <w:sz w:val="18"/>
          <w:szCs w:val="18"/>
          <w:color w:val="auto"/>
        </w:rPr>
      </w:pPr>
    </w:p>
    <w:p>
      <w:pPr>
        <w:ind w:left="1300" w:right="20" w:firstLine="648"/>
        <w:spacing w:after="0" w:line="277" w:lineRule="auto"/>
        <w:rPr>
          <w:rFonts w:ascii="Arial" w:cs="Arial" w:eastAsia="Arial" w:hAnsi="Arial"/>
          <w:sz w:val="18"/>
          <w:szCs w:val="18"/>
          <w:color w:val="auto"/>
        </w:rPr>
      </w:pPr>
      <w:hyperlink w:anchor="page50">
        <w:r>
          <w:rPr>
            <w:rFonts w:ascii="Arial" w:cs="Arial" w:eastAsia="Arial" w:hAnsi="Arial"/>
            <w:sz w:val="18"/>
            <w:szCs w:val="18"/>
            <w:color w:val="auto"/>
          </w:rPr>
          <w:t>† 10 Form of AGNC Investment Corp. 2016 Equity and Incentive Compensation Plan Restricted Stock Unit Agreement for Non-</w:t>
        </w:r>
      </w:hyperlink>
      <w:hyperlink w:anchor="page50">
        <w:r>
          <w:rPr>
            <w:rFonts w:ascii="Arial" w:cs="Arial" w:eastAsia="Arial" w:hAnsi="Arial"/>
            <w:sz w:val="18"/>
            <w:szCs w:val="18"/>
            <w:color w:val="auto"/>
          </w:rPr>
          <w:t>Employee Directors, filed herewith.</w:t>
        </w:r>
      </w:hyperlink>
    </w:p>
    <w:p>
      <w:pPr>
        <w:spacing w:after="0" w:line="116" w:lineRule="exact"/>
        <w:rPr>
          <w:sz w:val="20"/>
          <w:szCs w:val="20"/>
          <w:color w:val="auto"/>
        </w:rPr>
      </w:pPr>
    </w:p>
    <w:p>
      <w:pPr>
        <w:ind w:left="1960"/>
        <w:spacing w:after="0"/>
        <w:tabs>
          <w:tab w:leader="none" w:pos="2420" w:val="left"/>
        </w:tabs>
        <w:rPr>
          <w:rFonts w:ascii="Arial" w:cs="Arial" w:eastAsia="Arial" w:hAnsi="Arial"/>
          <w:sz w:val="16"/>
          <w:szCs w:val="16"/>
          <w:color w:val="auto"/>
        </w:rPr>
      </w:pPr>
      <w:hyperlink w:anchor="page55">
        <w:r>
          <w:rPr>
            <w:rFonts w:ascii="Arial" w:cs="Arial" w:eastAsia="Arial" w:hAnsi="Arial"/>
            <w:sz w:val="18"/>
            <w:szCs w:val="18"/>
            <w:color w:val="auto"/>
          </w:rPr>
          <w:t>31.1</w:t>
        </w:r>
      </w:hyperlink>
      <w:r>
        <w:rPr>
          <w:rFonts w:ascii="Arial" w:cs="Arial" w:eastAsia="Arial" w:hAnsi="Arial"/>
          <w:sz w:val="18"/>
          <w:szCs w:val="18"/>
          <w:color w:val="auto"/>
        </w:rPr>
        <w:tab/>
      </w:r>
      <w:hyperlink w:anchor="page55">
        <w:r>
          <w:rPr>
            <w:rFonts w:ascii="Arial" w:cs="Arial" w:eastAsia="Arial" w:hAnsi="Arial"/>
            <w:sz w:val="16"/>
            <w:szCs w:val="16"/>
            <w:color w:val="auto"/>
          </w:rPr>
          <w:t>Certification of CEO Pursuant to Section 302(a) of the Sarbanes-Oxley Act of 2002.</w:t>
        </w:r>
      </w:hyperlink>
    </w:p>
    <w:p>
      <w:pPr>
        <w:spacing w:after="0" w:line="171" w:lineRule="exact"/>
        <w:rPr>
          <w:sz w:val="20"/>
          <w:szCs w:val="20"/>
          <w:color w:val="auto"/>
        </w:rPr>
      </w:pPr>
    </w:p>
    <w:p>
      <w:pPr>
        <w:ind w:left="1960"/>
        <w:spacing w:after="0"/>
        <w:tabs>
          <w:tab w:leader="none" w:pos="2420" w:val="left"/>
        </w:tabs>
        <w:rPr>
          <w:rFonts w:ascii="Arial" w:cs="Arial" w:eastAsia="Arial" w:hAnsi="Arial"/>
          <w:sz w:val="16"/>
          <w:szCs w:val="16"/>
          <w:color w:val="auto"/>
        </w:rPr>
      </w:pPr>
      <w:hyperlink w:anchor="page56">
        <w:r>
          <w:rPr>
            <w:rFonts w:ascii="Arial" w:cs="Arial" w:eastAsia="Arial" w:hAnsi="Arial"/>
            <w:sz w:val="18"/>
            <w:szCs w:val="18"/>
            <w:color w:val="auto"/>
          </w:rPr>
          <w:t>31.2</w:t>
        </w:r>
      </w:hyperlink>
      <w:r>
        <w:rPr>
          <w:rFonts w:ascii="Arial" w:cs="Arial" w:eastAsia="Arial" w:hAnsi="Arial"/>
          <w:sz w:val="18"/>
          <w:szCs w:val="18"/>
          <w:color w:val="auto"/>
        </w:rPr>
        <w:tab/>
      </w:r>
      <w:hyperlink w:anchor="page56">
        <w:r>
          <w:rPr>
            <w:rFonts w:ascii="Arial" w:cs="Arial" w:eastAsia="Arial" w:hAnsi="Arial"/>
            <w:sz w:val="16"/>
            <w:szCs w:val="16"/>
            <w:color w:val="auto"/>
          </w:rPr>
          <w:t>Certification of CFO Pursuant to Section 302(a) of the Sarbanes-Oxley Act of 2002.</w:t>
        </w:r>
      </w:hyperlink>
    </w:p>
    <w:p>
      <w:pPr>
        <w:spacing w:after="0" w:line="171" w:lineRule="exact"/>
        <w:rPr>
          <w:sz w:val="20"/>
          <w:szCs w:val="20"/>
          <w:color w:val="auto"/>
        </w:rPr>
      </w:pPr>
    </w:p>
    <w:p>
      <w:pPr>
        <w:ind w:left="1960"/>
        <w:spacing w:after="0"/>
        <w:tabs>
          <w:tab w:leader="none" w:pos="2300" w:val="left"/>
        </w:tabs>
        <w:rPr>
          <w:rFonts w:ascii="Arial" w:cs="Arial" w:eastAsia="Arial" w:hAnsi="Arial"/>
          <w:sz w:val="16"/>
          <w:szCs w:val="16"/>
          <w:color w:val="auto"/>
        </w:rPr>
      </w:pPr>
      <w:r>
        <w:rPr>
          <w:rFonts w:ascii="Arial" w:cs="Arial" w:eastAsia="Arial" w:hAnsi="Arial"/>
          <w:sz w:val="18"/>
          <w:szCs w:val="18"/>
          <w:color w:val="auto"/>
        </w:rPr>
        <w:t>32</w:t>
      </w:r>
      <w:r>
        <w:rPr>
          <w:sz w:val="20"/>
          <w:szCs w:val="20"/>
          <w:color w:val="auto"/>
        </w:rPr>
        <w:tab/>
      </w:r>
      <w:hyperlink w:anchor="page57">
        <w:r>
          <w:rPr>
            <w:rFonts w:ascii="Arial" w:cs="Arial" w:eastAsia="Arial" w:hAnsi="Arial"/>
            <w:sz w:val="16"/>
            <w:szCs w:val="16"/>
            <w:color w:val="auto"/>
          </w:rPr>
          <w:t>Certification of CEO and CFO Pursuant to Section 906 of the Sarbanes-Oxley Act of 2002.</w:t>
        </w:r>
      </w:hyperlink>
    </w:p>
    <w:p>
      <w:pPr>
        <w:sectPr>
          <w:pgSz w:w="11900" w:h="16838" w:orient="portrait"/>
          <w:cols w:equalWidth="0" w:num="1">
            <w:col w:w="11420"/>
          </w:cols>
          <w:pgMar w:left="240" w:top="746" w:right="2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193" w:lineRule="exact"/>
        <w:rPr>
          <w:sz w:val="20"/>
          <w:szCs w:val="20"/>
          <w:color w:val="auto"/>
        </w:rPr>
      </w:pPr>
    </w:p>
    <w:p>
      <w:pPr>
        <w:sectPr>
          <w:pgSz w:w="11900" w:h="16838" w:orient="portrait"/>
          <w:cols w:equalWidth="0" w:num="2">
            <w:col w:w="800" w:space="500"/>
            <w:col w:w="10120"/>
          </w:cols>
          <w:pgMar w:left="240" w:top="746" w:right="239" w:bottom="1440" w:gutter="0" w:footer="0" w:header="0"/>
          <w:type w:val="continuous"/>
        </w:sect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94" w:lineRule="exact"/>
        <w:rPr>
          <w:sz w:val="20"/>
          <w:szCs w:val="20"/>
          <w:color w:val="auto"/>
        </w:rPr>
      </w:pPr>
    </w:p>
    <w:p>
      <w:pPr>
        <w:sectPr>
          <w:pgSz w:w="11900" w:h="16838" w:orient="portrait"/>
          <w:cols w:equalWidth="0" w:num="2">
            <w:col w:w="860" w:space="440"/>
            <w:col w:w="10120"/>
          </w:cols>
          <w:pgMar w:left="240" w:top="746" w:right="239" w:bottom="1440" w:gutter="0" w:footer="0" w:header="0"/>
          <w:type w:val="continuous"/>
        </w:sectPr>
      </w:pPr>
    </w:p>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93" w:lineRule="exact"/>
        <w:rPr>
          <w:sz w:val="20"/>
          <w:szCs w:val="20"/>
          <w:color w:val="auto"/>
        </w:rPr>
      </w:pPr>
    </w:p>
    <w:p>
      <w:pPr>
        <w:sectPr>
          <w:pgSz w:w="11900" w:h="16838" w:orient="portrait"/>
          <w:cols w:equalWidth="0" w:num="2">
            <w:col w:w="860" w:space="440"/>
            <w:col w:w="10120"/>
          </w:cols>
          <w:pgMar w:left="240" w:top="746" w:right="239" w:bottom="1440" w:gutter="0" w:footer="0" w:header="0"/>
          <w:type w:val="continuous"/>
        </w:sectPr>
      </w:pPr>
    </w:p>
    <w:p>
      <w:pPr>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Labels Linkbase Document</w:t>
      </w:r>
    </w:p>
    <w:p>
      <w:pPr>
        <w:spacing w:after="0" w:line="193" w:lineRule="exact"/>
        <w:rPr>
          <w:sz w:val="20"/>
          <w:szCs w:val="20"/>
          <w:color w:val="auto"/>
        </w:rPr>
      </w:pPr>
    </w:p>
    <w:p>
      <w:pPr>
        <w:sectPr>
          <w:pgSz w:w="11900" w:h="16838" w:orient="portrait"/>
          <w:cols w:equalWidth="0" w:num="2">
            <w:col w:w="860" w:space="440"/>
            <w:col w:w="10120"/>
          </w:cols>
          <w:pgMar w:left="240" w:top="746" w:right="239" w:bottom="1440" w:gutter="0" w:footer="0" w:header="0"/>
          <w:type w:val="continuous"/>
        </w:sectPr>
      </w:pPr>
    </w:p>
    <w:p>
      <w:pPr>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94" w:lineRule="exact"/>
        <w:rPr>
          <w:sz w:val="20"/>
          <w:szCs w:val="20"/>
          <w:color w:val="auto"/>
        </w:rPr>
      </w:pPr>
    </w:p>
    <w:p>
      <w:pPr>
        <w:sectPr>
          <w:pgSz w:w="11900" w:h="16838" w:orient="portrait"/>
          <w:cols w:equalWidth="0" w:num="2">
            <w:col w:w="840" w:space="460"/>
            <w:col w:w="10120"/>
          </w:cols>
          <w:pgMar w:left="240" w:top="746" w:right="239" w:bottom="1440" w:gutter="0" w:footer="0" w:header="0"/>
          <w:type w:val="continuous"/>
        </w:sectPr>
      </w:pPr>
    </w:p>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43" w:lineRule="exact"/>
        <w:rPr>
          <w:sz w:val="20"/>
          <w:szCs w:val="20"/>
          <w:color w:val="auto"/>
        </w:rPr>
      </w:pPr>
    </w:p>
    <w:p>
      <w:pPr>
        <w:sectPr>
          <w:pgSz w:w="11900" w:h="16838" w:orient="portrait"/>
          <w:cols w:equalWidth="0" w:num="2">
            <w:col w:w="840" w:space="460"/>
            <w:col w:w="10120"/>
          </w:cols>
          <w:pgMar w:left="240" w:top="746" w:right="239" w:bottom="1440" w:gutter="0" w:footer="0" w:header="0"/>
          <w:type w:val="continuous"/>
        </w:sectPr>
      </w:pPr>
    </w:p>
    <w:p>
      <w:pPr>
        <w:spacing w:after="0"/>
        <w:rPr>
          <w:sz w:val="20"/>
          <w:szCs w:val="20"/>
          <w:color w:val="auto"/>
        </w:rPr>
      </w:pPr>
      <w:r>
        <w:rPr>
          <w:rFonts w:ascii="Arial" w:cs="Arial" w:eastAsia="Arial" w:hAnsi="Arial"/>
          <w:sz w:val="11"/>
          <w:szCs w:val="11"/>
          <w:color w:val="auto"/>
        </w:rPr>
        <w:t>________________________________</w:t>
      </w: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Previously filed</w:t>
      </w:r>
    </w:p>
    <w:p>
      <w:pPr>
        <w:spacing w:after="0" w:line="7" w:lineRule="exact"/>
        <w:rPr>
          <w:sz w:val="20"/>
          <w:szCs w:val="20"/>
          <w:color w:val="auto"/>
        </w:rPr>
      </w:pPr>
    </w:p>
    <w:p>
      <w:pPr>
        <w:ind w:left="660" w:right="240" w:hanging="652"/>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1"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10" w:lineRule="exact"/>
        <w:rPr>
          <w:rFonts w:ascii="Arial" w:cs="Arial" w:eastAsia="Arial" w:hAnsi="Arial"/>
          <w:sz w:val="18"/>
          <w:szCs w:val="18"/>
          <w:color w:val="auto"/>
        </w:rPr>
      </w:pPr>
    </w:p>
    <w:p>
      <w:pPr>
        <w:ind w:left="880" w:hanging="467"/>
        <w:spacing w:after="0"/>
        <w:tabs>
          <w:tab w:leader="none" w:pos="8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See the exhibits filed herewith.</w:t>
      </w:r>
    </w:p>
    <w:p>
      <w:pPr>
        <w:spacing w:after="0" w:line="210" w:lineRule="exact"/>
        <w:rPr>
          <w:rFonts w:ascii="Arial" w:cs="Arial" w:eastAsia="Arial" w:hAnsi="Arial"/>
          <w:sz w:val="18"/>
          <w:szCs w:val="18"/>
          <w:color w:val="auto"/>
        </w:rPr>
      </w:pPr>
    </w:p>
    <w:p>
      <w:pPr>
        <w:ind w:left="880" w:right="7620" w:hanging="467"/>
        <w:spacing w:after="0" w:line="277" w:lineRule="auto"/>
        <w:tabs>
          <w:tab w:leader="none" w:pos="8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Additional financial statement schedules None.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46" w:right="239" w:bottom="1440" w:gutter="0" w:footer="0" w:header="0"/>
          <w:type w:val="continuous"/>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AGNC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185" w:lineRule="exact"/>
        <w:rPr>
          <w:sz w:val="20"/>
          <w:szCs w:val="20"/>
          <w:color w:val="auto"/>
        </w:rPr>
      </w:pPr>
    </w:p>
    <w:p>
      <w:pPr>
        <w:ind w:left="5640"/>
        <w:spacing w:after="0"/>
        <w:tabs>
          <w:tab w:leader="none" w:pos="8060" w:val="left"/>
          <w:tab w:leader="none" w:pos="8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Gary D. Kain</w:t>
      </w:r>
    </w:p>
    <w:p>
      <w:pPr>
        <w:jc w:val="center"/>
        <w:ind w:left="6140"/>
        <w:spacing w:after="0" w:line="226" w:lineRule="auto"/>
        <w:rPr>
          <w:sz w:val="20"/>
          <w:szCs w:val="20"/>
          <w:color w:val="auto"/>
        </w:rPr>
      </w:pPr>
      <w:r>
        <w:rPr>
          <w:rFonts w:ascii="Arial" w:cs="Arial" w:eastAsia="Arial" w:hAnsi="Arial"/>
          <w:sz w:val="14"/>
          <w:szCs w:val="14"/>
          <w:b w:val="1"/>
          <w:bCs w:val="1"/>
          <w:color w:val="auto"/>
        </w:rPr>
        <w:t>Chief Executive Officer and</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Chief Investment Officer (Principal Executive Officer)</w:t>
      </w:r>
    </w:p>
    <w:p>
      <w:pPr>
        <w:spacing w:after="0" w:line="34"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May 3, 2019</w:t>
      </w:r>
    </w:p>
    <w:p>
      <w:pPr>
        <w:spacing w:after="0" w:line="387" w:lineRule="exact"/>
        <w:rPr>
          <w:sz w:val="20"/>
          <w:szCs w:val="20"/>
          <w:color w:val="auto"/>
        </w:rPr>
      </w:pPr>
    </w:p>
    <w:p>
      <w:pPr>
        <w:ind w:left="5640"/>
        <w:spacing w:after="0"/>
        <w:tabs>
          <w:tab w:leader="none" w:pos="7980" w:val="left"/>
          <w:tab w:leader="none" w:pos="8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Bernice E. Bell</w:t>
      </w:r>
    </w:p>
    <w:p>
      <w:pPr>
        <w:ind w:left="7980"/>
        <w:spacing w:after="0" w:line="226" w:lineRule="auto"/>
        <w:rPr>
          <w:sz w:val="20"/>
          <w:szCs w:val="20"/>
          <w:color w:val="auto"/>
        </w:rPr>
      </w:pPr>
      <w:r>
        <w:rPr>
          <w:rFonts w:ascii="Arial" w:cs="Arial" w:eastAsia="Arial" w:hAnsi="Arial"/>
          <w:sz w:val="14"/>
          <w:szCs w:val="14"/>
          <w:b w:val="1"/>
          <w:bCs w:val="1"/>
          <w:color w:val="auto"/>
        </w:rPr>
        <w:t>Senior Vice President and</w:t>
      </w:r>
    </w:p>
    <w:p>
      <w:pPr>
        <w:ind w:left="6420"/>
        <w:spacing w:after="0"/>
        <w:rPr>
          <w:sz w:val="20"/>
          <w:szCs w:val="20"/>
          <w:color w:val="auto"/>
        </w:rPr>
      </w:pPr>
      <w:r>
        <w:rPr>
          <w:rFonts w:ascii="Arial" w:cs="Arial" w:eastAsia="Arial" w:hAnsi="Arial"/>
          <w:sz w:val="13"/>
          <w:szCs w:val="13"/>
          <w:b w:val="1"/>
          <w:bCs w:val="1"/>
          <w:color w:val="auto"/>
        </w:rPr>
        <w:t>Chief Financial Officer (Principal Financial Officer and Principal Accounting</w:t>
      </w:r>
    </w:p>
    <w:p>
      <w:pPr>
        <w:ind w:left="8560"/>
        <w:spacing w:after="0"/>
        <w:rPr>
          <w:sz w:val="20"/>
          <w:szCs w:val="20"/>
          <w:color w:val="auto"/>
        </w:rPr>
      </w:pPr>
      <w:r>
        <w:rPr>
          <w:rFonts w:ascii="Arial" w:cs="Arial" w:eastAsia="Arial" w:hAnsi="Arial"/>
          <w:sz w:val="14"/>
          <w:szCs w:val="14"/>
          <w:b w:val="1"/>
          <w:bCs w:val="1"/>
          <w:color w:val="auto"/>
        </w:rPr>
        <w:t>Officer)</w:t>
      </w:r>
    </w:p>
    <w:p>
      <w:pPr>
        <w:spacing w:after="0" w:line="34"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May 3, 2019</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580" w:right="27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color w:val="auto"/>
        </w:rPr>
        <w:t>Exhibit 10</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AGNC INVESTMENT CORP.</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EQUITY AND INCENTIVE COMPENSATION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RESTRICTED STOCK UNIT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____________, 20__ (the “</w:t>
      </w:r>
      <w:r>
        <w:rPr>
          <w:rFonts w:ascii="Arial" w:cs="Arial" w:eastAsia="Arial" w:hAnsi="Arial"/>
          <w:sz w:val="19"/>
          <w:szCs w:val="19"/>
          <w:u w:val="single" w:color="auto"/>
          <w:color w:val="auto"/>
        </w:rPr>
        <w:t>Date</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of Grant</w:t>
      </w:r>
      <w:r>
        <w:rPr>
          <w:rFonts w:ascii="Arial" w:cs="Arial" w:eastAsia="Arial" w:hAnsi="Arial"/>
          <w:sz w:val="19"/>
          <w:szCs w:val="19"/>
          <w:color w:val="auto"/>
        </w:rPr>
        <w:t>”), by and between AGNC Investment Corp.,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__________ (“</w:t>
      </w:r>
      <w:r>
        <w:rPr>
          <w:rFonts w:ascii="Arial" w:cs="Arial" w:eastAsia="Arial" w:hAnsi="Arial"/>
          <w:sz w:val="19"/>
          <w:szCs w:val="19"/>
          <w:u w:val="single" w:color="auto"/>
          <w:color w:val="auto"/>
        </w:rPr>
        <w:t>Grantee</w:t>
      </w:r>
      <w:r>
        <w:rPr>
          <w:rFonts w:ascii="Arial" w:cs="Arial" w:eastAsia="Arial" w:hAnsi="Arial"/>
          <w:sz w:val="19"/>
          <w:szCs w:val="19"/>
          <w:color w:val="auto"/>
        </w:rPr>
        <w:t>”).</w:t>
      </w:r>
    </w:p>
    <w:p>
      <w:pPr>
        <w:spacing w:after="0" w:line="230" w:lineRule="exact"/>
        <w:rPr>
          <w:sz w:val="20"/>
          <w:szCs w:val="20"/>
          <w:color w:val="auto"/>
        </w:rPr>
      </w:pPr>
    </w:p>
    <w:p>
      <w:pPr>
        <w:ind w:left="660" w:right="140" w:hanging="328"/>
        <w:spacing w:after="0" w:line="254"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22"/>
          <w:szCs w:val="22"/>
          <w:b w:val="1"/>
          <w:bCs w:val="1"/>
          <w:color w:val="auto"/>
        </w:rPr>
        <w:t>Certain Definitions</w:t>
      </w:r>
      <w:r>
        <w:rPr>
          <w:rFonts w:ascii="Arial" w:cs="Arial" w:eastAsia="Arial" w:hAnsi="Arial"/>
          <w:sz w:val="22"/>
          <w:szCs w:val="22"/>
          <w:color w:val="auto"/>
        </w:rPr>
        <w:t>. Capitalized terms used, but not otherwise defined, in this Agreement will have the meanings given to</w:t>
      </w:r>
      <w:r>
        <w:rPr>
          <w:rFonts w:ascii="Arial" w:cs="Arial" w:eastAsia="Arial" w:hAnsi="Arial"/>
          <w:sz w:val="22"/>
          <w:szCs w:val="22"/>
          <w:b w:val="1"/>
          <w:bCs w:val="1"/>
          <w:color w:val="auto"/>
        </w:rPr>
        <w:t xml:space="preserve"> </w:t>
      </w:r>
      <w:r>
        <w:rPr>
          <w:rFonts w:ascii="Arial" w:cs="Arial" w:eastAsia="Arial" w:hAnsi="Arial"/>
          <w:sz w:val="22"/>
          <w:szCs w:val="22"/>
          <w:color w:val="auto"/>
        </w:rPr>
        <w:t>such terms in the Company’s 2016 Equity and Incentive Compensation Plan (the “</w:t>
      </w:r>
      <w:r>
        <w:rPr>
          <w:rFonts w:ascii="Arial" w:cs="Arial" w:eastAsia="Arial" w:hAnsi="Arial"/>
          <w:sz w:val="22"/>
          <w:szCs w:val="22"/>
          <w:u w:val="single" w:color="auto"/>
          <w:color w:val="auto"/>
        </w:rPr>
        <w:t>Plan</w:t>
      </w:r>
      <w:r>
        <w:rPr>
          <w:rFonts w:ascii="Arial" w:cs="Arial" w:eastAsia="Arial" w:hAnsi="Arial"/>
          <w:sz w:val="22"/>
          <w:szCs w:val="22"/>
          <w:color w:val="auto"/>
        </w:rPr>
        <w:t>”).</w:t>
      </w:r>
    </w:p>
    <w:p>
      <w:pPr>
        <w:spacing w:after="0" w:line="1" w:lineRule="exact"/>
        <w:rPr>
          <w:rFonts w:ascii="Arial" w:cs="Arial" w:eastAsia="Arial" w:hAnsi="Arial"/>
          <w:sz w:val="18"/>
          <w:szCs w:val="18"/>
          <w:color w:val="auto"/>
        </w:rPr>
      </w:pPr>
    </w:p>
    <w:p>
      <w:pPr>
        <w:ind w:right="100" w:firstLine="8"/>
        <w:spacing w:after="0" w:line="259" w:lineRule="auto"/>
        <w:tabs>
          <w:tab w:leader="none" w:pos="783" w:val="left"/>
        </w:tabs>
        <w:numPr>
          <w:ilvl w:val="0"/>
          <w:numId w:val="41"/>
        </w:numPr>
        <w:rPr>
          <w:rFonts w:ascii="Arial" w:cs="Arial" w:eastAsia="Arial" w:hAnsi="Arial"/>
          <w:sz w:val="17"/>
          <w:szCs w:val="17"/>
          <w:color w:val="auto"/>
        </w:rPr>
      </w:pPr>
      <w:r>
        <w:rPr>
          <w:rFonts w:ascii="Arial" w:cs="Arial" w:eastAsia="Arial" w:hAnsi="Arial"/>
          <w:sz w:val="21"/>
          <w:szCs w:val="21"/>
          <w:b w:val="1"/>
          <w:bCs w:val="1"/>
          <w:color w:val="auto"/>
        </w:rPr>
        <w:t>Grant of RSUs</w:t>
      </w:r>
      <w:r>
        <w:rPr>
          <w:rFonts w:ascii="Arial" w:cs="Arial" w:eastAsia="Arial" w:hAnsi="Arial"/>
          <w:sz w:val="21"/>
          <w:szCs w:val="21"/>
          <w:color w:val="auto"/>
        </w:rPr>
        <w:t>. Subject to and upon the terms, conditions and restrictions set forth in this Agreement and in the Plan,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hereby grants to Grantee _____ Restricted Stock Units (the “</w:t>
      </w:r>
      <w:r>
        <w:rPr>
          <w:rFonts w:ascii="Arial" w:cs="Arial" w:eastAsia="Arial" w:hAnsi="Arial"/>
          <w:sz w:val="21"/>
          <w:szCs w:val="21"/>
          <w:u w:val="single" w:color="auto"/>
          <w:color w:val="auto"/>
        </w:rPr>
        <w:t>RSUs</w:t>
      </w:r>
      <w:r>
        <w:rPr>
          <w:rFonts w:ascii="Arial" w:cs="Arial" w:eastAsia="Arial" w:hAnsi="Arial"/>
          <w:sz w:val="21"/>
          <w:szCs w:val="21"/>
          <w:color w:val="auto"/>
        </w:rPr>
        <w:t>”). Each RSU shall represent the right of Grantee to receive one share of Common Stock subject to and upon the terms and conditions of this Agreement.</w:t>
      </w:r>
    </w:p>
    <w:p>
      <w:pPr>
        <w:spacing w:after="0" w:line="1" w:lineRule="exact"/>
        <w:rPr>
          <w:rFonts w:ascii="Arial" w:cs="Arial" w:eastAsia="Arial" w:hAnsi="Arial"/>
          <w:sz w:val="17"/>
          <w:szCs w:val="17"/>
          <w:color w:val="auto"/>
        </w:rPr>
      </w:pPr>
    </w:p>
    <w:p>
      <w:pPr>
        <w:ind w:right="120" w:firstLine="8"/>
        <w:spacing w:after="0" w:line="247" w:lineRule="auto"/>
        <w:tabs>
          <w:tab w:leader="none" w:pos="783" w:val="left"/>
        </w:tabs>
        <w:numPr>
          <w:ilvl w:val="0"/>
          <w:numId w:val="41"/>
        </w:numPr>
        <w:rPr>
          <w:rFonts w:ascii="Arial" w:cs="Arial" w:eastAsia="Arial" w:hAnsi="Arial"/>
          <w:sz w:val="18"/>
          <w:szCs w:val="18"/>
          <w:color w:val="auto"/>
        </w:rPr>
      </w:pPr>
      <w:r>
        <w:rPr>
          <w:rFonts w:ascii="Arial" w:cs="Arial" w:eastAsia="Arial" w:hAnsi="Arial"/>
          <w:sz w:val="22"/>
          <w:szCs w:val="22"/>
          <w:b w:val="1"/>
          <w:bCs w:val="1"/>
          <w:color w:val="auto"/>
        </w:rPr>
        <w:t>Restrictions on Transfer of RSUs</w:t>
      </w:r>
      <w:r>
        <w:rPr>
          <w:rFonts w:ascii="Arial" w:cs="Arial" w:eastAsia="Arial" w:hAnsi="Arial"/>
          <w:sz w:val="22"/>
          <w:szCs w:val="22"/>
          <w:color w:val="auto"/>
        </w:rPr>
        <w:t>. Neither the RSUs evidenced hereby nor any interest therein or in the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underlying such RSUs shall be transferable prior to payment to Grantee pursuant to Section 7 hereof, other than as described in Section 15 of the Plan.</w:t>
      </w:r>
    </w:p>
    <w:p>
      <w:pPr>
        <w:spacing w:after="0" w:line="2" w:lineRule="exact"/>
        <w:rPr>
          <w:rFonts w:ascii="Arial" w:cs="Arial" w:eastAsia="Arial" w:hAnsi="Arial"/>
          <w:sz w:val="18"/>
          <w:szCs w:val="18"/>
          <w:color w:val="auto"/>
        </w:rPr>
      </w:pPr>
    </w:p>
    <w:p>
      <w:pPr>
        <w:jc w:val="both"/>
        <w:ind w:right="160" w:firstLine="8"/>
        <w:spacing w:after="0" w:line="246" w:lineRule="auto"/>
        <w:tabs>
          <w:tab w:leader="none" w:pos="783" w:val="left"/>
        </w:tabs>
        <w:numPr>
          <w:ilvl w:val="0"/>
          <w:numId w:val="41"/>
        </w:numPr>
        <w:rPr>
          <w:rFonts w:ascii="Arial" w:cs="Arial" w:eastAsia="Arial" w:hAnsi="Arial"/>
          <w:sz w:val="18"/>
          <w:szCs w:val="18"/>
          <w:color w:val="auto"/>
        </w:rPr>
      </w:pPr>
      <w:r>
        <w:rPr>
          <w:rFonts w:ascii="Arial" w:cs="Arial" w:eastAsia="Arial" w:hAnsi="Arial"/>
          <w:sz w:val="22"/>
          <w:szCs w:val="22"/>
          <w:b w:val="1"/>
          <w:bCs w:val="1"/>
          <w:color w:val="auto"/>
        </w:rPr>
        <w:t>Vesting</w:t>
      </w:r>
      <w:r>
        <w:rPr>
          <w:rFonts w:ascii="Arial" w:cs="Arial" w:eastAsia="Arial" w:hAnsi="Arial"/>
          <w:sz w:val="22"/>
          <w:szCs w:val="22"/>
          <w:color w:val="auto"/>
        </w:rPr>
        <w:t>. The RSUs covered by this Agreement shall become nonforfeitable and payable to Grantee pursuant to Section 7</w:t>
      </w:r>
      <w:r>
        <w:rPr>
          <w:rFonts w:ascii="Arial" w:cs="Arial" w:eastAsia="Arial" w:hAnsi="Arial"/>
          <w:sz w:val="22"/>
          <w:szCs w:val="22"/>
          <w:b w:val="1"/>
          <w:bCs w:val="1"/>
          <w:color w:val="auto"/>
        </w:rPr>
        <w:t xml:space="preserve"> </w:t>
      </w:r>
      <w:r>
        <w:rPr>
          <w:rFonts w:ascii="Arial" w:cs="Arial" w:eastAsia="Arial" w:hAnsi="Arial"/>
          <w:sz w:val="22"/>
          <w:szCs w:val="22"/>
          <w:color w:val="auto"/>
        </w:rPr>
        <w:t>hereof on the date that is the earlier of (i) 12 months following the Date of Grant or (ii) the next annual meeting of the Company’s stockholders, in each case only if Grantee remains in continuous service with the Company or any of its Subsidiaries (or any of their successors) as of each such date.</w:t>
      </w:r>
    </w:p>
    <w:p>
      <w:pPr>
        <w:spacing w:after="0" w:line="2" w:lineRule="exact"/>
        <w:rPr>
          <w:rFonts w:ascii="Arial" w:cs="Arial" w:eastAsia="Arial" w:hAnsi="Arial"/>
          <w:sz w:val="18"/>
          <w:szCs w:val="18"/>
          <w:color w:val="auto"/>
        </w:rPr>
      </w:pPr>
    </w:p>
    <w:p>
      <w:pPr>
        <w:ind w:right="80" w:firstLine="8"/>
        <w:spacing w:after="0" w:line="284" w:lineRule="auto"/>
        <w:tabs>
          <w:tab w:leader="none" w:pos="783" w:val="left"/>
        </w:tabs>
        <w:numPr>
          <w:ilvl w:val="0"/>
          <w:numId w:val="41"/>
        </w:numPr>
        <w:rPr>
          <w:rFonts w:ascii="Arial" w:cs="Arial" w:eastAsia="Arial" w:hAnsi="Arial"/>
          <w:sz w:val="16"/>
          <w:szCs w:val="16"/>
          <w:color w:val="auto"/>
        </w:rPr>
      </w:pPr>
      <w:r>
        <w:rPr>
          <w:rFonts w:ascii="Arial" w:cs="Arial" w:eastAsia="Arial" w:hAnsi="Arial"/>
          <w:sz w:val="19"/>
          <w:szCs w:val="19"/>
          <w:b w:val="1"/>
          <w:bCs w:val="1"/>
          <w:color w:val="auto"/>
        </w:rPr>
        <w:t>Accelerated Vesting</w:t>
      </w:r>
      <w:r>
        <w:rPr>
          <w:rFonts w:ascii="Arial" w:cs="Arial" w:eastAsia="Arial" w:hAnsi="Arial"/>
          <w:sz w:val="19"/>
          <w:szCs w:val="19"/>
          <w:color w:val="auto"/>
        </w:rPr>
        <w:t>. Notwithstanding the provisions of Section 4 hereof, all of the RSUs covered by this Agreement that</w:t>
      </w:r>
      <w:r>
        <w:rPr>
          <w:rFonts w:ascii="Arial" w:cs="Arial" w:eastAsia="Arial" w:hAnsi="Arial"/>
          <w:sz w:val="19"/>
          <w:szCs w:val="19"/>
          <w:b w:val="1"/>
          <w:bCs w:val="1"/>
          <w:color w:val="auto"/>
        </w:rPr>
        <w:t xml:space="preserve"> </w:t>
      </w:r>
      <w:r>
        <w:rPr>
          <w:rFonts w:ascii="Arial" w:cs="Arial" w:eastAsia="Arial" w:hAnsi="Arial"/>
          <w:sz w:val="19"/>
          <w:szCs w:val="19"/>
          <w:color w:val="auto"/>
        </w:rPr>
        <w:t>have not already vested and become nonforfeitable pursuant to Section 4 hereof will become nonforfeitable and payable to Grantee pursuant to Section 7 hereof earlier than the time provided in Section 4 hereof upon the occurrence of a Change of Control, but only if such event also constitutes a “change in the ownership,” “change in effective control” and/or a “change in the ownership of a substantial portion of assets” of the Company, as those terms are defined under Treasury Regulations Section 1.409A-3(i)(5).</w:t>
      </w:r>
    </w:p>
    <w:p>
      <w:pPr>
        <w:spacing w:after="0" w:line="3" w:lineRule="exact"/>
        <w:rPr>
          <w:rFonts w:ascii="Arial" w:cs="Arial" w:eastAsia="Arial" w:hAnsi="Arial"/>
          <w:sz w:val="16"/>
          <w:szCs w:val="16"/>
          <w:color w:val="auto"/>
        </w:rPr>
      </w:pPr>
    </w:p>
    <w:p>
      <w:pPr>
        <w:ind w:firstLine="8"/>
        <w:spacing w:after="0" w:line="286" w:lineRule="auto"/>
        <w:tabs>
          <w:tab w:leader="none" w:pos="783" w:val="left"/>
        </w:tabs>
        <w:numPr>
          <w:ilvl w:val="0"/>
          <w:numId w:val="41"/>
        </w:numPr>
        <w:rPr>
          <w:rFonts w:ascii="Arial" w:cs="Arial" w:eastAsia="Arial" w:hAnsi="Arial"/>
          <w:sz w:val="16"/>
          <w:szCs w:val="16"/>
          <w:color w:val="auto"/>
        </w:rPr>
      </w:pPr>
      <w:r>
        <w:rPr>
          <w:rFonts w:ascii="Arial" w:cs="Arial" w:eastAsia="Arial" w:hAnsi="Arial"/>
          <w:sz w:val="19"/>
          <w:szCs w:val="19"/>
          <w:b w:val="1"/>
          <w:bCs w:val="1"/>
          <w:color w:val="auto"/>
        </w:rPr>
        <w:t>Forfeiture</w:t>
      </w:r>
      <w:r>
        <w:rPr>
          <w:rFonts w:ascii="Arial" w:cs="Arial" w:eastAsia="Arial" w:hAnsi="Arial"/>
          <w:sz w:val="19"/>
          <w:szCs w:val="19"/>
          <w:color w:val="auto"/>
        </w:rPr>
        <w:t>. Except to the extent the RSUs covered by this Agreement have become nonforfeitable pursuant to Section 4 or</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5 hereof, the RSUs covered by this Agreement shall be forfeited automatically and without further notice, and shall no longer be considered covered by this Agreement, on the date of Grantee’s termination of continuous service.</w:t>
      </w:r>
    </w:p>
    <w:p>
      <w:pPr>
        <w:spacing w:after="0" w:line="2" w:lineRule="exact"/>
        <w:rPr>
          <w:rFonts w:ascii="Arial" w:cs="Arial" w:eastAsia="Arial" w:hAnsi="Arial"/>
          <w:sz w:val="16"/>
          <w:szCs w:val="16"/>
          <w:color w:val="auto"/>
        </w:rPr>
      </w:pPr>
    </w:p>
    <w:p>
      <w:pPr>
        <w:ind w:left="800" w:hanging="792"/>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22"/>
          <w:szCs w:val="22"/>
          <w:b w:val="1"/>
          <w:bCs w:val="1"/>
          <w:color w:val="auto"/>
        </w:rPr>
        <w:t>Form and Time of Payment of RSUs</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right="40" w:firstLine="656"/>
        <w:spacing w:after="0" w:line="286" w:lineRule="auto"/>
        <w:tabs>
          <w:tab w:leader="none" w:pos="1496" w:val="left"/>
        </w:tabs>
        <w:numPr>
          <w:ilvl w:val="2"/>
          <w:numId w:val="41"/>
        </w:numPr>
        <w:rPr>
          <w:rFonts w:ascii="Arial" w:cs="Arial" w:eastAsia="Arial" w:hAnsi="Arial"/>
          <w:sz w:val="16"/>
          <w:szCs w:val="16"/>
          <w:color w:val="auto"/>
        </w:rPr>
      </w:pPr>
      <w:r>
        <w:rPr>
          <w:rFonts w:ascii="Arial" w:cs="Arial" w:eastAsia="Arial" w:hAnsi="Arial"/>
          <w:sz w:val="19"/>
          <w:szCs w:val="19"/>
          <w:u w:val="single" w:color="auto"/>
          <w:color w:val="auto"/>
        </w:rPr>
        <w:t>Form</w:t>
      </w:r>
      <w:r>
        <w:rPr>
          <w:rFonts w:ascii="Arial" w:cs="Arial" w:eastAsia="Arial" w:hAnsi="Arial"/>
          <w:sz w:val="19"/>
          <w:szCs w:val="19"/>
          <w:color w:val="auto"/>
        </w:rPr>
        <w:t>. Payment in respect of the RSUs, after and to the extent they have become nonforfeitable pursuant to Section 4 or Section 5 hereof, shall be made in the form of shares of Common Stock. Payment shall only be made in whole shares of Common Stock; any fractional shares shall be paid to Grantee in cash. The Company’s obligations to Grantee with respect to the RSUs will be satisfied in full upon the issuance of the shares of Common Stock (or, with respect to fractional shares, upon the payment in cash) corresponding to such RSUs. Grantee agrees that he or she will cooperate with the Company to facilitate payment of the RSUs, which cooperation may include being required to maintain a brokerage account with the Plan’s recordkeeper.</w:t>
      </w:r>
    </w:p>
    <w:p>
      <w:pPr>
        <w:spacing w:after="0" w:line="4" w:lineRule="exact"/>
        <w:rPr>
          <w:rFonts w:ascii="Arial" w:cs="Arial" w:eastAsia="Arial" w:hAnsi="Arial"/>
          <w:sz w:val="16"/>
          <w:szCs w:val="16"/>
          <w:color w:val="auto"/>
        </w:rPr>
      </w:pPr>
    </w:p>
    <w:p>
      <w:pPr>
        <w:ind w:left="1300" w:hanging="644"/>
        <w:spacing w:after="0"/>
        <w:tabs>
          <w:tab w:leader="none" w:pos="1300" w:val="left"/>
        </w:tabs>
        <w:numPr>
          <w:ilvl w:val="2"/>
          <w:numId w:val="41"/>
        </w:numPr>
        <w:rPr>
          <w:rFonts w:ascii="Arial" w:cs="Arial" w:eastAsia="Arial" w:hAnsi="Arial"/>
          <w:sz w:val="18"/>
          <w:szCs w:val="18"/>
          <w:color w:val="auto"/>
        </w:rPr>
      </w:pPr>
      <w:r>
        <w:rPr>
          <w:rFonts w:ascii="Arial" w:cs="Arial" w:eastAsia="Arial" w:hAnsi="Arial"/>
          <w:sz w:val="22"/>
          <w:szCs w:val="22"/>
          <w:u w:val="single" w:color="auto"/>
          <w:color w:val="auto"/>
        </w:rPr>
        <w:t>Timing</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660" w:right="100" w:firstLine="645"/>
        <w:spacing w:after="0" w:line="259" w:lineRule="auto"/>
        <w:tabs>
          <w:tab w:leader="none" w:pos="2126" w:val="left"/>
        </w:tabs>
        <w:numPr>
          <w:ilvl w:val="3"/>
          <w:numId w:val="41"/>
        </w:numPr>
        <w:rPr>
          <w:rFonts w:ascii="Arial" w:cs="Arial" w:eastAsia="Arial" w:hAnsi="Arial"/>
          <w:sz w:val="18"/>
          <w:szCs w:val="18"/>
          <w:color w:val="auto"/>
        </w:rPr>
      </w:pPr>
      <w:r>
        <w:rPr>
          <w:rFonts w:ascii="Arial" w:cs="Arial" w:eastAsia="Arial" w:hAnsi="Arial"/>
          <w:sz w:val="22"/>
          <w:szCs w:val="22"/>
          <w:color w:val="auto"/>
        </w:rPr>
        <w:t>RSUs that become nonforfeitable pursuant to Section 4 hereof shall be paid within ten (10) days following the date on which such RSUs become nonforfeitable.</w:t>
      </w:r>
    </w:p>
    <w:p>
      <w:pPr>
        <w:sectPr>
          <w:pgSz w:w="11900" w:h="16838" w:orient="portrait"/>
          <w:cols w:equalWidth="0" w:num="1">
            <w:col w:w="11420"/>
          </w:cols>
          <w:pgMar w:left="240" w:top="591" w:right="239" w:bottom="1440" w:gutter="0" w:footer="0" w:header="0"/>
        </w:sectPr>
      </w:pPr>
    </w:p>
    <w:bookmarkStart w:id="50" w:name="page51"/>
    <w:bookmarkEnd w:id="50"/>
    <w:p>
      <w:pPr>
        <w:ind w:left="2180" w:hanging="875"/>
        <w:spacing w:after="0"/>
        <w:tabs>
          <w:tab w:leader="none" w:pos="2180" w:val="left"/>
        </w:tabs>
        <w:numPr>
          <w:ilvl w:val="0"/>
          <w:numId w:val="42"/>
        </w:numPr>
        <w:rPr>
          <w:rFonts w:ascii="Arial" w:cs="Arial" w:eastAsia="Arial" w:hAnsi="Arial"/>
          <w:sz w:val="16"/>
          <w:szCs w:val="16"/>
          <w:color w:val="auto"/>
        </w:rPr>
      </w:pPr>
      <w:r>
        <w:rPr>
          <w:rFonts w:ascii="Arial" w:cs="Arial" w:eastAsia="Arial" w:hAnsi="Arial"/>
          <w:sz w:val="19"/>
          <w:szCs w:val="19"/>
          <w:color w:val="auto"/>
        </w:rPr>
        <w:t>RSUs that become nonforfeitable pursuant to Section 5 hereof shall be paid on the date of such Change of</w:t>
      </w:r>
    </w:p>
    <w:p>
      <w:pPr>
        <w:spacing w:after="0" w:line="5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2"/>
          <w:szCs w:val="22"/>
          <w:color w:val="auto"/>
        </w:rPr>
        <w:t>Control.</w:t>
      </w:r>
    </w:p>
    <w:p>
      <w:pPr>
        <w:spacing w:after="0" w:line="17"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9"/>
          <w:szCs w:val="19"/>
          <w:color w:val="auto"/>
        </w:rPr>
        <w:t>Notwithstanding the foregoing, if Grantee made a permitted deferral election with respect to any RSUs covered by this</w:t>
      </w:r>
    </w:p>
    <w:p>
      <w:pPr>
        <w:spacing w:after="0" w:line="38" w:lineRule="exact"/>
        <w:rPr>
          <w:sz w:val="20"/>
          <w:szCs w:val="20"/>
          <w:color w:val="auto"/>
        </w:rPr>
      </w:pPr>
    </w:p>
    <w:p>
      <w:pPr>
        <w:ind w:right="60"/>
        <w:spacing w:after="0" w:line="262" w:lineRule="auto"/>
        <w:rPr>
          <w:sz w:val="20"/>
          <w:szCs w:val="20"/>
          <w:color w:val="auto"/>
        </w:rPr>
      </w:pPr>
      <w:r>
        <w:rPr>
          <w:rFonts w:ascii="Arial" w:cs="Arial" w:eastAsia="Arial" w:hAnsi="Arial"/>
          <w:sz w:val="21"/>
          <w:szCs w:val="21"/>
          <w:color w:val="auto"/>
        </w:rPr>
        <w:t xml:space="preserve">Agreement on or before December 31, 20__, such RSUs shall be paid at the time set forth in such deferral election. </w:t>
      </w:r>
      <w:r>
        <w:rPr>
          <w:rFonts w:ascii="Arial" w:cs="Arial" w:eastAsia="Arial" w:hAnsi="Arial"/>
          <w:sz w:val="21"/>
          <w:szCs w:val="21"/>
          <w:b w:val="1"/>
          <w:bCs w:val="1"/>
          <w:color w:val="auto"/>
        </w:rPr>
        <w:t>If Grantee did</w:t>
      </w:r>
      <w:r>
        <w:rPr>
          <w:rFonts w:ascii="Arial" w:cs="Arial" w:eastAsia="Arial" w:hAnsi="Arial"/>
          <w:sz w:val="21"/>
          <w:szCs w:val="21"/>
          <w:color w:val="auto"/>
        </w:rPr>
        <w:t xml:space="preserve"> </w:t>
      </w:r>
      <w:r>
        <w:rPr>
          <w:rFonts w:ascii="Arial" w:cs="Arial" w:eastAsia="Arial" w:hAnsi="Arial"/>
          <w:sz w:val="21"/>
          <w:szCs w:val="21"/>
          <w:b w:val="1"/>
          <w:bCs w:val="1"/>
          <w:color w:val="auto"/>
        </w:rPr>
        <w:t>not make a valid deferral election on or before December 31, 20__ ], he or she will be deemed to have elected not to defer payment of any RSUs. Under applicable tax rules, late deferral elections are not permitted.</w:t>
      </w:r>
    </w:p>
    <w:p>
      <w:pPr>
        <w:spacing w:after="0" w:line="171" w:lineRule="exact"/>
        <w:rPr>
          <w:sz w:val="20"/>
          <w:szCs w:val="20"/>
          <w:color w:val="auto"/>
        </w:rPr>
      </w:pPr>
    </w:p>
    <w:p>
      <w:pPr>
        <w:ind w:left="660" w:hanging="328"/>
        <w:spacing w:after="0"/>
        <w:tabs>
          <w:tab w:leader="none" w:pos="660" w:val="left"/>
        </w:tabs>
        <w:numPr>
          <w:ilvl w:val="1"/>
          <w:numId w:val="43"/>
        </w:numPr>
        <w:rPr>
          <w:rFonts w:ascii="Arial" w:cs="Arial" w:eastAsia="Arial" w:hAnsi="Arial"/>
          <w:sz w:val="18"/>
          <w:szCs w:val="18"/>
          <w:color w:val="auto"/>
        </w:rPr>
      </w:pPr>
      <w:r>
        <w:rPr>
          <w:rFonts w:ascii="Arial" w:cs="Arial" w:eastAsia="Arial" w:hAnsi="Arial"/>
          <w:sz w:val="22"/>
          <w:szCs w:val="22"/>
          <w:b w:val="1"/>
          <w:bCs w:val="1"/>
          <w:color w:val="auto"/>
        </w:rPr>
        <w:t>Dividend Equivalents; Other Rights</w:t>
      </w:r>
      <w:r>
        <w:rPr>
          <w:rFonts w:ascii="Arial" w:cs="Arial" w:eastAsia="Arial" w:hAnsi="Arial"/>
          <w:sz w:val="22"/>
          <w:szCs w:val="22"/>
          <w:color w:val="auto"/>
        </w:rPr>
        <w:t>.</w:t>
      </w:r>
    </w:p>
    <w:p>
      <w:pPr>
        <w:spacing w:after="0" w:line="27" w:lineRule="exact"/>
        <w:rPr>
          <w:rFonts w:ascii="Arial" w:cs="Arial" w:eastAsia="Arial" w:hAnsi="Arial"/>
          <w:sz w:val="18"/>
          <w:szCs w:val="18"/>
          <w:color w:val="auto"/>
        </w:rPr>
      </w:pPr>
    </w:p>
    <w:p>
      <w:pPr>
        <w:ind w:firstLine="656"/>
        <w:spacing w:after="0" w:line="283" w:lineRule="auto"/>
        <w:tabs>
          <w:tab w:leader="none" w:pos="1496" w:val="left"/>
        </w:tabs>
        <w:numPr>
          <w:ilvl w:val="2"/>
          <w:numId w:val="43"/>
        </w:numPr>
        <w:rPr>
          <w:rFonts w:ascii="Arial" w:cs="Arial" w:eastAsia="Arial" w:hAnsi="Arial"/>
          <w:sz w:val="16"/>
          <w:szCs w:val="16"/>
          <w:color w:val="auto"/>
        </w:rPr>
      </w:pPr>
      <w:r>
        <w:rPr>
          <w:rFonts w:ascii="Arial" w:cs="Arial" w:eastAsia="Arial" w:hAnsi="Arial"/>
          <w:sz w:val="19"/>
          <w:szCs w:val="19"/>
          <w:color w:val="auto"/>
        </w:rPr>
        <w:t>From and after the Date of Grant and until the earlier of (i) the time when the RSUs become nonforfeitable and are paid to Grantee in accordance with Section 7 hereof or (ii) the time when Grantee’s right to receive shares of Common Stock in payment of the RSUs is forfeited in accordance with Section 6 hereof, on the date that the Company pays a cash dividend (if any) or other cash distribution to holders of shares of Common Stock generally, Grantee shall be entitled to a number of additional RSUs determined by dividing (A) the product of (x) the dollar amount of such cash dividend or other cash distribution paid per share of Common Stock on such date and (y) the total number of RSUs (including dividend equivalents credited thereon) previously credited to Grantee pursuant to this Agreement as of such date, to the extent such RSUs have not become nonforfeitable and paid to Grantee in accordance with Section 7 hereof, by (B) the Market Value per Share on such date. Such dividend equivalents (if any) shall be subject to the same applicable terms and conditions (including vesting, forfeitability, dividend equivalents and payment) as apply to the RSUs as to which the dividend equivalents were credited.</w:t>
      </w:r>
    </w:p>
    <w:p>
      <w:pPr>
        <w:spacing w:after="0" w:line="3" w:lineRule="exact"/>
        <w:rPr>
          <w:rFonts w:ascii="Arial" w:cs="Arial" w:eastAsia="Arial" w:hAnsi="Arial"/>
          <w:sz w:val="16"/>
          <w:szCs w:val="16"/>
          <w:color w:val="auto"/>
        </w:rPr>
      </w:pPr>
    </w:p>
    <w:p>
      <w:pPr>
        <w:ind w:right="140" w:firstLine="656"/>
        <w:spacing w:after="0" w:line="247" w:lineRule="auto"/>
        <w:tabs>
          <w:tab w:leader="none" w:pos="1506" w:val="left"/>
        </w:tabs>
        <w:numPr>
          <w:ilvl w:val="2"/>
          <w:numId w:val="43"/>
        </w:numPr>
        <w:rPr>
          <w:rFonts w:ascii="Arial" w:cs="Arial" w:eastAsia="Arial" w:hAnsi="Arial"/>
          <w:sz w:val="18"/>
          <w:szCs w:val="18"/>
          <w:color w:val="auto"/>
        </w:rPr>
      </w:pPr>
      <w:r>
        <w:rPr>
          <w:rFonts w:ascii="Arial" w:cs="Arial" w:eastAsia="Arial" w:hAnsi="Arial"/>
          <w:sz w:val="22"/>
          <w:szCs w:val="22"/>
          <w:color w:val="auto"/>
        </w:rPr>
        <w:t>Grantee shall have no rights of ownership in the shares of Common Stock underlying the RSUs and no right to vote the shares of Common Stock underlying the RSUs until the date on which the shares of Common Stock underlying the RSUs are issued or transferred to Grantee pursuant to Section 7 hereof.</w:t>
      </w:r>
    </w:p>
    <w:p>
      <w:pPr>
        <w:spacing w:after="0" w:line="2" w:lineRule="exact"/>
        <w:rPr>
          <w:rFonts w:ascii="Arial" w:cs="Arial" w:eastAsia="Arial" w:hAnsi="Arial"/>
          <w:sz w:val="18"/>
          <w:szCs w:val="18"/>
          <w:color w:val="auto"/>
        </w:rPr>
      </w:pPr>
    </w:p>
    <w:p>
      <w:pPr>
        <w:jc w:val="both"/>
        <w:ind w:right="80" w:firstLine="656"/>
        <w:spacing w:after="0" w:line="246" w:lineRule="auto"/>
        <w:tabs>
          <w:tab w:leader="none" w:pos="1496" w:val="left"/>
        </w:tabs>
        <w:numPr>
          <w:ilvl w:val="2"/>
          <w:numId w:val="43"/>
        </w:numPr>
        <w:rPr>
          <w:rFonts w:ascii="Arial" w:cs="Arial" w:eastAsia="Arial" w:hAnsi="Arial"/>
          <w:sz w:val="18"/>
          <w:szCs w:val="18"/>
          <w:color w:val="auto"/>
        </w:rPr>
      </w:pPr>
      <w:r>
        <w:rPr>
          <w:rFonts w:ascii="Arial" w:cs="Arial" w:eastAsia="Arial" w:hAnsi="Arial"/>
          <w:sz w:val="22"/>
          <w:szCs w:val="22"/>
          <w:color w:val="auto"/>
        </w:rPr>
        <w:t>The obligations of the Company under this Agreement will be merely that of an unfunded and unsecured promise of the Company to deliver shares of Common Stock or pay cash in the future, and the rights of Grantee will be no greater than that of an unsecured general creditor. No assets of the Company will be held or set aside as security for the obligations of the Company under this Agreement.</w:t>
      </w:r>
    </w:p>
    <w:p>
      <w:pPr>
        <w:spacing w:after="0" w:line="2" w:lineRule="exact"/>
        <w:rPr>
          <w:rFonts w:ascii="Arial" w:cs="Arial" w:eastAsia="Arial" w:hAnsi="Arial"/>
          <w:sz w:val="18"/>
          <w:szCs w:val="18"/>
          <w:color w:val="auto"/>
        </w:rPr>
      </w:pPr>
    </w:p>
    <w:p>
      <w:pPr>
        <w:ind w:right="100" w:firstLine="8"/>
        <w:spacing w:after="0" w:line="283" w:lineRule="auto"/>
        <w:tabs>
          <w:tab w:leader="none" w:pos="783" w:val="left"/>
        </w:tabs>
        <w:numPr>
          <w:ilvl w:val="0"/>
          <w:numId w:val="44"/>
        </w:numPr>
        <w:rPr>
          <w:rFonts w:ascii="Arial" w:cs="Arial" w:eastAsia="Arial" w:hAnsi="Arial"/>
          <w:sz w:val="16"/>
          <w:szCs w:val="16"/>
          <w:color w:val="auto"/>
        </w:rPr>
      </w:pPr>
      <w:r>
        <w:rPr>
          <w:rFonts w:ascii="Arial" w:cs="Arial" w:eastAsia="Arial" w:hAnsi="Arial"/>
          <w:sz w:val="19"/>
          <w:szCs w:val="19"/>
          <w:b w:val="1"/>
          <w:bCs w:val="1"/>
          <w:color w:val="auto"/>
        </w:rPr>
        <w:t>No Right to Future Awards or Employment</w:t>
      </w:r>
      <w:r>
        <w:rPr>
          <w:rFonts w:ascii="Arial" w:cs="Arial" w:eastAsia="Arial" w:hAnsi="Arial"/>
          <w:sz w:val="19"/>
          <w:szCs w:val="19"/>
          <w:color w:val="auto"/>
        </w:rPr>
        <w:t>. The grant of the RSUs under this Agreement to Grantee is a voluntary,</w:t>
      </w:r>
      <w:r>
        <w:rPr>
          <w:rFonts w:ascii="Arial" w:cs="Arial" w:eastAsia="Arial" w:hAnsi="Arial"/>
          <w:sz w:val="19"/>
          <w:szCs w:val="19"/>
          <w:b w:val="1"/>
          <w:bCs w:val="1"/>
          <w:color w:val="auto"/>
        </w:rPr>
        <w:t xml:space="preserve"> </w:t>
      </w:r>
      <w:r>
        <w:rPr>
          <w:rFonts w:ascii="Arial" w:cs="Arial" w:eastAsia="Arial" w:hAnsi="Arial"/>
          <w:sz w:val="19"/>
          <w:szCs w:val="19"/>
          <w:color w:val="auto"/>
        </w:rPr>
        <w:t>discretionary award being made on a one-time basis and it does not constitute a commitment to make any future awards. The grant of the RSUs and any payments made hereunder will not be considered salary or other compensation for purposes of any severance pay or similar allowance, except as otherwise required by law. Nothing contained in this Agreement shall confer upon Grantee any right to remain in continuous service with the Company or any of its Subsidiaries, nor limit or affect in any manner the right of the Company or any of its Subsidiaries to terminate the continuous service or adjust the compensation of Grantee. Neither this Agreement nor any other action taken in connection herewith shall constitute or be evidence of any agreement or understanding, express or implied, that Grantee is an employee of the Company or any subsidiary of the Company.</w:t>
      </w:r>
    </w:p>
    <w:p>
      <w:pPr>
        <w:spacing w:after="0" w:line="5" w:lineRule="exact"/>
        <w:rPr>
          <w:rFonts w:ascii="Arial" w:cs="Arial" w:eastAsia="Arial" w:hAnsi="Arial"/>
          <w:sz w:val="16"/>
          <w:szCs w:val="16"/>
          <w:color w:val="auto"/>
        </w:rPr>
      </w:pPr>
    </w:p>
    <w:p>
      <w:pPr>
        <w:ind w:right="140" w:firstLine="8"/>
        <w:spacing w:after="0" w:line="261" w:lineRule="auto"/>
        <w:tabs>
          <w:tab w:leader="none" w:pos="873" w:val="left"/>
        </w:tabs>
        <w:numPr>
          <w:ilvl w:val="0"/>
          <w:numId w:val="44"/>
        </w:numPr>
        <w:rPr>
          <w:rFonts w:ascii="Arial" w:cs="Arial" w:eastAsia="Arial" w:hAnsi="Arial"/>
          <w:sz w:val="17"/>
          <w:szCs w:val="17"/>
          <w:color w:val="auto"/>
        </w:rPr>
      </w:pPr>
      <w:r>
        <w:rPr>
          <w:rFonts w:ascii="Arial" w:cs="Arial" w:eastAsia="Arial" w:hAnsi="Arial"/>
          <w:sz w:val="21"/>
          <w:szCs w:val="21"/>
          <w:b w:val="1"/>
          <w:bCs w:val="1"/>
          <w:color w:val="auto"/>
        </w:rPr>
        <w:t>Adjustments</w:t>
      </w:r>
      <w:r>
        <w:rPr>
          <w:rFonts w:ascii="Arial" w:cs="Arial" w:eastAsia="Arial" w:hAnsi="Arial"/>
          <w:sz w:val="21"/>
          <w:szCs w:val="21"/>
          <w:color w:val="auto"/>
        </w:rPr>
        <w:t>. The number of shares of Common Stock issuable for each RSU and the other terms and conditions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grant evidenced by this Agreement are subject to adjustment as provided in Section 11 of the Plan.</w:t>
      </w:r>
    </w:p>
    <w:p>
      <w:pPr>
        <w:spacing w:after="0" w:line="1" w:lineRule="exact"/>
        <w:rPr>
          <w:rFonts w:ascii="Arial" w:cs="Arial" w:eastAsia="Arial" w:hAnsi="Arial"/>
          <w:sz w:val="17"/>
          <w:szCs w:val="17"/>
          <w:color w:val="auto"/>
        </w:rPr>
      </w:pPr>
    </w:p>
    <w:p>
      <w:pPr>
        <w:ind w:right="180" w:firstLine="8"/>
        <w:spacing w:after="0" w:line="247" w:lineRule="auto"/>
        <w:tabs>
          <w:tab w:leader="none" w:pos="866" w:val="left"/>
        </w:tabs>
        <w:numPr>
          <w:ilvl w:val="0"/>
          <w:numId w:val="44"/>
        </w:numPr>
        <w:rPr>
          <w:rFonts w:ascii="Arial" w:cs="Arial" w:eastAsia="Arial" w:hAnsi="Arial"/>
          <w:sz w:val="18"/>
          <w:szCs w:val="18"/>
          <w:color w:val="auto"/>
        </w:rPr>
      </w:pPr>
      <w:r>
        <w:rPr>
          <w:rFonts w:ascii="Arial" w:cs="Arial" w:eastAsia="Arial" w:hAnsi="Arial"/>
          <w:sz w:val="22"/>
          <w:szCs w:val="22"/>
          <w:b w:val="1"/>
          <w:bCs w:val="1"/>
          <w:color w:val="auto"/>
        </w:rPr>
        <w:t>Withholding Taxes</w:t>
      </w:r>
      <w:r>
        <w:rPr>
          <w:rFonts w:ascii="Arial" w:cs="Arial" w:eastAsia="Arial" w:hAnsi="Arial"/>
          <w:sz w:val="22"/>
          <w:szCs w:val="22"/>
          <w:color w:val="auto"/>
        </w:rPr>
        <w:t>. By signing this Agreement, Grantee represents that he or she has reviewed with his or her own tax</w:t>
      </w:r>
      <w:r>
        <w:rPr>
          <w:rFonts w:ascii="Arial" w:cs="Arial" w:eastAsia="Arial" w:hAnsi="Arial"/>
          <w:sz w:val="22"/>
          <w:szCs w:val="22"/>
          <w:b w:val="1"/>
          <w:bCs w:val="1"/>
          <w:color w:val="auto"/>
        </w:rPr>
        <w:t xml:space="preserve"> </w:t>
      </w:r>
      <w:r>
        <w:rPr>
          <w:rFonts w:ascii="Arial" w:cs="Arial" w:eastAsia="Arial" w:hAnsi="Arial"/>
          <w:sz w:val="22"/>
          <w:szCs w:val="22"/>
          <w:color w:val="auto"/>
        </w:rPr>
        <w:t>advisors the federal, state, local and foreign tax consequences of the transactions contemplated by this Agreement and that he or she is relying solely on such advisors and not on any statements or representations of the Company or any of its agents. Grantee understands and agrees that he or she (and not the Company) shall be responsible for any tax liability that may arise as a result of the</w:t>
      </w:r>
    </w:p>
    <w:p>
      <w:pPr>
        <w:sectPr>
          <w:pgSz w:w="11900" w:h="16838" w:orient="portrait"/>
          <w:cols w:equalWidth="0" w:num="1">
            <w:col w:w="11400"/>
          </w:cols>
          <w:pgMar w:left="240" w:top="591" w:right="259" w:bottom="1440" w:gutter="0" w:footer="0" w:header="0"/>
        </w:sectPr>
      </w:pPr>
    </w:p>
    <w:bookmarkStart w:id="51" w:name="page52"/>
    <w:bookmarkEnd w:id="51"/>
    <w:p>
      <w:pPr>
        <w:spacing w:after="0"/>
        <w:rPr>
          <w:sz w:val="20"/>
          <w:szCs w:val="20"/>
          <w:color w:val="auto"/>
        </w:rPr>
      </w:pPr>
      <w:r>
        <w:rPr>
          <w:rFonts w:ascii="Arial" w:cs="Arial" w:eastAsia="Arial" w:hAnsi="Arial"/>
          <w:sz w:val="22"/>
          <w:szCs w:val="22"/>
          <w:color w:val="auto"/>
        </w:rPr>
        <w:t>transaction contemplated by this Agreement, to the extent Grantee does not become an employee of the Company.</w:t>
      </w:r>
    </w:p>
    <w:p>
      <w:pPr>
        <w:spacing w:after="0" w:line="22" w:lineRule="exact"/>
        <w:rPr>
          <w:sz w:val="20"/>
          <w:szCs w:val="20"/>
          <w:color w:val="auto"/>
        </w:rPr>
      </w:pPr>
    </w:p>
    <w:p>
      <w:pPr>
        <w:ind w:right="60" w:firstLine="8"/>
        <w:spacing w:after="0" w:line="246" w:lineRule="auto"/>
        <w:tabs>
          <w:tab w:leader="none" w:pos="873" w:val="left"/>
        </w:tabs>
        <w:numPr>
          <w:ilvl w:val="0"/>
          <w:numId w:val="45"/>
        </w:numPr>
        <w:rPr>
          <w:rFonts w:ascii="Arial" w:cs="Arial" w:eastAsia="Arial" w:hAnsi="Arial"/>
          <w:sz w:val="18"/>
          <w:szCs w:val="18"/>
          <w:color w:val="auto"/>
        </w:rPr>
      </w:pPr>
      <w:r>
        <w:rPr>
          <w:rFonts w:ascii="Arial" w:cs="Arial" w:eastAsia="Arial" w:hAnsi="Arial"/>
          <w:sz w:val="22"/>
          <w:szCs w:val="22"/>
          <w:b w:val="1"/>
          <w:bCs w:val="1"/>
          <w:color w:val="auto"/>
        </w:rPr>
        <w:t>Compliance With Law</w:t>
      </w:r>
      <w:r>
        <w:rPr>
          <w:rFonts w:ascii="Arial" w:cs="Arial" w:eastAsia="Arial" w:hAnsi="Arial"/>
          <w:sz w:val="22"/>
          <w:szCs w:val="22"/>
          <w:color w:val="auto"/>
        </w:rPr>
        <w:t>. The Company shall make reasonable efforts to comply with all applicable federal and state</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laws; provided, however, notwithstanding any other provision of the Plan and this Agreement, the Company shall not be obligated to issue any of the shares of Common Stock pursuant to this Agreement if the issuance thereof would result in a violation of any such law.</w:t>
      </w:r>
    </w:p>
    <w:p>
      <w:pPr>
        <w:spacing w:after="0" w:line="2" w:lineRule="exact"/>
        <w:rPr>
          <w:rFonts w:ascii="Arial" w:cs="Arial" w:eastAsia="Arial" w:hAnsi="Arial"/>
          <w:sz w:val="18"/>
          <w:szCs w:val="18"/>
          <w:color w:val="auto"/>
        </w:rPr>
      </w:pPr>
    </w:p>
    <w:p>
      <w:pPr>
        <w:ind w:right="120" w:firstLine="8"/>
        <w:spacing w:after="0" w:line="285" w:lineRule="auto"/>
        <w:tabs>
          <w:tab w:leader="none" w:pos="873" w:val="left"/>
        </w:tabs>
        <w:numPr>
          <w:ilvl w:val="0"/>
          <w:numId w:val="45"/>
        </w:numPr>
        <w:rPr>
          <w:rFonts w:ascii="Arial" w:cs="Arial" w:eastAsia="Arial" w:hAnsi="Arial"/>
          <w:sz w:val="16"/>
          <w:szCs w:val="16"/>
          <w:color w:val="auto"/>
        </w:rPr>
      </w:pPr>
      <w:r>
        <w:rPr>
          <w:rFonts w:ascii="Arial" w:cs="Arial" w:eastAsia="Arial" w:hAnsi="Arial"/>
          <w:sz w:val="19"/>
          <w:szCs w:val="19"/>
          <w:b w:val="1"/>
          <w:bCs w:val="1"/>
          <w:color w:val="auto"/>
        </w:rPr>
        <w:t>Amendments</w:t>
      </w:r>
      <w:r>
        <w:rPr>
          <w:rFonts w:ascii="Arial" w:cs="Arial" w:eastAsia="Arial" w:hAnsi="Arial"/>
          <w:sz w:val="19"/>
          <w:szCs w:val="19"/>
          <w:color w:val="auto"/>
        </w:rPr>
        <w:t>. Any amendment to the Plan shall be deemed to be an amendment to this Agreement to the extent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is applicable hereto; provided, however, that (a) no amendment shall adversely affect the rights of Grantee under this Agreement without Grantee’s written consent and (b) Grantee’s consent shall not be required to an amendment that is deemed necessary by the Company to ensure exemption from or compliance with Section 409A of the Code.</w:t>
      </w:r>
    </w:p>
    <w:p>
      <w:pPr>
        <w:spacing w:after="0" w:line="2" w:lineRule="exact"/>
        <w:rPr>
          <w:rFonts w:ascii="Arial" w:cs="Arial" w:eastAsia="Arial" w:hAnsi="Arial"/>
          <w:sz w:val="16"/>
          <w:szCs w:val="16"/>
          <w:color w:val="auto"/>
        </w:rPr>
      </w:pPr>
    </w:p>
    <w:p>
      <w:pPr>
        <w:ind w:right="120" w:firstLine="8"/>
        <w:spacing w:after="0" w:line="247" w:lineRule="auto"/>
        <w:tabs>
          <w:tab w:leader="none" w:pos="873" w:val="left"/>
        </w:tabs>
        <w:numPr>
          <w:ilvl w:val="0"/>
          <w:numId w:val="45"/>
        </w:numPr>
        <w:rPr>
          <w:rFonts w:ascii="Arial" w:cs="Arial" w:eastAsia="Arial" w:hAnsi="Arial"/>
          <w:sz w:val="18"/>
          <w:szCs w:val="18"/>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In the event that one or more of the provisions of this Agreement shall be invalidated for any reason by a</w:t>
      </w:r>
      <w:r>
        <w:rPr>
          <w:rFonts w:ascii="Arial" w:cs="Arial" w:eastAsia="Arial" w:hAnsi="Arial"/>
          <w:sz w:val="22"/>
          <w:szCs w:val="22"/>
          <w:b w:val="1"/>
          <w:bCs w:val="1"/>
          <w:color w:val="auto"/>
        </w:rPr>
        <w:t xml:space="preserve"> </w:t>
      </w:r>
      <w:r>
        <w:rPr>
          <w:rFonts w:ascii="Arial" w:cs="Arial" w:eastAsia="Arial" w:hAnsi="Arial"/>
          <w:sz w:val="22"/>
          <w:szCs w:val="22"/>
          <w:color w:val="auto"/>
        </w:rPr>
        <w:t>court of competent jurisdiction, any provision so invalidated shall be deemed to be separable from the other provisions hereof, and the remaining provisions hereof shall continue to be valid and fully enforceable.</w:t>
      </w:r>
    </w:p>
    <w:p>
      <w:pPr>
        <w:spacing w:after="0" w:line="2" w:lineRule="exact"/>
        <w:rPr>
          <w:rFonts w:ascii="Arial" w:cs="Arial" w:eastAsia="Arial" w:hAnsi="Arial"/>
          <w:sz w:val="18"/>
          <w:szCs w:val="18"/>
          <w:color w:val="auto"/>
        </w:rPr>
      </w:pPr>
    </w:p>
    <w:p>
      <w:pPr>
        <w:ind w:right="100" w:firstLine="8"/>
        <w:spacing w:after="0" w:line="249" w:lineRule="auto"/>
        <w:tabs>
          <w:tab w:leader="none" w:pos="873" w:val="left"/>
        </w:tabs>
        <w:numPr>
          <w:ilvl w:val="0"/>
          <w:numId w:val="45"/>
        </w:numPr>
        <w:rPr>
          <w:rFonts w:ascii="Arial" w:cs="Arial" w:eastAsia="Arial" w:hAnsi="Arial"/>
          <w:sz w:val="18"/>
          <w:szCs w:val="18"/>
          <w:color w:val="auto"/>
        </w:rPr>
      </w:pPr>
      <w:r>
        <w:rPr>
          <w:rFonts w:ascii="Arial" w:cs="Arial" w:eastAsia="Arial" w:hAnsi="Arial"/>
          <w:sz w:val="22"/>
          <w:szCs w:val="22"/>
          <w:b w:val="1"/>
          <w:bCs w:val="1"/>
          <w:color w:val="auto"/>
        </w:rPr>
        <w:t>Relation to Plan</w:t>
      </w:r>
      <w:r>
        <w:rPr>
          <w:rFonts w:ascii="Arial" w:cs="Arial" w:eastAsia="Arial" w:hAnsi="Arial"/>
          <w:sz w:val="22"/>
          <w:szCs w:val="22"/>
          <w:color w:val="auto"/>
        </w:rPr>
        <w:t>. This Agreement is subject to the terms and conditions of the Plan. To the extent not expressly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in this Agreement, the terms of the Plan shall govern.</w:t>
      </w:r>
    </w:p>
    <w:p>
      <w:pPr>
        <w:spacing w:after="0" w:line="1" w:lineRule="exact"/>
        <w:rPr>
          <w:rFonts w:ascii="Arial" w:cs="Arial" w:eastAsia="Arial" w:hAnsi="Arial"/>
          <w:sz w:val="18"/>
          <w:szCs w:val="18"/>
          <w:color w:val="auto"/>
        </w:rPr>
      </w:pPr>
    </w:p>
    <w:p>
      <w:pPr>
        <w:ind w:firstLine="8"/>
        <w:spacing w:after="0" w:line="289" w:lineRule="auto"/>
        <w:tabs>
          <w:tab w:leader="none" w:pos="873" w:val="left"/>
        </w:tabs>
        <w:numPr>
          <w:ilvl w:val="0"/>
          <w:numId w:val="45"/>
        </w:numPr>
        <w:rPr>
          <w:rFonts w:ascii="Arial" w:cs="Arial" w:eastAsia="Arial" w:hAnsi="Arial"/>
          <w:sz w:val="16"/>
          <w:szCs w:val="16"/>
          <w:color w:val="auto"/>
        </w:rPr>
      </w:pPr>
      <w:r>
        <w:rPr>
          <w:rFonts w:ascii="Arial" w:cs="Arial" w:eastAsia="Arial" w:hAnsi="Arial"/>
          <w:sz w:val="19"/>
          <w:szCs w:val="19"/>
          <w:b w:val="1"/>
          <w:bCs w:val="1"/>
          <w:color w:val="auto"/>
        </w:rPr>
        <w:t>Acknowledgement</w:t>
      </w:r>
      <w:r>
        <w:rPr>
          <w:rFonts w:ascii="Arial" w:cs="Arial" w:eastAsia="Arial" w:hAnsi="Arial"/>
          <w:sz w:val="19"/>
          <w:szCs w:val="19"/>
          <w:color w:val="auto"/>
        </w:rPr>
        <w:t>. Grantee acknowledges that Grantee (a) has received a copy of the Plan, (b) has had an opportunity to</w:t>
      </w:r>
      <w:r>
        <w:rPr>
          <w:rFonts w:ascii="Arial" w:cs="Arial" w:eastAsia="Arial" w:hAnsi="Arial"/>
          <w:sz w:val="19"/>
          <w:szCs w:val="19"/>
          <w:b w:val="1"/>
          <w:bCs w:val="1"/>
          <w:color w:val="auto"/>
        </w:rPr>
        <w:t xml:space="preserve"> </w:t>
      </w:r>
      <w:r>
        <w:rPr>
          <w:rFonts w:ascii="Arial" w:cs="Arial" w:eastAsia="Arial" w:hAnsi="Arial"/>
          <w:sz w:val="19"/>
          <w:szCs w:val="19"/>
          <w:color w:val="auto"/>
        </w:rPr>
        <w:t>review the terms of this Agreement and the Plan, (c) understands the terms and conditions of this Agreement and the Plan and</w:t>
      </w:r>
    </w:p>
    <w:p>
      <w:pPr>
        <w:spacing w:after="0"/>
        <w:rPr>
          <w:rFonts w:ascii="Arial" w:cs="Arial" w:eastAsia="Arial" w:hAnsi="Arial"/>
          <w:sz w:val="16"/>
          <w:szCs w:val="16"/>
          <w:color w:val="auto"/>
        </w:rPr>
      </w:pPr>
      <w:r>
        <w:rPr>
          <w:rFonts w:ascii="Arial" w:cs="Arial" w:eastAsia="Arial" w:hAnsi="Arial"/>
          <w:sz w:val="22"/>
          <w:szCs w:val="22"/>
          <w:color w:val="auto"/>
        </w:rPr>
        <w:t>(d) agrees to such terms and conditions.</w:t>
      </w:r>
    </w:p>
    <w:p>
      <w:pPr>
        <w:spacing w:after="0" w:line="3" w:lineRule="exact"/>
        <w:rPr>
          <w:rFonts w:ascii="Arial" w:cs="Arial" w:eastAsia="Arial" w:hAnsi="Arial"/>
          <w:sz w:val="16"/>
          <w:szCs w:val="16"/>
          <w:color w:val="auto"/>
        </w:rPr>
      </w:pPr>
    </w:p>
    <w:p>
      <w:pPr>
        <w:ind w:firstLine="8"/>
        <w:spacing w:after="0" w:line="247" w:lineRule="auto"/>
        <w:tabs>
          <w:tab w:leader="none" w:pos="873" w:val="left"/>
        </w:tabs>
        <w:numPr>
          <w:ilvl w:val="0"/>
          <w:numId w:val="45"/>
        </w:numPr>
        <w:rPr>
          <w:rFonts w:ascii="Arial" w:cs="Arial" w:eastAsia="Arial" w:hAnsi="Arial"/>
          <w:sz w:val="18"/>
          <w:szCs w:val="18"/>
          <w:color w:val="auto"/>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Without limiting Section 3 hereof, the provisions of this Agreement shall inure to the benefit of,</w:t>
      </w:r>
      <w:r>
        <w:rPr>
          <w:rFonts w:ascii="Arial" w:cs="Arial" w:eastAsia="Arial" w:hAnsi="Arial"/>
          <w:sz w:val="22"/>
          <w:szCs w:val="22"/>
          <w:b w:val="1"/>
          <w:bCs w:val="1"/>
          <w:color w:val="auto"/>
        </w:rPr>
        <w:t xml:space="preserve"> </w:t>
      </w:r>
      <w:r>
        <w:rPr>
          <w:rFonts w:ascii="Arial" w:cs="Arial" w:eastAsia="Arial" w:hAnsi="Arial"/>
          <w:sz w:val="22"/>
          <w:szCs w:val="22"/>
          <w:color w:val="auto"/>
        </w:rPr>
        <w:t>and be binding upon, the successors, administrators, heirs, legal representatives and assigns of Grantee, and the successors and assigns of the Company.</w:t>
      </w:r>
    </w:p>
    <w:p>
      <w:pPr>
        <w:spacing w:after="0" w:line="2" w:lineRule="exact"/>
        <w:rPr>
          <w:rFonts w:ascii="Arial" w:cs="Arial" w:eastAsia="Arial" w:hAnsi="Arial"/>
          <w:sz w:val="18"/>
          <w:szCs w:val="18"/>
          <w:color w:val="auto"/>
        </w:rPr>
      </w:pPr>
    </w:p>
    <w:p>
      <w:pPr>
        <w:ind w:right="40" w:firstLine="8"/>
        <w:spacing w:after="0" w:line="247" w:lineRule="auto"/>
        <w:tabs>
          <w:tab w:leader="none" w:pos="873" w:val="left"/>
        </w:tabs>
        <w:numPr>
          <w:ilvl w:val="0"/>
          <w:numId w:val="45"/>
        </w:numPr>
        <w:rPr>
          <w:rFonts w:ascii="Arial" w:cs="Arial" w:eastAsia="Arial" w:hAnsi="Arial"/>
          <w:sz w:val="18"/>
          <w:szCs w:val="18"/>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This Agreement shall be governed by and construed in accordance with the internal substantive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State of Delaware, without giving effect to any principle of law that would result in the application of the law of any other jurisdiction.</w:t>
      </w:r>
    </w:p>
    <w:p>
      <w:pPr>
        <w:spacing w:after="0" w:line="2" w:lineRule="exact"/>
        <w:rPr>
          <w:rFonts w:ascii="Arial" w:cs="Arial" w:eastAsia="Arial" w:hAnsi="Arial"/>
          <w:sz w:val="18"/>
          <w:szCs w:val="18"/>
          <w:color w:val="auto"/>
        </w:rPr>
      </w:pPr>
    </w:p>
    <w:p>
      <w:pPr>
        <w:ind w:right="160" w:firstLine="8"/>
        <w:spacing w:after="0" w:line="256" w:lineRule="auto"/>
        <w:tabs>
          <w:tab w:leader="none" w:pos="873" w:val="left"/>
        </w:tabs>
        <w:numPr>
          <w:ilvl w:val="0"/>
          <w:numId w:val="45"/>
        </w:numPr>
        <w:rPr>
          <w:rFonts w:ascii="Arial" w:cs="Arial" w:eastAsia="Arial" w:hAnsi="Arial"/>
          <w:sz w:val="17"/>
          <w:szCs w:val="17"/>
          <w:color w:val="auto"/>
        </w:rPr>
      </w:pPr>
      <w:r>
        <w:rPr>
          <w:rFonts w:ascii="Arial" w:cs="Arial" w:eastAsia="Arial" w:hAnsi="Arial"/>
          <w:sz w:val="21"/>
          <w:szCs w:val="21"/>
          <w:b w:val="1"/>
          <w:bCs w:val="1"/>
          <w:color w:val="auto"/>
        </w:rPr>
        <w:t>Notices</w:t>
      </w:r>
      <w:r>
        <w:rPr>
          <w:rFonts w:ascii="Arial" w:cs="Arial" w:eastAsia="Arial" w:hAnsi="Arial"/>
          <w:sz w:val="21"/>
          <w:szCs w:val="21"/>
          <w:color w:val="auto"/>
        </w:rPr>
        <w:t>. Any notice to the Company provided for herein shall be in writing (including electronically) to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marked Attention: General Counsel, and any notice to Grantee shall be addressed to Grantee at Grantee’s address on file with the Company at the time of such notice. Except as otherwise provided herein, any written notice shall be deemed to be duly given if and when delivered personally or deposited in the United States mail, postage and fees prepaid, and addressed as aforesaid. Any party may change the address to which notices are to be given hereunder by written notice to the other party as herein specified (provided that for this purpose any mailed notice shall be deemed given on the third business day following deposit of the same in the United States mail).</w:t>
      </w:r>
    </w:p>
    <w:p>
      <w:pPr>
        <w:spacing w:after="0" w:line="6" w:lineRule="exact"/>
        <w:rPr>
          <w:rFonts w:ascii="Arial" w:cs="Arial" w:eastAsia="Arial" w:hAnsi="Arial"/>
          <w:sz w:val="17"/>
          <w:szCs w:val="17"/>
          <w:color w:val="auto"/>
        </w:rPr>
      </w:pPr>
    </w:p>
    <w:p>
      <w:pPr>
        <w:ind w:right="120" w:firstLine="8"/>
        <w:spacing w:after="0" w:line="285" w:lineRule="auto"/>
        <w:tabs>
          <w:tab w:leader="none" w:pos="873" w:val="left"/>
        </w:tabs>
        <w:numPr>
          <w:ilvl w:val="0"/>
          <w:numId w:val="45"/>
        </w:numPr>
        <w:rPr>
          <w:rFonts w:ascii="Arial" w:cs="Arial" w:eastAsia="Arial" w:hAnsi="Arial"/>
          <w:sz w:val="16"/>
          <w:szCs w:val="16"/>
          <w:color w:val="auto"/>
        </w:rPr>
      </w:pPr>
      <w:r>
        <w:rPr>
          <w:rFonts w:ascii="Arial" w:cs="Arial" w:eastAsia="Arial" w:hAnsi="Arial"/>
          <w:sz w:val="19"/>
          <w:szCs w:val="19"/>
          <w:b w:val="1"/>
          <w:bCs w:val="1"/>
          <w:color w:val="auto"/>
        </w:rPr>
        <w:t>Electronic Delivery</w:t>
      </w:r>
      <w:r>
        <w:rPr>
          <w:rFonts w:ascii="Arial" w:cs="Arial" w:eastAsia="Arial" w:hAnsi="Arial"/>
          <w:sz w:val="19"/>
          <w:szCs w:val="19"/>
          <w:color w:val="auto"/>
        </w:rPr>
        <w:t>. The Company may, in its sole discretion, deliver any documents related to the RSUs and Grantee’s</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participation in the Plan, or future awards that may be granted under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2" w:lineRule="exact"/>
        <w:rPr>
          <w:rFonts w:ascii="Arial" w:cs="Arial" w:eastAsia="Arial" w:hAnsi="Arial"/>
          <w:sz w:val="16"/>
          <w:szCs w:val="16"/>
          <w:color w:val="auto"/>
        </w:rPr>
      </w:pPr>
    </w:p>
    <w:p>
      <w:pPr>
        <w:ind w:right="80" w:firstLine="8"/>
        <w:spacing w:after="0" w:line="258" w:lineRule="auto"/>
        <w:tabs>
          <w:tab w:leader="none" w:pos="873" w:val="left"/>
        </w:tabs>
        <w:numPr>
          <w:ilvl w:val="0"/>
          <w:numId w:val="45"/>
        </w:numPr>
        <w:rPr>
          <w:rFonts w:ascii="Arial" w:cs="Arial" w:eastAsia="Arial" w:hAnsi="Arial"/>
          <w:sz w:val="17"/>
          <w:szCs w:val="17"/>
          <w:color w:val="auto"/>
        </w:rPr>
      </w:pPr>
      <w:r>
        <w:rPr>
          <w:rFonts w:ascii="Arial" w:cs="Arial" w:eastAsia="Arial" w:hAnsi="Arial"/>
          <w:sz w:val="21"/>
          <w:szCs w:val="21"/>
          <w:b w:val="1"/>
          <w:bCs w:val="1"/>
          <w:color w:val="auto"/>
        </w:rPr>
        <w:t>Section 409A of the Code</w:t>
      </w:r>
      <w:r>
        <w:rPr>
          <w:rFonts w:ascii="Arial" w:cs="Arial" w:eastAsia="Arial" w:hAnsi="Arial"/>
          <w:sz w:val="21"/>
          <w:szCs w:val="21"/>
          <w:color w:val="auto"/>
        </w:rPr>
        <w:t>. To the extent applicable, it is intended that this Agreement and the Plan comply with or be</w:t>
      </w:r>
      <w:r>
        <w:rPr>
          <w:rFonts w:ascii="Arial" w:cs="Arial" w:eastAsia="Arial" w:hAnsi="Arial"/>
          <w:sz w:val="21"/>
          <w:szCs w:val="21"/>
          <w:b w:val="1"/>
          <w:bCs w:val="1"/>
          <w:color w:val="auto"/>
        </w:rPr>
        <w:t xml:space="preserve"> </w:t>
      </w:r>
      <w:r>
        <w:rPr>
          <w:rFonts w:ascii="Arial" w:cs="Arial" w:eastAsia="Arial" w:hAnsi="Arial"/>
          <w:sz w:val="21"/>
          <w:szCs w:val="21"/>
          <w:color w:val="auto"/>
        </w:rPr>
        <w:t>exempt from the provisions of Section 409A of the Code. This Agreement and the Plan shall be administered in a manner consistent with this intent, and any provision that would cause this Agreement or the Plan to fail to comply with or be exempt from Section 409A of the Code shall have no force or effect until amended to comply with or be exempt from Section 409A of the Code (which amendment may be retroactive to the extent permitted by Section 409A of the Code and may be made by the Company without the consent of Grantee). Any reference in this Agreement to Section 409A of the Code will also include any proposed, temporary or final regulations, or any other guidance, promulgated with respect to such Section by the U.S. Department of the Treasury or the Internal Revenue Service. Notwithstanding anything in this Agreement or the Plan to the contrary, all payments made to Grantee</w:t>
      </w:r>
    </w:p>
    <w:p>
      <w:pPr>
        <w:sectPr>
          <w:pgSz w:w="11900" w:h="16838" w:orient="portrait"/>
          <w:cols w:equalWidth="0" w:num="1">
            <w:col w:w="11420"/>
          </w:cols>
          <w:pgMar w:left="240" w:top="591" w:right="239" w:bottom="1440" w:gutter="0" w:footer="0" w:header="0"/>
        </w:sectPr>
      </w:pPr>
    </w:p>
    <w:bookmarkStart w:id="52" w:name="page53"/>
    <w:bookmarkEnd w:id="52"/>
    <w:p>
      <w:pPr>
        <w:spacing w:after="0" w:line="251" w:lineRule="auto"/>
        <w:rPr>
          <w:sz w:val="20"/>
          <w:szCs w:val="20"/>
          <w:color w:val="auto"/>
        </w:rPr>
      </w:pPr>
      <w:r>
        <w:rPr>
          <w:rFonts w:ascii="Arial" w:cs="Arial" w:eastAsia="Arial" w:hAnsi="Arial"/>
          <w:sz w:val="22"/>
          <w:szCs w:val="22"/>
          <w:color w:val="auto"/>
        </w:rPr>
        <w:t>pursuant to this Agreement will be made within the short-term deferral period specified in Treasury Regulations Section 1.409A-1(b)(4).</w:t>
      </w:r>
    </w:p>
    <w:p>
      <w:pPr>
        <w:spacing w:after="0" w:line="2" w:lineRule="exact"/>
        <w:rPr>
          <w:sz w:val="20"/>
          <w:szCs w:val="20"/>
          <w:color w:val="auto"/>
        </w:rPr>
      </w:pPr>
    </w:p>
    <w:p>
      <w:pPr>
        <w:ind w:left="880" w:hanging="872"/>
        <w:spacing w:after="0"/>
        <w:tabs>
          <w:tab w:leader="none" w:pos="880" w:val="left"/>
        </w:tabs>
        <w:numPr>
          <w:ilvl w:val="0"/>
          <w:numId w:val="46"/>
        </w:numPr>
        <w:rPr>
          <w:rFonts w:ascii="Arial" w:cs="Arial" w:eastAsia="Arial" w:hAnsi="Arial"/>
          <w:sz w:val="17"/>
          <w:szCs w:val="17"/>
          <w:color w:val="auto"/>
        </w:rPr>
      </w:pPr>
      <w:r>
        <w:rPr>
          <w:rFonts w:ascii="Arial" w:cs="Arial" w:eastAsia="Arial" w:hAnsi="Arial"/>
          <w:sz w:val="21"/>
          <w:szCs w:val="21"/>
          <w:b w:val="1"/>
          <w:bCs w:val="1"/>
          <w:color w:val="auto"/>
        </w:rPr>
        <w:t>Counterparts</w:t>
      </w:r>
      <w:r>
        <w:rPr>
          <w:rFonts w:ascii="Arial" w:cs="Arial" w:eastAsia="Arial" w:hAnsi="Arial"/>
          <w:sz w:val="21"/>
          <w:szCs w:val="21"/>
          <w:color w:val="auto"/>
        </w:rPr>
        <w:t>. This Agreement may be executed in one or more counterparts (including facsimile and other</w:t>
      </w:r>
    </w:p>
    <w:p>
      <w:pPr>
        <w:spacing w:after="0" w:line="15" w:lineRule="exact"/>
        <w:rPr>
          <w:rFonts w:ascii="Arial" w:cs="Arial" w:eastAsia="Arial" w:hAnsi="Arial"/>
          <w:sz w:val="17"/>
          <w:szCs w:val="17"/>
          <w:color w:val="auto"/>
        </w:rPr>
      </w:pPr>
    </w:p>
    <w:p>
      <w:pPr>
        <w:ind w:right="60"/>
        <w:spacing w:after="0" w:line="259" w:lineRule="auto"/>
        <w:rPr>
          <w:rFonts w:ascii="Arial" w:cs="Arial" w:eastAsia="Arial" w:hAnsi="Arial"/>
          <w:sz w:val="17"/>
          <w:szCs w:val="17"/>
          <w:color w:val="auto"/>
        </w:rPr>
      </w:pPr>
      <w:r>
        <w:rPr>
          <w:rFonts w:ascii="Arial" w:cs="Arial" w:eastAsia="Arial" w:hAnsi="Arial"/>
          <w:sz w:val="22"/>
          <w:szCs w:val="22"/>
          <w:color w:val="auto"/>
        </w:rPr>
        <w:t>electronically transmitted counterparts), each of which shall be deemed to be an original but all of which together will constitute one and the same agreement.</w:t>
      </w:r>
    </w:p>
    <w:p>
      <w:pPr>
        <w:spacing w:after="0" w:line="389"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[SIGNATURES ON FOLLOWING PAGE]</w:t>
      </w:r>
    </w:p>
    <w:p>
      <w:pPr>
        <w:sectPr>
          <w:pgSz w:w="11900" w:h="16838" w:orient="portrait"/>
          <w:cols w:equalWidth="0" w:num="1">
            <w:col w:w="11160"/>
          </w:cols>
          <w:pgMar w:left="240" w:top="591" w:right="499" w:bottom="1440" w:gutter="0" w:footer="0" w:header="0"/>
        </w:sectPr>
      </w:pPr>
    </w:p>
    <w:bookmarkStart w:id="53" w:name="page54"/>
    <w:bookmarkEnd w:id="53"/>
    <w:p>
      <w:pPr>
        <w:ind w:firstLine="648"/>
        <w:spacing w:after="0" w:line="263" w:lineRule="auto"/>
        <w:rPr>
          <w:sz w:val="20"/>
          <w:szCs w:val="20"/>
          <w:color w:val="auto"/>
        </w:rPr>
      </w:pPr>
      <w:r>
        <w:rPr>
          <w:rFonts w:ascii="Arial" w:cs="Arial" w:eastAsia="Arial" w:hAnsi="Arial"/>
          <w:sz w:val="22"/>
          <w:szCs w:val="22"/>
          <w:color w:val="auto"/>
        </w:rPr>
        <w:t>IN WITNESS WHEREOF, the Company has caused this Agreement to be executed on its behalf by its duly authorized officer and Grantee has executed this Agreement, as of the Date of Grant.</w:t>
      </w:r>
    </w:p>
    <w:p>
      <w:pPr>
        <w:spacing w:after="0" w:line="385"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AGNC INVESTMENT CORP.</w:t>
      </w:r>
    </w:p>
    <w:p>
      <w:pPr>
        <w:spacing w:after="0" w:line="200" w:lineRule="exact"/>
        <w:rPr>
          <w:sz w:val="20"/>
          <w:szCs w:val="20"/>
          <w:color w:val="auto"/>
        </w:rPr>
      </w:pPr>
    </w:p>
    <w:p>
      <w:pPr>
        <w:spacing w:after="0" w:line="24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GRANTEE’S SIGNATURE</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Print Name:</w:t>
      </w:r>
    </w:p>
    <w:p>
      <w:pPr>
        <w:sectPr>
          <w:pgSz w:w="11900" w:h="16838" w:orient="portrait"/>
          <w:cols w:equalWidth="0" w:num="1">
            <w:col w:w="10940"/>
          </w:cols>
          <w:pgMar w:left="240" w:top="591" w:right="719" w:bottom="1440" w:gutter="0" w:footer="0" w:header="0"/>
        </w:sectPr>
      </w:pPr>
    </w:p>
    <w:bookmarkStart w:id="54" w:name="page55"/>
    <w:bookmarkEnd w:id="54"/>
    <w:p>
      <w:pPr>
        <w:ind w:left="10520"/>
        <w:spacing w:after="0"/>
        <w:rPr>
          <w:sz w:val="20"/>
          <w:szCs w:val="20"/>
          <w:color w:val="auto"/>
        </w:rPr>
      </w:pPr>
      <w:r>
        <w:rPr>
          <w:rFonts w:ascii="Arial" w:cs="Arial" w:eastAsia="Arial" w:hAnsi="Arial"/>
          <w:sz w:val="16"/>
          <w:szCs w:val="16"/>
          <w:color w:val="auto"/>
        </w:rPr>
        <w:t>Exhibit 31.1</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Gary D. Kain, certify that:</w:t>
      </w:r>
    </w:p>
    <w:p>
      <w:pPr>
        <w:spacing w:after="0" w:line="158" w:lineRule="exact"/>
        <w:rPr>
          <w:sz w:val="20"/>
          <w:szCs w:val="20"/>
          <w:color w:val="auto"/>
        </w:rPr>
      </w:pPr>
    </w:p>
    <w:p>
      <w:pPr>
        <w:ind w:left="860" w:hanging="467"/>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AGNC Investment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3, 2019</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Gary D. Kain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Executive Officer and Chief Investment</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00"/>
          </w:cols>
          <w:pgMar w:left="260" w:top="584" w:right="239" w:bottom="1440" w:gutter="0" w:footer="0" w:header="0"/>
        </w:sectPr>
      </w:pPr>
    </w:p>
    <w:bookmarkStart w:id="55" w:name="page56"/>
    <w:bookmarkEnd w:id="55"/>
    <w:p>
      <w:pPr>
        <w:ind w:left="10520"/>
        <w:spacing w:after="0"/>
        <w:rPr>
          <w:sz w:val="20"/>
          <w:szCs w:val="20"/>
          <w:color w:val="auto"/>
        </w:rPr>
      </w:pPr>
      <w:r>
        <w:rPr>
          <w:rFonts w:ascii="Arial" w:cs="Arial" w:eastAsia="Arial" w:hAnsi="Arial"/>
          <w:sz w:val="16"/>
          <w:szCs w:val="16"/>
          <w:color w:val="auto"/>
        </w:rPr>
        <w:t>Exhibit 31.2</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Bernice E. Bell, certify that:</w:t>
      </w:r>
    </w:p>
    <w:p>
      <w:pPr>
        <w:spacing w:after="0" w:line="158" w:lineRule="exact"/>
        <w:rPr>
          <w:sz w:val="20"/>
          <w:szCs w:val="20"/>
          <w:color w:val="auto"/>
        </w:rPr>
      </w:pPr>
    </w:p>
    <w:p>
      <w:pPr>
        <w:ind w:left="860" w:hanging="467"/>
        <w:spacing w:after="0"/>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AGNC Investment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3, 2019</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Bernice E. Bell</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00"/>
          </w:cols>
          <w:pgMar w:left="260" w:top="584"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32</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Gary D. Kain, Chief Executive Officer and Chief Investment Officer, and Bernice E. Bell, Senior Vice President and Chief Financial Officer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AGNC Investment Corp. (the “Company”), certify pursuant to Section 906 of the Sarbanes-Oxley Act of 2002, 18 U.S.C. Section 1350 that:</w:t>
      </w:r>
    </w:p>
    <w:p>
      <w:pPr>
        <w:spacing w:after="0" w:line="157" w:lineRule="exact"/>
        <w:rPr>
          <w:sz w:val="20"/>
          <w:szCs w:val="20"/>
          <w:color w:val="auto"/>
        </w:rPr>
      </w:pPr>
    </w:p>
    <w:p>
      <w:pPr>
        <w:ind w:left="660" w:right="22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2019 (the “Report”) fully complies with the requirements of Section 13(a) of the Securities Exchange Act of 1934 (15 U.S.C. 78m);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Gary D. Kain</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Investment Officer (Principal Executive Officer)</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May 3, 2019</w:t>
            </w:r>
          </w:p>
        </w:tc>
        <w:tc>
          <w:tcPr>
            <w:tcW w:w="0" w:type="dxa"/>
            <w:vAlign w:val="bottom"/>
          </w:tcPr>
          <w:p>
            <w:pPr>
              <w:spacing w:after="0"/>
              <w:rPr>
                <w:sz w:val="1"/>
                <w:szCs w:val="1"/>
                <w:color w:val="auto"/>
              </w:rPr>
            </w:pPr>
          </w:p>
        </w:tc>
      </w:tr>
      <w:tr>
        <w:trPr>
          <w:trHeight w:val="567"/>
        </w:trPr>
        <w:tc>
          <w:tcPr>
            <w:tcW w:w="6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ERNICE</w:t>
            </w:r>
            <w:r>
              <w:rPr>
                <w:rFonts w:ascii="Arial" w:cs="Arial" w:eastAsia="Arial" w:hAnsi="Arial"/>
                <w:sz w:val="18"/>
                <w:szCs w:val="18"/>
                <w:color w:val="auto"/>
              </w:rPr>
              <w:t xml:space="preserve"> E. B</w:t>
            </w:r>
            <w:r>
              <w:rPr>
                <w:rFonts w:ascii="Arial" w:cs="Arial" w:eastAsia="Arial" w:hAnsi="Arial"/>
                <w:sz w:val="14"/>
                <w:szCs w:val="14"/>
                <w:color w:val="auto"/>
              </w:rPr>
              <w:t>ELL</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Bernice E. Bell</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May 3, 2019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o"/>
      <w:numFmt w:val="bullet"/>
      <w:start w:val="1"/>
    </w:lvl>
  </w:abstractNum>
  <w:abstractNum w:abstractNumId="2">
    <w:nsid w:val="B03E0C6"/>
    <w:multiLevelType w:val="hybridMultilevel"/>
    <w:lvl w:ilvl="0">
      <w:lvlJc w:val="left"/>
      <w:lvlText w:val="(%1)"/>
      <w:numFmt w:val="lowerRoman"/>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2"/>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lvl w:ilvl="1">
      <w:lvlJc w:val="left"/>
      <w:lvlText w:val="(%2)"/>
      <w:numFmt w:val="lowerLetter"/>
      <w:start w:val="2"/>
    </w:lvl>
  </w:abstractNum>
  <w:abstractNum w:abstractNumId="39">
    <w:nsid w:val="2CD89A3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40">
    <w:nsid w:val="57E4CCAF"/>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41">
    <w:nsid w:val="7A6D8D3C"/>
    <w:multiLevelType w:val="hybridMultilevel"/>
    <w:lvl w:ilvl="0">
      <w:lvlJc w:val="left"/>
      <w:lvlText w:val="(%1)"/>
      <w:numFmt w:val="lowerRoman"/>
      <w:start w:val="2"/>
    </w:lvl>
  </w:abstractNum>
  <w:abstractNum w:abstractNumId="42">
    <w:nsid w:val="4B588F54"/>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43">
    <w:nsid w:val="542289EC"/>
    <w:multiLevelType w:val="hybridMultilevel"/>
    <w:lvl w:ilvl="0">
      <w:lvlJc w:val="left"/>
      <w:lvlText w:val="%1."/>
      <w:numFmt w:val="decimal"/>
      <w:start w:val="9"/>
    </w:lvl>
    <w:lvl w:ilvl="1">
      <w:lvlJc w:val="left"/>
      <w:lvlText w:val="%2"/>
      <w:numFmt w:val="decimal"/>
      <w:start w:val="1"/>
    </w:lvl>
    <w:lvl w:ilvl="2">
      <w:lvlJc w:val="left"/>
      <w:lvlText w:val="%3"/>
      <w:numFmt w:val="lowerLetter"/>
      <w:start w:val="1"/>
    </w:lvl>
  </w:abstractNum>
  <w:abstractNum w:abstractNumId="44">
    <w:nsid w:val="6DE91B18"/>
    <w:multiLevelType w:val="hybridMultilevel"/>
    <w:lvl w:ilvl="0">
      <w:lvlJc w:val="left"/>
      <w:lvlText w:val="%1."/>
      <w:numFmt w:val="decimal"/>
      <w:start w:val="12"/>
    </w:lvl>
  </w:abstractNum>
  <w:abstractNum w:abstractNumId="45">
    <w:nsid w:val="38437FDB"/>
    <w:multiLevelType w:val="hybridMultilevel"/>
    <w:lvl w:ilvl="0">
      <w:lvlJc w:val="left"/>
      <w:lvlText w:val="%1."/>
      <w:numFmt w:val="decimal"/>
      <w:start w:val="22"/>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29" Type="http://schemas.openxmlformats.org/officeDocument/2006/relationships/hyperlink" Target="http://www.sec.gov/Archives/edgar/data/1423689/000142368918000016/agncexhibit313311810-q.htm" TargetMode="External"/><Relationship Id="rId30" Type="http://schemas.openxmlformats.org/officeDocument/2006/relationships/hyperlink" Target="http://www.sec.gov/Archives/edgar/data/1423689/000142368916000104/agncexhibit329301610-qbyla.htm" TargetMode="External"/><Relationship Id="rId31" Type="http://schemas.openxmlformats.org/officeDocument/2006/relationships/hyperlink" Target="http://www.sec.gov/Archives/edgar/data/1423689/000142368914000023/exh34certificateofdesignat.htm" TargetMode="External"/><Relationship Id="rId32" Type="http://schemas.openxmlformats.org/officeDocument/2006/relationships/hyperlink" Target="http://www.sec.gov/Archives/edgar/data/1423689/000142368917000044/ex35certificateofdesignati.htm" TargetMode="External"/><Relationship Id="rId33" Type="http://schemas.openxmlformats.org/officeDocument/2006/relationships/hyperlink" Target="http://www.sec.gov/Archives/edgar/data/1423689/000142368917000065/certificateofelimination.htm" TargetMode="External"/><Relationship Id="rId34" Type="http://schemas.openxmlformats.org/officeDocument/2006/relationships/hyperlink" Target="http://www.sec.gov/Archives/edgar/data/1423689/000142368919000019/certificateofdesignations.htm" TargetMode="External"/><Relationship Id="rId35" Type="http://schemas.openxmlformats.org/officeDocument/2006/relationships/hyperlink" Target="http://www.sec.gov/Archives/edgar/data/1423689/000142368916000104/agncexhibit43.htm" TargetMode="External"/><Relationship Id="rId36" Type="http://schemas.openxmlformats.org/officeDocument/2006/relationships/hyperlink" Target="http://www.sec.gov/Archives/edgar/data/1423689/000142368914000023/agncspecimenseriesbcumul.htm" TargetMode="External"/><Relationship Id="rId37" Type="http://schemas.openxmlformats.org/officeDocument/2006/relationships/hyperlink" Target="http://www.sec.gov/Archives/edgar/data/1423689/000142368917000044/exhibit41.htm" TargetMode="External"/><Relationship Id="rId38" Type="http://schemas.openxmlformats.org/officeDocument/2006/relationships/hyperlink" Target="http://www.sec.gov/Archives/edgar/data/1423689/000142368919000019/stockcertificateb98.htm" TargetMode="External"/><Relationship Id="rId39" Type="http://schemas.openxmlformats.org/officeDocument/2006/relationships/hyperlink" Target="http://www.sec.gov/Archives/edgar/data/1423689/000142368914000026/exhibit42depositagreement.htm" TargetMode="External"/><Relationship Id="rId40" Type="http://schemas.openxmlformats.org/officeDocument/2006/relationships/hyperlink" Target="http://www.sec.gov/Archives/edgar/data/1423689/000142368917000049/depositagreement.htm" TargetMode="External"/><Relationship Id="rId41" Type="http://schemas.openxmlformats.org/officeDocument/2006/relationships/hyperlink" Target="http://www.sec.gov/Archives/edgar/data/1423689/000142368919000021/prefddepositagm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2019-12-28T13:08:49Z</dcterms:created>
  <dcterms:modified xsi:type="dcterms:W3CDTF">2019-12-28T13:08:49Z</dcterms:modified>
</cp:coreProperties>
</file>