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234950</wp:posOffset>
            </wp:positionH>
            <wp:positionV relativeFrom="page">
              <wp:posOffset>243205</wp:posOffset>
            </wp:positionV>
            <wp:extent cx="71005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057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-224155</wp:posOffset>
            </wp:positionV>
            <wp:extent cx="71005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3440"/>
        <w:spacing w:after="0"/>
        <w:rPr>
          <w:sz w:val="20"/>
          <w:szCs w:val="20"/>
          <w:color w:val="auto"/>
        </w:rPr>
      </w:pPr>
      <w:r>
        <w:rPr>
          <w:rFonts w:ascii="Arial" w:cs="Arial" w:eastAsia="Arial" w:hAnsi="Arial"/>
          <w:sz w:val="18"/>
          <w:szCs w:val="18"/>
          <w:color w:val="auto"/>
        </w:rPr>
        <w:t>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142" w:lineRule="exact"/>
        <w:rPr>
          <w:sz w:val="24"/>
          <w:szCs w:val="24"/>
          <w:color w:val="auto"/>
        </w:rPr>
      </w:pPr>
    </w:p>
    <w:p>
      <w:pPr>
        <w:ind w:left="800" w:hanging="765"/>
        <w:spacing w:after="0"/>
        <w:tabs>
          <w:tab w:leader="none" w:pos="8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2014</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80" w:hanging="745"/>
        <w:spacing w:after="0"/>
        <w:tabs>
          <w:tab w:leader="none" w:pos="78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25" w:lineRule="exact"/>
        <w:rPr>
          <w:rFonts w:ascii="MS PGothic" w:cs="MS PGothic" w:eastAsia="MS PGothic" w:hAnsi="MS PGothic"/>
          <w:sz w:val="21"/>
          <w:szCs w:val="21"/>
          <w:color w:val="auto"/>
        </w:rPr>
      </w:pPr>
    </w:p>
    <w:p>
      <w:pPr>
        <w:ind w:left="5840"/>
        <w:spacing w:after="0"/>
        <w:rPr>
          <w:rFonts w:ascii="MS PGothic" w:cs="MS PGothic" w:eastAsia="MS PGothic" w:hAnsi="MS PGothic"/>
          <w:sz w:val="21"/>
          <w:szCs w:val="21"/>
          <w:color w:val="auto"/>
        </w:rPr>
      </w:pPr>
      <w:r>
        <w:rPr>
          <w:rFonts w:ascii="Arial" w:cs="Arial" w:eastAsia="Arial" w:hAnsi="Arial"/>
          <w:sz w:val="22"/>
          <w:szCs w:val="22"/>
          <w:b w:val="1"/>
          <w:bCs w:val="1"/>
          <w:color w:val="auto"/>
        </w:rPr>
        <w:t>1934</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001-34057</w:t>
      </w:r>
    </w:p>
    <w:p>
      <w:pPr>
        <w:spacing w:after="0" w:line="2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108585</wp:posOffset>
            </wp:positionV>
            <wp:extent cx="1551940" cy="8578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578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AMERICAN CAPITAL AGENCY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__________________________________________________</w:t>
      </w:r>
    </w:p>
    <w:p>
      <w:pPr>
        <w:spacing w:after="0" w:line="153"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200" w:type="dxa"/>
            <w:vAlign w:val="bottom"/>
          </w:tcPr>
          <w:p>
            <w:pPr>
              <w:jc w:val="center"/>
              <w:ind w:right="2182"/>
              <w:spacing w:after="0"/>
              <w:rPr>
                <w:sz w:val="20"/>
                <w:szCs w:val="20"/>
                <w:color w:val="auto"/>
              </w:rPr>
            </w:pPr>
            <w:r>
              <w:rPr>
                <w:rFonts w:ascii="Arial" w:cs="Arial" w:eastAsia="Arial" w:hAnsi="Arial"/>
                <w:sz w:val="18"/>
                <w:szCs w:val="18"/>
                <w:b w:val="1"/>
                <w:bCs w:val="1"/>
                <w:color w:val="auto"/>
                <w:w w:val="93"/>
              </w:rPr>
              <w:t>Delaware</w:t>
            </w:r>
          </w:p>
        </w:tc>
        <w:tc>
          <w:tcPr>
            <w:tcW w:w="3380" w:type="dxa"/>
            <w:vAlign w:val="bottom"/>
          </w:tcPr>
          <w:p>
            <w:pPr>
              <w:jc w:val="center"/>
              <w:ind w:left="2182"/>
              <w:spacing w:after="0"/>
              <w:rPr>
                <w:sz w:val="20"/>
                <w:szCs w:val="20"/>
                <w:color w:val="auto"/>
              </w:rPr>
            </w:pPr>
            <w:r>
              <w:rPr>
                <w:rFonts w:ascii="Arial" w:cs="Arial" w:eastAsia="Arial" w:hAnsi="Arial"/>
                <w:sz w:val="18"/>
                <w:szCs w:val="18"/>
                <w:b w:val="1"/>
                <w:bCs w:val="1"/>
                <w:color w:val="auto"/>
                <w:w w:val="91"/>
              </w:rPr>
              <w:t>26-1701984</w:t>
            </w:r>
          </w:p>
        </w:tc>
      </w:tr>
      <w:tr>
        <w:trPr>
          <w:trHeight w:val="180"/>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3"/>
              </w:rPr>
              <w:t>(State or Other Jurisdiction of</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200" w:type="dxa"/>
            <w:vAlign w:val="bottom"/>
          </w:tcPr>
          <w:p>
            <w:pPr>
              <w:jc w:val="center"/>
              <w:ind w:right="2182"/>
              <w:spacing w:after="0"/>
              <w:rPr>
                <w:sz w:val="20"/>
                <w:szCs w:val="20"/>
                <w:color w:val="auto"/>
              </w:rPr>
            </w:pPr>
            <w:r>
              <w:rPr>
                <w:rFonts w:ascii="Arial" w:cs="Arial" w:eastAsia="Arial" w:hAnsi="Arial"/>
                <w:sz w:val="14"/>
                <w:szCs w:val="14"/>
                <w:b w:val="1"/>
                <w:bCs w:val="1"/>
                <w:color w:val="auto"/>
                <w:w w:val="95"/>
              </w:rPr>
              <w:t>Incorporation or Organization)</w:t>
            </w:r>
          </w:p>
        </w:tc>
        <w:tc>
          <w:tcPr>
            <w:tcW w:w="3380" w:type="dxa"/>
            <w:vAlign w:val="bottom"/>
          </w:tcPr>
          <w:p>
            <w:pPr>
              <w:jc w:val="center"/>
              <w:ind w:left="218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 Bethesda Metro Center, 14th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Bethesda, Maryland 20814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(301) 968-9300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__________________________________________________</w:t>
      </w:r>
    </w:p>
    <w:p>
      <w:pPr>
        <w:spacing w:after="0" w:line="47" w:lineRule="exact"/>
        <w:rPr>
          <w:sz w:val="24"/>
          <w:szCs w:val="24"/>
          <w:color w:val="auto"/>
        </w:rPr>
      </w:pPr>
    </w:p>
    <w:p>
      <w:pPr>
        <w:ind w:right="1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to be filed by Section 13 or 15(d) of the Securities Exchange Act of 1934 during the preceding 12 months (or for such shorter earlier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6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420"/>
          </w:cols>
          <w:pgMar w:left="240" w:top="503" w:right="239" w:bottom="1440" w:gutter="0" w:footer="0" w:header="0"/>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2000" w:space="720"/>
            <w:col w:w="4220" w:space="720"/>
            <w:col w:w="2520" w:space="720"/>
            <w:col w:w="520"/>
          </w:cols>
          <w:pgMar w:left="240" w:top="503"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5">
            <w:col w:w="2000" w:space="720"/>
            <w:col w:w="160" w:space="180"/>
            <w:col w:w="3880" w:space="720"/>
            <w:col w:w="2520" w:space="720"/>
            <w:col w:w="520"/>
          </w:cols>
          <w:pgMar w:left="240" w:top="503" w:right="239" w:bottom="1440" w:gutter="0" w:footer="0" w:header="0"/>
          <w:type w:val="continuous"/>
        </w:sectPr>
      </w:pPr>
    </w:p>
    <w:p>
      <w:pPr>
        <w:ind w:left="440"/>
        <w:spacing w:after="0" w:line="196" w:lineRule="exact"/>
        <w:tabs>
          <w:tab w:leader="none" w:pos="87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3">
            <w:col w:w="9300" w:space="180"/>
            <w:col w:w="220" w:space="100"/>
            <w:col w:w="1620"/>
          </w:cols>
          <w:pgMar w:left="240" w:top="503"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The number of shares of the issuer's common stock, $0.01 par value, outstanding as of April 30, 2014 was 352,788,707.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wp:posOffset>
            </wp:positionH>
            <wp:positionV relativeFrom="paragraph">
              <wp:posOffset>201295</wp:posOffset>
            </wp:positionV>
            <wp:extent cx="71005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0570" cy="8890"/>
                    </a:xfrm>
                    <a:prstGeom prst="rect">
                      <a:avLst/>
                    </a:prstGeom>
                    <a:noFill/>
                  </pic:spPr>
                </pic:pic>
              </a:graphicData>
            </a:graphic>
          </wp:anchor>
        </w:drawing>
        <w:drawing>
          <wp:anchor simplePos="0" relativeHeight="251657728" behindDoc="1" locked="0" layoutInCell="0" allowOverlap="1">
            <wp:simplePos x="0" y="0"/>
            <wp:positionH relativeFrom="column">
              <wp:posOffset>82550</wp:posOffset>
            </wp:positionH>
            <wp:positionV relativeFrom="paragraph">
              <wp:posOffset>114935</wp:posOffset>
            </wp:positionV>
            <wp:extent cx="71005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0570" cy="8890"/>
                    </a:xfrm>
                    <a:prstGeom prst="rect">
                      <a:avLst/>
                    </a:prstGeom>
                    <a:noFill/>
                  </pic:spPr>
                </pic:pic>
              </a:graphicData>
            </a:graphic>
          </wp:anchor>
        </w:drawing>
      </w:r>
    </w:p>
    <w:p>
      <w:pPr>
        <w:sectPr>
          <w:pgSz w:w="11900" w:h="16838" w:orient="portrait"/>
          <w:cols w:equalWidth="0" w:num="1">
            <w:col w:w="11420"/>
          </w:cols>
          <w:pgMar w:left="240" w:top="503" w:right="239" w:bottom="1440" w:gutter="0" w:footer="0" w:header="0"/>
          <w:type w:val="continuous"/>
        </w:sectPr>
      </w:pPr>
    </w:p>
    <w:bookmarkStart w:id="1" w:name="page2"/>
    <w:bookmarkEnd w:id="1"/>
    <w:p>
      <w:pPr>
        <w:jc w:val="center"/>
        <w:ind w:right="-619"/>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ind w:right="-619"/>
        <w:spacing w:after="0"/>
        <w:rPr>
          <w:sz w:val="20"/>
          <w:szCs w:val="20"/>
          <w:color w:val="auto"/>
        </w:rPr>
      </w:pPr>
      <w:r>
        <w:rPr>
          <w:rFonts w:ascii="Arial" w:cs="Arial" w:eastAsia="Arial" w:hAnsi="Arial"/>
          <w:sz w:val="18"/>
          <w:szCs w:val="18"/>
          <w:b w:val="1"/>
          <w:bCs w:val="1"/>
          <w:color w:val="auto"/>
        </w:rPr>
        <w:t>TABLE OF CONTENTS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0" w:type="dxa"/>
            <w:vAlign w:val="bottom"/>
            <w:gridSpan w:val="3"/>
          </w:tcPr>
          <w:p>
            <w:pPr>
              <w:spacing w:after="0"/>
              <w:rPr>
                <w:sz w:val="20"/>
                <w:szCs w:val="20"/>
                <w:color w:val="auto"/>
              </w:rPr>
            </w:pPr>
            <w:r>
              <w:rPr>
                <w:rFonts w:ascii="Arial" w:cs="Arial" w:eastAsia="Arial" w:hAnsi="Arial"/>
                <w:sz w:val="16"/>
                <w:szCs w:val="16"/>
                <w:b w:val="1"/>
                <w:bCs w:val="1"/>
                <w:color w:val="0000FF"/>
                <w:w w:val="98"/>
              </w:rPr>
              <w:t>PART I.</w:t>
            </w:r>
          </w:p>
        </w:tc>
        <w:tc>
          <w:tcPr>
            <w:tcW w:w="460" w:type="dxa"/>
            <w:vAlign w:val="bottom"/>
            <w:gridSpan w:val="3"/>
          </w:tcPr>
          <w:p>
            <w:pPr>
              <w:spacing w:after="0"/>
              <w:rPr>
                <w:sz w:val="18"/>
                <w:szCs w:val="18"/>
                <w:color w:val="auto"/>
              </w:rPr>
            </w:pPr>
          </w:p>
        </w:tc>
        <w:tc>
          <w:tcPr>
            <w:tcW w:w="7660" w:type="dxa"/>
            <w:vAlign w:val="bottom"/>
            <w:gridSpan w:val="13"/>
          </w:tcPr>
          <w:p>
            <w:pPr>
              <w:spacing w:after="0"/>
              <w:rPr>
                <w:sz w:val="20"/>
                <w:szCs w:val="20"/>
                <w:color w:val="auto"/>
              </w:rPr>
            </w:pPr>
            <w:r>
              <w:rPr>
                <w:rFonts w:ascii="Arial" w:cs="Arial" w:eastAsia="Arial" w:hAnsi="Arial"/>
                <w:sz w:val="16"/>
                <w:szCs w:val="16"/>
                <w:b w:val="1"/>
                <w:bCs w:val="1"/>
                <w:color w:val="0000FF"/>
              </w:rPr>
              <w:t>FINANCIAL INFORMATION</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40"/>
        </w:trPr>
        <w:tc>
          <w:tcPr>
            <w:tcW w:w="460" w:type="dxa"/>
            <w:vAlign w:val="bottom"/>
            <w:tcBorders>
              <w:top w:val="single" w:sz="8" w:color="0000FF"/>
            </w:tcBorders>
          </w:tcPr>
          <w:p>
            <w:pPr>
              <w:spacing w:after="0"/>
              <w:rPr>
                <w:sz w:val="20"/>
                <w:szCs w:val="20"/>
                <w:color w:val="auto"/>
              </w:rPr>
            </w:pPr>
            <w:r>
              <w:rPr>
                <w:rFonts w:ascii="Arial" w:cs="Arial" w:eastAsia="Arial" w:hAnsi="Arial"/>
                <w:sz w:val="16"/>
                <w:szCs w:val="16"/>
                <w:color w:val="0000FF"/>
                <w:w w:val="85"/>
              </w:rPr>
              <w:t>Item 1.</w:t>
            </w:r>
          </w:p>
        </w:tc>
        <w:tc>
          <w:tcPr>
            <w:tcW w:w="120" w:type="dxa"/>
            <w:vAlign w:val="bottom"/>
            <w:tcBorders>
              <w:top w:val="single" w:sz="8" w:color="0000FF"/>
            </w:tcBorders>
            <w:gridSpan w:val="2"/>
          </w:tcPr>
          <w:p>
            <w:pPr>
              <w:spacing w:after="0"/>
              <w:rPr>
                <w:sz w:val="24"/>
                <w:szCs w:val="24"/>
                <w:color w:val="auto"/>
              </w:rPr>
            </w:pPr>
          </w:p>
        </w:tc>
        <w:tc>
          <w:tcPr>
            <w:tcW w:w="460" w:type="dxa"/>
            <w:vAlign w:val="bottom"/>
            <w:gridSpan w:val="3"/>
          </w:tcPr>
          <w:p>
            <w:pPr>
              <w:spacing w:after="0"/>
              <w:rPr>
                <w:sz w:val="24"/>
                <w:szCs w:val="24"/>
                <w:color w:val="auto"/>
              </w:rPr>
            </w:pPr>
          </w:p>
        </w:tc>
        <w:tc>
          <w:tcPr>
            <w:tcW w:w="2140" w:type="dxa"/>
            <w:vAlign w:val="bottom"/>
            <w:tcBorders>
              <w:top w:val="single" w:sz="8" w:color="0000FF"/>
            </w:tcBorders>
            <w:gridSpan w:val="9"/>
          </w:tcPr>
          <w:p>
            <w:pPr>
              <w:spacing w:after="0"/>
              <w:rPr>
                <w:sz w:val="20"/>
                <w:szCs w:val="20"/>
                <w:color w:val="auto"/>
              </w:rPr>
            </w:pPr>
            <w:r>
              <w:rPr>
                <w:rFonts w:ascii="Arial" w:cs="Arial" w:eastAsia="Arial" w:hAnsi="Arial"/>
                <w:sz w:val="16"/>
                <w:szCs w:val="16"/>
                <w:color w:val="0000FF"/>
              </w:rPr>
              <w:t>Financial Statements</w:t>
            </w:r>
          </w:p>
        </w:tc>
        <w:tc>
          <w:tcPr>
            <w:tcW w:w="5520" w:type="dxa"/>
            <w:vAlign w:val="bottom"/>
            <w:gridSpan w:val="4"/>
          </w:tcPr>
          <w:p>
            <w:pPr>
              <w:spacing w:after="0"/>
              <w:rPr>
                <w:sz w:val="24"/>
                <w:szCs w:val="24"/>
                <w:color w:val="auto"/>
              </w:rPr>
            </w:pPr>
          </w:p>
        </w:tc>
        <w:tc>
          <w:tcPr>
            <w:tcW w:w="1980" w:type="dxa"/>
            <w:vAlign w:val="bottom"/>
            <w:gridSpan w:val="2"/>
          </w:tcPr>
          <w:p>
            <w:pPr>
              <w:jc w:val="center"/>
              <w:ind w:left="1819"/>
              <w:spacing w:after="0"/>
              <w:rPr>
                <w:rFonts w:ascii="Arial" w:cs="Arial" w:eastAsia="Arial" w:hAnsi="Arial"/>
                <w:sz w:val="16"/>
                <w:szCs w:val="16"/>
                <w:color w:val="0000EE"/>
                <w:w w:val="89"/>
              </w:rPr>
            </w:pPr>
            <w:hyperlink w:anchor="page3">
              <w:r>
                <w:rPr>
                  <w:rFonts w:ascii="Arial" w:cs="Arial" w:eastAsia="Arial" w:hAnsi="Arial"/>
                  <w:sz w:val="16"/>
                  <w:szCs w:val="16"/>
                  <w:color w:val="0000EE"/>
                  <w:w w:val="89"/>
                </w:rPr>
                <w:t>2</w:t>
              </w:r>
            </w:hyperlink>
          </w:p>
        </w:tc>
        <w:tc>
          <w:tcPr>
            <w:tcW w:w="40" w:type="dxa"/>
            <w:vAlign w:val="bottom"/>
          </w:tcPr>
          <w:p>
            <w:pPr>
              <w:spacing w:after="0"/>
              <w:rPr>
                <w:sz w:val="24"/>
                <w:szCs w:val="24"/>
                <w:color w:val="auto"/>
              </w:rPr>
            </w:pPr>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4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5"/>
              </w:rPr>
              <w:t>Item 2.</w:t>
            </w:r>
          </w:p>
        </w:tc>
        <w:tc>
          <w:tcPr>
            <w:tcW w:w="580" w:type="dxa"/>
            <w:vAlign w:val="bottom"/>
            <w:gridSpan w:val="5"/>
          </w:tcPr>
          <w:p>
            <w:pPr>
              <w:spacing w:after="0"/>
              <w:rPr>
                <w:sz w:val="20"/>
                <w:szCs w:val="20"/>
                <w:color w:val="auto"/>
              </w:rPr>
            </w:pPr>
          </w:p>
        </w:tc>
        <w:tc>
          <w:tcPr>
            <w:tcW w:w="580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1"/>
              </w:rPr>
              <w:t>Management's Discussion and Analysis of Financial Condition and Results of Operations</w:t>
            </w:r>
          </w:p>
        </w:tc>
        <w:tc>
          <w:tcPr>
            <w:tcW w:w="18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25">
              <w:r>
                <w:rPr>
                  <w:rFonts w:ascii="Arial" w:cs="Arial" w:eastAsia="Arial" w:hAnsi="Arial"/>
                  <w:sz w:val="15"/>
                  <w:szCs w:val="15"/>
                  <w:color w:val="0000EE"/>
                  <w:w w:val="71"/>
                </w:rPr>
                <w:t>24</w:t>
              </w:r>
            </w:hyperlink>
          </w:p>
        </w:tc>
      </w:tr>
      <w:tr>
        <w:trPr>
          <w:trHeight w:val="237"/>
        </w:trPr>
        <w:tc>
          <w:tcPr>
            <w:tcW w:w="4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5"/>
              </w:rPr>
              <w:t>Item 3.</w:t>
            </w:r>
          </w:p>
        </w:tc>
        <w:tc>
          <w:tcPr>
            <w:tcW w:w="580" w:type="dxa"/>
            <w:vAlign w:val="bottom"/>
            <w:gridSpan w:val="5"/>
          </w:tcPr>
          <w:p>
            <w:pPr>
              <w:spacing w:after="0"/>
              <w:rPr>
                <w:sz w:val="20"/>
                <w:szCs w:val="20"/>
                <w:color w:val="auto"/>
              </w:rPr>
            </w:pPr>
          </w:p>
        </w:tc>
        <w:tc>
          <w:tcPr>
            <w:tcW w:w="3940" w:type="dxa"/>
            <w:vAlign w:val="bottom"/>
            <w:tcBorders>
              <w:bottom w:val="single" w:sz="8" w:color="0000FF"/>
            </w:tcBorders>
            <w:gridSpan w:val="11"/>
          </w:tcPr>
          <w:p>
            <w:pPr>
              <w:spacing w:after="0"/>
              <w:rPr>
                <w:sz w:val="20"/>
                <w:szCs w:val="20"/>
                <w:color w:val="auto"/>
              </w:rPr>
            </w:pPr>
            <w:r>
              <w:rPr>
                <w:rFonts w:ascii="Arial" w:cs="Arial" w:eastAsia="Arial" w:hAnsi="Arial"/>
                <w:sz w:val="16"/>
                <w:szCs w:val="16"/>
                <w:color w:val="0000FF"/>
                <w:w w:val="93"/>
              </w:rPr>
              <w:t>Quantitative and Qualitative Disclosures About Market Risk</w:t>
            </w:r>
          </w:p>
        </w:tc>
        <w:tc>
          <w:tcPr>
            <w:tcW w:w="3720" w:type="dxa"/>
            <w:vAlign w:val="bottom"/>
            <w:gridSpan w:val="2"/>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46">
              <w:r>
                <w:rPr>
                  <w:rFonts w:ascii="Arial" w:cs="Arial" w:eastAsia="Arial" w:hAnsi="Arial"/>
                  <w:sz w:val="15"/>
                  <w:szCs w:val="15"/>
                  <w:color w:val="0000EE"/>
                  <w:w w:val="71"/>
                </w:rPr>
                <w:t>45</w:t>
              </w:r>
            </w:hyperlink>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0000FF"/>
                <w:w w:val="85"/>
              </w:rPr>
              <w:t>Item 4.</w:t>
            </w:r>
          </w:p>
        </w:tc>
        <w:tc>
          <w:tcPr>
            <w:tcW w:w="580" w:type="dxa"/>
            <w:vAlign w:val="bottom"/>
            <w:gridSpan w:val="5"/>
          </w:tcPr>
          <w:p>
            <w:pPr>
              <w:spacing w:after="0"/>
              <w:rPr>
                <w:sz w:val="20"/>
                <w:szCs w:val="20"/>
                <w:color w:val="auto"/>
              </w:rPr>
            </w:pPr>
          </w:p>
        </w:tc>
        <w:tc>
          <w:tcPr>
            <w:tcW w:w="7660" w:type="dxa"/>
            <w:vAlign w:val="bottom"/>
            <w:gridSpan w:val="13"/>
          </w:tcPr>
          <w:p>
            <w:pPr>
              <w:spacing w:after="0"/>
              <w:rPr>
                <w:sz w:val="20"/>
                <w:szCs w:val="20"/>
                <w:color w:val="auto"/>
              </w:rPr>
            </w:pPr>
            <w:r>
              <w:rPr>
                <w:rFonts w:ascii="Arial" w:cs="Arial" w:eastAsia="Arial" w:hAnsi="Arial"/>
                <w:sz w:val="16"/>
                <w:szCs w:val="16"/>
                <w:color w:val="0000FF"/>
              </w:rPr>
              <w:t>Controls and Procedures</w:t>
            </w:r>
          </w:p>
        </w:tc>
        <w:tc>
          <w:tcPr>
            <w:tcW w:w="2020" w:type="dxa"/>
            <w:vAlign w:val="bottom"/>
            <w:gridSpan w:val="3"/>
          </w:tcPr>
          <w:p>
            <w:pPr>
              <w:jc w:val="center"/>
              <w:ind w:left="1779"/>
              <w:spacing w:after="0"/>
              <w:rPr>
                <w:rFonts w:ascii="Arial" w:cs="Arial" w:eastAsia="Arial" w:hAnsi="Arial"/>
                <w:sz w:val="16"/>
                <w:szCs w:val="16"/>
                <w:color w:val="0000EE"/>
                <w:w w:val="89"/>
              </w:rPr>
            </w:pPr>
            <w:hyperlink w:anchor="page50">
              <w:r>
                <w:rPr>
                  <w:rFonts w:ascii="Arial" w:cs="Arial" w:eastAsia="Arial" w:hAnsi="Arial"/>
                  <w:sz w:val="16"/>
                  <w:szCs w:val="16"/>
                  <w:color w:val="0000EE"/>
                  <w:w w:val="89"/>
                </w:rPr>
                <w:t>49</w:t>
              </w:r>
            </w:hyperlink>
          </w:p>
        </w:tc>
      </w:tr>
      <w:tr>
        <w:trPr>
          <w:trHeight w:val="20"/>
        </w:trPr>
        <w:tc>
          <w:tcPr>
            <w:tcW w:w="46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r>
      <w:tr>
        <w:trPr>
          <w:trHeight w:val="541"/>
        </w:trPr>
        <w:tc>
          <w:tcPr>
            <w:tcW w:w="6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b w:val="1"/>
                <w:bCs w:val="1"/>
                <w:color w:val="0000FF"/>
              </w:rPr>
              <w:t>PART II.</w:t>
            </w:r>
          </w:p>
        </w:tc>
        <w:tc>
          <w:tcPr>
            <w:tcW w:w="360" w:type="dxa"/>
            <w:vAlign w:val="bottom"/>
          </w:tcPr>
          <w:p>
            <w:pPr>
              <w:spacing w:after="0"/>
              <w:rPr>
                <w:sz w:val="24"/>
                <w:szCs w:val="24"/>
                <w:color w:val="auto"/>
              </w:rPr>
            </w:pPr>
          </w:p>
        </w:tc>
        <w:tc>
          <w:tcPr>
            <w:tcW w:w="182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b w:val="1"/>
                <w:bCs w:val="1"/>
                <w:color w:val="0000FF"/>
              </w:rPr>
              <w:t>OTHER INFORMATION</w:t>
            </w:r>
          </w:p>
        </w:tc>
        <w:tc>
          <w:tcPr>
            <w:tcW w:w="5840" w:type="dxa"/>
            <w:vAlign w:val="bottom"/>
            <w:gridSpan w:val="6"/>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40"/>
        </w:trPr>
        <w:tc>
          <w:tcPr>
            <w:tcW w:w="4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5"/>
              </w:rPr>
              <w:t>Item 1.</w:t>
            </w:r>
          </w:p>
        </w:tc>
        <w:tc>
          <w:tcPr>
            <w:tcW w:w="580" w:type="dxa"/>
            <w:vAlign w:val="bottom"/>
            <w:gridSpan w:val="5"/>
          </w:tcPr>
          <w:p>
            <w:pPr>
              <w:spacing w:after="0"/>
              <w:rPr>
                <w:sz w:val="24"/>
                <w:szCs w:val="24"/>
                <w:color w:val="auto"/>
              </w:rPr>
            </w:pPr>
          </w:p>
        </w:tc>
        <w:tc>
          <w:tcPr>
            <w:tcW w:w="120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89"/>
              </w:rPr>
              <w:t>Legal Proceedings</w:t>
            </w:r>
          </w:p>
        </w:tc>
        <w:tc>
          <w:tcPr>
            <w:tcW w:w="6460" w:type="dxa"/>
            <w:vAlign w:val="bottom"/>
            <w:gridSpan w:val="9"/>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51">
              <w:r>
                <w:rPr>
                  <w:rFonts w:ascii="Arial" w:cs="Arial" w:eastAsia="Arial" w:hAnsi="Arial"/>
                  <w:sz w:val="15"/>
                  <w:szCs w:val="15"/>
                  <w:color w:val="0000EE"/>
                  <w:w w:val="71"/>
                </w:rPr>
                <w:t>50</w:t>
              </w:r>
            </w:hyperlink>
          </w:p>
        </w:tc>
      </w:tr>
      <w:tr>
        <w:trPr>
          <w:trHeight w:val="237"/>
        </w:trPr>
        <w:tc>
          <w:tcPr>
            <w:tcW w:w="580" w:type="dxa"/>
            <w:vAlign w:val="bottom"/>
            <w:gridSpan w:val="3"/>
          </w:tcPr>
          <w:p>
            <w:pPr>
              <w:spacing w:after="0"/>
              <w:rPr>
                <w:sz w:val="20"/>
                <w:szCs w:val="20"/>
                <w:color w:val="auto"/>
              </w:rPr>
            </w:pPr>
            <w:r>
              <w:rPr>
                <w:rFonts w:ascii="Arial" w:cs="Arial" w:eastAsia="Arial" w:hAnsi="Arial"/>
                <w:sz w:val="16"/>
                <w:szCs w:val="16"/>
                <w:color w:val="0000FF"/>
                <w:w w:val="93"/>
              </w:rPr>
              <w:t>Item 1A.</w:t>
            </w:r>
          </w:p>
        </w:tc>
        <w:tc>
          <w:tcPr>
            <w:tcW w:w="460" w:type="dxa"/>
            <w:vAlign w:val="bottom"/>
            <w:gridSpan w:val="3"/>
          </w:tcPr>
          <w:p>
            <w:pPr>
              <w:spacing w:after="0"/>
              <w:rPr>
                <w:sz w:val="20"/>
                <w:szCs w:val="20"/>
                <w:color w:val="auto"/>
              </w:rPr>
            </w:pPr>
          </w:p>
        </w:tc>
        <w:tc>
          <w:tcPr>
            <w:tcW w:w="7660" w:type="dxa"/>
            <w:vAlign w:val="bottom"/>
            <w:gridSpan w:val="13"/>
          </w:tcPr>
          <w:p>
            <w:pPr>
              <w:spacing w:after="0"/>
              <w:rPr>
                <w:sz w:val="20"/>
                <w:szCs w:val="20"/>
                <w:color w:val="auto"/>
              </w:rPr>
            </w:pPr>
            <w:r>
              <w:rPr>
                <w:rFonts w:ascii="Arial" w:cs="Arial" w:eastAsia="Arial" w:hAnsi="Arial"/>
                <w:sz w:val="16"/>
                <w:szCs w:val="16"/>
                <w:color w:val="0000FF"/>
              </w:rPr>
              <w:t>Risk Factors</w:t>
            </w:r>
          </w:p>
        </w:tc>
        <w:tc>
          <w:tcPr>
            <w:tcW w:w="2020" w:type="dxa"/>
            <w:vAlign w:val="bottom"/>
            <w:gridSpan w:val="3"/>
          </w:tcPr>
          <w:p>
            <w:pPr>
              <w:jc w:val="center"/>
              <w:ind w:left="1779"/>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50</w:t>
              </w:r>
            </w:hyperlink>
          </w:p>
        </w:tc>
      </w:tr>
      <w:tr>
        <w:trPr>
          <w:trHeight w:val="20"/>
        </w:trPr>
        <w:tc>
          <w:tcPr>
            <w:tcW w:w="580" w:type="dxa"/>
            <w:vAlign w:val="bottom"/>
            <w:gridSpan w:val="3"/>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190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r>
      <w:tr>
        <w:trPr>
          <w:trHeight w:val="237"/>
        </w:trPr>
        <w:tc>
          <w:tcPr>
            <w:tcW w:w="4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5"/>
              </w:rPr>
              <w:t>Item 2.</w:t>
            </w:r>
          </w:p>
        </w:tc>
        <w:tc>
          <w:tcPr>
            <w:tcW w:w="120" w:type="dxa"/>
            <w:vAlign w:val="bottom"/>
            <w:gridSpan w:val="2"/>
          </w:tcPr>
          <w:p>
            <w:pPr>
              <w:spacing w:after="0"/>
              <w:rPr>
                <w:sz w:val="20"/>
                <w:szCs w:val="20"/>
                <w:color w:val="auto"/>
              </w:rPr>
            </w:pPr>
          </w:p>
        </w:tc>
        <w:tc>
          <w:tcPr>
            <w:tcW w:w="460" w:type="dxa"/>
            <w:vAlign w:val="bottom"/>
            <w:gridSpan w:val="3"/>
          </w:tcPr>
          <w:p>
            <w:pPr>
              <w:spacing w:after="0"/>
              <w:rPr>
                <w:sz w:val="20"/>
                <w:szCs w:val="20"/>
                <w:color w:val="auto"/>
              </w:rPr>
            </w:pPr>
          </w:p>
        </w:tc>
        <w:tc>
          <w:tcPr>
            <w:tcW w:w="392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90"/>
              </w:rPr>
              <w:t>Unregistered Sales of Equity Securities and Use of Proceeds</w:t>
            </w:r>
          </w:p>
        </w:tc>
        <w:tc>
          <w:tcPr>
            <w:tcW w:w="3740" w:type="dxa"/>
            <w:vAlign w:val="bottom"/>
            <w:gridSpan w:val="3"/>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51">
              <w:r>
                <w:rPr>
                  <w:rFonts w:ascii="Arial" w:cs="Arial" w:eastAsia="Arial" w:hAnsi="Arial"/>
                  <w:sz w:val="15"/>
                  <w:szCs w:val="15"/>
                  <w:color w:val="0000EE"/>
                  <w:w w:val="71"/>
                </w:rPr>
                <w:t>50</w:t>
              </w:r>
            </w:hyperlink>
          </w:p>
        </w:tc>
      </w:tr>
      <w:tr>
        <w:trPr>
          <w:trHeight w:val="237"/>
        </w:trPr>
        <w:tc>
          <w:tcPr>
            <w:tcW w:w="4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5"/>
              </w:rPr>
              <w:t>Item 3.</w:t>
            </w:r>
          </w:p>
        </w:tc>
        <w:tc>
          <w:tcPr>
            <w:tcW w:w="580" w:type="dxa"/>
            <w:vAlign w:val="bottom"/>
            <w:gridSpan w:val="5"/>
          </w:tcPr>
          <w:p>
            <w:pPr>
              <w:spacing w:after="0"/>
              <w:rPr>
                <w:sz w:val="20"/>
                <w:szCs w:val="20"/>
                <w:color w:val="auto"/>
              </w:rPr>
            </w:pPr>
          </w:p>
        </w:tc>
        <w:tc>
          <w:tcPr>
            <w:tcW w:w="2060" w:type="dxa"/>
            <w:vAlign w:val="bottom"/>
            <w:tcBorders>
              <w:bottom w:val="single" w:sz="8" w:color="0000FF"/>
            </w:tcBorders>
            <w:gridSpan w:val="8"/>
          </w:tcPr>
          <w:p>
            <w:pPr>
              <w:spacing w:after="0"/>
              <w:rPr>
                <w:sz w:val="20"/>
                <w:szCs w:val="20"/>
                <w:color w:val="auto"/>
              </w:rPr>
            </w:pPr>
            <w:r>
              <w:rPr>
                <w:rFonts w:ascii="Arial" w:cs="Arial" w:eastAsia="Arial" w:hAnsi="Arial"/>
                <w:sz w:val="16"/>
                <w:szCs w:val="16"/>
                <w:color w:val="0000FF"/>
                <w:w w:val="91"/>
              </w:rPr>
              <w:t>Defaults upon Senior Securities</w:t>
            </w:r>
          </w:p>
        </w:tc>
        <w:tc>
          <w:tcPr>
            <w:tcW w:w="5600" w:type="dxa"/>
            <w:vAlign w:val="bottom"/>
            <w:gridSpan w:val="5"/>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51">
              <w:r>
                <w:rPr>
                  <w:rFonts w:ascii="Arial" w:cs="Arial" w:eastAsia="Arial" w:hAnsi="Arial"/>
                  <w:sz w:val="15"/>
                  <w:szCs w:val="15"/>
                  <w:color w:val="0000EE"/>
                  <w:w w:val="71"/>
                </w:rPr>
                <w:t>50</w:t>
              </w:r>
            </w:hyperlink>
          </w:p>
        </w:tc>
      </w:tr>
      <w:tr>
        <w:trPr>
          <w:trHeight w:val="237"/>
        </w:trPr>
        <w:tc>
          <w:tcPr>
            <w:tcW w:w="460" w:type="dxa"/>
            <w:vAlign w:val="bottom"/>
          </w:tcPr>
          <w:p>
            <w:pPr>
              <w:spacing w:after="0"/>
              <w:rPr>
                <w:sz w:val="20"/>
                <w:szCs w:val="20"/>
                <w:color w:val="auto"/>
              </w:rPr>
            </w:pPr>
            <w:r>
              <w:rPr>
                <w:rFonts w:ascii="Arial" w:cs="Arial" w:eastAsia="Arial" w:hAnsi="Arial"/>
                <w:sz w:val="16"/>
                <w:szCs w:val="16"/>
                <w:color w:val="0000FF"/>
                <w:w w:val="85"/>
              </w:rPr>
              <w:t>Item 4.</w:t>
            </w:r>
          </w:p>
        </w:tc>
        <w:tc>
          <w:tcPr>
            <w:tcW w:w="580" w:type="dxa"/>
            <w:vAlign w:val="bottom"/>
            <w:gridSpan w:val="5"/>
          </w:tcPr>
          <w:p>
            <w:pPr>
              <w:spacing w:after="0"/>
              <w:rPr>
                <w:sz w:val="20"/>
                <w:szCs w:val="20"/>
                <w:color w:val="auto"/>
              </w:rPr>
            </w:pPr>
          </w:p>
        </w:tc>
        <w:tc>
          <w:tcPr>
            <w:tcW w:w="7660" w:type="dxa"/>
            <w:vAlign w:val="bottom"/>
            <w:gridSpan w:val="13"/>
          </w:tcPr>
          <w:p>
            <w:pPr>
              <w:spacing w:after="0"/>
              <w:rPr>
                <w:sz w:val="20"/>
                <w:szCs w:val="20"/>
                <w:color w:val="auto"/>
              </w:rPr>
            </w:pPr>
            <w:r>
              <w:rPr>
                <w:rFonts w:ascii="Arial" w:cs="Arial" w:eastAsia="Arial" w:hAnsi="Arial"/>
                <w:sz w:val="16"/>
                <w:szCs w:val="16"/>
                <w:color w:val="0000FF"/>
              </w:rPr>
              <w:t>Mine Safety Disclosures</w:t>
            </w:r>
          </w:p>
        </w:tc>
        <w:tc>
          <w:tcPr>
            <w:tcW w:w="2020" w:type="dxa"/>
            <w:vAlign w:val="bottom"/>
            <w:gridSpan w:val="3"/>
          </w:tcPr>
          <w:p>
            <w:pPr>
              <w:jc w:val="center"/>
              <w:ind w:left="1779"/>
              <w:spacing w:after="0"/>
              <w:rPr>
                <w:rFonts w:ascii="Arial" w:cs="Arial" w:eastAsia="Arial" w:hAnsi="Arial"/>
                <w:sz w:val="16"/>
                <w:szCs w:val="16"/>
                <w:color w:val="0000EE"/>
                <w:w w:val="89"/>
              </w:rPr>
            </w:pPr>
            <w:hyperlink w:anchor="page51">
              <w:r>
                <w:rPr>
                  <w:rFonts w:ascii="Arial" w:cs="Arial" w:eastAsia="Arial" w:hAnsi="Arial"/>
                  <w:sz w:val="16"/>
                  <w:szCs w:val="16"/>
                  <w:color w:val="0000EE"/>
                  <w:w w:val="89"/>
                </w:rPr>
                <w:t>50</w:t>
              </w:r>
            </w:hyperlink>
          </w:p>
        </w:tc>
      </w:tr>
      <w:tr>
        <w:trPr>
          <w:trHeight w:val="237"/>
        </w:trPr>
        <w:tc>
          <w:tcPr>
            <w:tcW w:w="46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6"/>
                <w:szCs w:val="16"/>
                <w:color w:val="0000FF"/>
                <w:w w:val="85"/>
              </w:rPr>
              <w:t>Item 5.</w:t>
            </w:r>
          </w:p>
        </w:tc>
        <w:tc>
          <w:tcPr>
            <w:tcW w:w="580" w:type="dxa"/>
            <w:vAlign w:val="bottom"/>
            <w:gridSpan w:val="5"/>
          </w:tcPr>
          <w:p>
            <w:pPr>
              <w:spacing w:after="0"/>
              <w:rPr>
                <w:sz w:val="20"/>
                <w:szCs w:val="20"/>
                <w:color w:val="auto"/>
              </w:rPr>
            </w:pPr>
          </w:p>
        </w:tc>
        <w:tc>
          <w:tcPr>
            <w:tcW w:w="118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93"/>
              </w:rPr>
              <w:t>Other Information</w:t>
            </w:r>
          </w:p>
        </w:tc>
        <w:tc>
          <w:tcPr>
            <w:tcW w:w="400" w:type="dxa"/>
            <w:vAlign w:val="bottom"/>
            <w:tcBorders>
              <w:top w:val="single" w:sz="8" w:color="0000FF"/>
            </w:tcBorders>
            <w:gridSpan w:val="3"/>
          </w:tcPr>
          <w:p>
            <w:pPr>
              <w:spacing w:after="0"/>
              <w:rPr>
                <w:sz w:val="20"/>
                <w:szCs w:val="20"/>
                <w:color w:val="auto"/>
              </w:rPr>
            </w:pPr>
          </w:p>
        </w:tc>
        <w:tc>
          <w:tcPr>
            <w:tcW w:w="6080" w:type="dxa"/>
            <w:vAlign w:val="bottom"/>
            <w:gridSpan w:val="7"/>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top w:val="single" w:sz="8" w:color="0000EE"/>
              <w:bottom w:val="single" w:sz="8" w:color="0000EE"/>
            </w:tcBorders>
            <w:gridSpan w:val="2"/>
          </w:tcPr>
          <w:p>
            <w:pPr>
              <w:jc w:val="center"/>
              <w:spacing w:after="0"/>
              <w:rPr>
                <w:rFonts w:ascii="Arial" w:cs="Arial" w:eastAsia="Arial" w:hAnsi="Arial"/>
                <w:sz w:val="15"/>
                <w:szCs w:val="15"/>
                <w:color w:val="0000EE"/>
                <w:w w:val="71"/>
              </w:rPr>
            </w:pPr>
            <w:hyperlink w:anchor="page51">
              <w:r>
                <w:rPr>
                  <w:rFonts w:ascii="Arial" w:cs="Arial" w:eastAsia="Arial" w:hAnsi="Arial"/>
                  <w:sz w:val="15"/>
                  <w:szCs w:val="15"/>
                  <w:color w:val="0000EE"/>
                  <w:w w:val="71"/>
                </w:rPr>
                <w:t>50</w:t>
              </w:r>
            </w:hyperlink>
          </w:p>
        </w:tc>
      </w:tr>
      <w:tr>
        <w:trPr>
          <w:trHeight w:val="237"/>
        </w:trPr>
        <w:tc>
          <w:tcPr>
            <w:tcW w:w="4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85"/>
              </w:rPr>
              <w:t>Item 6.</w:t>
            </w:r>
          </w:p>
        </w:tc>
        <w:tc>
          <w:tcPr>
            <w:tcW w:w="580" w:type="dxa"/>
            <w:vAlign w:val="bottom"/>
            <w:gridSpan w:val="5"/>
          </w:tcPr>
          <w:p>
            <w:pPr>
              <w:spacing w:after="0"/>
              <w:rPr>
                <w:sz w:val="20"/>
                <w:szCs w:val="20"/>
                <w:color w:val="auto"/>
              </w:rPr>
            </w:pPr>
          </w:p>
        </w:tc>
        <w:tc>
          <w:tcPr>
            <w:tcW w:w="54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2"/>
              </w:rPr>
              <w:t>Exhibits</w:t>
            </w:r>
          </w:p>
        </w:tc>
        <w:tc>
          <w:tcPr>
            <w:tcW w:w="7120" w:type="dxa"/>
            <w:vAlign w:val="bottom"/>
            <w:gridSpan w:val="12"/>
          </w:tcPr>
          <w:p>
            <w:pPr>
              <w:spacing w:after="0"/>
              <w:rPr>
                <w:sz w:val="20"/>
                <w:szCs w:val="20"/>
                <w:color w:val="auto"/>
              </w:rPr>
            </w:pPr>
          </w:p>
        </w:tc>
        <w:tc>
          <w:tcPr>
            <w:tcW w:w="1900" w:type="dxa"/>
            <w:vAlign w:val="bottom"/>
          </w:tcPr>
          <w:p>
            <w:pPr>
              <w:spacing w:after="0"/>
              <w:rPr>
                <w:sz w:val="20"/>
                <w:szCs w:val="20"/>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51">
              <w:r>
                <w:rPr>
                  <w:rFonts w:ascii="Arial" w:cs="Arial" w:eastAsia="Arial" w:hAnsi="Arial"/>
                  <w:sz w:val="15"/>
                  <w:szCs w:val="15"/>
                  <w:color w:val="0000EE"/>
                  <w:w w:val="71"/>
                </w:rPr>
                <w:t>50</w:t>
              </w:r>
            </w:hyperlink>
          </w:p>
        </w:tc>
      </w:tr>
      <w:tr>
        <w:trPr>
          <w:trHeight w:val="534"/>
        </w:trPr>
        <w:tc>
          <w:tcPr>
            <w:tcW w:w="6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86"/>
              </w:rPr>
              <w:t>Signatures</w:t>
            </w: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Borders>
              <w:bottom w:val="single" w:sz="8" w:color="0000EE"/>
            </w:tcBorders>
            <w:gridSpan w:val="2"/>
          </w:tcPr>
          <w:p>
            <w:pPr>
              <w:jc w:val="center"/>
              <w:spacing w:after="0"/>
              <w:rPr>
                <w:rFonts w:ascii="Arial" w:cs="Arial" w:eastAsia="Arial" w:hAnsi="Arial"/>
                <w:sz w:val="15"/>
                <w:szCs w:val="15"/>
                <w:color w:val="0000EE"/>
                <w:w w:val="71"/>
              </w:rPr>
            </w:pPr>
            <w:hyperlink w:anchor="page52">
              <w:r>
                <w:rPr>
                  <w:rFonts w:ascii="Arial" w:cs="Arial" w:eastAsia="Arial" w:hAnsi="Arial"/>
                  <w:sz w:val="15"/>
                  <w:szCs w:val="15"/>
                  <w:color w:val="0000EE"/>
                  <w:w w:val="71"/>
                </w:rPr>
                <w:t>52</w:t>
              </w:r>
            </w:hyperlink>
          </w:p>
        </w:tc>
      </w:tr>
    </w:tbl>
    <w:p>
      <w:pPr>
        <w:spacing w:after="0" w:line="200" w:lineRule="exact"/>
        <w:rPr>
          <w:sz w:val="20"/>
          <w:szCs w:val="20"/>
          <w:color w:val="auto"/>
        </w:rPr>
      </w:pPr>
    </w:p>
    <w:p>
      <w:pPr>
        <w:spacing w:after="0" w:line="2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20"/>
          </w:cols>
          <w:pgMar w:left="280" w:top="580"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271780</wp:posOffset>
            </wp:positionV>
            <wp:extent cx="2238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71"/>
              <w:spacing w:after="0"/>
              <w:rPr>
                <w:sz w:val="20"/>
                <w:szCs w:val="20"/>
                <w:color w:val="auto"/>
              </w:rPr>
            </w:pPr>
            <w:r>
              <w:rPr>
                <w:rFonts w:ascii="Arial" w:cs="Arial" w:eastAsia="Arial" w:hAnsi="Arial"/>
                <w:sz w:val="14"/>
                <w:szCs w:val="14"/>
                <w:b w:val="1"/>
                <w:bCs w:val="1"/>
                <w:color w:val="auto"/>
                <w:w w:val="94"/>
              </w:rPr>
              <w:t>March 31, 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270"/>
        </w:trPr>
        <w:tc>
          <w:tcPr>
            <w:tcW w:w="79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Agency securities, at fair value (including pledged securities of $51,850 and $62,205, respectively)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54,960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64,482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w w:val="91"/>
              </w:rPr>
              <w:t>Agency securities transferred to consolidated variable interest entities, at fair value (pledged securities)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U.S. Treasury securities, at fair value (including pledged securities of $196 and $3,778,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REIT equity securities, at fair value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assets, at fair value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Receivable for securities sold (including pledged securities of $772 and $622, respectively)</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 under reverse repurchase agreements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67,318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76,255</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agreements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63,533</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Debt of consolidated variable interest entities, at fair value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874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Payable for securities purchased</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Derivative liabilities, at fair value</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9"/>
        </w:trPr>
        <w:tc>
          <w:tcPr>
            <w:tcW w:w="7900" w:type="dxa"/>
            <w:vAlign w:val="bottom"/>
          </w:tcPr>
          <w:p>
            <w:pPr>
              <w:ind w:left="380"/>
              <w:spacing w:after="0"/>
              <w:rPr>
                <w:sz w:val="20"/>
                <w:szCs w:val="20"/>
                <w:color w:val="auto"/>
              </w:rPr>
            </w:pPr>
            <w:r>
              <w:rPr>
                <w:rFonts w:ascii="Arial" w:cs="Arial" w:eastAsia="Arial" w:hAnsi="Arial"/>
                <w:sz w:val="18"/>
                <w:szCs w:val="18"/>
                <w:color w:val="auto"/>
              </w:rPr>
              <w:t>Obligation to return securities borrowed under reverse repurchase agreements, at</w:t>
            </w:r>
          </w:p>
        </w:tc>
        <w:tc>
          <w:tcPr>
            <w:tcW w:w="2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380"/>
              <w:spacing w:after="0"/>
              <w:rPr>
                <w:sz w:val="20"/>
                <w:szCs w:val="20"/>
                <w:color w:val="auto"/>
              </w:rPr>
            </w:pPr>
            <w:r>
              <w:rPr>
                <w:rFonts w:ascii="Arial" w:cs="Arial" w:eastAsia="Arial" w:hAnsi="Arial"/>
                <w:sz w:val="18"/>
                <w:szCs w:val="18"/>
                <w:color w:val="auto"/>
              </w:rPr>
              <w:t>fair value</w:t>
            </w:r>
          </w:p>
        </w:tc>
        <w:tc>
          <w:tcPr>
            <w:tcW w:w="240" w:type="dxa"/>
            <w:vAlign w:val="bottom"/>
          </w:tcPr>
          <w:p>
            <w:pPr>
              <w:spacing w:after="0"/>
              <w:rPr>
                <w:sz w:val="20"/>
                <w:szCs w:val="20"/>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3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58,504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67,558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 $0.01 par value; 10.0 shares authorized:</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96"/>
              </w:rPr>
              <w:t>8.000% Series A Cumulative Redeemable Preferred Stock; 6.9 shares issued and outstanding</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(aggregate liquidation preference of $173)</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Common stock - $0.01 par value; 600.0 shares authorized:</w:t>
            </w:r>
          </w:p>
        </w:tc>
        <w:tc>
          <w:tcPr>
            <w:tcW w:w="2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352.8 and 356.2 shares issued and outstanding, respectively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480" w:type="dxa"/>
            <w:vAlign w:val="bottom"/>
          </w:tcPr>
          <w:p>
            <w:pPr>
              <w:jc w:val="right"/>
              <w:ind w:right="31"/>
              <w:spacing w:after="0"/>
              <w:rPr>
                <w:sz w:val="20"/>
                <w:szCs w:val="20"/>
                <w:color w:val="auto"/>
              </w:rPr>
            </w:pPr>
            <w:r>
              <w:rPr>
                <w:rFonts w:ascii="Arial" w:cs="Arial" w:eastAsia="Arial" w:hAnsi="Arial"/>
                <w:sz w:val="18"/>
                <w:szCs w:val="18"/>
                <w:color w:val="auto"/>
              </w:rPr>
              <w:t>10,332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deficit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(loss) income</w:t>
            </w:r>
          </w:p>
        </w:tc>
        <w:tc>
          <w:tcPr>
            <w:tcW w:w="2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57"/>
        </w:trPr>
        <w:tc>
          <w:tcPr>
            <w:tcW w:w="790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67,318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76,255</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4"/>
          </w:tcPr>
          <w:p>
            <w:pPr>
              <w:jc w:val="right"/>
              <w:ind w:right="10"/>
              <w:spacing w:after="0"/>
              <w:rPr>
                <w:sz w:val="20"/>
                <w:szCs w:val="20"/>
                <w:color w:val="auto"/>
              </w:rPr>
            </w:pPr>
            <w:r>
              <w:rPr>
                <w:rFonts w:ascii="Arial" w:cs="Arial" w:eastAsia="Arial" w:hAnsi="Arial"/>
                <w:sz w:val="16"/>
                <w:szCs w:val="16"/>
                <w:b w:val="1"/>
                <w:bCs w:val="1"/>
                <w:color w:val="auto"/>
                <w:w w:val="90"/>
              </w:rPr>
              <w:t>Three months ended March 31,</w:t>
            </w:r>
          </w:p>
        </w:tc>
      </w:tr>
      <w:tr>
        <w:trPr>
          <w:trHeight w:val="33"/>
        </w:trPr>
        <w:tc>
          <w:tcPr>
            <w:tcW w:w="9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9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6"/>
                <w:szCs w:val="16"/>
                <w:b w:val="1"/>
                <w:bCs w:val="1"/>
                <w:color w:val="auto"/>
              </w:rPr>
              <w:t>2013</w:t>
            </w:r>
          </w:p>
        </w:tc>
      </w:tr>
      <w:tr>
        <w:trPr>
          <w:trHeight w:val="33"/>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547</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37"/>
        </w:trPr>
        <w:tc>
          <w:tcPr>
            <w:tcW w:w="9020" w:type="dxa"/>
            <w:vAlign w:val="bottom"/>
          </w:tcPr>
          <w:p>
            <w:pPr>
              <w:ind w:left="720"/>
              <w:spacing w:after="0"/>
              <w:rPr>
                <w:sz w:val="20"/>
                <w:szCs w:val="20"/>
                <w:color w:val="auto"/>
              </w:rPr>
            </w:pPr>
            <w:r>
              <w:rPr>
                <w:rFonts w:ascii="Arial" w:cs="Arial" w:eastAsia="Arial" w:hAnsi="Arial"/>
                <w:sz w:val="18"/>
                <w:szCs w:val="18"/>
                <w:color w:val="auto"/>
              </w:rPr>
              <w:t>Net interest income</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407</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loss,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Loss on sale of agency securities, net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derivative instruments and other securities, net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7"/>
        </w:trPr>
        <w:tc>
          <w:tcPr>
            <w:tcW w:w="9020" w:type="dxa"/>
            <w:vAlign w:val="bottom"/>
          </w:tcPr>
          <w:p>
            <w:pPr>
              <w:ind w:left="720"/>
              <w:spacing w:after="0"/>
              <w:rPr>
                <w:sz w:val="20"/>
                <w:szCs w:val="20"/>
                <w:color w:val="auto"/>
              </w:rPr>
            </w:pPr>
            <w:r>
              <w:rPr>
                <w:rFonts w:ascii="Arial" w:cs="Arial" w:eastAsia="Arial" w:hAnsi="Arial"/>
                <w:sz w:val="18"/>
                <w:szCs w:val="18"/>
                <w:color w:val="auto"/>
              </w:rPr>
              <w:t>Total other loss, net</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Management fees</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33</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w:t>
            </w:r>
          </w:p>
        </w:tc>
      </w:tr>
      <w:tr>
        <w:trPr>
          <w:trHeight w:val="237"/>
        </w:trPr>
        <w:tc>
          <w:tcPr>
            <w:tcW w:w="9020" w:type="dxa"/>
            <w:vAlign w:val="bottom"/>
          </w:tcPr>
          <w:p>
            <w:pPr>
              <w:ind w:left="72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before income tax</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Provision for income tax, net</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Dividend on preferred stock</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(attributable) available to common shareholders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311"/>
        </w:trPr>
        <w:tc>
          <w:tcPr>
            <w:tcW w:w="9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(loss) on available-for-sale securities,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43"/>
        </w:trPr>
        <w:tc>
          <w:tcPr>
            <w:tcW w:w="9020" w:type="dxa"/>
            <w:vAlign w:val="bottom"/>
          </w:tcPr>
          <w:p>
            <w:pPr>
              <w:ind w:left="380"/>
              <w:spacing w:after="0"/>
              <w:rPr>
                <w:sz w:val="20"/>
                <w:szCs w:val="20"/>
                <w:color w:val="auto"/>
              </w:rPr>
            </w:pPr>
            <w:r>
              <w:rPr>
                <w:rFonts w:ascii="Arial" w:cs="Arial" w:eastAsia="Arial" w:hAnsi="Arial"/>
                <w:sz w:val="18"/>
                <w:szCs w:val="18"/>
                <w:color w:val="auto"/>
              </w:rPr>
              <w:t>Unrealized gain on derivative instruments, net</w:t>
            </w:r>
          </w:p>
        </w:tc>
        <w:tc>
          <w:tcPr>
            <w:tcW w:w="1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on preferred stock</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97"/>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income (loss) available (attributable) to common shareholders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r>
      <w:tr>
        <w:trPr>
          <w:trHeight w:val="311"/>
        </w:trPr>
        <w:tc>
          <w:tcPr>
            <w:tcW w:w="90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304"/>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Weighted average number of common shares outstanding - basic and diluted</w:t>
            </w: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354.8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356.2</w:t>
            </w:r>
          </w:p>
        </w:tc>
      </w:tr>
      <w:tr>
        <w:trPr>
          <w:trHeight w:val="251"/>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 income per common share - basic and diluted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0.64</w:t>
            </w: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91"/>
        </w:trPr>
        <w:tc>
          <w:tcPr>
            <w:tcW w:w="902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Comprehensive income (loss) per common share - basic and diluted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r>
      <w:tr>
        <w:trPr>
          <w:trHeight w:val="251"/>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1340" w:type="dxa"/>
            <w:vAlign w:val="bottom"/>
            <w:gridSpan w:val="4"/>
            <w:vMerge w:val="restart"/>
          </w:tcPr>
          <w:p>
            <w:pPr>
              <w:jc w:val="right"/>
              <w:ind w:right="90"/>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vMerge w:val="restart"/>
          </w:tcPr>
          <w:p>
            <w:pPr>
              <w:spacing w:after="0"/>
              <w:rPr>
                <w:sz w:val="14"/>
                <w:szCs w:val="14"/>
                <w:color w:val="auto"/>
              </w:rPr>
            </w:pPr>
          </w:p>
        </w:tc>
        <w:tc>
          <w:tcPr>
            <w:tcW w:w="12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580" w:type="dxa"/>
            <w:vAlign w:val="bottom"/>
          </w:tcPr>
          <w:p>
            <w:pPr>
              <w:spacing w:after="0"/>
              <w:rPr>
                <w:sz w:val="13"/>
                <w:szCs w:val="13"/>
                <w:color w:val="auto"/>
              </w:rPr>
            </w:pPr>
          </w:p>
        </w:tc>
        <w:tc>
          <w:tcPr>
            <w:tcW w:w="1340" w:type="dxa"/>
            <w:vAlign w:val="bottom"/>
            <w:tcBorders>
              <w:bottom w:val="single" w:sz="8" w:color="auto"/>
            </w:tcBorders>
            <w:gridSpan w:val="4"/>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8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358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0"/>
                <w:szCs w:val="10"/>
                <w:color w:val="auto"/>
              </w:rPr>
            </w:pPr>
          </w:p>
        </w:tc>
        <w:tc>
          <w:tcPr>
            <w:tcW w:w="10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260" w:type="dxa"/>
            <w:vAlign w:val="bottom"/>
          </w:tcPr>
          <w:p>
            <w:pPr>
              <w:spacing w:after="0"/>
              <w:rPr>
                <w:sz w:val="10"/>
                <w:szCs w:val="10"/>
                <w:color w:val="auto"/>
              </w:rPr>
            </w:pPr>
          </w:p>
        </w:tc>
        <w:tc>
          <w:tcPr>
            <w:tcW w:w="8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3"/>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(Deficit)Earnings</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2012</w:t>
            </w:r>
          </w:p>
        </w:tc>
        <w:tc>
          <w:tcPr>
            <w:tcW w:w="5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10,896</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Net income</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comprehensive (loss) income:</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380"/>
              <w:spacing w:after="0"/>
              <w:rPr>
                <w:sz w:val="20"/>
                <w:szCs w:val="20"/>
                <w:color w:val="auto"/>
              </w:rPr>
            </w:pPr>
            <w:r>
              <w:rPr>
                <w:rFonts w:ascii="Arial" w:cs="Arial" w:eastAsia="Arial" w:hAnsi="Arial"/>
                <w:sz w:val="18"/>
                <w:szCs w:val="18"/>
                <w:color w:val="auto"/>
              </w:rPr>
              <w:t>Unrealized loss on available-for-sale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Unrealized gain on derivative instruments,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Issuance of common stock</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Preferred dividends declared</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Common dividends declared</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31, 2013</w:t>
            </w: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396.5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11,261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767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11,642</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December 31, 2013</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8,697</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Other comprehensive income:</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580" w:type="dxa"/>
            <w:vAlign w:val="bottom"/>
          </w:tcPr>
          <w:p>
            <w:pPr>
              <w:ind w:left="380"/>
              <w:spacing w:after="0"/>
              <w:rPr>
                <w:sz w:val="20"/>
                <w:szCs w:val="20"/>
                <w:color w:val="auto"/>
              </w:rPr>
            </w:pPr>
            <w:r>
              <w:rPr>
                <w:rFonts w:ascii="Arial" w:cs="Arial" w:eastAsia="Arial" w:hAnsi="Arial"/>
                <w:sz w:val="18"/>
                <w:szCs w:val="18"/>
                <w:color w:val="auto"/>
              </w:rPr>
              <w:t>Unrealized gain on available-for-sale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380"/>
              <w:spacing w:after="0"/>
              <w:rPr>
                <w:sz w:val="20"/>
                <w:szCs w:val="20"/>
                <w:color w:val="auto"/>
              </w:rPr>
            </w:pPr>
            <w:r>
              <w:rPr>
                <w:rFonts w:ascii="Arial" w:cs="Arial" w:eastAsia="Arial" w:hAnsi="Arial"/>
                <w:sz w:val="18"/>
                <w:szCs w:val="18"/>
                <w:color w:val="auto"/>
              </w:rPr>
              <w:t>securities, net</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Unrealized gain on derivative instruments,</w:t>
            </w: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Repurchase of common stock</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Preferred dividends declared</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580" w:type="dxa"/>
            <w:vAlign w:val="bottom"/>
          </w:tcPr>
          <w:p>
            <w:pPr>
              <w:ind w:left="540"/>
              <w:spacing w:after="0"/>
              <w:rPr>
                <w:sz w:val="20"/>
                <w:szCs w:val="20"/>
                <w:color w:val="auto"/>
              </w:rPr>
            </w:pPr>
            <w:r>
              <w:rPr>
                <w:rFonts w:ascii="Arial" w:cs="Arial" w:eastAsia="Arial" w:hAnsi="Arial"/>
                <w:sz w:val="18"/>
                <w:szCs w:val="18"/>
                <w:color w:val="auto"/>
              </w:rPr>
              <w:t>Common dividends declared</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35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March 31, 2014</w:t>
            </w: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8,814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33"/>
        </w:trPr>
        <w:tc>
          <w:tcPr>
            <w:tcW w:w="8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b w:val="1"/>
                <w:bCs w:val="1"/>
                <w:color w:val="auto"/>
              </w:rPr>
              <w:t>2013</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231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Amortization of agency securities premiums and discounts,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134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w w:val="98"/>
              </w:rPr>
              <w:t>Amortization of accumulated other comprehensive loss on interest rate swaps de-designated as qualifying hedges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Loss on sale of agency securities, net</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Loss on derivative instruments and other securities,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Decrease in other assets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Decrease in accounts payable and other accrued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518</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Purchases of agency securities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(1,403)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(15,294)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sale of agency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19,568</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Principal collections on agency securities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1,853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2,634</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U.S. Treasury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(9,222)</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U.S. Treasury securities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12,807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10,001</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payments on reverse repurchase agreements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(473)</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proceeds from (payments on) other derivative instruments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Purchases of REIT equity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Proceeds from sale of REIT equity securities</w:t>
            </w:r>
          </w:p>
        </w:tc>
        <w:tc>
          <w:tcPr>
            <w:tcW w:w="2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in 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Other investing cash flows, net</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investing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13,244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6,785</w:t>
            </w:r>
          </w:p>
        </w:tc>
      </w:tr>
      <w:tr>
        <w:trPr>
          <w:trHeight w:val="231"/>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Proceeds from repurchase arrangements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96,511</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Repayments on repurchase agreements</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(93,118)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(104,729)</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Repayments on debt of consolidated variable interest entities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proceeds from common stock issuances</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1,802</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Payments for common stock repurchases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Cash dividends paid</w:t>
            </w:r>
          </w:p>
        </w:tc>
        <w:tc>
          <w:tcPr>
            <w:tcW w:w="2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33"/>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(6,907)</w:t>
            </w:r>
          </w:p>
        </w:tc>
      </w:tr>
      <w:tr>
        <w:trPr>
          <w:trHeight w:val="217"/>
        </w:trPr>
        <w:tc>
          <w:tcPr>
            <w:tcW w:w="8340" w:type="dxa"/>
            <w:vAlign w:val="bottom"/>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396</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2,143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2,430</w:t>
            </w:r>
          </w:p>
        </w:tc>
      </w:tr>
      <w:tr>
        <w:trPr>
          <w:trHeight w:val="244"/>
        </w:trPr>
        <w:tc>
          <w:tcPr>
            <w:tcW w:w="83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1,726</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2,826</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Unaudited Interim Consolidated Financial Statements</w:t>
      </w:r>
    </w:p>
    <w:p>
      <w:pPr>
        <w:spacing w:after="0" w:line="9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unaudited interim consolidated financial statements of American Capital Agency Corp. (referred throughout this report as the "Company", "we", "us" and "our") are prepared in accordance with U.S. generally accepted accounting principles ("GAAP") for interim financial information and pursuant to the requirements for reporting on Form 10-Q and Article 10 of Regulation S-X.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income and expenses during the reporting period. Actual results could differ from those estimates.</w:t>
      </w:r>
    </w:p>
    <w:p>
      <w:pPr>
        <w:spacing w:after="0" w:line="13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unaudited interim consolidated financial statements include the accounts of our wholly-owned subsidiary, American Capital Agency TRS, LLC, and variable interest entities for which the Company is the primary beneficiary. Significant intercompany accounts and transactions have been eliminated. In the opinion of management, all adjustments, consisting solely of normal recurring accruals, necessary for the fair presentation of financial statements for the interim period have been included. The current period’s results of operations are not necessarily indicative of results that ultimately may be achieved for the year.</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Organization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were organized in Delaware on January 7, 2008, and commenced operations on May 20, 2008 following the completion of our initial public offering ("IPO"). Our common stock is traded on The NASDAQ Global Select Market under the symbol "AGNC."</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We are externally managed by American Capital AGNC Management, LLC (our "Manager"), an affiliate of American Capital, Ltd. ("American Capital").</w:t>
      </w:r>
    </w:p>
    <w:p>
      <w:pPr>
        <w:spacing w:after="0" w:line="116"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operate so as to qualify to be taxed as a real estate investment trust ("REIT") under the Internal Revenue Code of 1986, as amended (the "Internal Revenue Code"). As a REIT, we are required to distribute annually 90% of our taxable net income. As long as we continue to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1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agency debenture securities issued by Freddie Mac, Fannie Mae or the Federal Home Loan Bank ("FHLB") and in other assets reasonably related to agency securities.</w:t>
      </w:r>
    </w:p>
    <w:p>
      <w:pPr>
        <w:spacing w:after="0" w:line="1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principal objective is to preserve our net asset value (also referred to as "net book value", "NAV" and "stockholders' equity") while generating attractive risk-adjusted returns for distribution to our stockholders through regular quarterly dividends from the combination of our net interest income and net realized gains and losses on our investments and hedging activities. We fund our investments primarily through short-term borrowings structured as repurchase agreements.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 xml:space="preserve">ASC Topic 320, </w:t>
      </w:r>
      <w:r>
        <w:rPr>
          <w:rFonts w:ascii="Arial" w:cs="Arial" w:eastAsia="Arial" w:hAnsi="Arial"/>
          <w:sz w:val="18"/>
          <w:szCs w:val="18"/>
          <w:i w:val="1"/>
          <w:iCs w:val="1"/>
          <w:color w:val="auto"/>
        </w:rPr>
        <w:t>Investments—Debt and Equity Securities</w:t>
      </w:r>
      <w:r>
        <w:rPr>
          <w:rFonts w:ascii="Arial" w:cs="Arial" w:eastAsia="Arial" w:hAnsi="Arial"/>
          <w:sz w:val="18"/>
          <w:szCs w:val="18"/>
          <w:color w:val="auto"/>
        </w:rPr>
        <w:t xml:space="preserve"> ("ASC 320"), requires that at the time of purchase, we designate a security as held-to-maturity, available-for-sale or trading, depending on our ability and intent to hold such security to maturity. Securities classified as trading and available-for-sale are reported at fair value, while securities classified as held-to-maturity are reported at amortized cost. We may sell any of our agency securities as part of our overall management of our investment portfolio. Accordingly, we typically designate our agency securities as available-for-sale. All securities classified as available-for-sale are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reported at fair value, with unrealized gains and losses reported in accumulated other comprehensive income (loss) ("OCI"), a separate component of stockholders' equity. Upon the sale of a security, we determine the cost of the security and the amount of unrealized gains or losses to reclassify out of accumulated OCI into earnings based on the specific identification method.</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Interest-only securities and inverse interest-only securities (collectively referred to as "interest-only securities") represent our right to receive a specified proportion of the contractual interest flows of specific agency CMO securities. Principal-only securities represent our right to receive the contractual principal flows of specific agency CMO securities. Interest and principal-only securities are measured at fair value through earnings in gain (loss) on derivative instruments and other securities, net in our consolidated statements of comprehensive income. Our investments in interest and principal-only securities are included in agency securities, at fair value on the accompanying consolidated balance sheets.</w:t>
      </w:r>
    </w:p>
    <w:p>
      <w:pPr>
        <w:spacing w:after="0" w:line="1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REIT equity securities represent investments in the common stock of other publicly traded mortgage REITs that invest predominantly in agency MBS.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We designate our investments in REIT equity securities as trading securities and report them at fair value on the accompanying consolidated balance sheets.</w:t>
      </w:r>
    </w:p>
    <w:p>
      <w:pPr>
        <w:spacing w:after="0" w:line="18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estimate the fair value of our agency securities based on a market approach using "Level 2" inputs from third-party pricing services and non-binding dealer quotes derived from common market pricing methods. Such methods incorporate, but are not limited to, reported trades and executable bid and asked prices for similar securities, benchmark interest rate curves, such as the spread to the U.S. Treasury rate and interest rate swap curves, convexity, duration and the underlying characteristics of the particular security, including coupon, periodic and life caps, rate reset period, issuer, additional credit support and expected life of the security. We estimate the fair value of our REIT equity securities on a market approach using "Level 1" inputs based on quoted market prices. Refer to Note 8 for further discussion of fair value measurements.</w:t>
      </w:r>
    </w:p>
    <w:p>
      <w:pPr>
        <w:spacing w:after="0" w:line="124"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We evaluate our agency securities for other-than-temporary impairment ("OTTI") on at least a quarterly basis. The determination of whether a security is other-than-temporarily impaired may involve judgments and assumptions based on subjective and objective factors. When a security is impaired, an OTTI is considered to have occurred if any one of the following three conditions exist as of the financial reporting date: (i) we intend to sell the security (that is, a decision has been made to sell the security), (ii) it is more likely than not that we will be required to sell the security before recovery of its amortized cost basis or (iii) we do not expect to recover the security's amortized cost basis, even if we do not intend to sell the security and it is not more likely than not that we will be required to sell the security. A general allowance for unidentified impairments in a portfolio of securities is not permitted.</w:t>
      </w:r>
    </w:p>
    <w:p>
      <w:pPr>
        <w:spacing w:after="0" w:line="111"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If either of the first two conditions exists as of the financial reporting date, the entire amount of the impairment loss, if any, is recognized in earnings as a realized loss and the cost basis of the security is adjusted to its fair value. If the third condition exists, the OTTI is separated into (i) the amount relating to credit loss (the "credit component") and (ii) the amount relating to all other factors (the "non-credit components"). Only the credit component is recognized in earnings, with the non-credit components recognized in OCI. However, in evaluating if the third condition exists, our investments in agency securities typically would not have a credit component since the principal and interest are guaranteed by a GSE and, therefore, any unrealized loss is not the result of a credit loss. In addition, since we designate our agency securities as available-for-sale securities with unrealized gains and losses recognized in OCI, any impairment loss for non-credit components is already recognized in OCI.</w:t>
      </w:r>
    </w:p>
    <w:p>
      <w:pPr>
        <w:spacing w:after="0" w:line="12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liquidity of the agency securities market allows us to obtain competitive bids and execute on a sale transaction typically within a day of making the decision to sell a security and, therefore, we generally do not make decisions to sell specific agency securities until shortly prior to initiating a sell order. In some instances, we may sell specific agency securities by delivering such securities into existing short to-be-announced ("TBA") contracts. TBA market conventions require the identification of the specific securities to be delivered no later than 48 hours prior to settlement. If we settle a short TBA contract through the delivery of securities, we will generally identify the specific securities to be delivered within one to two days of the 48-hour deadline.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7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8"/>
          <w:szCs w:val="18"/>
          <w:color w:val="auto"/>
        </w:rPr>
        <w:t xml:space="preserve">Interest income is accrued based on the outstanding principal amount of the investment securities and their contractual terms. Premiums or discounts associated with the purchase of investment securities are amortized or accreted into interest income, respectively, over the projected lives of the securities, including contractual payments and estimated prepayments using the interest method in accordance with ASC Subtopic 310-20, </w:t>
      </w:r>
      <w:r>
        <w:rPr>
          <w:rFonts w:ascii="Arial" w:cs="Arial" w:eastAsia="Arial" w:hAnsi="Arial"/>
          <w:sz w:val="18"/>
          <w:szCs w:val="18"/>
          <w:i w:val="1"/>
          <w:iCs w:val="1"/>
          <w:color w:val="auto"/>
        </w:rPr>
        <w:t>Receivables—Nonrefundable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Fees and Other Costs </w:t>
      </w:r>
      <w:r>
        <w:rPr>
          <w:rFonts w:ascii="Arial" w:cs="Arial" w:eastAsia="Arial" w:hAnsi="Arial"/>
          <w:sz w:val="18"/>
          <w:szCs w:val="18"/>
          <w:color w:val="auto"/>
        </w:rPr>
        <w:t>("ASC 310-20").</w:t>
      </w:r>
    </w:p>
    <w:p>
      <w:pPr>
        <w:spacing w:after="0" w:line="133"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estimate long-term prepayment speeds of our agency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volatility and other factors. We review the prepayment speeds estimated by the third-party service and compare the results to market consensus prepayment speeds, if available. We also consider historical prepayment speeds and current market conditions to validate the reasonableness of the prepayment speeds estimated by the third-party service and, based on our Manager's judgment, we may make adjustments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46" w:right="239" w:bottom="1440" w:gutter="0" w:footer="0" w:header="0"/>
        </w:sectPr>
      </w:pPr>
    </w:p>
    <w:bookmarkStart w:id="8" w:name="page9"/>
    <w:bookmarkEnd w:id="8"/>
    <w:p>
      <w:pPr>
        <w:jc w:val="both"/>
        <w:spacing w:after="0" w:line="279" w:lineRule="auto"/>
        <w:rPr>
          <w:sz w:val="20"/>
          <w:szCs w:val="20"/>
          <w:color w:val="auto"/>
        </w:rPr>
      </w:pPr>
      <w:r>
        <w:rPr>
          <w:rFonts w:ascii="Arial" w:cs="Arial" w:eastAsia="Arial" w:hAnsi="Arial"/>
          <w:sz w:val="17"/>
          <w:szCs w:val="17"/>
          <w:color w:val="auto"/>
        </w:rPr>
        <w:t>to its estimates. Actual and anticipated prepayment experience is reviewed quarterly and effective yields are recalculated when differences arise between (i) our previously estimated future prepayments and (ii) the actual prepayments to date plus our currently estimated future prepayments. If the actual and estimated future prepayment experience differs from our prior estimate of prepayments, we are required to record an adjustment in the current period to the amortization or accretion of premiums and discounts for the cumulative difference in the effective yield through the reporting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use a variety of derivative instruments to hedge a portion of our exposure to market risks, including interest rate risk, prepayment risk and extension risk.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principal instruments that we use are interest rate swaps and options to enter into interest rate swaps ("swaptions"). We also utilize forward contracts for the purchase or sale of agency MBS securities on a generic pool basis, or a TBA contract, and on a non-generic, specified pool basis, and we utilize U.S. Treasury securities and U.S. Treasury futures contracts, primarily through short sales. We may also purchase or write put or call options on TBA securities and we may invest in other types of mortgage derivatives, such as interest and principal-only securities.</w:t>
      </w:r>
    </w:p>
    <w:p>
      <w:pPr>
        <w:spacing w:after="0" w:line="13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may also enter into TBA contracts as a means of investing in and financing agency securities (thereby increasing our "at risk" leverage) or as a means of disposing of or reducing our exposure to agency securities (thereby reducing our "at risk" leverage). Pursuant to TBA contracts, we agree to purchase or sell, for future delivery, agency securities with certain principal and interest terms and certain types of collateral, but the particular agency securities to be delivered are not identified until shortly before the TBA settlement date. We also may choose, prior to settlement, to move the settlement of these securities out to a later date by entering into an offsetting short or long position (referred to as a "pair off"), net settling the paired off positions for cash, and simultaneously purchasing or selling a similar TBA contract for a later settlement date. This transaction is commonly referred to as a "dollar roll." The agency securities purchased or sold for a forward settlement date are typically priced at a discount to agency securities for settlement in the current month. This difference (or discount) is referred to as the "price drop." The price drop is the economic equivalent of net interest carry income on the underlying agency securities over the roll period (interest income less implied financing cost) and is commonly referred to as "dollar roll income/loss." Consequently, forward purchases of agency securities and dollar roll transactions represent a form of off-balance sheet financing.</w:t>
      </w:r>
    </w:p>
    <w:p>
      <w:pPr>
        <w:spacing w:after="0" w:line="12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 xml:space="preserve">We account for derivative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an entity to recognize all derivatives as either assets or liabilities in the balance sheet and to measure those instruments at fair value.</w:t>
      </w:r>
    </w:p>
    <w:p>
      <w:pPr>
        <w:spacing w:after="0" w:line="1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3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use of derivatives creates exposure to credit risk relating to potential losses that could be recognized in the event that the counterparties to these instruments fail to perform their obligations under the contracts. We attempt to minimize this risk by limiting our counterparties to major financial institutions with acceptable credit ratings, monitoring positions with individual counterparties and adjusting posted collateral as required.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Discontinuation of hedge accounting for interest rate swap agreements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Prior to September 30, 2011, we entered into interest rate swap agreements typically with the intention of qualifying for hedge accounting under ASC</w:t>
      </w:r>
    </w:p>
    <w:p>
      <w:pPr>
        <w:spacing w:after="0" w:line="46" w:lineRule="exact"/>
        <w:rPr>
          <w:sz w:val="20"/>
          <w:szCs w:val="20"/>
          <w:color w:val="auto"/>
        </w:rPr>
      </w:pPr>
    </w:p>
    <w:p>
      <w:pPr>
        <w:jc w:val="both"/>
        <w:ind w:firstLine="8"/>
        <w:spacing w:after="0" w:line="255" w:lineRule="auto"/>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However, as of September 30, 2011, we elected to discontinue hedge accounting for our interest rate swaps. Upon discontinuation of hedge accounting,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use interest rate swaps to hedge the variable cash flows associated with borrowings made under our repurchase agreement facilities. Under our interest rate swap agreements, we typically pay a fixed rate and receive a floating rate based on one, three or six-month LIBOR ("payer swaps") with terms up to 20 years. The floating rate we receive under our swap agreements has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46" w:right="239" w:bottom="1440" w:gutter="0" w:footer="0" w:header="0"/>
        </w:sectPr>
      </w:pPr>
    </w:p>
    <w:bookmarkStart w:id="9" w:name="page10"/>
    <w:bookmarkEnd w:id="9"/>
    <w:p>
      <w:pPr>
        <w:jc w:val="both"/>
        <w:ind w:right="20"/>
        <w:spacing w:after="0" w:line="342" w:lineRule="auto"/>
        <w:rPr>
          <w:sz w:val="20"/>
          <w:szCs w:val="20"/>
          <w:color w:val="auto"/>
        </w:rPr>
      </w:pPr>
      <w:r>
        <w:rPr>
          <w:rFonts w:ascii="Arial" w:cs="Arial" w:eastAsia="Arial" w:hAnsi="Arial"/>
          <w:sz w:val="16"/>
          <w:szCs w:val="16"/>
          <w:color w:val="auto"/>
        </w:rPr>
        <w:t>effect of offsetting the repricing characteristics of our repurchase agreements and cash flows on such liabilities. Our swap agreements are privately negotiated in the over−the−counter ("OTC") market and may be centrally cleared through a registered commodities exchange ("centrally cleared swaps").</w:t>
      </w:r>
    </w:p>
    <w:p>
      <w:pPr>
        <w:spacing w:after="0" w:line="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fair value of our centrally cleared interest rate swaps using the daily settlement price determined by the respective exchange. Centrally cleared swaps are valued by the exchange using a pricing model that references the underlying rates including the overnight index swap rate and LIBOR forward rate to produce the daily settlement price.</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We estimate the fair value of our "non-centrally cleared" swaps using a combination of inputs from counterparty and third-party pricing models to estimate the net present value of the future cash flows using the forward interest rate yield curve in effect as of the end of the measurement period. We also incorporate both our own and our counterparties' nonperformance risk in estimating the fair value of our interest rate swaps. In considering the effect of nonperformance risk, we consider the impact of netting and credit enhancements, such as collateral postings and guarantees, and have concluded that our own and our counterparty risk is not significant to the overall valuation of these agreements.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swaptions</w:t>
      </w:r>
    </w:p>
    <w:p>
      <w:pPr>
        <w:spacing w:after="0" w:line="171"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We purchase interest rate swaptions to help mitigate the potential impact of larger increases or decreases in interest rates on the performance of our investment portfolio (referred to as "convexity risk"). The interest rate swaptions provide us the option to enter into an interest rate swap agreement for a predetermined notional amount, stated term and pay and receive interest rates in the future. Our swaption agreements typically provide us the option to enter into a pay fixed rate interest rate swap, which we refer as "payer swaptions." We may also enter into swaption agreements that provide us the option to enter into a receive fixed interest rate swap, which we refer to as "receiver swaptions." The premium paid for interest rate swaptions is reported as an asset in our consolidated balance sheets. The premium is valued at an amount equal to the fair value of the swaption that would have the effect of closing the position adjusted for nonperformance risk, if any. The difference between the premium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received and the premium paid.</w:t>
      </w:r>
    </w:p>
    <w:p>
      <w:pPr>
        <w:spacing w:after="0" w:line="124"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Our interest rate swaption agreements are privately negotiated in the OTC market and are not subject to central clearing. We estimate the fair value of interest rate swaptions using a combination of inputs from counterparty and third-party pricing models based on the fair value of the future interest rate swap that we have the option to enter into as well as the remaining length of time that we have to exercise the option, adjusted for non-performance risk, if any.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TBA securities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 TBA security is a forward contract for the purchase ("long position") or sale ("short position") of agency MBS at a predetermined price, face amount, issuer, coupon and stated maturity on an agreed-upon future date. The specific agency MBS delivered into the contract upon the settlement date, published each month by the Securities Industry and Financial Markets Association, are not known at the time of the transaction. We may enter into TBA contracts as a means of hedging against short-term changes in interest rates. We may also enter into TBA contracts as a means of acquiring or disposing of agency securities and we may from time to time utilize TBA dollar roll transactions to finance agency MBS purchases.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account for TBA contracts as derivative instruments since either the TBA contracts do not settle in the shortest period of time possible or we cannot assert that it is probable at inception and throughout the term of the TBA contract that we will take physical delivery of the agency security upon settlement of the contract. We account for TBA dollar roll transactions as a series of derivative transactions. Gains, losses and dollar roll income associated with our TBA contracts and dollar roll transactions are recognized in our consolidated statements of comprehensive income in gain (loss) on derivative instruments and other securities, net.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estimate the fair value of TBA securities based on similar methods used to value our agency MBS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Treasury securities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purchase or sell short U.S. Treasury securities and U.S. Treasury futures contracts to help mitigate the potential impact of changes in interest rates on the performance of our portfolio. We borrow securities to cover short sales of U.S. Treasury securities under reverse repurchase agreements. We account for these as securities borrowing transactions and recognize an obligation to return the borrowed securities at fair value on the balance sheet based on the value of the underlying borrowed securities as of the reporting date. Gains and losses associated with purchases and short sales of U.S. Treasury securities and U.S. Treasury futures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46"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contracts are recognized in gain (loss) on derivative instruments and other securities, net in our consolidated statements of comprehensive income.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Securities</w:t>
      </w:r>
    </w:p>
    <w:p>
      <w:pPr>
        <w:spacing w:after="0" w:line="94"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As of March 31, 2014, we had agency MBS of $56.4 billion at fair value, with a total cost basis of $56.9 billion. The net unamortized premium balance on our agency MBS as of March 31, 2014 was $2.6 billion, including interest and principal-only strips. The following tables summarize our investments in agency MBS as of March 31, 2014 (dollars in millions):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March 31, 2014</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Fannie Mae</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Ginnie Mae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62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42,131</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11,730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54,070</w:t>
            </w:r>
          </w:p>
        </w:tc>
      </w:tr>
      <w:tr>
        <w:trPr>
          <w:trHeight w:val="276"/>
        </w:trPr>
        <w:tc>
          <w:tcPr>
            <w:tcW w:w="562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562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1,887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573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2,466</w:t>
            </w:r>
          </w:p>
        </w:tc>
      </w:tr>
      <w:tr>
        <w:trPr>
          <w:trHeight w:val="256"/>
        </w:trPr>
        <w:tc>
          <w:tcPr>
            <w:tcW w:w="562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44,001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12,297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215</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56,513</w:t>
            </w:r>
          </w:p>
        </w:tc>
      </w:tr>
      <w:tr>
        <w:trPr>
          <w:trHeight w:val="264"/>
        </w:trPr>
        <w:tc>
          <w:tcPr>
            <w:tcW w:w="562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18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335</w:t>
            </w:r>
          </w:p>
        </w:tc>
      </w:tr>
      <w:tr>
        <w:trPr>
          <w:trHeight w:val="270"/>
        </w:trPr>
        <w:tc>
          <w:tcPr>
            <w:tcW w:w="562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(903)</w:t>
            </w:r>
          </w:p>
        </w:tc>
      </w:tr>
      <w:tr>
        <w:trPr>
          <w:trHeight w:val="250"/>
        </w:trPr>
        <w:tc>
          <w:tcPr>
            <w:tcW w:w="562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43,593</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12,133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219</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55,945</w:t>
            </w: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remeasured at fair value through earnings:</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64"/>
        </w:trPr>
        <w:tc>
          <w:tcPr>
            <w:tcW w:w="562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8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415</w:t>
            </w:r>
          </w:p>
        </w:tc>
      </w:tr>
      <w:tr>
        <w:trPr>
          <w:trHeight w:val="276"/>
        </w:trPr>
        <w:tc>
          <w:tcPr>
            <w:tcW w:w="562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w:t>
            </w:r>
          </w:p>
        </w:tc>
      </w:tr>
      <w:tr>
        <w:trPr>
          <w:trHeight w:val="264"/>
        </w:trPr>
        <w:tc>
          <w:tcPr>
            <w:tcW w:w="562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w:t>
            </w:r>
          </w:p>
        </w:tc>
      </w:tr>
      <w:tr>
        <w:trPr>
          <w:trHeight w:val="250"/>
        </w:trPr>
        <w:tc>
          <w:tcPr>
            <w:tcW w:w="562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remeasured at fair value through earnings</w:t>
            </w: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432</w:t>
            </w:r>
          </w:p>
        </w:tc>
      </w:tr>
      <w:tr>
        <w:trPr>
          <w:trHeight w:val="283"/>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43,993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12,165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219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56,377</w:t>
            </w:r>
          </w:p>
        </w:tc>
      </w:tr>
      <w:tr>
        <w:trPr>
          <w:trHeight w:val="224"/>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March 31, 2014 </w:t>
            </w:r>
            <w:r>
              <w:rPr>
                <w:rFonts w:ascii="Arial" w:cs="Arial" w:eastAsia="Arial" w:hAnsi="Arial"/>
                <w:sz w:val="8"/>
                <w:szCs w:val="8"/>
                <w:color w:val="auto"/>
              </w:rPr>
              <w:t>2</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264"/>
        </w:trPr>
        <w:tc>
          <w:tcPr>
            <w:tcW w:w="562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March 31, 2014 </w:t>
            </w:r>
            <w:r>
              <w:rPr>
                <w:rFonts w:ascii="Arial" w:cs="Arial" w:eastAsia="Arial" w:hAnsi="Arial"/>
                <w:sz w:val="8"/>
                <w:szCs w:val="8"/>
                <w:color w:val="auto"/>
              </w:rPr>
              <w:t>3</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2.72%</w:t>
            </w:r>
          </w:p>
        </w:tc>
      </w:tr>
      <w:tr>
        <w:trPr>
          <w:trHeight w:val="276"/>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yield for the quarter ended March 31, 2014 </w:t>
            </w:r>
            <w:r>
              <w:rPr>
                <w:rFonts w:ascii="Arial" w:cs="Arial" w:eastAsia="Arial" w:hAnsi="Arial"/>
                <w:sz w:val="8"/>
                <w:szCs w:val="8"/>
                <w:color w:val="auto"/>
              </w:rPr>
              <w:t>3</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w:t>
            </w:r>
          </w:p>
        </w:tc>
      </w:tr>
      <w:tr>
        <w:trPr>
          <w:trHeight w:val="209"/>
        </w:trPr>
        <w:tc>
          <w:tcPr>
            <w:tcW w:w="552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underlying unamortized principal balance ("UPB" or "par value") of our interest-only agency MBS strips was $1.3 billion and the weighted average contractual interest we are entitled to receive was 5.49% of this amount as of March 31, 2014. The par value of our principal-only agency MBS strips was $265 million as of March 31, 2014.</w:t>
      </w:r>
    </w:p>
    <w:p>
      <w:pPr>
        <w:ind w:left="660" w:hanging="328"/>
        <w:spacing w:after="0" w:line="241" w:lineRule="auto"/>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March 31, 2014.</w:t>
      </w:r>
    </w:p>
    <w:p>
      <w:pPr>
        <w:ind w:left="660" w:hanging="328"/>
        <w:spacing w:after="0"/>
        <w:tabs>
          <w:tab w:leader="none" w:pos="66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8% based on forward rates as of March 31, 2014.</w:t>
      </w:r>
    </w:p>
    <w:p>
      <w:pPr>
        <w:spacing w:after="0" w:line="200" w:lineRule="exact"/>
        <w:rPr>
          <w:sz w:val="20"/>
          <w:szCs w:val="20"/>
          <w:color w:val="auto"/>
        </w:rPr>
      </w:pPr>
    </w:p>
    <w:p>
      <w:pPr>
        <w:spacing w:after="0" w:line="339"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w w:val="94"/>
              </w:rPr>
              <w:t>March 31, 2014</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Amortized</w:t>
            </w:r>
          </w:p>
        </w:tc>
        <w:tc>
          <w:tcPr>
            <w:tcW w:w="1080" w:type="dxa"/>
            <w:vAlign w:val="bottom"/>
          </w:tcPr>
          <w:p>
            <w:pPr>
              <w:jc w:val="center"/>
              <w:ind w:left="328"/>
              <w:spacing w:after="0" w:line="153" w:lineRule="exact"/>
              <w:rPr>
                <w:sz w:val="20"/>
                <w:szCs w:val="20"/>
                <w:color w:val="auto"/>
              </w:rPr>
            </w:pPr>
            <w:r>
              <w:rPr>
                <w:rFonts w:ascii="Arial" w:cs="Arial" w:eastAsia="Arial" w:hAnsi="Arial"/>
                <w:sz w:val="14"/>
                <w:szCs w:val="14"/>
                <w:b w:val="1"/>
                <w:bCs w:val="1"/>
                <w:color w:val="auto"/>
                <w:w w:val="88"/>
              </w:rPr>
              <w:t>Gross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left="288"/>
              <w:spacing w:after="0" w:line="153" w:lineRule="exact"/>
              <w:rPr>
                <w:sz w:val="20"/>
                <w:szCs w:val="20"/>
                <w:color w:val="auto"/>
              </w:rPr>
            </w:pPr>
            <w:r>
              <w:rPr>
                <w:rFonts w:ascii="Arial" w:cs="Arial" w:eastAsia="Arial" w:hAnsi="Arial"/>
                <w:sz w:val="14"/>
                <w:szCs w:val="14"/>
                <w:b w:val="1"/>
                <w:bCs w:val="1"/>
                <w:color w:val="auto"/>
                <w:w w:val="88"/>
              </w:rPr>
              <w:t>Gross</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Agency MBS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80" w:type="dxa"/>
            <w:vAlign w:val="bottom"/>
          </w:tcPr>
          <w:p>
            <w:pPr>
              <w:jc w:val="center"/>
              <w:ind w:left="328"/>
              <w:spacing w:after="0" w:line="149" w:lineRule="exact"/>
              <w:rPr>
                <w:sz w:val="20"/>
                <w:szCs w:val="20"/>
                <w:color w:val="auto"/>
              </w:rPr>
            </w:pPr>
            <w:r>
              <w:rPr>
                <w:rFonts w:ascii="Arial" w:cs="Arial" w:eastAsia="Arial" w:hAnsi="Arial"/>
                <w:sz w:val="14"/>
                <w:szCs w:val="14"/>
                <w:b w:val="1"/>
                <w:bCs w:val="1"/>
                <w:color w:val="auto"/>
                <w:w w:val="95"/>
              </w:rPr>
              <w:t>Unrealized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vMerge w:val="restart"/>
          </w:tcPr>
          <w:p>
            <w:pPr>
              <w:jc w:val="right"/>
              <w:ind w:right="3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rPr>
              <w:t>Gain</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85"/>
              </w:rPr>
              <w:t>Loss</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54,056</w:t>
            </w:r>
          </w:p>
        </w:tc>
        <w:tc>
          <w:tcPr>
            <w:tcW w:w="1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(902)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53,461</w:t>
            </w:r>
          </w:p>
        </w:tc>
        <w:tc>
          <w:tcPr>
            <w:tcW w:w="0" w:type="dxa"/>
            <w:vAlign w:val="bottom"/>
          </w:tcPr>
          <w:p>
            <w:pPr>
              <w:spacing w:after="0"/>
              <w:rPr>
                <w:sz w:val="1"/>
                <w:szCs w:val="1"/>
                <w:color w:val="auto"/>
              </w:rPr>
            </w:pPr>
          </w:p>
        </w:tc>
      </w:tr>
      <w:tr>
        <w:trPr>
          <w:trHeight w:val="264"/>
        </w:trPr>
        <w:tc>
          <w:tcPr>
            <w:tcW w:w="3700" w:type="dxa"/>
            <w:vAlign w:val="bottom"/>
            <w:gridSpan w:val="2"/>
          </w:tcPr>
          <w:p>
            <w:pPr>
              <w:ind w:left="20"/>
              <w:spacing w:after="0"/>
              <w:rPr>
                <w:sz w:val="20"/>
                <w:szCs w:val="20"/>
                <w:color w:val="auto"/>
              </w:rPr>
            </w:pPr>
            <w:r>
              <w:rPr>
                <w:rFonts w:ascii="Arial" w:cs="Arial" w:eastAsia="Arial" w:hAnsi="Arial"/>
                <w:sz w:val="14"/>
                <w:szCs w:val="14"/>
                <w:color w:val="auto"/>
              </w:rPr>
              <w:t>Adjustable rate</w:t>
            </w:r>
          </w:p>
        </w:tc>
        <w:tc>
          <w:tcPr>
            <w:tcW w:w="24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276"/>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CMO</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w:t>
            </w: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1,289</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Interest-only and principal-only strips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415</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agency MBS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56,928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4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(910)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56,377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46" w:right="239" w:bottom="1440" w:gutter="0" w:footer="0" w:header="0"/>
        </w:sectPr>
      </w:pPr>
    </w:p>
    <w:bookmarkStart w:id="11" w:name="page12"/>
    <w:bookmarkEnd w:id="11"/>
    <w:p>
      <w:pPr>
        <w:jc w:val="both"/>
        <w:ind w:firstLine="432"/>
        <w:spacing w:after="0" w:line="264" w:lineRule="auto"/>
        <w:rPr>
          <w:sz w:val="20"/>
          <w:szCs w:val="20"/>
          <w:color w:val="auto"/>
        </w:rPr>
      </w:pPr>
      <w:r>
        <w:rPr>
          <w:rFonts w:ascii="Arial" w:cs="Arial" w:eastAsia="Arial" w:hAnsi="Arial"/>
          <w:sz w:val="18"/>
          <w:szCs w:val="18"/>
          <w:color w:val="auto"/>
        </w:rPr>
        <w:t>As of December 31, 2013, we had agency MBS of $65.9 billion at fair value, with a total cost basis of $67.0 billion. The net unamortized premium balance on our agency MBS as of December 31, 2013 was $3.0 billion, including interest and principal-only strips. The following tables summarize our investments in agency MBS as of December 31, 2013 (dollars in millions):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December 31, 2013</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Agency MBS</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Fannie Mae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Freddie Mac</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Ginnie Mae</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Total</w:t>
            </w:r>
          </w:p>
        </w:tc>
      </w:tr>
      <w:tr>
        <w:trPr>
          <w:trHeight w:val="270"/>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Available-for-sale agency MBS: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5960" w:type="dxa"/>
            <w:vAlign w:val="bottom"/>
            <w:gridSpan w:val="2"/>
          </w:tcPr>
          <w:p>
            <w:pPr>
              <w:ind w:left="1200"/>
              <w:spacing w:after="0"/>
              <w:rPr>
                <w:sz w:val="20"/>
                <w:szCs w:val="20"/>
                <w:color w:val="auto"/>
              </w:rPr>
            </w:pPr>
            <w:r>
              <w:rPr>
                <w:rFonts w:ascii="Arial" w:cs="Arial" w:eastAsia="Arial" w:hAnsi="Arial"/>
                <w:sz w:val="14"/>
                <w:szCs w:val="14"/>
                <w:color w:val="auto"/>
              </w:rPr>
              <w:t>Agency MBS, par</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50,914</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12,640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63,777</w:t>
            </w:r>
          </w:p>
        </w:tc>
      </w:tr>
      <w:tr>
        <w:trPr>
          <w:trHeight w:val="276"/>
        </w:trPr>
        <w:tc>
          <w:tcPr>
            <w:tcW w:w="59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Unamortized discount</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w:t>
            </w:r>
          </w:p>
        </w:tc>
      </w:tr>
      <w:tr>
        <w:trPr>
          <w:trHeight w:val="264"/>
        </w:trPr>
        <w:tc>
          <w:tcPr>
            <w:tcW w:w="59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Unamortized premium</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2,210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631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2,848</w:t>
            </w:r>
          </w:p>
        </w:tc>
      </w:tr>
      <w:tr>
        <w:trPr>
          <w:trHeight w:val="256"/>
        </w:trPr>
        <w:tc>
          <w:tcPr>
            <w:tcW w:w="59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Amortized cost</w:t>
            </w: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53,099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13,264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66,593</w:t>
            </w:r>
          </w:p>
        </w:tc>
      </w:tr>
      <w:tr>
        <w:trPr>
          <w:trHeight w:val="264"/>
        </w:trPr>
        <w:tc>
          <w:tcPr>
            <w:tcW w:w="5960" w:type="dxa"/>
            <w:vAlign w:val="bottom"/>
            <w:gridSpan w:val="2"/>
          </w:tcPr>
          <w:p>
            <w:pPr>
              <w:ind w:left="1200"/>
              <w:spacing w:after="0"/>
              <w:rPr>
                <w:sz w:val="20"/>
                <w:szCs w:val="20"/>
                <w:color w:val="auto"/>
              </w:rPr>
            </w:pPr>
            <w:r>
              <w:rPr>
                <w:rFonts w:ascii="Arial" w:cs="Arial" w:eastAsia="Arial" w:hAnsi="Arial"/>
                <w:sz w:val="14"/>
                <w:szCs w:val="14"/>
                <w:color w:val="auto"/>
              </w:rPr>
              <w:t>Gross unrealized gains</w:t>
            </w:r>
          </w:p>
        </w:tc>
        <w:tc>
          <w:tcPr>
            <w:tcW w:w="2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260</w:t>
            </w:r>
          </w:p>
        </w:tc>
      </w:tr>
      <w:tr>
        <w:trPr>
          <w:trHeight w:val="270"/>
        </w:trPr>
        <w:tc>
          <w:tcPr>
            <w:tcW w:w="59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losses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(1,349)</w:t>
            </w:r>
          </w:p>
        </w:tc>
      </w:tr>
      <w:tr>
        <w:trPr>
          <w:trHeight w:val="250"/>
        </w:trPr>
        <w:tc>
          <w:tcPr>
            <w:tcW w:w="5960" w:type="dxa"/>
            <w:vAlign w:val="bottom"/>
            <w:tcBorders>
              <w:bottom w:val="single" w:sz="8" w:color="CCEEFF"/>
            </w:tcBorders>
            <w:gridSpan w:val="2"/>
          </w:tcPr>
          <w:p>
            <w:pPr>
              <w:ind w:left="1040"/>
              <w:spacing w:after="0"/>
              <w:rPr>
                <w:sz w:val="20"/>
                <w:szCs w:val="20"/>
                <w:color w:val="auto"/>
              </w:rPr>
            </w:pPr>
            <w:r>
              <w:rPr>
                <w:rFonts w:ascii="Arial" w:cs="Arial" w:eastAsia="Arial" w:hAnsi="Arial"/>
                <w:sz w:val="14"/>
                <w:szCs w:val="14"/>
                <w:color w:val="auto"/>
              </w:rPr>
              <w:t>Total available-for-sale agency MBS, at fair value</w:t>
            </w: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52,289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12,980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235</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65,504</w:t>
            </w:r>
          </w:p>
        </w:tc>
      </w:tr>
      <w:tr>
        <w:trPr>
          <w:trHeight w:val="270"/>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remeasured at fair value through earnings:</w:t>
            </w: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64"/>
        </w:trPr>
        <w:tc>
          <w:tcPr>
            <w:tcW w:w="5960" w:type="dxa"/>
            <w:vAlign w:val="bottom"/>
            <w:gridSpan w:val="2"/>
          </w:tcPr>
          <w:p>
            <w:pPr>
              <w:ind w:left="1200"/>
              <w:spacing w:after="0"/>
              <w:rPr>
                <w:sz w:val="20"/>
                <w:szCs w:val="20"/>
                <w:color w:val="auto"/>
              </w:rPr>
            </w:pPr>
            <w:r>
              <w:rPr>
                <w:rFonts w:ascii="Arial" w:cs="Arial" w:eastAsia="Arial" w:hAnsi="Arial"/>
                <w:sz w:val="14"/>
                <w:szCs w:val="14"/>
                <w:color w:val="auto"/>
              </w:rPr>
              <w:t xml:space="preserve">Interest-only and principal-only strips, amortized cost </w:t>
            </w:r>
            <w:r>
              <w:rPr>
                <w:rFonts w:ascii="Arial" w:cs="Arial" w:eastAsia="Arial" w:hAnsi="Arial"/>
                <w:sz w:val="8"/>
                <w:szCs w:val="8"/>
                <w:color w:val="auto"/>
              </w:rPr>
              <w:t>1</w:t>
            </w:r>
          </w:p>
        </w:tc>
        <w:tc>
          <w:tcPr>
            <w:tcW w:w="20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432</w:t>
            </w:r>
          </w:p>
        </w:tc>
      </w:tr>
      <w:tr>
        <w:trPr>
          <w:trHeight w:val="276"/>
        </w:trPr>
        <w:tc>
          <w:tcPr>
            <w:tcW w:w="5960" w:type="dxa"/>
            <w:vAlign w:val="bottom"/>
            <w:gridSpan w:val="2"/>
            <w:shd w:val="clear" w:color="auto" w:fill="CCEEFF"/>
          </w:tcPr>
          <w:p>
            <w:pPr>
              <w:ind w:left="1200"/>
              <w:spacing w:after="0"/>
              <w:rPr>
                <w:sz w:val="20"/>
                <w:szCs w:val="20"/>
                <w:color w:val="auto"/>
              </w:rPr>
            </w:pPr>
            <w:r>
              <w:rPr>
                <w:rFonts w:ascii="Arial" w:cs="Arial" w:eastAsia="Arial" w:hAnsi="Arial"/>
                <w:sz w:val="14"/>
                <w:szCs w:val="14"/>
                <w:color w:val="auto"/>
              </w:rPr>
              <w:t>Gross unrealized gains</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w:t>
            </w:r>
          </w:p>
        </w:tc>
      </w:tr>
      <w:tr>
        <w:trPr>
          <w:trHeight w:val="264"/>
        </w:trPr>
        <w:tc>
          <w:tcPr>
            <w:tcW w:w="5960" w:type="dxa"/>
            <w:vAlign w:val="bottom"/>
            <w:tcBorders>
              <w:bottom w:val="single" w:sz="8" w:color="CCEEFF"/>
            </w:tcBorders>
            <w:gridSpan w:val="2"/>
          </w:tcPr>
          <w:p>
            <w:pPr>
              <w:ind w:left="1200"/>
              <w:spacing w:after="0"/>
              <w:rPr>
                <w:sz w:val="20"/>
                <w:szCs w:val="20"/>
                <w:color w:val="auto"/>
              </w:rPr>
            </w:pPr>
            <w:r>
              <w:rPr>
                <w:rFonts w:ascii="Arial" w:cs="Arial" w:eastAsia="Arial" w:hAnsi="Arial"/>
                <w:sz w:val="14"/>
                <w:szCs w:val="14"/>
                <w:color w:val="auto"/>
              </w:rPr>
              <w:t>Gross unrealized losses</w:t>
            </w: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r>
      <w:tr>
        <w:trPr>
          <w:trHeight w:val="250"/>
        </w:trPr>
        <w:tc>
          <w:tcPr>
            <w:tcW w:w="5960" w:type="dxa"/>
            <w:vAlign w:val="bottom"/>
            <w:gridSpan w:val="2"/>
            <w:shd w:val="clear" w:color="auto" w:fill="CCEEFF"/>
          </w:tcPr>
          <w:p>
            <w:pPr>
              <w:ind w:left="1040"/>
              <w:spacing w:after="0"/>
              <w:rPr>
                <w:sz w:val="20"/>
                <w:szCs w:val="20"/>
                <w:color w:val="auto"/>
              </w:rPr>
            </w:pPr>
            <w:r>
              <w:rPr>
                <w:rFonts w:ascii="Arial" w:cs="Arial" w:eastAsia="Arial" w:hAnsi="Arial"/>
                <w:sz w:val="14"/>
                <w:szCs w:val="14"/>
                <w:color w:val="auto"/>
              </w:rPr>
              <w:t>Total agency MBS remeasured at fair value through earnings</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404</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w:t>
            </w:r>
          </w:p>
        </w:tc>
      </w:tr>
      <w:tr>
        <w:trPr>
          <w:trHeight w:val="283"/>
        </w:trPr>
        <w:tc>
          <w:tcPr>
            <w:tcW w:w="59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Total agency MBS, at fair value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52,693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13,013</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235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65,941</w:t>
            </w:r>
          </w:p>
        </w:tc>
      </w:tr>
      <w:tr>
        <w:trPr>
          <w:trHeight w:val="224"/>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coupon as of December 31, 2013 </w:t>
            </w:r>
            <w:r>
              <w:rPr>
                <w:rFonts w:ascii="Arial" w:cs="Arial" w:eastAsia="Arial" w:hAnsi="Arial"/>
                <w:sz w:val="8"/>
                <w:szCs w:val="8"/>
                <w:color w:val="auto"/>
              </w:rPr>
              <w:t>2</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r>
      <w:tr>
        <w:trPr>
          <w:trHeight w:val="264"/>
        </w:trPr>
        <w:tc>
          <w:tcPr>
            <w:tcW w:w="5960" w:type="dxa"/>
            <w:vAlign w:val="bottom"/>
            <w:gridSpan w:val="2"/>
          </w:tcPr>
          <w:p>
            <w:pPr>
              <w:ind w:left="40"/>
              <w:spacing w:after="0"/>
              <w:rPr>
                <w:sz w:val="20"/>
                <w:szCs w:val="20"/>
                <w:color w:val="auto"/>
              </w:rPr>
            </w:pPr>
            <w:r>
              <w:rPr>
                <w:rFonts w:ascii="Arial" w:cs="Arial" w:eastAsia="Arial" w:hAnsi="Arial"/>
                <w:sz w:val="14"/>
                <w:szCs w:val="14"/>
                <w:color w:val="auto"/>
              </w:rPr>
              <w:t xml:space="preserve">Weighted average yield as of December 31, 2013 </w:t>
            </w:r>
            <w:r>
              <w:rPr>
                <w:rFonts w:ascii="Arial" w:cs="Arial" w:eastAsia="Arial" w:hAnsi="Arial"/>
                <w:sz w:val="8"/>
                <w:szCs w:val="8"/>
                <w:color w:val="auto"/>
              </w:rPr>
              <w:t>3</w:t>
            </w: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76"/>
        </w:trPr>
        <w:tc>
          <w:tcPr>
            <w:tcW w:w="59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Weighted average yield for the year ended December 31, 2013 </w:t>
            </w:r>
            <w:r>
              <w:rPr>
                <w:rFonts w:ascii="Arial" w:cs="Arial" w:eastAsia="Arial" w:hAnsi="Arial"/>
                <w:sz w:val="8"/>
                <w:szCs w:val="8"/>
                <w:color w:val="auto"/>
              </w:rPr>
              <w:t>3</w:t>
            </w: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r>
      <w:tr>
        <w:trPr>
          <w:trHeight w:val="209"/>
        </w:trPr>
        <w:tc>
          <w:tcPr>
            <w:tcW w:w="586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ind w:left="660" w:hanging="328"/>
        <w:spacing w:after="0" w:line="24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underlying unamortized principal balance ("UPB" or "par value") of our interest-only agency MBS strips was $1.4 billion and the weighted average contractual interest we are entitled to receive was 5.50% of this amount as of December 31, 2013. The par value of our principal-only agency MBS strips was $271 million as of December 31, 2013.</w:t>
      </w:r>
    </w:p>
    <w:p>
      <w:pPr>
        <w:ind w:left="660" w:hanging="328"/>
        <w:spacing w:after="0" w:line="241" w:lineRule="auto"/>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weighted average coupon includes the interest cash flows from our interest-only agency MBS strips taken together with the interest cash flows from our fixed rate, adjustable-rate and CMO agency MBS as a percentage of the par value of our agency MBS (excluding the UPB of our interest-only securities) as of December 31, 2013.</w:t>
      </w:r>
    </w:p>
    <w:p>
      <w:pPr>
        <w:ind w:left="660" w:hanging="328"/>
        <w:spacing w:after="0"/>
        <w:tabs>
          <w:tab w:leader="none" w:pos="6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Incorporates a weighted average future constant prepayment rate assumption of 7% based on forward rates as of December 31, 2013.</w:t>
      </w:r>
    </w:p>
    <w:p>
      <w:pPr>
        <w:spacing w:after="0" w:line="200" w:lineRule="exact"/>
        <w:rPr>
          <w:sz w:val="20"/>
          <w:szCs w:val="20"/>
          <w:color w:val="auto"/>
        </w:rPr>
      </w:pPr>
    </w:p>
    <w:p>
      <w:pPr>
        <w:spacing w:after="0" w:line="339"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ind w:left="820"/>
              <w:spacing w:after="0"/>
              <w:rPr>
                <w:sz w:val="20"/>
                <w:szCs w:val="20"/>
                <w:color w:val="auto"/>
              </w:rPr>
            </w:pPr>
            <w:r>
              <w:rPr>
                <w:rFonts w:ascii="Arial" w:cs="Arial" w:eastAsia="Arial" w:hAnsi="Arial"/>
                <w:sz w:val="14"/>
                <w:szCs w:val="14"/>
                <w:b w:val="1"/>
                <w:bCs w:val="1"/>
                <w:color w:val="auto"/>
              </w:rPr>
              <w:t>December 31, 2013</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Amortized</w:t>
            </w:r>
          </w:p>
        </w:tc>
        <w:tc>
          <w:tcPr>
            <w:tcW w:w="1060" w:type="dxa"/>
            <w:vAlign w:val="bottom"/>
          </w:tcPr>
          <w:p>
            <w:pPr>
              <w:jc w:val="center"/>
              <w:ind w:left="268"/>
              <w:spacing w:after="0" w:line="153"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Agency MBS</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2"/>
                <w:szCs w:val="12"/>
                <w:color w:val="auto"/>
              </w:rPr>
            </w:pPr>
          </w:p>
        </w:tc>
        <w:tc>
          <w:tcPr>
            <w:tcW w:w="112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2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6"/>
              </w:rPr>
              <w:t>Gain</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Fixed rate</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64,057</w:t>
            </w: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(1,338)</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62,961</w:t>
            </w:r>
          </w:p>
        </w:tc>
        <w:tc>
          <w:tcPr>
            <w:tcW w:w="0" w:type="dxa"/>
            <w:vAlign w:val="bottom"/>
          </w:tcPr>
          <w:p>
            <w:pPr>
              <w:spacing w:after="0"/>
              <w:rPr>
                <w:sz w:val="1"/>
                <w:szCs w:val="1"/>
                <w:color w:val="auto"/>
              </w:rPr>
            </w:pPr>
          </w:p>
        </w:tc>
      </w:tr>
      <w:tr>
        <w:trPr>
          <w:trHeight w:val="264"/>
        </w:trPr>
        <w:tc>
          <w:tcPr>
            <w:tcW w:w="3040" w:type="dxa"/>
            <w:vAlign w:val="bottom"/>
            <w:gridSpan w:val="2"/>
          </w:tcPr>
          <w:p>
            <w:pPr>
              <w:ind w:left="20"/>
              <w:spacing w:after="0"/>
              <w:rPr>
                <w:sz w:val="20"/>
                <w:szCs w:val="20"/>
                <w:color w:val="auto"/>
              </w:rPr>
            </w:pPr>
            <w:r>
              <w:rPr>
                <w:rFonts w:ascii="Arial" w:cs="Arial" w:eastAsia="Arial" w:hAnsi="Arial"/>
                <w:sz w:val="14"/>
                <w:szCs w:val="14"/>
                <w:color w:val="auto"/>
              </w:rPr>
              <w:t>Adjustable rate</w:t>
            </w:r>
          </w:p>
        </w:tc>
        <w:tc>
          <w:tcPr>
            <w:tcW w:w="2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1,223</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4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1,235</w:t>
            </w:r>
          </w:p>
        </w:tc>
        <w:tc>
          <w:tcPr>
            <w:tcW w:w="0" w:type="dxa"/>
            <w:vAlign w:val="bottom"/>
          </w:tcPr>
          <w:p>
            <w:pPr>
              <w:spacing w:after="0"/>
              <w:rPr>
                <w:sz w:val="1"/>
                <w:szCs w:val="1"/>
                <w:color w:val="auto"/>
              </w:rPr>
            </w:pPr>
          </w:p>
        </w:tc>
      </w:tr>
      <w:tr>
        <w:trPr>
          <w:trHeight w:val="276"/>
        </w:trPr>
        <w:tc>
          <w:tcPr>
            <w:tcW w:w="3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CMO</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1,313</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64"/>
        </w:trPr>
        <w:tc>
          <w:tcPr>
            <w:tcW w:w="3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Interest-only and principal-only strips</w:t>
            </w: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432</w:t>
            </w: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agency MBS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67,025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65,941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actual maturities of our agency MBS are generally shorter than the stated contractual maturities. Actual maturities are affected by the contractual lives of the underlying mortgages, periodic contractual principal payments and principal prepayments. As of March 31, 2014 and December 31, 2013, our weighted average expected constant prepayment rate ("CPR") over the remaining life of our aggregate agency MBS portfolio was 8% and 7%, respectively. Our estimates differ materially for different types of securities and thus individual holdings have a wide range of projected CPRs. We estimate long-term prepayment assumptions for different securities using a third-party service and market data. The third-party service estimates prepayment speeds using models that incorporate the forward yield curve, current mortgage rates and mortgage rates of the outstanding loans, age and size of the outstanding loans, loan-to-value ratios, volatility and other factors. We review the prepayment speeds estimated by the third-party service and compare the results to market consensus prepayment speeds, if available. We also consider historical prepayment speeds and current market conditions to validate reasonableness. As market conditions may change rapidly, we may make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adjustments for different securities based on our Manager's judgment. Various market participants could use materially different assumptions.</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table summarizes our agency MBS classified as available-for-sale as of March 31, 2014 and December 31, 2013 according to their estimated weighted average life classification (dollars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March 31, 2014</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2013</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 Agency</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w:t>
            </w:r>
          </w:p>
        </w:tc>
        <w:tc>
          <w:tcPr>
            <w:tcW w:w="10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5"/>
              </w:rPr>
              <w:t>Weighted</w:t>
            </w: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MBS Classified as Available-for-Sale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Coupon</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2.49%</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1.81%</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2.53%</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&gt; 1 year and ≤ 3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4.86%</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3.29%</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4.08%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2.25%</w:t>
            </w:r>
          </w:p>
        </w:tc>
        <w:tc>
          <w:tcPr>
            <w:tcW w:w="0" w:type="dxa"/>
            <w:vAlign w:val="bottom"/>
          </w:tcPr>
          <w:p>
            <w:pPr>
              <w:spacing w:after="0"/>
              <w:rPr>
                <w:sz w:val="1"/>
                <w:szCs w:val="1"/>
                <w:color w:val="auto"/>
              </w:rPr>
            </w:pPr>
          </w:p>
        </w:tc>
      </w:tr>
      <w:tr>
        <w:trPr>
          <w:trHeight w:val="276"/>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22,947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22,758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3.55%</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2.53%</w:t>
            </w: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24,342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2.57%</w:t>
            </w:r>
          </w:p>
        </w:tc>
        <w:tc>
          <w:tcPr>
            <w:tcW w:w="0" w:type="dxa"/>
            <w:vAlign w:val="bottom"/>
          </w:tcPr>
          <w:p>
            <w:pPr>
              <w:spacing w:after="0"/>
              <w:rPr>
                <w:sz w:val="1"/>
                <w:szCs w:val="1"/>
                <w:color w:val="auto"/>
              </w:rPr>
            </w:pPr>
          </w:p>
        </w:tc>
      </w:tr>
      <w:tr>
        <w:trPr>
          <w:trHeight w:val="264"/>
        </w:trPr>
        <w:tc>
          <w:tcPr>
            <w:tcW w:w="3000" w:type="dxa"/>
            <w:vAlign w:val="bottom"/>
            <w:gridSpan w:val="2"/>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32,534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33,284</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3.51%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2.80%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38,522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39,635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270"/>
        </w:trPr>
        <w:tc>
          <w:tcPr>
            <w:tcW w:w="30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3.61%</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2.87%</w:t>
            </w:r>
          </w:p>
        </w:tc>
        <w:tc>
          <w:tcPr>
            <w:tcW w:w="2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3.66%</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2.96%</w:t>
            </w:r>
          </w:p>
        </w:tc>
        <w:tc>
          <w:tcPr>
            <w:tcW w:w="0" w:type="dxa"/>
            <w:vAlign w:val="bottom"/>
          </w:tcPr>
          <w:p>
            <w:pPr>
              <w:spacing w:after="0"/>
              <w:rPr>
                <w:sz w:val="1"/>
                <w:szCs w:val="1"/>
                <w:color w:val="auto"/>
              </w:rPr>
            </w:pPr>
          </w:p>
        </w:tc>
      </w:tr>
      <w:tr>
        <w:trPr>
          <w:trHeight w:val="243"/>
        </w:trPr>
        <w:tc>
          <w:tcPr>
            <w:tcW w:w="3000" w:type="dxa"/>
            <w:vAlign w:val="bottom"/>
            <w:gridSpan w:val="2"/>
          </w:tcPr>
          <w:p>
            <w:pPr>
              <w:ind w:left="72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55,945</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56,513</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3.53%</w:t>
            </w:r>
          </w:p>
        </w:tc>
        <w:tc>
          <w:tcPr>
            <w:tcW w:w="1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2.70%</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65,504</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66,593</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3.47%</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2.68%</w:t>
            </w:r>
          </w:p>
        </w:tc>
        <w:tc>
          <w:tcPr>
            <w:tcW w:w="0" w:type="dxa"/>
            <w:vAlign w:val="bottom"/>
          </w:tcPr>
          <w:p>
            <w:pPr>
              <w:spacing w:after="0"/>
              <w:rPr>
                <w:sz w:val="1"/>
                <w:szCs w:val="1"/>
                <w:color w:val="auto"/>
              </w:rPr>
            </w:pPr>
          </w:p>
        </w:tc>
      </w:tr>
      <w:tr>
        <w:trPr>
          <w:trHeight w:val="20"/>
        </w:trPr>
        <w:tc>
          <w:tcPr>
            <w:tcW w:w="2880" w:type="dxa"/>
            <w:vAlign w:val="bottom"/>
            <w:vMerge w:val="restart"/>
          </w:tcPr>
          <w:p>
            <w:pPr>
              <w:ind w:left="60"/>
              <w:spacing w:after="0"/>
              <w:rPr>
                <w:sz w:val="20"/>
                <w:szCs w:val="20"/>
                <w:color w:val="auto"/>
              </w:rPr>
            </w:pPr>
            <w:r>
              <w:rPr>
                <w:rFonts w:ascii="Arial" w:cs="Arial" w:eastAsia="Arial" w:hAnsi="Arial"/>
                <w:sz w:val="18"/>
                <w:szCs w:val="18"/>
                <w:color w:val="auto"/>
              </w:rPr>
              <w:t>_______________________</w:t>
            </w: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21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weighted average life of our interest-only strips was 6.2 and 6.3 years as of March 31, 2014 and December 31, 2013, respectively. The weighted average life of our principal-only strips was 8.3 and 8.6 years as of March 31, 2014 and December 31, 2013, respectively.</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Our agency securities classified as available-for-sale are reported at fair value, with unrealized gains and losses excluded from earnings and reported in accumulated OCI. The following table summarizes changes in accumulated OCI, a separate component of stockholders' equity, for our available-for-sale securities for the three months ended March 31, 2014 and 2013 (in millions):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Beginning</w:t>
            </w:r>
          </w:p>
        </w:tc>
        <w:tc>
          <w:tcPr>
            <w:tcW w:w="1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Unrealized</w:t>
            </w:r>
          </w:p>
        </w:tc>
        <w:tc>
          <w:tcPr>
            <w:tcW w:w="1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Reversal of</w:t>
            </w:r>
          </w:p>
        </w:tc>
        <w:tc>
          <w:tcPr>
            <w:tcW w:w="160" w:type="dxa"/>
            <w:vAlign w:val="bottom"/>
          </w:tcPr>
          <w:p>
            <w:pPr>
              <w:spacing w:after="0"/>
              <w:rPr>
                <w:sz w:val="14"/>
                <w:szCs w:val="14"/>
                <w:color w:val="auto"/>
              </w:rPr>
            </w:pPr>
          </w:p>
        </w:tc>
        <w:tc>
          <w:tcPr>
            <w:tcW w:w="14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6"/>
              </w:rPr>
              <w:t>Ending</w:t>
            </w:r>
          </w:p>
        </w:tc>
        <w:tc>
          <w:tcPr>
            <w:tcW w:w="0" w:type="dxa"/>
            <w:vAlign w:val="bottom"/>
          </w:tcPr>
          <w:p>
            <w:pPr>
              <w:spacing w:after="0"/>
              <w:rPr>
                <w:sz w:val="1"/>
                <w:szCs w:val="1"/>
                <w:color w:val="auto"/>
              </w:rPr>
            </w:pPr>
          </w:p>
        </w:tc>
      </w:tr>
      <w:tr>
        <w:trPr>
          <w:trHeight w:val="149"/>
        </w:trPr>
        <w:tc>
          <w:tcPr>
            <w:tcW w:w="4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Agency Securities Classified as</w:t>
            </w: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Accumulated OCI</w:t>
            </w:r>
          </w:p>
        </w:tc>
        <w:tc>
          <w:tcPr>
            <w:tcW w:w="1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Gains and (Losses),</w:t>
            </w:r>
          </w:p>
        </w:tc>
        <w:tc>
          <w:tcPr>
            <w:tcW w:w="1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(Gains) and Losses,</w:t>
            </w:r>
          </w:p>
        </w:tc>
        <w:tc>
          <w:tcPr>
            <w:tcW w:w="160" w:type="dxa"/>
            <w:vAlign w:val="bottom"/>
          </w:tcPr>
          <w:p>
            <w:pPr>
              <w:spacing w:after="0"/>
              <w:rPr>
                <w:sz w:val="12"/>
                <w:szCs w:val="12"/>
                <w:color w:val="auto"/>
              </w:rPr>
            </w:pPr>
          </w:p>
        </w:tc>
        <w:tc>
          <w:tcPr>
            <w:tcW w:w="14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Accumulated OCI</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Net on Realization</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256"/>
        </w:trPr>
        <w:tc>
          <w:tcPr>
            <w:tcW w:w="49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Three months ended March 31, 2014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(1,087)</w:t>
            </w:r>
          </w:p>
        </w:tc>
        <w:tc>
          <w:tcPr>
            <w:tcW w:w="12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258"/>
        </w:trPr>
        <w:tc>
          <w:tcPr>
            <w:tcW w:w="4920" w:type="dxa"/>
            <w:vAlign w:val="bottom"/>
            <w:gridSpan w:val="2"/>
          </w:tcPr>
          <w:p>
            <w:pPr>
              <w:ind w:left="40"/>
              <w:spacing w:after="0"/>
              <w:rPr>
                <w:sz w:val="20"/>
                <w:szCs w:val="20"/>
                <w:color w:val="auto"/>
              </w:rPr>
            </w:pPr>
            <w:r>
              <w:rPr>
                <w:rFonts w:ascii="Arial" w:cs="Arial" w:eastAsia="Arial" w:hAnsi="Arial"/>
                <w:sz w:val="14"/>
                <w:szCs w:val="14"/>
                <w:color w:val="auto"/>
              </w:rPr>
              <w:t>Three months ended March 31, 2013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2,040</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(863)</w:t>
            </w:r>
          </w:p>
        </w:tc>
        <w:tc>
          <w:tcPr>
            <w:tcW w:w="120" w:type="dxa"/>
            <w:vAlign w:val="bottom"/>
          </w:tcPr>
          <w:p>
            <w:pPr>
              <w:spacing w:after="0"/>
              <w:rPr>
                <w:sz w:val="22"/>
                <w:szCs w:val="22"/>
                <w:color w:val="auto"/>
              </w:rPr>
            </w:pPr>
          </w:p>
        </w:tc>
        <w:tc>
          <w:tcPr>
            <w:tcW w:w="170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agency securities by length of time that such securities have been in a continuous unrealized loss position as of March 31, 2014 and December 31 and March 31, 2013 (in millions):</w:t>
      </w:r>
    </w:p>
    <w:p>
      <w:pPr>
        <w:spacing w:after="0" w:line="365"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Unrealized Loss Position For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2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Total</w:t>
            </w:r>
          </w:p>
        </w:tc>
        <w:tc>
          <w:tcPr>
            <w:tcW w:w="1020" w:type="dxa"/>
            <w:vAlign w:val="bottom"/>
            <w:tcBorders>
              <w:bottom w:val="single" w:sz="8" w:color="auto"/>
            </w:tcBorders>
          </w:tcPr>
          <w:p>
            <w:pPr>
              <w:spacing w:after="0"/>
              <w:rPr>
                <w:sz w:val="22"/>
                <w:szCs w:val="22"/>
                <w:color w:val="auto"/>
              </w:rPr>
            </w:pPr>
          </w:p>
        </w:tc>
      </w:tr>
      <w:tr>
        <w:trPr>
          <w:trHeight w:val="153"/>
        </w:trPr>
        <w:tc>
          <w:tcPr>
            <w:tcW w:w="27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Agency Securities Classified as</w:t>
            </w:r>
          </w:p>
        </w:tc>
        <w:tc>
          <w:tcPr>
            <w:tcW w:w="10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Estimated Fair</w:t>
            </w:r>
          </w:p>
        </w:tc>
        <w:tc>
          <w:tcPr>
            <w:tcW w:w="12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Unrealized</w:t>
            </w:r>
          </w:p>
        </w:tc>
      </w:tr>
      <w:tr>
        <w:trPr>
          <w:trHeight w:val="192"/>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Loss</w:t>
            </w:r>
          </w:p>
        </w:tc>
      </w:tr>
      <w:tr>
        <w:trPr>
          <w:trHeight w:val="25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30,785</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r>
      <w:tr>
        <w:trPr>
          <w:trHeight w:val="264"/>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December 31, 2013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42,853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44,439</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(1,349)</w:t>
            </w:r>
          </w:p>
        </w:tc>
      </w:tr>
      <w:tr>
        <w:trPr>
          <w:trHeight w:val="27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2013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25,963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26,047</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r>
    </w:tbl>
    <w:p>
      <w:pPr>
        <w:spacing w:after="0" w:line="20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of March 31, 2014 and 2013, a decision had not been made to sell any of these agency securities and we do not believe it is more likely than not we will be required to sell the agency securities before recovery of their amortized cost basis. The unrealized losses on these agency securities are not due to credit losses given the GSE guarantees, but are rather due to changes in interest rates and prepayment expectations. Accordingly, we did not recognize any OTTI charges on our investment securities for the three months ended March 31, 2014 and 2013. However, as we continue to actively manage our portfolio, we may recognize additional realized losses on our agency securities upon selecting specific securities to sell.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Gains and Losses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our net gain (loss) from the sale of agency securities classified as available-for-sale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2014 and 2013 (in millions):</w:t>
      </w:r>
    </w:p>
    <w:p>
      <w:pPr>
        <w:spacing w:after="0" w:line="216" w:lineRule="exact"/>
        <w:rPr>
          <w:sz w:val="20"/>
          <w:szCs w:val="20"/>
          <w:color w:val="auto"/>
        </w:rPr>
      </w:pPr>
    </w:p>
    <w:tbl>
      <w:tblPr>
        <w:tblLayout w:type="fixed"/>
        <w:tblInd w:w="172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39"/>
        </w:trPr>
        <w:tc>
          <w:tcPr>
            <w:tcW w:w="530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Agency Securities Classified as</w:t>
            </w:r>
          </w:p>
        </w:tc>
        <w:tc>
          <w:tcPr>
            <w:tcW w:w="120" w:type="dxa"/>
            <w:vAlign w:val="bottom"/>
          </w:tcPr>
          <w:p>
            <w:pPr>
              <w:spacing w:after="0"/>
              <w:rPr>
                <w:sz w:val="12"/>
                <w:szCs w:val="12"/>
                <w:color w:val="auto"/>
              </w:rPr>
            </w:pPr>
          </w:p>
        </w:tc>
        <w:tc>
          <w:tcPr>
            <w:tcW w:w="11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March 31, 2014</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March 31, 2013</w:t>
            </w:r>
          </w:p>
        </w:tc>
        <w:tc>
          <w:tcPr>
            <w:tcW w:w="0" w:type="dxa"/>
            <w:vAlign w:val="bottom"/>
          </w:tcPr>
          <w:p>
            <w:pPr>
              <w:spacing w:after="0"/>
              <w:rPr>
                <w:sz w:val="1"/>
                <w:szCs w:val="1"/>
                <w:color w:val="auto"/>
              </w:rPr>
            </w:pPr>
          </w:p>
        </w:tc>
      </w:tr>
      <w:tr>
        <w:trPr>
          <w:trHeight w:val="192"/>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MBS sold, at cost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(20,328)</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9,692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20,302</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 on sale of agency MBS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gain on sale of agency MBS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264"/>
        </w:trPr>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Gross loss on sale of agency MBS</w:t>
            </w: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43"/>
        </w:trPr>
        <w:tc>
          <w:tcPr>
            <w:tcW w:w="5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 on sale of agency MBS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3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For the three months ended March 31, 2014 and 2013, we recognized a net unrealized gain of $12 million and a net unrealized loss of $1 million, respectively, for the change in value of investments in interest and principal-only strips in gain (loss) on derivative instruments and other securities, net in our consolidated statements of comprehensive income. Over the same periods, we did not recognize any realized gains or losses on our interest or principal-only securities.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Securitizations and Variable Interest Entities</w:t>
      </w:r>
    </w:p>
    <w:p>
      <w:pPr>
        <w:spacing w:after="0" w:line="9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As of March 31, 2014 and December 31, 2013, we held investments in CMO trusts, which are VIEs. We have consolidated certain of these CMO trusts in our consolidated financial statements where we have determined we are the primary beneficiary of the trusts. All of our CMO securities are backed by fixed or adjustable-rate agency MBS. Fannie Mae or Freddie Mac guarantees the payment of interest and principal and acts as the trustee and administrator of their respective securitization trusts. Accordingly, we are not required to provide the beneficial interest holders of the CMO securities any financial or other support. Our maximum exposure to loss related to our involvement with CMO trusts is the fair value of the CMO securities and interest and principal-only securities held by us, less principal amounts guaranteed by Fannie Mae and Freddie Mac.</w:t>
      </w:r>
    </w:p>
    <w:p>
      <w:pPr>
        <w:spacing w:after="0" w:line="124"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In connection with our consolidated CMO trusts, we recognized agency securities with a total fair value of $1.4 billion and $1.5 billion as of March 31, 2014 and December 31, 2013, respectively, and debt, at fair value, of $874 million and $910 million, respectively, in our accompanying consolidated balance sheets. As of March 31, 2014 and December 31, 2013, such agency securities had an aggregate unpaid principal balance of $1.3 billion and $1.4 billion, respectively, and such debt had an aggregate unpaid principal balance of $863 million and $900 million, respectively. We re-measure our consolidated debt at fair value through earnings in gain (loss) on derivative instruments and other securities, net in our consolidated statements of comprehensive income. For the three months ended March 31, 2014 and 2013, we recognized a net loss of $(3) million and a net gain of $13 million in earnings, respectively, associated with our consolidated debt. Our involvement with the consolidated trusts is limited to the agency securities transferred by us upon the formation of the trusts and the CMO securities subsequently held by us. There are no arrangements that could require us to provide financial support to the trusts.</w:t>
      </w:r>
    </w:p>
    <w:p>
      <w:pPr>
        <w:spacing w:after="0" w:line="3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March 31, 2014 and December 31, 2013, the fair value of our CMO securities and interest and principal-only securities was $1.7 billion, excluding the consolidated CMO trusts discussed above, or $2.3 billion including the net asset value of our consolidated CMO trusts. Our maximum exposure to loss related to our CMO securities and interest and principal-only securities, including our consolidated CMO trusts, was $265 million and $246 million as of March 31, 2014 and December 31, 2013,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Repurchase Agreements and Other Debt</w:t>
      </w:r>
    </w:p>
    <w:p>
      <w:pPr>
        <w:spacing w:after="0" w:line="175"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We pledge certain of our securities as collateral under repurchase arrangements with financial institutions, the terms and conditions of which are negotiated on a transaction-by-transaction basis (see Note 7). Interest rates on these borrowings are generally based on LIBOR plus or minus a margin and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27"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"margin calls." Similarly, if the fair value of our pledged securities increases, lenders may release collateral back to us. As of March 31, 2014, we have met all margin call requirements.</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borrowings under repurchase arrangements and weighted average interest rates classified by remaining maturities as of March 31, 2014 and December 31, 2013 (dollars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6"/>
              </w:rPr>
              <w:t>March 31, 2014</w:t>
            </w:r>
          </w:p>
        </w:tc>
        <w:tc>
          <w:tcPr>
            <w:tcW w:w="1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1"/>
              </w:rPr>
              <w:t>December 31, 2013</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Weighted</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Repurchase</w:t>
            </w: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Repurchase</w:t>
            </w:r>
          </w:p>
        </w:tc>
        <w:tc>
          <w:tcPr>
            <w:tcW w:w="15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Remaining Maturity</w:t>
            </w:r>
          </w:p>
        </w:tc>
        <w:tc>
          <w:tcPr>
            <w:tcW w:w="10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5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Interest</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Days</w:t>
            </w:r>
          </w:p>
        </w:tc>
        <w:tc>
          <w:tcPr>
            <w:tcW w:w="0" w:type="dxa"/>
            <w:vAlign w:val="bottom"/>
          </w:tcPr>
          <w:p>
            <w:pPr>
              <w:spacing w:after="0"/>
              <w:rPr>
                <w:sz w:val="1"/>
                <w:szCs w:val="1"/>
                <w:color w:val="auto"/>
              </w:rPr>
            </w:pPr>
          </w:p>
        </w:tc>
      </w:tr>
      <w:tr>
        <w:trPr>
          <w:trHeight w:val="192"/>
        </w:trPr>
        <w:tc>
          <w:tcPr>
            <w:tcW w:w="2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to Maturity</w:t>
            </w:r>
          </w:p>
        </w:tc>
        <w:tc>
          <w:tcPr>
            <w:tcW w:w="0" w:type="dxa"/>
            <w:vAlign w:val="bottom"/>
          </w:tcPr>
          <w:p>
            <w:pPr>
              <w:spacing w:after="0"/>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Agency MBS: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gridSpan w:val="2"/>
          </w:tcPr>
          <w:p>
            <w:pPr>
              <w:ind w:left="120"/>
              <w:spacing w:after="0"/>
              <w:rPr>
                <w:sz w:val="20"/>
                <w:szCs w:val="20"/>
                <w:color w:val="auto"/>
              </w:rPr>
            </w:pPr>
            <w:r>
              <w:rPr>
                <w:rFonts w:ascii="Arial" w:cs="Arial" w:eastAsia="Arial" w:hAnsi="Arial"/>
                <w:sz w:val="18"/>
                <w:szCs w:val="18"/>
                <w:color w:val="auto"/>
              </w:rPr>
              <w:t>≤ 1 month</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13,440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23,577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&gt; 1 to ≤ 3 months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17,396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20,490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2580" w:type="dxa"/>
            <w:vAlign w:val="bottom"/>
            <w:gridSpan w:val="2"/>
          </w:tcPr>
          <w:p>
            <w:pPr>
              <w:ind w:left="120"/>
              <w:spacing w:after="0"/>
              <w:rPr>
                <w:sz w:val="20"/>
                <w:szCs w:val="20"/>
                <w:color w:val="auto"/>
              </w:rPr>
            </w:pPr>
            <w:r>
              <w:rPr>
                <w:rFonts w:ascii="Arial" w:cs="Arial" w:eastAsia="Arial" w:hAnsi="Arial"/>
                <w:sz w:val="18"/>
                <w:szCs w:val="18"/>
                <w:color w:val="auto"/>
              </w:rPr>
              <w:t>&gt; 3 to ≤ 6 months</w:t>
            </w: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5,242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6,946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&gt; 6 to ≤ 9 months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4,560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2580" w:type="dxa"/>
            <w:vAlign w:val="bottom"/>
            <w:gridSpan w:val="2"/>
          </w:tcPr>
          <w:p>
            <w:pPr>
              <w:ind w:left="120"/>
              <w:spacing w:after="0"/>
              <w:rPr>
                <w:sz w:val="20"/>
                <w:szCs w:val="20"/>
                <w:color w:val="auto"/>
              </w:rPr>
            </w:pPr>
            <w:r>
              <w:rPr>
                <w:rFonts w:ascii="Arial" w:cs="Arial" w:eastAsia="Arial" w:hAnsi="Arial"/>
                <w:sz w:val="18"/>
                <w:szCs w:val="18"/>
                <w:color w:val="auto"/>
              </w:rPr>
              <w:t>&gt; 9 to ≤ 12 months</w:t>
            </w: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4,171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3,607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&gt; 12 to ≤ 24 months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3,232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2580" w:type="dxa"/>
            <w:vAlign w:val="bottom"/>
            <w:gridSpan w:val="2"/>
          </w:tcPr>
          <w:p>
            <w:pPr>
              <w:ind w:left="120"/>
              <w:spacing w:after="0"/>
              <w:rPr>
                <w:sz w:val="20"/>
                <w:szCs w:val="20"/>
                <w:color w:val="auto"/>
              </w:rPr>
            </w:pPr>
            <w:r>
              <w:rPr>
                <w:rFonts w:ascii="Arial" w:cs="Arial" w:eastAsia="Arial" w:hAnsi="Arial"/>
                <w:sz w:val="18"/>
                <w:szCs w:val="18"/>
                <w:color w:val="auto"/>
              </w:rPr>
              <w:t>&gt; 24 to ≤ 36 months</w:t>
            </w: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2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&gt; 36 months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37"/>
        </w:trPr>
        <w:tc>
          <w:tcPr>
            <w:tcW w:w="2580" w:type="dxa"/>
            <w:vAlign w:val="bottom"/>
            <w:gridSpan w:val="2"/>
          </w:tcPr>
          <w:p>
            <w:pPr>
              <w:ind w:left="720"/>
              <w:spacing w:after="0"/>
              <w:rPr>
                <w:sz w:val="20"/>
                <w:szCs w:val="20"/>
                <w:color w:val="auto"/>
              </w:rPr>
            </w:pPr>
            <w:r>
              <w:rPr>
                <w:rFonts w:ascii="Arial" w:cs="Arial" w:eastAsia="Arial" w:hAnsi="Arial"/>
                <w:sz w:val="18"/>
                <w:szCs w:val="18"/>
                <w:color w:val="auto"/>
              </w:rPr>
              <w:t>Total agency MBS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49,580</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61,215</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0.45%</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80" w:type="dxa"/>
            <w:vAlign w:val="bottom"/>
            <w:gridSpan w:val="2"/>
          </w:tcPr>
          <w:p>
            <w:pPr>
              <w:ind w:left="120"/>
              <w:spacing w:after="0"/>
              <w:rPr>
                <w:sz w:val="20"/>
                <w:szCs w:val="20"/>
                <w:color w:val="auto"/>
              </w:rPr>
            </w:pPr>
            <w:r>
              <w:rPr>
                <w:rFonts w:ascii="Arial" w:cs="Arial" w:eastAsia="Arial" w:hAnsi="Arial"/>
                <w:sz w:val="18"/>
                <w:szCs w:val="18"/>
                <w:color w:val="auto"/>
              </w:rPr>
              <w:t>1 day</w:t>
            </w:r>
          </w:p>
        </w:tc>
        <w:tc>
          <w:tcPr>
            <w:tcW w:w="22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2,318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 Weighted Average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49,729</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63,533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As of March 31, 2014 and December 31, 2013, debt of consolidated VIEs, at fair value ("other debt") was $874 million and $910 million, respectively. As of March 31, 2014 and December 31, 2013, our other debt had a weighted average interest rate of LIBOR plus 43 and 42 basis points and a principal balance of $863 million and $900 million, respectively. The actual maturities of our other debt are generally shorter than the stated contractual maturities. The actual maturities are affected by the contractual lives of the underlying agency MBS securitizing our other debt and periodic principal prepayments of such underlying securities. The estimated weighted average life of our other debt as of March 31, 2014 was 6.5 years.</w:t>
      </w:r>
    </w:p>
    <w:p>
      <w:pPr>
        <w:spacing w:after="0" w:line="11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As of March 31, 2014 and December 31, 2013, we also had outstanding forward commitments to purchase and sell agency securities through the TBA market (see Notes 3 and 6). These transactions, also referred to as TBA dollar roll transactions, represent a form of off-balance sheet financing and serve to either increase, in the case of forward purchases, or decrease, in the case of forward sales, our "at risk" leverage. However, pursuant to ASC 815, we typically account for such transactions as one or more series of derivative transactions and, consequently, they are not included in our on-balance sheet debt or measurement of commensurate leverage ratios.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Derivative and Other Hedging Instruments</w:t>
      </w:r>
    </w:p>
    <w:p>
      <w:pPr>
        <w:spacing w:after="0" w:line="17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In connection with our risk management strategy, we hedge a portion of our interest rate risk by entering into derivative and other hedging instrument contracts. We typically enter into agreements for interest rate swaps and interest rate swaptions. We may also purchase or short TBA and U.S. Treasury securities, purchase or write put or call options on TBA securities or we may invest in other types of mortgage derivative securities, such as interest and principal-only securities. Our risk management strategy attempts to manage the overall risk of the portfolio, reduce fluctuations in book value and generate additional income distributable to stockholders. For additional information regarding our derivative instruments and our overall risk management strategy, please refer to the discussion of derivative and other hedging instruments in Note 3.</w:t>
      </w:r>
    </w:p>
    <w:p>
      <w:pPr>
        <w:spacing w:after="0" w:line="124"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Prior to September 30, 2011, our interest rate swaps were typically designated as cash flow hedges under ASC 815; however, as of September 30, 2011, we elected to discontinue hedge accounting for our interest rate swaps in order to increase our funding flexibility. For the three months ended March 31, 2014 and 2013, we reclassified $43 million and $49 million, respectively, of net deferred losses from accumulated OCI into interest expense related to our de-designated interest rate swaps and recognized an equal, but offsetting, amount in other comprehensive income. Our total net periodic interest costs on our swap portfolio for these periods were $126 million and $133 million, respectively. The difference of $83 million and $84 million for these periods, respectively, is reported in our accompanying consolidated statements of comprehensive income in gain (loss) on derivative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7"/>
          <w:szCs w:val="17"/>
          <w:color w:val="auto"/>
        </w:rPr>
        <w:t>instruments and other securities, net. As of March 31, 2014, the remaining net deferred loss in accumulated OCI related to de-designated interest rate swaps was $253 million and will be reclassified from OCI into interest expense over a remaining weighted average period of 1.9 years. As of March 31, 2014, the net deferred loss expected to be reclassified from OCI into interest expense over the next twelve months was $143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Assets (Liabilities), at Fair Value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table below summarizes fair value information about our derivative assets and liabilities as of March 31, 2014 and December 31, 2013 (in millions):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Derivatives Instruments</w:t>
            </w:r>
          </w:p>
        </w:tc>
        <w:tc>
          <w:tcPr>
            <w:tcW w:w="120" w:type="dxa"/>
            <w:vAlign w:val="bottom"/>
          </w:tcPr>
          <w:p>
            <w:pPr>
              <w:spacing w:after="0"/>
              <w:rPr>
                <w:sz w:val="16"/>
                <w:szCs w:val="16"/>
                <w:color w:val="auto"/>
              </w:rPr>
            </w:pPr>
          </w:p>
        </w:tc>
        <w:tc>
          <w:tcPr>
            <w:tcW w:w="32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Balance Sheet Location</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w w:val="94"/>
              </w:rPr>
              <w:t>March 31, 2014</w:t>
            </w:r>
          </w:p>
        </w:tc>
        <w:tc>
          <w:tcPr>
            <w:tcW w:w="120" w:type="dxa"/>
            <w:vAlign w:val="bottom"/>
          </w:tcPr>
          <w:p>
            <w:pPr>
              <w:spacing w:after="0"/>
              <w:rPr>
                <w:sz w:val="16"/>
                <w:szCs w:val="16"/>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31, 2013</w:t>
            </w:r>
          </w:p>
        </w:tc>
      </w:tr>
      <w:tr>
        <w:trPr>
          <w:trHeight w:val="223"/>
        </w:trPr>
        <w:tc>
          <w:tcPr>
            <w:tcW w:w="5500" w:type="dxa"/>
            <w:vAlign w:val="bottom"/>
            <w:gridSpan w:val="2"/>
          </w:tcPr>
          <w:p>
            <w:pPr>
              <w:ind w:left="40"/>
              <w:spacing w:after="0"/>
              <w:rPr>
                <w:sz w:val="20"/>
                <w:szCs w:val="20"/>
                <w:color w:val="auto"/>
              </w:rPr>
            </w:pPr>
            <w:r>
              <w:rPr>
                <w:rFonts w:ascii="Arial" w:cs="Arial" w:eastAsia="Arial" w:hAnsi="Arial"/>
                <w:sz w:val="16"/>
                <w:szCs w:val="16"/>
                <w:color w:val="auto"/>
              </w:rPr>
              <w:t>Interest rate swaps</w:t>
            </w:r>
          </w:p>
        </w:tc>
        <w:tc>
          <w:tcPr>
            <w:tcW w:w="332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560</w:t>
            </w:r>
          </w:p>
        </w:tc>
        <w:tc>
          <w:tcPr>
            <w:tcW w:w="120" w:type="dxa"/>
            <w:vAlign w:val="bottom"/>
          </w:tcPr>
          <w:p>
            <w:pPr>
              <w:spacing w:after="0"/>
              <w:rPr>
                <w:sz w:val="19"/>
                <w:szCs w:val="19"/>
                <w:color w:val="auto"/>
              </w:rPr>
            </w:pPr>
          </w:p>
        </w:tc>
        <w:tc>
          <w:tcPr>
            <w:tcW w:w="44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880</w:t>
            </w:r>
          </w:p>
        </w:tc>
      </w:tr>
      <w:tr>
        <w:trPr>
          <w:trHeight w:val="33"/>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Swaptions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3320" w:type="dxa"/>
            <w:vAlign w:val="bottom"/>
            <w:gridSpan w:val="2"/>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17</w:t>
            </w:r>
          </w:p>
        </w:tc>
      </w:tr>
      <w:tr>
        <w:trPr>
          <w:trHeight w:val="33"/>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futures - short</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assets, at fair value</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w:t>
            </w:r>
          </w:p>
        </w:tc>
      </w:tr>
      <w:tr>
        <w:trPr>
          <w:trHeight w:val="217"/>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686</w:t>
            </w:r>
          </w:p>
        </w:tc>
        <w:tc>
          <w:tcPr>
            <w:tcW w:w="120" w:type="dxa"/>
            <w:vAlign w:val="bottom"/>
          </w:tcPr>
          <w:p>
            <w:pPr>
              <w:spacing w:after="0"/>
              <w:rPr>
                <w:sz w:val="18"/>
                <w:szCs w:val="18"/>
                <w:color w:val="auto"/>
              </w:rPr>
            </w:pPr>
          </w:p>
        </w:tc>
        <w:tc>
          <w:tcPr>
            <w:tcW w:w="4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1,194</w:t>
            </w:r>
          </w:p>
        </w:tc>
      </w:tr>
      <w:tr>
        <w:trPr>
          <w:trHeight w:val="73"/>
        </w:trPr>
        <w:tc>
          <w:tcPr>
            <w:tcW w:w="53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r>
      <w:tr>
        <w:trPr>
          <w:trHeight w:val="217"/>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Interest rate swaps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(368)</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r>
      <w:tr>
        <w:trPr>
          <w:trHeight w:val="237"/>
        </w:trPr>
        <w:tc>
          <w:tcPr>
            <w:tcW w:w="5500" w:type="dxa"/>
            <w:vAlign w:val="bottom"/>
            <w:gridSpan w:val="2"/>
          </w:tcPr>
          <w:p>
            <w:pPr>
              <w:ind w:left="40"/>
              <w:spacing w:after="0"/>
              <w:rPr>
                <w:sz w:val="20"/>
                <w:szCs w:val="20"/>
                <w:color w:val="auto"/>
              </w:rPr>
            </w:pPr>
            <w:r>
              <w:rPr>
                <w:rFonts w:ascii="Arial" w:cs="Arial" w:eastAsia="Arial" w:hAnsi="Arial"/>
                <w:sz w:val="16"/>
                <w:szCs w:val="16"/>
                <w:color w:val="auto"/>
              </w:rPr>
              <w:t>TBA securities</w:t>
            </w:r>
          </w:p>
        </w:tc>
        <w:tc>
          <w:tcPr>
            <w:tcW w:w="3320" w:type="dxa"/>
            <w:vAlign w:val="bottom"/>
            <w:gridSpan w:val="2"/>
          </w:tcPr>
          <w:p>
            <w:pPr>
              <w:ind w:left="40"/>
              <w:spacing w:after="0"/>
              <w:rPr>
                <w:sz w:val="20"/>
                <w:szCs w:val="20"/>
                <w:color w:val="auto"/>
              </w:rPr>
            </w:pPr>
            <w:r>
              <w:rPr>
                <w:rFonts w:ascii="Arial" w:cs="Arial" w:eastAsia="Arial" w:hAnsi="Arial"/>
                <w:sz w:val="16"/>
                <w:szCs w:val="16"/>
                <w:color w:val="auto"/>
              </w:rPr>
              <w:t>Derivative liabilities, at fair value</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5"/>
        </w:trPr>
        <w:tc>
          <w:tcPr>
            <w:tcW w:w="5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8"/>
        <w:spacing w:after="0" w:line="257" w:lineRule="auto"/>
        <w:rPr>
          <w:sz w:val="20"/>
          <w:szCs w:val="20"/>
          <w:color w:val="auto"/>
        </w:rPr>
      </w:pPr>
      <w:r>
        <w:rPr>
          <w:rFonts w:ascii="Arial" w:cs="Arial" w:eastAsia="Arial" w:hAnsi="Arial"/>
          <w:sz w:val="18"/>
          <w:szCs w:val="18"/>
          <w:color w:val="auto"/>
        </w:rPr>
        <w:t>Additionally, as of March 31, 2014 and December 31, 2013, we had obligations to return U.S. Treasury securities borrowed under reverse repurchase agreements accounted for as securities borrowing transactions at a fair value of $6.7 billion and $1.8 billion, respectively. The borrowed securities were used to cover short sales of U.S. Treasury securities from which we received total proceeds of $6.7 billion and $1.9 billion, respectively. The change in fair value of the borrowed securities is recorded in gain (loss) on derivative instruments and other securities, net in our consolidated statements of comprehensive income.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tables summarize our interest rate swap agreements outstanding as of March 31, 2014 and December 31, 2013 (dollars in millions):</w:t>
      </w:r>
    </w:p>
    <w:p>
      <w:pPr>
        <w:spacing w:after="0" w:line="200" w:lineRule="exact"/>
        <w:rPr>
          <w:sz w:val="20"/>
          <w:szCs w:val="20"/>
          <w:color w:val="auto"/>
        </w:rPr>
      </w:pPr>
    </w:p>
    <w:p>
      <w:pPr>
        <w:spacing w:after="0" w:line="204" w:lineRule="exact"/>
        <w:rPr>
          <w:sz w:val="20"/>
          <w:szCs w:val="20"/>
          <w:color w:val="auto"/>
        </w:rPr>
      </w:pPr>
    </w:p>
    <w:tbl>
      <w:tblPr>
        <w:tblLayout w:type="fixed"/>
        <w:tblInd w:w="102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Notional</w:t>
            </w: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7"/>
              </w:rPr>
              <w:t>Net</w:t>
            </w:r>
          </w:p>
        </w:tc>
        <w:tc>
          <w:tcPr>
            <w:tcW w:w="10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5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Payer Interest Rate Swaps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Fixed</w:t>
            </w: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Receive</w:t>
            </w:r>
          </w:p>
        </w:tc>
        <w:tc>
          <w:tcPr>
            <w:tcW w:w="1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Estimated</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xml:space="preserve">Pay Rate </w:t>
            </w:r>
            <w:r>
              <w:rPr>
                <w:rFonts w:ascii="Arial" w:cs="Arial" w:eastAsia="Arial" w:hAnsi="Arial"/>
                <w:sz w:val="8"/>
                <w:szCs w:val="8"/>
                <w:b w:val="1"/>
                <w:bCs w:val="1"/>
                <w:color w:val="auto"/>
                <w:w w:val="94"/>
              </w:rPr>
              <w:t>2</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xml:space="preserve">Rate </w:t>
            </w:r>
            <w:r>
              <w:rPr>
                <w:rFonts w:ascii="Arial" w:cs="Arial" w:eastAsia="Arial" w:hAnsi="Arial"/>
                <w:sz w:val="8"/>
                <w:szCs w:val="8"/>
                <w:b w:val="1"/>
                <w:bCs w:val="1"/>
                <w:color w:val="auto"/>
                <w:w w:val="92"/>
              </w:rPr>
              <w:t>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(Years) </w:t>
            </w:r>
            <w:r>
              <w:rPr>
                <w:rFonts w:ascii="Arial" w:cs="Arial" w:eastAsia="Arial" w:hAnsi="Arial"/>
                <w:sz w:val="8"/>
                <w:szCs w:val="8"/>
                <w:b w:val="1"/>
                <w:bCs w:val="1"/>
                <w:color w:val="auto"/>
                <w:w w:val="93"/>
              </w:rPr>
              <w:t>4</w:t>
            </w:r>
          </w:p>
        </w:tc>
        <w:tc>
          <w:tcPr>
            <w:tcW w:w="0" w:type="dxa"/>
            <w:vAlign w:val="bottom"/>
          </w:tcPr>
          <w:p>
            <w:pPr>
              <w:spacing w:after="0"/>
              <w:rPr>
                <w:sz w:val="1"/>
                <w:szCs w:val="1"/>
                <w:color w:val="auto"/>
              </w:rPr>
            </w:pPr>
          </w:p>
        </w:tc>
      </w:tr>
      <w:tr>
        <w:trPr>
          <w:trHeight w:val="236"/>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16,650</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37"/>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10,575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6,250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37"/>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180" w:type="dxa"/>
            <w:vAlign w:val="bottom"/>
          </w:tcPr>
          <w:p>
            <w:pPr>
              <w:spacing w:after="0"/>
              <w:rPr>
                <w:sz w:val="20"/>
                <w:szCs w:val="20"/>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10,175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22"/>
              <w:spacing w:after="0"/>
              <w:rPr>
                <w:sz w:val="20"/>
                <w:szCs w:val="20"/>
                <w:color w:val="auto"/>
              </w:rPr>
            </w:pPr>
            <w:r>
              <w:rPr>
                <w:rFonts w:ascii="Arial" w:cs="Arial" w:eastAsia="Arial" w:hAnsi="Arial"/>
                <w:sz w:val="16"/>
                <w:szCs w:val="16"/>
                <w:color w:val="auto"/>
              </w:rPr>
              <w:t>287</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33"/>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2,750</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31"/>
        </w:trPr>
        <w:tc>
          <w:tcPr>
            <w:tcW w:w="362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46,400</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0.21%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12700</wp:posOffset>
            </wp:positionV>
            <wp:extent cx="3704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2946400</wp:posOffset>
            </wp:positionH>
            <wp:positionV relativeFrom="paragraph">
              <wp:posOffset>-130175</wp:posOffset>
            </wp:positionV>
            <wp:extent cx="3704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04590" cy="8890"/>
                    </a:xfrm>
                    <a:prstGeom prst="rect">
                      <a:avLst/>
                    </a:prstGeom>
                    <a:noFill/>
                  </pic:spPr>
                </pic:pic>
              </a:graphicData>
            </a:graphic>
          </wp:anchor>
        </w:drawing>
      </w: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Notional amount includes forward starting swaps of $9.5 billion with an average forward start date of 1.9 years from March 31, 2014.</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1.57% as of March 31, 2014.</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Average maturity measured from March 31, 2014 through stated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6" w:name="page17"/>
    <w:bookmarkEnd w:id="16"/>
    <w:tbl>
      <w:tblPr>
        <w:tblLayout w:type="fixed"/>
        <w:tblInd w:w="900" w:type="dxa"/>
        <w:tblCellMar>
          <w:top w:w="0" w:type="dxa"/>
          <w:left w:w="0" w:type="dxa"/>
          <w:bottom w:w="0" w:type="dxa"/>
          <w:right w:w="0" w:type="dxa"/>
        </w:tblCellMar>
      </w:tblPr>
      <w:tr>
        <w:trPr>
          <w:trHeight w:val="192"/>
        </w:trPr>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6"/>
              </w:rPr>
              <w:t>December 31, 2013</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Notional</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3"/>
                <w:szCs w:val="13"/>
                <w:color w:val="auto"/>
              </w:rPr>
            </w:pPr>
          </w:p>
        </w:tc>
        <w:tc>
          <w:tcPr>
            <w:tcW w:w="11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4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Payer Interest Rate Swaps </w:t>
            </w:r>
            <w:r>
              <w:rPr>
                <w:rFonts w:ascii="Arial" w:cs="Arial" w:eastAsia="Arial" w:hAnsi="Arial"/>
                <w:sz w:val="8"/>
                <w:szCs w:val="8"/>
                <w:b w:val="1"/>
                <w:bCs w:val="1"/>
                <w:color w:val="auto"/>
              </w:rPr>
              <w:t>1</w:t>
            </w:r>
          </w:p>
        </w:tc>
        <w:tc>
          <w:tcPr>
            <w:tcW w:w="1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Fixed</w:t>
            </w:r>
          </w:p>
        </w:tc>
        <w:tc>
          <w:tcPr>
            <w:tcW w:w="12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Receive</w:t>
            </w:r>
          </w:p>
        </w:tc>
        <w:tc>
          <w:tcPr>
            <w:tcW w:w="16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Estimated</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192"/>
        </w:trPr>
        <w:tc>
          <w:tcPr>
            <w:tcW w:w="3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Pay Rate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36"/>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 3 years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16,750</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1.57%</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0.19%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1.6</w:t>
            </w:r>
          </w:p>
        </w:tc>
        <w:tc>
          <w:tcPr>
            <w:tcW w:w="0" w:type="dxa"/>
            <w:vAlign w:val="bottom"/>
          </w:tcPr>
          <w:p>
            <w:pPr>
              <w:spacing w:after="0"/>
              <w:rPr>
                <w:sz w:val="1"/>
                <w:szCs w:val="1"/>
                <w:color w:val="auto"/>
              </w:rPr>
            </w:pPr>
          </w:p>
        </w:tc>
      </w:tr>
      <w:tr>
        <w:trPr>
          <w:trHeight w:val="237"/>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&gt; 3 to ≤ 5 years</w:t>
            </w:r>
          </w:p>
        </w:tc>
        <w:tc>
          <w:tcPr>
            <w:tcW w:w="20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10,225</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1.07%</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3.9</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5 to ≤ 7 years</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5,700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1.97%</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6.0</w:t>
            </w:r>
          </w:p>
        </w:tc>
        <w:tc>
          <w:tcPr>
            <w:tcW w:w="0" w:type="dxa"/>
            <w:vAlign w:val="bottom"/>
          </w:tcPr>
          <w:p>
            <w:pPr>
              <w:spacing w:after="0"/>
              <w:rPr>
                <w:sz w:val="1"/>
                <w:szCs w:val="1"/>
                <w:color w:val="auto"/>
              </w:rPr>
            </w:pPr>
          </w:p>
        </w:tc>
      </w:tr>
      <w:tr>
        <w:trPr>
          <w:trHeight w:val="237"/>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&gt; 7 to ≤ 10 years</w:t>
            </w:r>
          </w:p>
        </w:tc>
        <w:tc>
          <w:tcPr>
            <w:tcW w:w="20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8,825</w:t>
            </w: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6"/>
                <w:szCs w:val="16"/>
                <w:color w:val="auto"/>
                <w:w w:val="92"/>
              </w:rPr>
              <w:t>2.28%</w:t>
            </w:r>
          </w:p>
        </w:tc>
        <w:tc>
          <w:tcPr>
            <w:tcW w:w="114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0.24%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6"/>
                <w:szCs w:val="16"/>
                <w:color w:val="auto"/>
                <w:w w:val="89"/>
              </w:rPr>
              <w:t>8.8</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&gt; 10 years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1,750</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2.79%</w:t>
            </w:r>
          </w:p>
        </w:tc>
        <w:tc>
          <w:tcPr>
            <w:tcW w:w="1140" w:type="dxa"/>
            <w:vAlign w:val="bottom"/>
            <w:tcBorders>
              <w:bottom w:val="single" w:sz="8" w:color="CCEEFF"/>
            </w:tcBorders>
            <w:gridSpan w:val="2"/>
            <w:shd w:val="clear" w:color="auto" w:fill="CCEEFF"/>
          </w:tcPr>
          <w:p>
            <w:pPr>
              <w:jc w:val="center"/>
              <w:ind w:left="40"/>
              <w:spacing w:after="0"/>
              <w:rPr>
                <w:sz w:val="20"/>
                <w:szCs w:val="20"/>
                <w:color w:val="auto"/>
              </w:rPr>
            </w:pPr>
            <w:r>
              <w:rPr>
                <w:rFonts w:ascii="Arial" w:cs="Arial" w:eastAsia="Arial" w:hAnsi="Arial"/>
                <w:sz w:val="16"/>
                <w:szCs w:val="16"/>
                <w:color w:val="auto"/>
                <w:w w:val="92"/>
              </w:rPr>
              <w:t>0.24%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14.7</w:t>
            </w:r>
          </w:p>
        </w:tc>
        <w:tc>
          <w:tcPr>
            <w:tcW w:w="0" w:type="dxa"/>
            <w:vAlign w:val="bottom"/>
          </w:tcPr>
          <w:p>
            <w:pPr>
              <w:spacing w:after="0"/>
              <w:rPr>
                <w:sz w:val="1"/>
                <w:szCs w:val="1"/>
                <w:color w:val="auto"/>
              </w:rPr>
            </w:pPr>
          </w:p>
        </w:tc>
      </w:tr>
      <w:tr>
        <w:trPr>
          <w:trHeight w:val="231"/>
        </w:trPr>
        <w:tc>
          <w:tcPr>
            <w:tcW w:w="3560" w:type="dxa"/>
            <w:vAlign w:val="bottom"/>
            <w:gridSpan w:val="2"/>
          </w:tcPr>
          <w:p>
            <w:pPr>
              <w:ind w:left="20"/>
              <w:spacing w:after="0"/>
              <w:rPr>
                <w:sz w:val="20"/>
                <w:szCs w:val="20"/>
                <w:color w:val="auto"/>
              </w:rPr>
            </w:pPr>
            <w:r>
              <w:rPr>
                <w:rFonts w:ascii="Arial" w:cs="Arial" w:eastAsia="Arial" w:hAnsi="Arial"/>
                <w:sz w:val="16"/>
                <w:szCs w:val="16"/>
                <w:color w:val="auto"/>
              </w:rPr>
              <w:t>Total Payer Interest Rate Swaps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43,250</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1.70%</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0.22%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480</w:t>
            </w:r>
          </w:p>
        </w:tc>
        <w:tc>
          <w:tcPr>
            <w:tcW w:w="100" w:type="dxa"/>
            <w:vAlign w:val="bottom"/>
          </w:tcPr>
          <w:p>
            <w:pPr>
              <w:spacing w:after="0"/>
              <w:rPr>
                <w:sz w:val="20"/>
                <w:szCs w:val="20"/>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12700</wp:posOffset>
            </wp:positionV>
            <wp:extent cx="37134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2832100</wp:posOffset>
            </wp:positionH>
            <wp:positionV relativeFrom="paragraph">
              <wp:posOffset>-130175</wp:posOffset>
            </wp:positionV>
            <wp:extent cx="37134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13480" cy="8890"/>
                    </a:xfrm>
                    <a:prstGeom prst="rect">
                      <a:avLst/>
                    </a:prstGeom>
                    <a:noFill/>
                  </pic:spPr>
                </pic:pic>
              </a:graphicData>
            </a:graphic>
          </wp:anchor>
        </w:drawing>
      </w:r>
    </w:p>
    <w:p>
      <w:pPr>
        <w:ind w:left="520" w:hanging="328"/>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Notional amount includes forward starting swaps of $4.0 billion with an average forward start date of 1.9 years from December 31, 2013.</w:t>
      </w:r>
    </w:p>
    <w:p>
      <w:pPr>
        <w:spacing w:after="0" w:line="1" w:lineRule="exact"/>
        <w:rPr>
          <w:rFonts w:ascii="Arial" w:cs="Arial" w:eastAsia="Arial" w:hAnsi="Arial"/>
          <w:sz w:val="14"/>
          <w:szCs w:val="14"/>
          <w:color w:val="auto"/>
        </w:rPr>
      </w:pPr>
    </w:p>
    <w:p>
      <w:pPr>
        <w:ind w:left="520" w:hanging="328"/>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fixed pay rate includes forward starting swaps. Excluding forward starting swaps, the average fixed pay rate was 1.57% as of December 31, 2013.</w:t>
      </w:r>
    </w:p>
    <w:p>
      <w:pPr>
        <w:spacing w:after="0" w:line="1" w:lineRule="exact"/>
        <w:rPr>
          <w:rFonts w:ascii="Arial" w:cs="Arial" w:eastAsia="Arial" w:hAnsi="Arial"/>
          <w:sz w:val="14"/>
          <w:szCs w:val="14"/>
          <w:color w:val="auto"/>
        </w:rPr>
      </w:pPr>
    </w:p>
    <w:p>
      <w:pPr>
        <w:ind w:left="520" w:hanging="328"/>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receive rate excludes forward starting swaps.</w:t>
      </w:r>
    </w:p>
    <w:p>
      <w:pPr>
        <w:spacing w:after="0" w:line="1" w:lineRule="exact"/>
        <w:rPr>
          <w:rFonts w:ascii="Arial" w:cs="Arial" w:eastAsia="Arial" w:hAnsi="Arial"/>
          <w:sz w:val="14"/>
          <w:szCs w:val="14"/>
          <w:color w:val="auto"/>
        </w:rPr>
      </w:pPr>
    </w:p>
    <w:p>
      <w:pPr>
        <w:ind w:left="520" w:hanging="328"/>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Average maturity measured from December 31, 2013 through stated maturity date.</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The following tables summarize our interest rate swaption agreements outstanding as of March 31, 2014 and December 31, 2013 (dollars in millions):</w:t>
      </w:r>
    </w:p>
    <w:p>
      <w:pPr>
        <w:spacing w:after="0" w:line="200" w:lineRule="exact"/>
        <w:rPr>
          <w:sz w:val="20"/>
          <w:szCs w:val="20"/>
          <w:color w:val="auto"/>
        </w:rPr>
      </w:pPr>
    </w:p>
    <w:p>
      <w:pPr>
        <w:spacing w:after="0" w:line="215"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4"/>
              </w:rPr>
              <w:t>March 31, 2014</w:t>
            </w: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8"/>
          </w:tcPr>
          <w:p>
            <w:pPr>
              <w:jc w:val="center"/>
              <w:ind w:right="540"/>
              <w:spacing w:after="0"/>
              <w:rPr>
                <w:sz w:val="20"/>
                <w:szCs w:val="20"/>
                <w:color w:val="auto"/>
              </w:rPr>
            </w:pPr>
            <w:r>
              <w:rPr>
                <w:rFonts w:ascii="Arial" w:cs="Arial" w:eastAsia="Arial" w:hAnsi="Arial"/>
                <w:sz w:val="14"/>
                <w:szCs w:val="14"/>
                <w:b w:val="1"/>
                <w:bCs w:val="1"/>
                <w:color w:val="auto"/>
                <w:w w:val="95"/>
              </w:rPr>
              <w:t>Underlying Payer Swap</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6"/>
            <w:vMerge w:val="restart"/>
          </w:tcPr>
          <w:p>
            <w:pPr>
              <w:jc w:val="center"/>
              <w:ind w:right="320"/>
              <w:spacing w:after="0"/>
              <w:rPr>
                <w:sz w:val="20"/>
                <w:szCs w:val="20"/>
                <w:color w:val="auto"/>
              </w:rPr>
            </w:pPr>
            <w:r>
              <w:rPr>
                <w:rFonts w:ascii="Arial" w:cs="Arial" w:eastAsia="Arial" w:hAnsi="Arial"/>
                <w:sz w:val="14"/>
                <w:szCs w:val="14"/>
                <w:b w:val="1"/>
                <w:bCs w:val="1"/>
                <w:color w:val="auto"/>
                <w:w w:val="91"/>
              </w:rPr>
              <w:t>Average Fixed</w:t>
            </w:r>
          </w:p>
        </w:tc>
        <w:tc>
          <w:tcPr>
            <w:tcW w:w="98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9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Receive</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Years to Expiration</w:t>
            </w:r>
          </w:p>
        </w:tc>
        <w:tc>
          <w:tcPr>
            <w:tcW w:w="12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Months to</w:t>
            </w:r>
          </w:p>
        </w:tc>
        <w:tc>
          <w:tcPr>
            <w:tcW w:w="1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96"/>
              </w:rPr>
              <w:t>Pay</w:t>
            </w:r>
          </w:p>
        </w:tc>
        <w:tc>
          <w:tcPr>
            <w:tcW w:w="10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Rate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22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323"/>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43"/>
              <w:spacing w:after="0"/>
              <w:rPr>
                <w:sz w:val="20"/>
                <w:szCs w:val="20"/>
                <w:color w:val="auto"/>
              </w:rPr>
            </w:pPr>
            <w:r>
              <w:rPr>
                <w:rFonts w:ascii="Arial" w:cs="Arial" w:eastAsia="Arial" w:hAnsi="Arial"/>
                <w:sz w:val="14"/>
                <w:szCs w:val="14"/>
                <w:b w:val="1"/>
                <w:bCs w:val="1"/>
                <w:color w:val="auto"/>
              </w:rPr>
              <w:t>(LIBOR)</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400" w:type="dxa"/>
            <w:vAlign w:val="bottom"/>
            <w:gridSpan w:val="3"/>
          </w:tcPr>
          <w:p>
            <w:pPr>
              <w:ind w:left="20"/>
              <w:spacing w:after="0"/>
              <w:rPr>
                <w:sz w:val="20"/>
                <w:szCs w:val="20"/>
                <w:color w:val="auto"/>
              </w:rPr>
            </w:pPr>
            <w:r>
              <w:rPr>
                <w:rFonts w:ascii="Arial" w:cs="Arial" w:eastAsia="Arial" w:hAnsi="Arial"/>
                <w:sz w:val="16"/>
                <w:szCs w:val="16"/>
                <w:color w:val="auto"/>
              </w:rPr>
              <w:t>≤ 1 year</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111</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44</w:t>
            </w:r>
          </w:p>
        </w:tc>
        <w:tc>
          <w:tcPr>
            <w:tcW w:w="10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color w:val="auto"/>
                <w:w w:val="89"/>
              </w:rPr>
              <w:t>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4,650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5"/>
          </w:tcPr>
          <w:p>
            <w:pPr>
              <w:jc w:val="center"/>
              <w:spacing w:after="0"/>
              <w:rPr>
                <w:sz w:val="20"/>
                <w:szCs w:val="20"/>
                <w:color w:val="auto"/>
              </w:rPr>
            </w:pPr>
            <w:r>
              <w:rPr>
                <w:rFonts w:ascii="Arial" w:cs="Arial" w:eastAsia="Arial" w:hAnsi="Arial"/>
                <w:sz w:val="16"/>
                <w:szCs w:val="16"/>
                <w:color w:val="auto"/>
                <w:w w:val="92"/>
              </w:rPr>
              <w:t>2.98%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6"/>
                <w:szCs w:val="16"/>
                <w:color w:val="auto"/>
                <w:w w:val="98"/>
              </w:rPr>
              <w:t>3M</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&gt; 1 to ≤ 2 years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2,450</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5"/>
            <w:shd w:val="clear" w:color="auto" w:fill="CCEEFF"/>
          </w:tcPr>
          <w:p>
            <w:pPr>
              <w:jc w:val="center"/>
              <w:spacing w:after="0"/>
              <w:rPr>
                <w:sz w:val="20"/>
                <w:szCs w:val="20"/>
                <w:color w:val="auto"/>
              </w:rPr>
            </w:pPr>
            <w:r>
              <w:rPr>
                <w:rFonts w:ascii="Arial" w:cs="Arial" w:eastAsia="Arial" w:hAnsi="Arial"/>
                <w:sz w:val="16"/>
                <w:szCs w:val="16"/>
                <w:color w:val="auto"/>
                <w:w w:val="92"/>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right w:val="single" w:sz="8" w:color="CCEEFF"/>
            </w:tcBorders>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8"/>
              </w:rPr>
              <w:t>3M</w:t>
            </w: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4.5</w:t>
            </w:r>
          </w:p>
        </w:tc>
        <w:tc>
          <w:tcPr>
            <w:tcW w:w="0" w:type="dxa"/>
            <w:vAlign w:val="bottom"/>
          </w:tcPr>
          <w:p>
            <w:pPr>
              <w:spacing w:after="0"/>
              <w:rPr>
                <w:sz w:val="1"/>
                <w:szCs w:val="1"/>
                <w:color w:val="auto"/>
              </w:rPr>
            </w:pPr>
          </w:p>
        </w:tc>
      </w:tr>
      <w:tr>
        <w:trPr>
          <w:trHeight w:val="237"/>
        </w:trPr>
        <w:tc>
          <w:tcPr>
            <w:tcW w:w="2400" w:type="dxa"/>
            <w:vAlign w:val="bottom"/>
            <w:gridSpan w:val="3"/>
          </w:tcPr>
          <w:p>
            <w:pPr>
              <w:ind w:left="20"/>
              <w:spacing w:after="0"/>
              <w:rPr>
                <w:sz w:val="20"/>
                <w:szCs w:val="20"/>
                <w:color w:val="auto"/>
              </w:rPr>
            </w:pPr>
            <w:r>
              <w:rPr>
                <w:rFonts w:ascii="Arial" w:cs="Arial" w:eastAsia="Arial" w:hAnsi="Arial"/>
                <w:sz w:val="16"/>
                <w:szCs w:val="16"/>
                <w:color w:val="auto"/>
              </w:rPr>
              <w:t>&gt; 2 to ≤ 3 years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15</w:t>
            </w:r>
          </w:p>
        </w:tc>
        <w:tc>
          <w:tcPr>
            <w:tcW w:w="100" w:type="dxa"/>
            <w:vAlign w:val="bottom"/>
          </w:tcPr>
          <w:p>
            <w:pPr>
              <w:spacing w:after="0"/>
              <w:rPr>
                <w:sz w:val="20"/>
                <w:szCs w:val="20"/>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color w:val="auto"/>
                <w:w w:val="89"/>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900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5"/>
          </w:tcPr>
          <w:p>
            <w:pPr>
              <w:jc w:val="center"/>
              <w:spacing w:after="0"/>
              <w:rPr>
                <w:sz w:val="20"/>
                <w:szCs w:val="20"/>
                <w:color w:val="auto"/>
              </w:rPr>
            </w:pPr>
            <w:r>
              <w:rPr>
                <w:rFonts w:ascii="Arial" w:cs="Arial" w:eastAsia="Arial" w:hAnsi="Arial"/>
                <w:sz w:val="16"/>
                <w:szCs w:val="16"/>
                <w:color w:val="auto"/>
                <w:w w:val="92"/>
              </w:rPr>
              <w:t>3.99%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center"/>
              <w:ind w:right="460"/>
              <w:spacing w:after="0"/>
              <w:rPr>
                <w:sz w:val="20"/>
                <w:szCs w:val="20"/>
                <w:color w:val="auto"/>
              </w:rPr>
            </w:pPr>
            <w:r>
              <w:rPr>
                <w:rFonts w:ascii="Arial" w:cs="Arial" w:eastAsia="Arial" w:hAnsi="Arial"/>
                <w:sz w:val="16"/>
                <w:szCs w:val="16"/>
                <w:color w:val="auto"/>
                <w:w w:val="98"/>
              </w:rPr>
              <w:t>3M</w:t>
            </w:r>
          </w:p>
        </w:tc>
        <w:tc>
          <w:tcPr>
            <w:tcW w:w="980" w:type="dxa"/>
            <w:vAlign w:val="bottom"/>
          </w:tcPr>
          <w:p>
            <w:pPr>
              <w:jc w:val="center"/>
              <w:spacing w:after="0"/>
              <w:rPr>
                <w:sz w:val="20"/>
                <w:szCs w:val="20"/>
                <w:color w:val="auto"/>
              </w:rPr>
            </w:pPr>
            <w:r>
              <w:rPr>
                <w:rFonts w:ascii="Arial" w:cs="Arial" w:eastAsia="Arial" w:hAnsi="Arial"/>
                <w:sz w:val="16"/>
                <w:szCs w:val="16"/>
                <w:color w:val="auto"/>
                <w:w w:val="89"/>
              </w:rPr>
              <w:t>5.4</w:t>
            </w:r>
          </w:p>
        </w:tc>
        <w:tc>
          <w:tcPr>
            <w:tcW w:w="0" w:type="dxa"/>
            <w:vAlign w:val="bottom"/>
          </w:tcPr>
          <w:p>
            <w:pPr>
              <w:spacing w:after="0"/>
              <w:rPr>
                <w:sz w:val="1"/>
                <w:szCs w:val="1"/>
                <w:color w:val="auto"/>
              </w:rPr>
            </w:pPr>
          </w:p>
        </w:tc>
      </w:tr>
      <w:tr>
        <w:trPr>
          <w:trHeight w:val="33"/>
        </w:trPr>
        <w:tc>
          <w:tcPr>
            <w:tcW w:w="9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Total Payer Swaptions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194</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93</w:t>
            </w:r>
          </w:p>
        </w:tc>
        <w:tc>
          <w:tcPr>
            <w:tcW w:w="10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8,000</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auto"/>
                <w:w w:val="92"/>
              </w:rPr>
              <w:t>3.27%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tcBorders>
              <w:right w:val="single" w:sz="8" w:color="CCEEFF"/>
            </w:tcBorders>
            <w:gridSpan w:val="2"/>
            <w:shd w:val="clear" w:color="auto" w:fill="CCEEFF"/>
          </w:tcPr>
          <w:p>
            <w:pPr>
              <w:jc w:val="center"/>
              <w:ind w:right="460"/>
              <w:spacing w:after="0"/>
              <w:rPr>
                <w:sz w:val="20"/>
                <w:szCs w:val="20"/>
                <w:color w:val="auto"/>
              </w:rPr>
            </w:pPr>
            <w:r>
              <w:rPr>
                <w:rFonts w:ascii="Arial" w:cs="Arial" w:eastAsia="Arial" w:hAnsi="Arial"/>
                <w:sz w:val="16"/>
                <w:szCs w:val="16"/>
                <w:color w:val="auto"/>
                <w:w w:val="98"/>
              </w:rPr>
              <w:t>3M</w:t>
            </w:r>
          </w:p>
        </w:tc>
        <w:tc>
          <w:tcPr>
            <w:tcW w:w="9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5.7</w:t>
            </w:r>
          </w:p>
        </w:tc>
        <w:tc>
          <w:tcPr>
            <w:tcW w:w="0" w:type="dxa"/>
            <w:vAlign w:val="bottom"/>
          </w:tcPr>
          <w:p>
            <w:pPr>
              <w:spacing w:after="0"/>
              <w:rPr>
                <w:sz w:val="1"/>
                <w:szCs w:val="1"/>
                <w:color w:val="auto"/>
              </w:rPr>
            </w:pP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4"/>
              </w:rPr>
              <w:t>March 31, 2014</w:t>
            </w: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2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420" w:type="dxa"/>
            <w:vAlign w:val="bottom"/>
            <w:tcBorders>
              <w:bottom w:val="single" w:sz="8" w:color="auto"/>
            </w:tcBorders>
            <w:gridSpan w:val="9"/>
          </w:tcPr>
          <w:p>
            <w:pPr>
              <w:jc w:val="center"/>
              <w:ind w:right="140"/>
              <w:spacing w:after="0"/>
              <w:rPr>
                <w:sz w:val="20"/>
                <w:szCs w:val="20"/>
                <w:color w:val="auto"/>
              </w:rPr>
            </w:pPr>
            <w:r>
              <w:rPr>
                <w:rFonts w:ascii="Arial" w:cs="Arial" w:eastAsia="Arial" w:hAnsi="Arial"/>
                <w:sz w:val="14"/>
                <w:szCs w:val="14"/>
                <w:b w:val="1"/>
                <w:bCs w:val="1"/>
                <w:color w:val="auto"/>
                <w:w w:val="93"/>
              </w:rPr>
              <w:t>Underlying Receiver Swap</w:t>
            </w: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6"/>
            <w:vMerge w:val="restart"/>
          </w:tcPr>
          <w:p>
            <w:pPr>
              <w:jc w:val="center"/>
              <w:ind w:right="320"/>
              <w:spacing w:after="0"/>
              <w:rPr>
                <w:sz w:val="20"/>
                <w:szCs w:val="20"/>
                <w:color w:val="auto"/>
              </w:rPr>
            </w:pPr>
            <w:r>
              <w:rPr>
                <w:rFonts w:ascii="Arial" w:cs="Arial" w:eastAsia="Arial" w:hAnsi="Arial"/>
                <w:sz w:val="14"/>
                <w:szCs w:val="14"/>
                <w:b w:val="1"/>
                <w:bCs w:val="1"/>
                <w:color w:val="auto"/>
                <w:w w:val="91"/>
              </w:rPr>
              <w:t>Average Fixed</w:t>
            </w:r>
          </w:p>
        </w:tc>
        <w:tc>
          <w:tcPr>
            <w:tcW w:w="98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Notional</w:t>
            </w:r>
          </w:p>
        </w:tc>
        <w:tc>
          <w:tcPr>
            <w:tcW w:w="80" w:type="dxa"/>
            <w:vAlign w:val="bottom"/>
          </w:tcPr>
          <w:p>
            <w:pPr>
              <w:spacing w:after="0"/>
              <w:rPr>
                <w:sz w:val="12"/>
                <w:szCs w:val="12"/>
                <w:color w:val="auto"/>
              </w:rPr>
            </w:pPr>
          </w:p>
        </w:tc>
        <w:tc>
          <w:tcPr>
            <w:tcW w:w="144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Pay</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Months to</w:t>
            </w:r>
          </w:p>
        </w:tc>
        <w:tc>
          <w:tcPr>
            <w:tcW w:w="1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Receive</w:t>
            </w:r>
          </w:p>
        </w:tc>
        <w:tc>
          <w:tcPr>
            <w:tcW w:w="10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8"/>
              </w:rPr>
              <w:t>Rate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92"/>
        </w:trPr>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87"/>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Amount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3"/>
          </w:tcPr>
          <w:p>
            <w:pPr>
              <w:jc w:val="center"/>
              <w:ind w:right="323"/>
              <w:spacing w:after="0"/>
              <w:rPr>
                <w:sz w:val="20"/>
                <w:szCs w:val="20"/>
                <w:color w:val="auto"/>
              </w:rPr>
            </w:pPr>
            <w:r>
              <w:rPr>
                <w:rFonts w:ascii="Arial" w:cs="Arial" w:eastAsia="Arial" w:hAnsi="Arial"/>
                <w:sz w:val="14"/>
                <w:szCs w:val="14"/>
                <w:b w:val="1"/>
                <w:bCs w:val="1"/>
                <w:color w:val="auto"/>
                <w:w w:val="92"/>
              </w:rPr>
              <w:t>Rate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143"/>
              <w:spacing w:after="0"/>
              <w:rPr>
                <w:sz w:val="20"/>
                <w:szCs w:val="20"/>
                <w:color w:val="auto"/>
              </w:rPr>
            </w:pPr>
            <w:r>
              <w:rPr>
                <w:rFonts w:ascii="Arial" w:cs="Arial" w:eastAsia="Arial" w:hAnsi="Arial"/>
                <w:sz w:val="14"/>
                <w:szCs w:val="14"/>
                <w:b w:val="1"/>
                <w:bCs w:val="1"/>
                <w:color w:val="auto"/>
              </w:rPr>
              <w:t>(LIBOR)</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Receiver Swaption</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6"/>
                <w:szCs w:val="16"/>
                <w:color w:val="auto"/>
                <w:w w:val="89"/>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1,000</w:t>
            </w: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6"/>
                <w:szCs w:val="16"/>
                <w:color w:val="auto"/>
                <w:w w:val="92"/>
              </w:rPr>
              <w:t>2.26%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center"/>
              <w:ind w:right="223"/>
              <w:spacing w:after="0"/>
              <w:rPr>
                <w:sz w:val="20"/>
                <w:szCs w:val="20"/>
                <w:color w:val="auto"/>
              </w:rPr>
            </w:pPr>
            <w:r>
              <w:rPr>
                <w:rFonts w:ascii="Arial" w:cs="Arial" w:eastAsia="Arial" w:hAnsi="Arial"/>
                <w:sz w:val="16"/>
                <w:szCs w:val="16"/>
                <w:color w:val="auto"/>
                <w:w w:val="98"/>
              </w:rPr>
              <w:t>3M</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10.0</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7"/>
          </w:tcPr>
          <w:p>
            <w:pPr>
              <w:ind w:left="700"/>
              <w:spacing w:after="0"/>
              <w:rPr>
                <w:sz w:val="20"/>
                <w:szCs w:val="20"/>
                <w:color w:val="auto"/>
              </w:rPr>
            </w:pPr>
            <w:r>
              <w:rPr>
                <w:rFonts w:ascii="Arial" w:cs="Arial" w:eastAsia="Arial" w:hAnsi="Arial"/>
                <w:sz w:val="14"/>
                <w:szCs w:val="14"/>
                <w:b w:val="1"/>
                <w:bCs w:val="1"/>
                <w:color w:val="auto"/>
              </w:rPr>
              <w:t>December 31, 2013</w:t>
            </w: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9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Option</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6"/>
              </w:rPr>
              <w:t>Underlying Payer Swap</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3"/>
          </w:tcPr>
          <w:p>
            <w:pPr>
              <w:jc w:val="center"/>
              <w:ind w:right="20"/>
              <w:spacing w:after="0" w:line="153"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3"/>
                <w:szCs w:val="13"/>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Notional</w:t>
            </w: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Fixed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Receive</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4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Years to Expiration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Cost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Months to</w:t>
            </w:r>
          </w:p>
        </w:tc>
        <w:tc>
          <w:tcPr>
            <w:tcW w:w="1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8"/>
              </w:rPr>
              <w:t>Pay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Expiration</w:t>
            </w:r>
          </w:p>
        </w:tc>
        <w:tc>
          <w:tcPr>
            <w:tcW w:w="140" w:type="dxa"/>
            <w:vAlign w:val="bottom"/>
          </w:tcPr>
          <w:p>
            <w:pPr>
              <w:spacing w:after="0"/>
              <w:rPr>
                <w:sz w:val="16"/>
                <w:szCs w:val="16"/>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6"/>
                <w:szCs w:val="16"/>
                <w:color w:val="auto"/>
              </w:rPr>
            </w:pPr>
          </w:p>
        </w:tc>
        <w:tc>
          <w:tcPr>
            <w:tcW w:w="400" w:type="dxa"/>
            <w:vAlign w:val="bottom"/>
          </w:tcPr>
          <w:p>
            <w:pPr>
              <w:jc w:val="center"/>
              <w:ind w:right="27"/>
              <w:spacing w:after="0"/>
              <w:rPr>
                <w:sz w:val="20"/>
                <w:szCs w:val="20"/>
                <w:color w:val="auto"/>
              </w:rPr>
            </w:pPr>
            <w:r>
              <w:rPr>
                <w:rFonts w:ascii="Arial" w:cs="Arial" w:eastAsia="Arial" w:hAnsi="Arial"/>
                <w:sz w:val="14"/>
                <w:szCs w:val="14"/>
                <w:b w:val="1"/>
                <w:bCs w:val="1"/>
                <w:color w:val="auto"/>
                <w:w w:val="98"/>
              </w:rPr>
              <w:t>Rate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(LIBOR)</w:t>
            </w:r>
          </w:p>
        </w:tc>
        <w:tc>
          <w:tcPr>
            <w:tcW w:w="100" w:type="dxa"/>
            <w:vAlign w:val="bottom"/>
          </w:tcPr>
          <w:p>
            <w:pPr>
              <w:spacing w:after="0"/>
              <w:rPr>
                <w:sz w:val="16"/>
                <w:szCs w:val="16"/>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144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Payer Swaptions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color w:val="auto"/>
              </w:rPr>
              <w:t>≤ 1 year</w:t>
            </w:r>
          </w:p>
        </w:tc>
        <w:tc>
          <w:tcPr>
            <w:tcW w:w="300" w:type="dxa"/>
            <w:vAlign w:val="bottom"/>
          </w:tcPr>
          <w:p>
            <w:pPr>
              <w:spacing w:after="0"/>
              <w:rPr>
                <w:sz w:val="20"/>
                <w:szCs w:val="20"/>
                <w:color w:val="auto"/>
              </w:rPr>
            </w:pPr>
          </w:p>
        </w:tc>
        <w:tc>
          <w:tcPr>
            <w:tcW w:w="38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w w:val="89"/>
              </w:rPr>
              <w:t>193</w:t>
            </w:r>
          </w:p>
        </w:tc>
        <w:tc>
          <w:tcPr>
            <w:tcW w:w="120" w:type="dxa"/>
            <w:vAlign w:val="bottom"/>
          </w:tcPr>
          <w:p>
            <w:pPr>
              <w:spacing w:after="0"/>
              <w:rPr>
                <w:sz w:val="20"/>
                <w:szCs w:val="20"/>
                <w:color w:val="auto"/>
              </w:rPr>
            </w:pPr>
          </w:p>
        </w:tc>
        <w:tc>
          <w:tcPr>
            <w:tcW w:w="480" w:type="dxa"/>
            <w:vAlign w:val="bottom"/>
          </w:tcPr>
          <w:p>
            <w:pPr>
              <w:jc w:val="right"/>
              <w:ind w:right="306"/>
              <w:spacing w:after="0"/>
              <w:rPr>
                <w:sz w:val="20"/>
                <w:szCs w:val="20"/>
                <w:color w:val="auto"/>
              </w:rPr>
            </w:pPr>
            <w:r>
              <w:rPr>
                <w:rFonts w:ascii="Arial" w:cs="Arial" w:eastAsia="Arial" w:hAnsi="Arial"/>
                <w:sz w:val="16"/>
                <w:szCs w:val="16"/>
                <w:color w:val="auto"/>
                <w:w w:val="89"/>
              </w:rPr>
              <w:t>$</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117</w:t>
            </w:r>
          </w:p>
        </w:tc>
        <w:tc>
          <w:tcPr>
            <w:tcW w:w="1020" w:type="dxa"/>
            <w:vAlign w:val="bottom"/>
            <w:gridSpan w:val="3"/>
          </w:tcPr>
          <w:p>
            <w:pPr>
              <w:jc w:val="center"/>
              <w:ind w:left="59"/>
              <w:spacing w:after="0"/>
              <w:rPr>
                <w:sz w:val="20"/>
                <w:szCs w:val="20"/>
                <w:color w:val="auto"/>
              </w:rPr>
            </w:pPr>
            <w:r>
              <w:rPr>
                <w:rFonts w:ascii="Arial" w:cs="Arial" w:eastAsia="Arial" w:hAnsi="Arial"/>
                <w:sz w:val="16"/>
                <w:szCs w:val="16"/>
                <w:color w:val="auto"/>
                <w:w w:val="89"/>
              </w:rPr>
              <w:t>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9,400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gridSpan w:val="2"/>
          </w:tcPr>
          <w:p>
            <w:pPr>
              <w:jc w:val="center"/>
              <w:spacing w:after="0"/>
              <w:rPr>
                <w:sz w:val="20"/>
                <w:szCs w:val="20"/>
                <w:color w:val="auto"/>
              </w:rPr>
            </w:pPr>
            <w:r>
              <w:rPr>
                <w:rFonts w:ascii="Arial" w:cs="Arial" w:eastAsia="Arial" w:hAnsi="Arial"/>
                <w:sz w:val="16"/>
                <w:szCs w:val="16"/>
                <w:color w:val="auto"/>
                <w:w w:val="92"/>
              </w:rPr>
              <w:t>2.87%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6"/>
                <w:szCs w:val="16"/>
                <w:color w:val="auto"/>
                <w:w w:val="98"/>
              </w:rPr>
              <w:t>3M</w:t>
            </w:r>
          </w:p>
        </w:tc>
        <w:tc>
          <w:tcPr>
            <w:tcW w:w="820" w:type="dxa"/>
            <w:vAlign w:val="bottom"/>
            <w:gridSpan w:val="2"/>
          </w:tcPr>
          <w:p>
            <w:pPr>
              <w:jc w:val="center"/>
              <w:ind w:left="184"/>
              <w:spacing w:after="0"/>
              <w:rPr>
                <w:sz w:val="20"/>
                <w:szCs w:val="20"/>
                <w:color w:val="auto"/>
              </w:rPr>
            </w:pPr>
            <w:r>
              <w:rPr>
                <w:rFonts w:ascii="Arial" w:cs="Arial" w:eastAsia="Arial" w:hAnsi="Arial"/>
                <w:sz w:val="16"/>
                <w:szCs w:val="16"/>
                <w:color w:val="auto"/>
                <w:w w:val="89"/>
              </w:rPr>
              <w:t>7.8</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1 to ≤ 2 years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w w:val="89"/>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92</w:t>
            </w:r>
          </w:p>
        </w:tc>
        <w:tc>
          <w:tcPr>
            <w:tcW w:w="1020" w:type="dxa"/>
            <w:vAlign w:val="bottom"/>
            <w:tcBorders>
              <w:bottom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3,600</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3.40%</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6"/>
                <w:szCs w:val="16"/>
                <w:color w:val="auto"/>
                <w:w w:val="98"/>
              </w:rPr>
              <w:t>3M</w:t>
            </w:r>
          </w:p>
        </w:tc>
        <w:tc>
          <w:tcPr>
            <w:tcW w:w="820" w:type="dxa"/>
            <w:vAlign w:val="bottom"/>
            <w:tcBorders>
              <w:bottom w:val="single" w:sz="8" w:color="CCEEFF"/>
            </w:tcBorders>
            <w:gridSpan w:val="2"/>
            <w:shd w:val="clear" w:color="auto" w:fill="CCEEFF"/>
          </w:tcPr>
          <w:p>
            <w:pPr>
              <w:jc w:val="center"/>
              <w:ind w:left="184"/>
              <w:spacing w:after="0"/>
              <w:rPr>
                <w:sz w:val="20"/>
                <w:szCs w:val="20"/>
                <w:color w:val="auto"/>
              </w:rPr>
            </w:pPr>
            <w:r>
              <w:rPr>
                <w:rFonts w:ascii="Arial" w:cs="Arial" w:eastAsia="Arial" w:hAnsi="Arial"/>
                <w:sz w:val="16"/>
                <w:szCs w:val="16"/>
                <w:color w:val="auto"/>
                <w:w w:val="89"/>
              </w:rPr>
              <w:t>5.6</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color w:val="auto"/>
              </w:rPr>
              <w:t>&gt; 2 to ≤ 3 years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45</w:t>
            </w:r>
          </w:p>
        </w:tc>
        <w:tc>
          <w:tcPr>
            <w:tcW w:w="1020" w:type="dxa"/>
            <w:vAlign w:val="bottom"/>
            <w:gridSpan w:val="3"/>
          </w:tcPr>
          <w:p>
            <w:pPr>
              <w:jc w:val="center"/>
              <w:ind w:left="79"/>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1,150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gridSpan w:val="2"/>
          </w:tcPr>
          <w:p>
            <w:pPr>
              <w:jc w:val="center"/>
              <w:spacing w:after="0"/>
              <w:rPr>
                <w:sz w:val="20"/>
                <w:szCs w:val="20"/>
                <w:color w:val="auto"/>
              </w:rPr>
            </w:pPr>
            <w:r>
              <w:rPr>
                <w:rFonts w:ascii="Arial" w:cs="Arial" w:eastAsia="Arial" w:hAnsi="Arial"/>
                <w:sz w:val="16"/>
                <w:szCs w:val="16"/>
                <w:color w:val="auto"/>
                <w:w w:val="92"/>
              </w:rPr>
              <w:t>3.81%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3"/>
          </w:tcPr>
          <w:p>
            <w:pPr>
              <w:jc w:val="center"/>
              <w:ind w:right="20"/>
              <w:spacing w:after="0"/>
              <w:rPr>
                <w:sz w:val="20"/>
                <w:szCs w:val="20"/>
                <w:color w:val="auto"/>
              </w:rPr>
            </w:pPr>
            <w:r>
              <w:rPr>
                <w:rFonts w:ascii="Arial" w:cs="Arial" w:eastAsia="Arial" w:hAnsi="Arial"/>
                <w:sz w:val="16"/>
                <w:szCs w:val="16"/>
                <w:color w:val="auto"/>
                <w:w w:val="98"/>
              </w:rPr>
              <w:t>3M</w:t>
            </w:r>
          </w:p>
        </w:tc>
        <w:tc>
          <w:tcPr>
            <w:tcW w:w="820" w:type="dxa"/>
            <w:vAlign w:val="bottom"/>
            <w:gridSpan w:val="2"/>
          </w:tcPr>
          <w:p>
            <w:pPr>
              <w:jc w:val="center"/>
              <w:ind w:left="184"/>
              <w:spacing w:after="0"/>
              <w:rPr>
                <w:sz w:val="20"/>
                <w:szCs w:val="20"/>
                <w:color w:val="auto"/>
              </w:rPr>
            </w:pPr>
            <w:r>
              <w:rPr>
                <w:rFonts w:ascii="Arial" w:cs="Arial" w:eastAsia="Arial" w:hAnsi="Arial"/>
                <w:sz w:val="16"/>
                <w:szCs w:val="16"/>
                <w:color w:val="auto"/>
                <w:w w:val="89"/>
              </w:rPr>
              <w:t>5.8</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 w:type="dxa"/>
            <w:vAlign w:val="bottom"/>
          </w:tcPr>
          <w:p>
            <w:pPr>
              <w:spacing w:after="0"/>
              <w:rPr>
                <w:sz w:val="23"/>
                <w:szCs w:val="23"/>
                <w:color w:val="auto"/>
              </w:rPr>
            </w:pPr>
          </w:p>
        </w:tc>
        <w:tc>
          <w:tcPr>
            <w:tcW w:w="1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&gt; 3 to ≤ 5 years</w:t>
            </w: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20" w:type="dxa"/>
            <w:vAlign w:val="bottom"/>
            <w:tcBorders>
              <w:bottom w:val="single" w:sz="8" w:color="CCEEFF"/>
            </w:tcBorders>
            <w:gridSpan w:val="3"/>
            <w:shd w:val="clear" w:color="auto" w:fill="CCEEFF"/>
          </w:tcPr>
          <w:p>
            <w:pPr>
              <w:jc w:val="center"/>
              <w:ind w:left="7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2"/>
              </w:rPr>
              <w:t>4.80%</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6"/>
                <w:szCs w:val="16"/>
                <w:color w:val="auto"/>
                <w:w w:val="98"/>
              </w:rPr>
              <w:t>3M</w:t>
            </w:r>
          </w:p>
        </w:tc>
        <w:tc>
          <w:tcPr>
            <w:tcW w:w="820" w:type="dxa"/>
            <w:vAlign w:val="bottom"/>
            <w:tcBorders>
              <w:bottom w:val="single" w:sz="8" w:color="CCEEFF"/>
            </w:tcBorders>
            <w:gridSpan w:val="2"/>
            <w:shd w:val="clear" w:color="auto" w:fill="CCEEFF"/>
          </w:tcPr>
          <w:p>
            <w:pPr>
              <w:jc w:val="center"/>
              <w:ind w:left="184"/>
              <w:spacing w:after="0"/>
              <w:rPr>
                <w:sz w:val="20"/>
                <w:szCs w:val="20"/>
                <w:color w:val="auto"/>
              </w:rPr>
            </w:pPr>
            <w:r>
              <w:rPr>
                <w:rFonts w:ascii="Arial" w:cs="Arial" w:eastAsia="Arial" w:hAnsi="Arial"/>
                <w:sz w:val="16"/>
                <w:szCs w:val="16"/>
                <w:color w:val="auto"/>
                <w:w w:val="89"/>
              </w:rPr>
              <w:t>7.0</w:t>
            </w:r>
          </w:p>
        </w:tc>
        <w:tc>
          <w:tcPr>
            <w:tcW w:w="160" w:type="dxa"/>
            <w:vAlign w:val="bottom"/>
            <w:tcBorders>
              <w:bottom w:val="single" w:sz="8" w:color="CCEEFF"/>
              <w:right w:val="single" w:sz="8" w:color="CCEEFF"/>
            </w:tcBorders>
            <w:shd w:val="clear" w:color="auto" w:fill="CCEEFF"/>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1740" w:type="dxa"/>
            <w:vAlign w:val="bottom"/>
            <w:gridSpan w:val="3"/>
          </w:tcPr>
          <w:p>
            <w:pPr>
              <w:ind w:left="40"/>
              <w:spacing w:after="0"/>
              <w:rPr>
                <w:sz w:val="20"/>
                <w:szCs w:val="20"/>
                <w:color w:val="auto"/>
              </w:rPr>
            </w:pPr>
            <w:r>
              <w:rPr>
                <w:rFonts w:ascii="Arial" w:cs="Arial" w:eastAsia="Arial" w:hAnsi="Arial"/>
                <w:sz w:val="16"/>
                <w:szCs w:val="16"/>
                <w:color w:val="auto"/>
              </w:rPr>
              <w:t>Total Payer Swaptions</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320" w:type="dxa"/>
            <w:vAlign w:val="bottom"/>
            <w:tcBorders>
              <w:top w:val="single" w:sz="8" w:color="auto"/>
              <w:bottom w:val="single" w:sz="8" w:color="auto"/>
            </w:tcBorders>
          </w:tcPr>
          <w:p>
            <w:pPr>
              <w:spacing w:after="0"/>
              <w:rPr>
                <w:sz w:val="21"/>
                <w:szCs w:val="21"/>
                <w:color w:val="auto"/>
              </w:rPr>
            </w:pPr>
          </w:p>
        </w:tc>
        <w:tc>
          <w:tcPr>
            <w:tcW w:w="3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color w:val="auto"/>
                <w:w w:val="89"/>
              </w:rPr>
              <w:t>335</w:t>
            </w:r>
          </w:p>
        </w:tc>
        <w:tc>
          <w:tcPr>
            <w:tcW w:w="12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258</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14,250</w:t>
            </w:r>
          </w:p>
        </w:tc>
        <w:tc>
          <w:tcPr>
            <w:tcW w:w="120" w:type="dxa"/>
            <w:vAlign w:val="bottom"/>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6"/>
                <w:szCs w:val="16"/>
                <w:color w:val="auto"/>
                <w:w w:val="92"/>
              </w:rPr>
              <w:t>3.09%</w:t>
            </w:r>
          </w:p>
        </w:tc>
        <w:tc>
          <w:tcPr>
            <w:tcW w:w="4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top w:val="single" w:sz="8" w:color="auto"/>
              <w:bottom w:val="single" w:sz="8" w:color="auto"/>
            </w:tcBorders>
            <w:gridSpan w:val="3"/>
          </w:tcPr>
          <w:p>
            <w:pPr>
              <w:jc w:val="center"/>
              <w:ind w:right="20"/>
              <w:spacing w:after="0"/>
              <w:rPr>
                <w:sz w:val="20"/>
                <w:szCs w:val="20"/>
                <w:color w:val="auto"/>
              </w:rPr>
            </w:pPr>
            <w:r>
              <w:rPr>
                <w:rFonts w:ascii="Arial" w:cs="Arial" w:eastAsia="Arial" w:hAnsi="Arial"/>
                <w:sz w:val="16"/>
                <w:szCs w:val="16"/>
                <w:color w:val="auto"/>
                <w:w w:val="98"/>
              </w:rPr>
              <w:t>3M</w:t>
            </w:r>
          </w:p>
        </w:tc>
        <w:tc>
          <w:tcPr>
            <w:tcW w:w="100" w:type="dxa"/>
            <w:vAlign w:val="bottom"/>
          </w:tcPr>
          <w:p>
            <w:pPr>
              <w:spacing w:after="0"/>
              <w:rPr>
                <w:sz w:val="21"/>
                <w:szCs w:val="21"/>
                <w:color w:val="auto"/>
              </w:rPr>
            </w:pPr>
          </w:p>
        </w:tc>
        <w:tc>
          <w:tcPr>
            <w:tcW w:w="720" w:type="dxa"/>
            <w:vAlign w:val="bottom"/>
            <w:tcBorders>
              <w:top w:val="single" w:sz="8" w:color="auto"/>
              <w:bottom w:val="single" w:sz="8" w:color="auto"/>
            </w:tcBorders>
          </w:tcPr>
          <w:p>
            <w:pPr>
              <w:jc w:val="center"/>
              <w:ind w:left="83"/>
              <w:spacing w:after="0"/>
              <w:rPr>
                <w:sz w:val="20"/>
                <w:szCs w:val="20"/>
                <w:color w:val="auto"/>
              </w:rPr>
            </w:pPr>
            <w:r>
              <w:rPr>
                <w:rFonts w:ascii="Arial" w:cs="Arial" w:eastAsia="Arial" w:hAnsi="Arial"/>
                <w:sz w:val="16"/>
                <w:szCs w:val="16"/>
                <w:color w:val="auto"/>
                <w:w w:val="89"/>
              </w:rPr>
              <w:t>7.0</w:t>
            </w:r>
          </w:p>
        </w:tc>
        <w:tc>
          <w:tcPr>
            <w:tcW w:w="160" w:type="dxa"/>
            <w:vAlign w:val="bottom"/>
            <w:tcBorders>
              <w:top w:val="single" w:sz="8" w:color="auto"/>
              <w:bottom w:val="single" w:sz="8" w:color="auto"/>
            </w:tcBorders>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80" w:top="806" w:right="39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t>We did not have any receiver swaptions as of December 31, 2013.</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our contracts to purchase and sell TBA contracts as of March 31, 2014 and December 31, 2013 (in millions):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December 31, 2013</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3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Purchase and Sale Contracts for TBAs</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80"/>
              <w:spacing w:after="0"/>
              <w:rPr>
                <w:sz w:val="20"/>
                <w:szCs w:val="20"/>
                <w:color w:val="auto"/>
              </w:rPr>
            </w:pPr>
            <w:r>
              <w:rPr>
                <w:rFonts w:ascii="Arial" w:cs="Arial" w:eastAsia="Arial" w:hAnsi="Arial"/>
                <w:sz w:val="13"/>
                <w:szCs w:val="13"/>
                <w:b w:val="1"/>
                <w:bCs w:val="1"/>
                <w:color w:val="auto"/>
              </w:rPr>
              <w:t>Notional</w:t>
            </w:r>
          </w:p>
        </w:tc>
        <w:tc>
          <w:tcPr>
            <w:tcW w:w="160" w:type="dxa"/>
            <w:vAlign w:val="bottom"/>
          </w:tcPr>
          <w:p>
            <w:pPr>
              <w:spacing w:after="0"/>
              <w:rPr>
                <w:sz w:val="13"/>
                <w:szCs w:val="13"/>
                <w:color w:val="auto"/>
              </w:rPr>
            </w:pPr>
          </w:p>
        </w:tc>
        <w:tc>
          <w:tcPr>
            <w:tcW w:w="900" w:type="dxa"/>
            <w:vAlign w:val="bottom"/>
            <w:vMerge w:val="restart"/>
          </w:tcPr>
          <w:p>
            <w:pPr>
              <w:jc w:val="right"/>
              <w:ind w:right="144"/>
              <w:spacing w:after="0"/>
              <w:rPr>
                <w:sz w:val="20"/>
                <w:szCs w:val="20"/>
                <w:color w:val="auto"/>
              </w:rPr>
            </w:pPr>
            <w:r>
              <w:rPr>
                <w:rFonts w:ascii="Arial" w:cs="Arial" w:eastAsia="Arial" w:hAnsi="Arial"/>
                <w:sz w:val="13"/>
                <w:szCs w:val="13"/>
                <w:b w:val="1"/>
                <w:bCs w:val="1"/>
                <w:color w:val="auto"/>
                <w:w w:val="87"/>
              </w:rPr>
              <w:t xml:space="preserve">Cost Basis </w:t>
            </w:r>
            <w:r>
              <w:rPr>
                <w:rFonts w:ascii="Arial" w:cs="Arial" w:eastAsia="Arial" w:hAnsi="Arial"/>
                <w:sz w:val="8"/>
                <w:szCs w:val="8"/>
                <w:b w:val="1"/>
                <w:bCs w:val="1"/>
                <w:color w:val="auto"/>
                <w:w w:val="87"/>
              </w:rPr>
              <w:t>2</w:t>
            </w:r>
          </w:p>
        </w:tc>
        <w:tc>
          <w:tcPr>
            <w:tcW w:w="120" w:type="dxa"/>
            <w:vAlign w:val="bottom"/>
            <w:vMerge w:val="restart"/>
          </w:tcPr>
          <w:p>
            <w:pPr>
              <w:spacing w:after="0"/>
              <w:rPr>
                <w:sz w:val="13"/>
                <w:szCs w:val="13"/>
                <w:color w:val="auto"/>
              </w:rPr>
            </w:pPr>
          </w:p>
        </w:tc>
        <w:tc>
          <w:tcPr>
            <w:tcW w:w="940" w:type="dxa"/>
            <w:vAlign w:val="bottom"/>
            <w:gridSpan w:val="3"/>
          </w:tcPr>
          <w:p>
            <w:pPr>
              <w:ind w:left="40"/>
              <w:spacing w:after="0"/>
              <w:rPr>
                <w:sz w:val="20"/>
                <w:szCs w:val="20"/>
                <w:color w:val="auto"/>
              </w:rPr>
            </w:pPr>
            <w:r>
              <w:rPr>
                <w:rFonts w:ascii="Arial" w:cs="Arial" w:eastAsia="Arial" w:hAnsi="Arial"/>
                <w:sz w:val="13"/>
                <w:szCs w:val="13"/>
                <w:b w:val="1"/>
                <w:bCs w:val="1"/>
                <w:color w:val="auto"/>
              </w:rPr>
              <w:t>Market Value</w:t>
            </w:r>
          </w:p>
        </w:tc>
        <w:tc>
          <w:tcPr>
            <w:tcW w:w="1000" w:type="dxa"/>
            <w:vAlign w:val="bottom"/>
            <w:gridSpan w:val="3"/>
          </w:tcPr>
          <w:p>
            <w:pPr>
              <w:ind w:left="100"/>
              <w:spacing w:after="0"/>
              <w:rPr>
                <w:sz w:val="20"/>
                <w:szCs w:val="20"/>
                <w:color w:val="auto"/>
              </w:rPr>
            </w:pPr>
            <w:r>
              <w:rPr>
                <w:rFonts w:ascii="Arial" w:cs="Arial" w:eastAsia="Arial" w:hAnsi="Arial"/>
                <w:sz w:val="13"/>
                <w:szCs w:val="13"/>
                <w:b w:val="1"/>
                <w:bCs w:val="1"/>
                <w:color w:val="auto"/>
              </w:rPr>
              <w:t>Net Carrying</w:t>
            </w:r>
          </w:p>
        </w:tc>
        <w:tc>
          <w:tcPr>
            <w:tcW w:w="120" w:type="dxa"/>
            <w:vAlign w:val="bottom"/>
          </w:tcPr>
          <w:p>
            <w:pPr>
              <w:spacing w:after="0"/>
              <w:rPr>
                <w:sz w:val="13"/>
                <w:szCs w:val="13"/>
                <w:color w:val="auto"/>
              </w:rPr>
            </w:pPr>
          </w:p>
        </w:tc>
        <w:tc>
          <w:tcPr>
            <w:tcW w:w="780" w:type="dxa"/>
            <w:vAlign w:val="bottom"/>
            <w:gridSpan w:val="2"/>
          </w:tcPr>
          <w:p>
            <w:pPr>
              <w:ind w:left="40"/>
              <w:spacing w:after="0"/>
              <w:rPr>
                <w:sz w:val="20"/>
                <w:szCs w:val="20"/>
                <w:color w:val="auto"/>
              </w:rPr>
            </w:pPr>
            <w:r>
              <w:rPr>
                <w:rFonts w:ascii="Arial" w:cs="Arial" w:eastAsia="Arial" w:hAnsi="Arial"/>
                <w:sz w:val="13"/>
                <w:szCs w:val="13"/>
                <w:b w:val="1"/>
                <w:bCs w:val="1"/>
                <w:color w:val="auto"/>
              </w:rPr>
              <w:t>Notional</w:t>
            </w:r>
          </w:p>
        </w:tc>
        <w:tc>
          <w:tcPr>
            <w:tcW w:w="140" w:type="dxa"/>
            <w:vAlign w:val="bottom"/>
          </w:tcPr>
          <w:p>
            <w:pPr>
              <w:spacing w:after="0"/>
              <w:rPr>
                <w:sz w:val="13"/>
                <w:szCs w:val="13"/>
                <w:color w:val="auto"/>
              </w:rPr>
            </w:pPr>
          </w:p>
        </w:tc>
        <w:tc>
          <w:tcPr>
            <w:tcW w:w="860" w:type="dxa"/>
            <w:vAlign w:val="bottom"/>
            <w:vMerge w:val="restart"/>
          </w:tcPr>
          <w:p>
            <w:pPr>
              <w:jc w:val="right"/>
              <w:ind w:right="104"/>
              <w:spacing w:after="0"/>
              <w:rPr>
                <w:sz w:val="20"/>
                <w:szCs w:val="20"/>
                <w:color w:val="auto"/>
              </w:rPr>
            </w:pPr>
            <w:r>
              <w:rPr>
                <w:rFonts w:ascii="Arial" w:cs="Arial" w:eastAsia="Arial" w:hAnsi="Arial"/>
                <w:sz w:val="13"/>
                <w:szCs w:val="13"/>
                <w:b w:val="1"/>
                <w:bCs w:val="1"/>
                <w:color w:val="auto"/>
                <w:w w:val="87"/>
              </w:rPr>
              <w:t xml:space="preserve">Cost Basis </w:t>
            </w:r>
            <w:r>
              <w:rPr>
                <w:rFonts w:ascii="Arial" w:cs="Arial" w:eastAsia="Arial" w:hAnsi="Arial"/>
                <w:sz w:val="8"/>
                <w:szCs w:val="8"/>
                <w:b w:val="1"/>
                <w:bCs w:val="1"/>
                <w:color w:val="auto"/>
                <w:w w:val="87"/>
              </w:rPr>
              <w:t>2</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Market</w:t>
            </w:r>
          </w:p>
        </w:tc>
        <w:tc>
          <w:tcPr>
            <w:tcW w:w="900" w:type="dxa"/>
            <w:vAlign w:val="bottom"/>
            <w:gridSpan w:val="2"/>
          </w:tcPr>
          <w:p>
            <w:pPr>
              <w:jc w:val="right"/>
              <w:ind w:right="3"/>
              <w:spacing w:after="0"/>
              <w:rPr>
                <w:sz w:val="20"/>
                <w:szCs w:val="20"/>
                <w:color w:val="auto"/>
              </w:rPr>
            </w:pPr>
            <w:r>
              <w:rPr>
                <w:rFonts w:ascii="Arial" w:cs="Arial" w:eastAsia="Arial" w:hAnsi="Arial"/>
                <w:sz w:val="13"/>
                <w:szCs w:val="13"/>
                <w:b w:val="1"/>
                <w:bCs w:val="1"/>
                <w:color w:val="auto"/>
              </w:rPr>
              <w:t>Net Carrying</w:t>
            </w:r>
          </w:p>
        </w:tc>
        <w:tc>
          <w:tcPr>
            <w:tcW w:w="0" w:type="dxa"/>
            <w:vAlign w:val="bottom"/>
          </w:tcPr>
          <w:p>
            <w:pPr>
              <w:spacing w:after="0"/>
              <w:rPr>
                <w:sz w:val="1"/>
                <w:szCs w:val="1"/>
                <w:color w:val="auto"/>
              </w:rPr>
            </w:pPr>
          </w:p>
        </w:tc>
      </w:tr>
      <w:tr>
        <w:trPr>
          <w:trHeight w:val="165"/>
        </w:trPr>
        <w:tc>
          <w:tcPr>
            <w:tcW w:w="334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w w:val="97"/>
              </w:rPr>
              <w:t xml:space="preserve">Amount </w:t>
            </w:r>
            <w:r>
              <w:rPr>
                <w:rFonts w:ascii="Arial" w:cs="Arial" w:eastAsia="Arial" w:hAnsi="Arial"/>
                <w:sz w:val="8"/>
                <w:szCs w:val="8"/>
                <w:b w:val="1"/>
                <w:bCs w:val="1"/>
                <w:color w:val="auto"/>
                <w:w w:val="97"/>
              </w:rPr>
              <w:t>1</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08"/>
              <w:spacing w:after="0"/>
              <w:rPr>
                <w:sz w:val="20"/>
                <w:szCs w:val="20"/>
                <w:color w:val="auto"/>
              </w:rPr>
            </w:pPr>
            <w:r>
              <w:rPr>
                <w:rFonts w:ascii="Arial" w:cs="Arial" w:eastAsia="Arial" w:hAnsi="Arial"/>
                <w:sz w:val="9"/>
                <w:szCs w:val="9"/>
                <w:b w:val="1"/>
                <w:bCs w:val="1"/>
                <w:color w:val="auto"/>
              </w:rPr>
              <w:t>3</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rPr>
              <w:t xml:space="preserve">Value </w:t>
            </w:r>
            <w:r>
              <w:rPr>
                <w:rFonts w:ascii="Arial" w:cs="Arial" w:eastAsia="Arial" w:hAnsi="Arial"/>
                <w:sz w:val="8"/>
                <w:szCs w:val="8"/>
                <w:b w:val="1"/>
                <w:bCs w:val="1"/>
                <w:color w:val="auto"/>
              </w:rPr>
              <w:t>4</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w w:val="90"/>
              </w:rPr>
              <w:t xml:space="preserve">Amount </w:t>
            </w:r>
            <w:r>
              <w:rPr>
                <w:rFonts w:ascii="Arial" w:cs="Arial" w:eastAsia="Arial" w:hAnsi="Arial"/>
                <w:sz w:val="8"/>
                <w:szCs w:val="8"/>
                <w:b w:val="1"/>
                <w:bCs w:val="1"/>
                <w:color w:val="auto"/>
                <w:w w:val="90"/>
              </w:rPr>
              <w:t>1</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26"/>
              <w:spacing w:after="0"/>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8"/>
                <w:szCs w:val="8"/>
                <w:b w:val="1"/>
                <w:bCs w:val="1"/>
                <w:color w:val="auto"/>
                <w:w w:val="98"/>
              </w:rPr>
              <w:t>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3"/>
              <w:spacing w:after="0"/>
              <w:rPr>
                <w:sz w:val="20"/>
                <w:szCs w:val="20"/>
                <w:color w:val="auto"/>
              </w:rPr>
            </w:pPr>
            <w:r>
              <w:rPr>
                <w:rFonts w:ascii="Arial" w:cs="Arial" w:eastAsia="Arial" w:hAnsi="Arial"/>
                <w:sz w:val="13"/>
                <w:szCs w:val="13"/>
                <w:b w:val="1"/>
                <w:bCs w:val="1"/>
                <w:color w:val="auto"/>
                <w:w w:val="98"/>
              </w:rPr>
              <w:t xml:space="preserve">Value </w:t>
            </w:r>
            <w:r>
              <w:rPr>
                <w:rFonts w:ascii="Arial" w:cs="Arial" w:eastAsia="Arial" w:hAnsi="Arial"/>
                <w:sz w:val="8"/>
                <w:szCs w:val="8"/>
                <w:b w:val="1"/>
                <w:bCs w:val="1"/>
                <w:color w:val="auto"/>
                <w:w w:val="98"/>
              </w:rPr>
              <w:t>4</w:t>
            </w:r>
          </w:p>
        </w:tc>
        <w:tc>
          <w:tcPr>
            <w:tcW w:w="0" w:type="dxa"/>
            <w:vAlign w:val="bottom"/>
          </w:tcPr>
          <w:p>
            <w:pPr>
              <w:spacing w:after="0"/>
              <w:rPr>
                <w:sz w:val="1"/>
                <w:szCs w:val="1"/>
                <w:color w:val="auto"/>
              </w:rPr>
            </w:pPr>
          </w:p>
        </w:tc>
      </w:tr>
      <w:tr>
        <w:trPr>
          <w:trHeight w:val="245"/>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TBA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380"/>
              <w:spacing w:after="0"/>
              <w:rPr>
                <w:sz w:val="20"/>
                <w:szCs w:val="20"/>
                <w:color w:val="auto"/>
              </w:rPr>
            </w:pPr>
            <w:r>
              <w:rPr>
                <w:rFonts w:ascii="Arial" w:cs="Arial" w:eastAsia="Arial" w:hAnsi="Arial"/>
                <w:sz w:val="16"/>
                <w:szCs w:val="16"/>
                <w:color w:val="auto"/>
              </w:rPr>
              <w:t>Purchase contracts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6"/>
              <w:spacing w:after="0"/>
              <w:rPr>
                <w:sz w:val="20"/>
                <w:szCs w:val="20"/>
                <w:color w:val="auto"/>
              </w:rPr>
            </w:pPr>
            <w:r>
              <w:rPr>
                <w:rFonts w:ascii="Arial" w:cs="Arial" w:eastAsia="Arial" w:hAnsi="Arial"/>
                <w:sz w:val="16"/>
                <w:szCs w:val="16"/>
                <w:color w:val="auto"/>
              </w:rPr>
              <w:t>17,699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4"/>
              <w:spacing w:after="0"/>
              <w:rPr>
                <w:sz w:val="20"/>
                <w:szCs w:val="20"/>
                <w:color w:val="auto"/>
              </w:rPr>
            </w:pPr>
            <w:r>
              <w:rPr>
                <w:rFonts w:ascii="Arial" w:cs="Arial" w:eastAsia="Arial" w:hAnsi="Arial"/>
                <w:sz w:val="16"/>
                <w:szCs w:val="16"/>
                <w:color w:val="auto"/>
              </w:rPr>
              <w:t>18,136</w:t>
            </w:r>
          </w:p>
        </w:tc>
        <w:tc>
          <w:tcPr>
            <w:tcW w:w="12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48"/>
              <w:spacing w:after="0"/>
              <w:rPr>
                <w:sz w:val="20"/>
                <w:szCs w:val="20"/>
                <w:color w:val="auto"/>
              </w:rPr>
            </w:pPr>
            <w:r>
              <w:rPr>
                <w:rFonts w:ascii="Arial" w:cs="Arial" w:eastAsia="Arial" w:hAnsi="Arial"/>
                <w:sz w:val="16"/>
                <w:szCs w:val="16"/>
                <w:color w:val="auto"/>
              </w:rPr>
              <w:t>18,095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26"/>
              <w:spacing w:after="0"/>
              <w:rPr>
                <w:sz w:val="20"/>
                <w:szCs w:val="20"/>
                <w:color w:val="auto"/>
              </w:rPr>
            </w:pPr>
            <w:r>
              <w:rPr>
                <w:rFonts w:ascii="Arial" w:cs="Arial" w:eastAsia="Arial" w:hAnsi="Arial"/>
                <w:sz w:val="16"/>
                <w:szCs w:val="16"/>
                <w:color w:val="auto"/>
              </w:rPr>
              <w:t>6,660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24"/>
              <w:spacing w:after="0"/>
              <w:rPr>
                <w:sz w:val="20"/>
                <w:szCs w:val="20"/>
                <w:color w:val="auto"/>
              </w:rPr>
            </w:pPr>
            <w:r>
              <w:rPr>
                <w:rFonts w:ascii="Arial" w:cs="Arial" w:eastAsia="Arial" w:hAnsi="Arial"/>
                <w:sz w:val="16"/>
                <w:szCs w:val="16"/>
                <w:color w:val="auto"/>
              </w:rPr>
              <w:t>6,882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6"/>
              <w:spacing w:after="0"/>
              <w:rPr>
                <w:sz w:val="20"/>
                <w:szCs w:val="20"/>
                <w:color w:val="auto"/>
              </w:rPr>
            </w:pPr>
            <w:r>
              <w:rPr>
                <w:rFonts w:ascii="Arial" w:cs="Arial" w:eastAsia="Arial" w:hAnsi="Arial"/>
                <w:sz w:val="16"/>
                <w:szCs w:val="16"/>
                <w:color w:val="auto"/>
              </w:rPr>
              <w:t>6,864</w:t>
            </w:r>
          </w:p>
        </w:tc>
        <w:tc>
          <w:tcPr>
            <w:tcW w:w="100" w:type="dxa"/>
            <w:vAlign w:val="bottom"/>
          </w:tcPr>
          <w:p>
            <w:pPr>
              <w:spacing w:after="0"/>
              <w:rPr>
                <w:sz w:val="20"/>
                <w:szCs w:val="20"/>
                <w:color w:val="auto"/>
              </w:rPr>
            </w:pPr>
          </w:p>
        </w:tc>
        <w:tc>
          <w:tcPr>
            <w:tcW w:w="200" w:type="dxa"/>
            <w:vAlign w:val="bottom"/>
          </w:tcPr>
          <w:p>
            <w:pPr>
              <w:jc w:val="right"/>
              <w:ind w:right="5"/>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Sale contracts</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(3,790)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50"/>
        </w:trPr>
        <w:tc>
          <w:tcPr>
            <w:tcW w:w="3460" w:type="dxa"/>
            <w:vAlign w:val="bottom"/>
            <w:gridSpan w:val="2"/>
          </w:tcPr>
          <w:p>
            <w:pPr>
              <w:ind w:left="40"/>
              <w:spacing w:after="0"/>
              <w:rPr>
                <w:sz w:val="20"/>
                <w:szCs w:val="20"/>
                <w:color w:val="auto"/>
              </w:rPr>
            </w:pPr>
            <w:r>
              <w:rPr>
                <w:rFonts w:ascii="Arial" w:cs="Arial" w:eastAsia="Arial" w:hAnsi="Arial"/>
                <w:sz w:val="16"/>
                <w:szCs w:val="16"/>
                <w:color w:val="auto"/>
              </w:rPr>
              <w:t xml:space="preserve">TBA securities, net </w:t>
            </w:r>
            <w:r>
              <w:rPr>
                <w:rFonts w:ascii="Arial" w:cs="Arial" w:eastAsia="Arial" w:hAnsi="Arial"/>
                <w:sz w:val="21"/>
                <w:szCs w:val="21"/>
                <w:color w:val="auto"/>
                <w:vertAlign w:val="superscript"/>
              </w:rPr>
              <w:t>5</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6"/>
                <w:szCs w:val="16"/>
                <w:color w:val="auto"/>
              </w:rPr>
              <w:t>13,909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44"/>
              <w:spacing w:after="0"/>
              <w:rPr>
                <w:sz w:val="20"/>
                <w:szCs w:val="20"/>
                <w:color w:val="auto"/>
              </w:rPr>
            </w:pPr>
            <w:r>
              <w:rPr>
                <w:rFonts w:ascii="Arial" w:cs="Arial" w:eastAsia="Arial" w:hAnsi="Arial"/>
                <w:sz w:val="16"/>
                <w:szCs w:val="16"/>
                <w:color w:val="auto"/>
              </w:rPr>
              <w:t>14,127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6"/>
                <w:szCs w:val="16"/>
                <w:color w:val="auto"/>
              </w:rPr>
              <w:t>14,102</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color w:val="auto"/>
              </w:rPr>
              <w:t>2,119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6"/>
                <w:szCs w:val="16"/>
                <w:color w:val="auto"/>
              </w:rPr>
              <w:t>2,276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6"/>
                <w:szCs w:val="16"/>
                <w:color w:val="auto"/>
              </w:rPr>
              <w:t>2,271</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100"/>
              <w:spacing w:after="0"/>
              <w:rPr>
                <w:sz w:val="20"/>
                <w:szCs w:val="20"/>
                <w:color w:val="auto"/>
              </w:rPr>
            </w:pPr>
            <w:r>
              <w:rPr>
                <w:rFonts w:ascii="Arial" w:cs="Arial" w:eastAsia="Arial" w:hAnsi="Arial"/>
                <w:sz w:val="18"/>
                <w:szCs w:val="18"/>
                <w:color w:val="auto"/>
              </w:rPr>
              <w:t>________________________</w:t>
            </w: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34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4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in our consolidated balance sheets.</w:t>
      </w:r>
    </w:p>
    <w:p>
      <w:pPr>
        <w:ind w:left="660" w:hanging="328"/>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15-year and 30-year TBA securities of varying coupons</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From Derivative Instruments and Other Securities, Net</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tables below summarize the effect of our derivative and other hedging instruments on our consolidated statements of comprehensive income for the three months ended March 31, 2014 and 2013 (in millions):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5"/>
              </w:rPr>
              <w:t>Three Months Ended March 31, 2014</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Settlement,</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62"/>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Notional Amount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3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08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3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Long/(Short)</w:t>
            </w:r>
          </w:p>
        </w:tc>
        <w:tc>
          <w:tcPr>
            <w:tcW w:w="1040" w:type="dxa"/>
            <w:vAlign w:val="bottom"/>
            <w:vMerge w:val="restart"/>
          </w:tcPr>
          <w:p>
            <w:pPr>
              <w:jc w:val="right"/>
              <w:ind w:right="141"/>
              <w:spacing w:after="0"/>
              <w:rPr>
                <w:sz w:val="20"/>
                <w:szCs w:val="20"/>
                <w:color w:val="auto"/>
              </w:rPr>
            </w:pPr>
            <w:r>
              <w:rPr>
                <w:rFonts w:ascii="Arial" w:cs="Arial" w:eastAsia="Arial" w:hAnsi="Arial"/>
                <w:sz w:val="14"/>
                <w:szCs w:val="14"/>
                <w:b w:val="1"/>
                <w:bCs w:val="1"/>
                <w:color w:val="auto"/>
              </w:rPr>
              <w:t>Additions</w:t>
            </w:r>
          </w:p>
        </w:tc>
        <w:tc>
          <w:tcPr>
            <w:tcW w:w="100" w:type="dxa"/>
            <w:vAlign w:val="bottom"/>
            <w:vMerge w:val="restart"/>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Expiration or</w:t>
            </w:r>
          </w:p>
        </w:tc>
        <w:tc>
          <w:tcPr>
            <w:tcW w:w="18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0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4"/>
              </w:rPr>
              <w:t>Income on</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4"/>
              </w:rPr>
              <w:t>March 31, 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TBA securities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24,376</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(12,586)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(43,250)</w:t>
            </w:r>
          </w:p>
        </w:tc>
        <w:tc>
          <w:tcPr>
            <w:tcW w:w="12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(5,900)</w:t>
            </w:r>
          </w:p>
        </w:tc>
        <w:tc>
          <w:tcPr>
            <w:tcW w:w="10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2,750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(46,400)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 net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(14,250)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7,250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Receiver swaption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(7,241)</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2,462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long position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3,927</w:t>
            </w:r>
          </w:p>
        </w:tc>
        <w:tc>
          <w:tcPr>
            <w:tcW w:w="120" w:type="dxa"/>
            <w:vAlign w:val="bottom"/>
          </w:tcPr>
          <w:p>
            <w:pPr>
              <w:spacing w:after="0"/>
              <w:rPr>
                <w:sz w:val="20"/>
                <w:szCs w:val="20"/>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1,900</w:t>
            </w:r>
          </w:p>
        </w:tc>
        <w:tc>
          <w:tcPr>
            <w:tcW w:w="1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Arial" w:cs="Arial" w:eastAsia="Arial" w:hAnsi="Arial"/>
                <w:sz w:val="16"/>
                <w:szCs w:val="16"/>
                <w:color w:val="auto"/>
              </w:rPr>
              <w:t>(5,627)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33"/>
        </w:trPr>
        <w:tc>
          <w:tcPr>
            <w:tcW w:w="4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1,730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37"/>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TBA put option</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160" w:type="dxa"/>
            <w:vAlign w:val="bottom"/>
          </w:tcPr>
          <w:p>
            <w:pPr>
              <w:jc w:val="right"/>
              <w:ind w:right="82"/>
              <w:spacing w:after="0"/>
              <w:rPr>
                <w:sz w:val="20"/>
                <w:szCs w:val="20"/>
                <w:color w:val="auto"/>
              </w:rPr>
            </w:pPr>
            <w:r>
              <w:rPr>
                <w:rFonts w:ascii="Arial" w:cs="Arial" w:eastAsia="Arial" w:hAnsi="Arial"/>
                <w:sz w:val="16"/>
                <w:szCs w:val="16"/>
                <w:color w:val="auto"/>
              </w:rPr>
              <w:t>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0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7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________________________________</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900" w:hanging="568"/>
        <w:spacing w:after="0" w:line="248" w:lineRule="auto"/>
        <w:tabs>
          <w:tab w:leader="none" w:pos="657"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Excludes a net gain of $49 million from investments in REIT equity securities, a net loss of $3 million from debt of consolidated VIEs, a net gain of$12 million on interest and principal-only securities and other miscellaneous net losses of $2 million recognized in gain (loss) on derivative instruments and other securities, net in our consolidated statements of comprehensive income.</w:t>
      </w:r>
    </w:p>
    <w:p>
      <w:pPr>
        <w:spacing w:after="0" w:line="3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rPr>
              <w:t>Three Months Ended March 31, 2013</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Settlement,</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83"/>
              <w:spacing w:after="0" w:line="153"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Notional Amount</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Notional Amount</w:t>
            </w:r>
          </w:p>
        </w:tc>
        <w:tc>
          <w:tcPr>
            <w:tcW w:w="140" w:type="dxa"/>
            <w:vAlign w:val="bottom"/>
          </w:tcPr>
          <w:p>
            <w:pPr>
              <w:spacing w:after="0"/>
              <w:rPr>
                <w:sz w:val="12"/>
                <w:szCs w:val="12"/>
                <w:color w:val="auto"/>
              </w:rPr>
            </w:pPr>
          </w:p>
        </w:tc>
        <w:tc>
          <w:tcPr>
            <w:tcW w:w="11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3"/>
              </w:rPr>
              <w:t>Gain/(Loss)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Termination,</w:t>
            </w:r>
          </w:p>
        </w:tc>
        <w:tc>
          <w:tcPr>
            <w:tcW w:w="13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0" w:type="dxa"/>
            <w:vAlign w:val="bottom"/>
          </w:tcPr>
          <w:p>
            <w:pPr>
              <w:spacing w:after="0"/>
              <w:rPr>
                <w:sz w:val="1"/>
                <w:szCs w:val="1"/>
                <w:color w:val="auto"/>
              </w:rPr>
            </w:pPr>
          </w:p>
        </w:tc>
      </w:tr>
      <w:tr>
        <w:trPr>
          <w:trHeight w:val="149"/>
        </w:trPr>
        <w:tc>
          <w:tcPr>
            <w:tcW w:w="4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Derivative and Other Hedging Instruments</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Long/(Short)</w:t>
            </w:r>
          </w:p>
        </w:tc>
        <w:tc>
          <w:tcPr>
            <w:tcW w:w="1140" w:type="dxa"/>
            <w:vAlign w:val="bottom"/>
            <w:vMerge w:val="restart"/>
          </w:tcPr>
          <w:p>
            <w:pPr>
              <w:jc w:val="right"/>
              <w:ind w:right="202"/>
              <w:spacing w:after="0"/>
              <w:rPr>
                <w:sz w:val="20"/>
                <w:szCs w:val="20"/>
                <w:color w:val="auto"/>
              </w:rPr>
            </w:pPr>
            <w:r>
              <w:rPr>
                <w:rFonts w:ascii="Arial" w:cs="Arial" w:eastAsia="Arial" w:hAnsi="Arial"/>
                <w:sz w:val="14"/>
                <w:szCs w:val="14"/>
                <w:b w:val="1"/>
                <w:bCs w:val="1"/>
                <w:color w:val="auto"/>
              </w:rPr>
              <w:t>Additions</w:t>
            </w:r>
          </w:p>
        </w:tc>
        <w:tc>
          <w:tcPr>
            <w:tcW w:w="120" w:type="dxa"/>
            <w:vAlign w:val="bottom"/>
            <w:vMerge w:val="restart"/>
          </w:tcPr>
          <w:p>
            <w:pPr>
              <w:spacing w:after="0"/>
              <w:rPr>
                <w:sz w:val="12"/>
                <w:szCs w:val="12"/>
                <w:color w:val="auto"/>
              </w:rPr>
            </w:pPr>
          </w:p>
        </w:tc>
        <w:tc>
          <w:tcPr>
            <w:tcW w:w="12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Expiration or</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Long/(Short)</w:t>
            </w:r>
          </w:p>
        </w:tc>
        <w:tc>
          <w:tcPr>
            <w:tcW w:w="140" w:type="dxa"/>
            <w:vAlign w:val="bottom"/>
          </w:tcPr>
          <w:p>
            <w:pPr>
              <w:spacing w:after="0"/>
              <w:rPr>
                <w:sz w:val="12"/>
                <w:szCs w:val="12"/>
                <w:color w:val="auto"/>
              </w:rPr>
            </w:pPr>
          </w:p>
        </w:tc>
        <w:tc>
          <w:tcPr>
            <w:tcW w:w="1100" w:type="dxa"/>
            <w:vAlign w:val="bottom"/>
          </w:tcPr>
          <w:p>
            <w:pPr>
              <w:jc w:val="center"/>
              <w:ind w:right="63"/>
              <w:spacing w:after="0" w:line="149" w:lineRule="exact"/>
              <w:rPr>
                <w:sz w:val="20"/>
                <w:szCs w:val="20"/>
                <w:color w:val="auto"/>
              </w:rPr>
            </w:pPr>
            <w:r>
              <w:rPr>
                <w:rFonts w:ascii="Arial" w:cs="Arial" w:eastAsia="Arial" w:hAnsi="Arial"/>
                <w:sz w:val="14"/>
                <w:szCs w:val="14"/>
                <w:b w:val="1"/>
                <w:bCs w:val="1"/>
                <w:color w:val="auto"/>
                <w:w w:val="91"/>
              </w:rPr>
              <w:t>Income on</w:t>
            </w:r>
          </w:p>
        </w:tc>
        <w:tc>
          <w:tcPr>
            <w:tcW w:w="0" w:type="dxa"/>
            <w:vAlign w:val="bottom"/>
          </w:tcPr>
          <w:p>
            <w:pPr>
              <w:spacing w:after="0"/>
              <w:rPr>
                <w:sz w:val="1"/>
                <w:szCs w:val="1"/>
                <w:color w:val="auto"/>
              </w:rPr>
            </w:pPr>
          </w:p>
        </w:tc>
      </w:tr>
      <w:tr>
        <w:trPr>
          <w:trHeight w:val="192"/>
        </w:trPr>
        <w:tc>
          <w:tcPr>
            <w:tcW w:w="4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1"/>
              </w:rPr>
              <w:t>December 31, 2012</w:t>
            </w:r>
          </w:p>
        </w:tc>
        <w:tc>
          <w:tcPr>
            <w:tcW w:w="1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6"/>
              </w:rPr>
              <w:t>March 31, 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83"/>
              <w:spacing w:after="0"/>
              <w:rPr>
                <w:sz w:val="20"/>
                <w:szCs w:val="20"/>
                <w:color w:val="auto"/>
              </w:rPr>
            </w:pPr>
            <w:r>
              <w:rPr>
                <w:rFonts w:ascii="Arial" w:cs="Arial" w:eastAsia="Arial" w:hAnsi="Arial"/>
                <w:sz w:val="14"/>
                <w:szCs w:val="14"/>
                <w:b w:val="1"/>
                <w:bCs w:val="1"/>
                <w:color w:val="auto"/>
                <w:w w:val="93"/>
              </w:rPr>
              <w:t xml:space="preserve">Derivatives </w:t>
            </w:r>
            <w:r>
              <w:rPr>
                <w:rFonts w:ascii="Arial" w:cs="Arial" w:eastAsia="Arial" w:hAnsi="Arial"/>
                <w:sz w:val="8"/>
                <w:szCs w:val="8"/>
                <w:b w:val="1"/>
                <w:bCs w:val="1"/>
                <w:color w:val="auto"/>
                <w:w w:val="93"/>
              </w:rPr>
              <w:t>1</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TBA and forward settling agency securities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12,477</w:t>
            </w:r>
          </w:p>
        </w:tc>
        <w:tc>
          <w:tcPr>
            <w:tcW w:w="1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43,267</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(29,476)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26,268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(46,850)</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(5,750)</w:t>
            </w:r>
          </w:p>
        </w:tc>
        <w:tc>
          <w:tcPr>
            <w:tcW w:w="12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1,350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(51,250)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Payer swaptions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(14,450)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(11,150)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2,700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37"/>
        </w:trPr>
        <w:tc>
          <w:tcPr>
            <w:tcW w:w="4780" w:type="dxa"/>
            <w:vAlign w:val="bottom"/>
            <w:gridSpan w:val="2"/>
          </w:tcPr>
          <w:p>
            <w:pPr>
              <w:ind w:left="20"/>
              <w:spacing w:after="0"/>
              <w:rPr>
                <w:sz w:val="20"/>
                <w:szCs w:val="20"/>
                <w:color w:val="auto"/>
              </w:rPr>
            </w:pPr>
            <w:r>
              <w:rPr>
                <w:rFonts w:ascii="Arial" w:cs="Arial" w:eastAsia="Arial" w:hAnsi="Arial"/>
                <w:sz w:val="16"/>
                <w:szCs w:val="16"/>
                <w:color w:val="auto"/>
              </w:rPr>
              <w:t>U.S. Treasury securities - short position</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
              <w:spacing w:after="0"/>
              <w:rPr>
                <w:sz w:val="20"/>
                <w:szCs w:val="20"/>
                <w:color w:val="auto"/>
              </w:rPr>
            </w:pPr>
            <w:r>
              <w:rPr>
                <w:rFonts w:ascii="Arial" w:cs="Arial" w:eastAsia="Arial" w:hAnsi="Arial"/>
                <w:sz w:val="16"/>
                <w:szCs w:val="16"/>
                <w:color w:val="auto"/>
              </w:rPr>
              <w:t>(11,835)</w:t>
            </w: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(9,935)</w:t>
            </w:r>
          </w:p>
        </w:tc>
        <w:tc>
          <w:tcPr>
            <w:tcW w:w="12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9,210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(12,560)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U.S. Treasury futures contracts - short position</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7"/>
        </w:trPr>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4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746" w:right="239" w:bottom="1440" w:gutter="0" w:footer="0" w:header="0"/>
          <w:type w:val="continuous"/>
        </w:sectPr>
      </w:pPr>
    </w:p>
    <w:bookmarkStart w:id="18" w:name="page19"/>
    <w:bookmarkEnd w:id="18"/>
    <w:p>
      <w:pPr>
        <w:ind w:left="100"/>
        <w:spacing w:after="0"/>
        <w:rPr>
          <w:sz w:val="20"/>
          <w:szCs w:val="20"/>
          <w:color w:val="auto"/>
        </w:rPr>
      </w:pPr>
      <w:r>
        <w:rPr>
          <w:rFonts w:ascii="Arial" w:cs="Arial" w:eastAsia="Arial" w:hAnsi="Arial"/>
          <w:sz w:val="18"/>
          <w:szCs w:val="18"/>
          <w:color w:val="auto"/>
        </w:rPr>
        <w:t>______________________</w:t>
      </w:r>
    </w:p>
    <w:p>
      <w:pPr>
        <w:spacing w:after="0" w:line="17" w:lineRule="exact"/>
        <w:rPr>
          <w:sz w:val="20"/>
          <w:szCs w:val="20"/>
          <w:color w:val="auto"/>
        </w:rPr>
      </w:pPr>
    </w:p>
    <w:p>
      <w:pPr>
        <w:ind w:left="660" w:hanging="328"/>
        <w:spacing w:after="0" w:line="255"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Excludes a net loss of $1 million on interest and principal-only securities and a net gain of $13 million from debt of consolidated VIEs recognized in gain (loss) on derivative instruments and other securities, net in our consolidated statements of comprehensive income.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Pledged Assets</w:t>
      </w:r>
    </w:p>
    <w:p>
      <w:pPr>
        <w:spacing w:after="0" w:line="17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repurchase agreements and derivative contracts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In addition, obligations under our derivative agreements will typically vary over time based on similar factors as well as the remaining term of the derivative contract. We are also typically required to post initial collateral upon execution of derivative transactions, such as interest rate swaps and TBA contracts. If we breach any of these provisions, we will be required to fully settle our obligations under the agreements, which could include a forced liquidation of our pledged collateral.</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repurchase agreement and derivative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w:t>
      </w:r>
    </w:p>
    <w:p>
      <w:pPr>
        <w:spacing w:after="0" w:line="133"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Consequently, the use of repurchase agreements and derivative instruments exposes us to credit risk relating to potential losses that could be recognized in the event that our counterparties fail to perform their obligations under such agreements. We minimize this risk by limiting our repurchase agreement and derivative counterparties to major financial institutions with acceptable credit ratings or to a registered clearinghouse, and we monitor our positions with individual counterparties. In the event of a default by a counterparty we may have difficulty obtaining our assets pledged as collateral to such counterparty and may not receive payments provided for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clearing exchange initial and daily mark to market margin requirements and clearinghouse guarantee funds and other resources that are available in the event of a clearing member default.</w:t>
      </w:r>
    </w:p>
    <w:p>
      <w:pPr>
        <w:spacing w:after="0" w:line="12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Further, each of our International Swaps and Derivatives Association ("ISDA") Master Agreements also contains a cross default provision under which a default under certain of our other indebtedness in excess of a certain threshold causes an event of default under the agreement. Threshold amounts vary by lender. Following an event of default, we could be required to settle our obligations under the agreements. Additionally, under certain of our ISDA Master Agreements, we could be required to settle our obligations under the agreements if we fail to maintain certain minimum stockholders' equity thresholds or our REIT status or if we fail to comply with limits on our leverage above certain specified levels. As of March 31, 2014, the fair value of additional collateral that could be required to be posted as a result of the credit-risk-related contingent features being triggered was not material to our financial statements.</w:t>
      </w:r>
    </w:p>
    <w:p>
      <w:pPr>
        <w:spacing w:after="0" w:line="11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2014, our amount at risk with any counterparty related to our repurchase agreements was less than 4% of our stockholders' equity and our amount at risk with any counterparty related to our interest rate swap and swaption agreements, excluding centrally cleared swaps, was less than 1% of our stockholders' equity.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to Counterparties</w:t>
      </w:r>
    </w:p>
    <w:p>
      <w:pPr>
        <w:spacing w:after="0" w:line="17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tables summarize our assets pledged as collateral under our repurchase agreements, debt of consolidated VIEs, derivative agreements and prime broker agreements by type, including securities pledged related to securities sold but not yet settled, as of March 31, 2014 and December 31, 2013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2014</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Repurchase</w:t>
            </w:r>
          </w:p>
        </w:tc>
        <w:tc>
          <w:tcPr>
            <w:tcW w:w="15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Debt of Consolidated</w:t>
            </w:r>
          </w:p>
        </w:tc>
        <w:tc>
          <w:tcPr>
            <w:tcW w:w="120" w:type="dxa"/>
            <w:vAlign w:val="bottom"/>
          </w:tcPr>
          <w:p>
            <w:pPr>
              <w:spacing w:after="0"/>
              <w:rPr>
                <w:sz w:val="13"/>
                <w:szCs w:val="13"/>
                <w:color w:val="auto"/>
              </w:rPr>
            </w:pPr>
          </w:p>
        </w:tc>
        <w:tc>
          <w:tcPr>
            <w:tcW w:w="13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Derivative</w:t>
            </w:r>
          </w:p>
        </w:tc>
        <w:tc>
          <w:tcPr>
            <w:tcW w:w="160" w:type="dxa"/>
            <w:vAlign w:val="bottom"/>
          </w:tcPr>
          <w:p>
            <w:pPr>
              <w:spacing w:after="0"/>
              <w:rPr>
                <w:sz w:val="13"/>
                <w:szCs w:val="13"/>
                <w:color w:val="auto"/>
              </w:rPr>
            </w:pPr>
          </w:p>
        </w:tc>
        <w:tc>
          <w:tcPr>
            <w:tcW w:w="12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Prime Broker</w:t>
            </w:r>
          </w:p>
        </w:tc>
        <w:tc>
          <w:tcPr>
            <w:tcW w:w="320" w:type="dxa"/>
            <w:vAlign w:val="bottom"/>
          </w:tcPr>
          <w:p>
            <w:pPr>
              <w:spacing w:after="0"/>
              <w:rPr>
                <w:sz w:val="13"/>
                <w:szCs w:val="13"/>
                <w:color w:val="auto"/>
              </w:rPr>
            </w:pPr>
          </w:p>
        </w:tc>
        <w:tc>
          <w:tcPr>
            <w:tcW w:w="1040" w:type="dxa"/>
            <w:vAlign w:val="bottom"/>
            <w:vMerge w:val="restart"/>
          </w:tcPr>
          <w:p>
            <w:pPr>
              <w:jc w:val="right"/>
              <w:ind w:right="4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Agreements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Agreements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Agency MBS - fair value</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52,047</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1,417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54,039</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U.S. Treasury securities - fair value</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Accrued interest on pledged securities</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243"/>
        </w:trPr>
        <w:tc>
          <w:tcPr>
            <w:tcW w:w="412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Total</w:t>
            </w: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52,319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54,655</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9" w:name="page20"/>
    <w:bookmarkEnd w:id="19"/>
    <w:tbl>
      <w:tblPr>
        <w:tblLayout w:type="fixed"/>
        <w:tblInd w:w="112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Repurchase</w:t>
            </w:r>
          </w:p>
        </w:tc>
        <w:tc>
          <w:tcPr>
            <w:tcW w:w="120" w:type="dxa"/>
            <w:vAlign w:val="bottom"/>
          </w:tcPr>
          <w:p>
            <w:pPr>
              <w:spacing w:after="0"/>
              <w:rPr>
                <w:sz w:val="13"/>
                <w:szCs w:val="13"/>
                <w:color w:val="auto"/>
              </w:rPr>
            </w:pPr>
          </w:p>
        </w:tc>
        <w:tc>
          <w:tcPr>
            <w:tcW w:w="98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5"/>
              </w:rPr>
              <w:t>Debt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3"/>
                <w:szCs w:val="13"/>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Prime Broker</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Counterparties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3"/>
              </w:rPr>
              <w:t>Agreements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VIEs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8"/>
              </w:rPr>
              <w:t>Agreements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MBS -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62,708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64,286</w:t>
            </w:r>
          </w:p>
        </w:tc>
        <w:tc>
          <w:tcPr>
            <w:tcW w:w="0" w:type="dxa"/>
            <w:vAlign w:val="bottom"/>
          </w:tcPr>
          <w:p>
            <w:pPr>
              <w:spacing w:after="0"/>
              <w:rPr>
                <w:sz w:val="1"/>
                <w:szCs w:val="1"/>
                <w:color w:val="auto"/>
              </w:rPr>
            </w:pPr>
          </w:p>
        </w:tc>
      </w:tr>
      <w:tr>
        <w:trPr>
          <w:trHeight w:val="264"/>
        </w:trPr>
        <w:tc>
          <w:tcPr>
            <w:tcW w:w="328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3,708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3,778</w:t>
            </w:r>
          </w:p>
        </w:tc>
        <w:tc>
          <w:tcPr>
            <w:tcW w:w="0" w:type="dxa"/>
            <w:vAlign w:val="bottom"/>
          </w:tcPr>
          <w:p>
            <w:pPr>
              <w:spacing w:after="0"/>
              <w:rPr>
                <w:sz w:val="1"/>
                <w:szCs w:val="1"/>
                <w:color w:val="auto"/>
              </w:rPr>
            </w:pPr>
          </w:p>
        </w:tc>
      </w:tr>
      <w:tr>
        <w:trPr>
          <w:trHeight w:val="276"/>
        </w:trPr>
        <w:tc>
          <w:tcPr>
            <w:tcW w:w="3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Accrued interest on pledged securities</w:t>
            </w: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64"/>
        </w:trPr>
        <w:tc>
          <w:tcPr>
            <w:tcW w:w="3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Restricted cash</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43"/>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68,360</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cash and cash equivalents and agency securities pledged as collateral under our derivative agreements are included in restricted cash and agency securities, at fair value, respectively, on our consolidated balance sheets.</w:t>
      </w:r>
    </w:p>
    <w:p>
      <w:pPr>
        <w:spacing w:after="0" w:line="116"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summarizes our securities pledged as collateral under repurchase agreements and debt of consolidated VIEs by remaining maturity, including securities pledged related to sold but not yet settled securities, as of March 31, 2014 and 2013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2014</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4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Agency Securities Pledged by Remaining Maturity of</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3"/>
                <w:szCs w:val="13"/>
                <w:color w:val="auto"/>
              </w:rPr>
            </w:pPr>
          </w:p>
        </w:tc>
        <w:tc>
          <w:tcPr>
            <w:tcW w:w="10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2"/>
              </w:rPr>
              <w:t>Accrued</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13"/>
                <w:szCs w:val="13"/>
                <w:color w:val="auto"/>
              </w:rPr>
            </w:pPr>
          </w:p>
        </w:tc>
        <w:tc>
          <w:tcPr>
            <w:tcW w:w="960" w:type="dxa"/>
            <w:vAlign w:val="bottom"/>
          </w:tcPr>
          <w:p>
            <w:pPr>
              <w:jc w:val="center"/>
              <w:ind w:right="82"/>
              <w:spacing w:after="0" w:line="153" w:lineRule="exact"/>
              <w:rPr>
                <w:sz w:val="20"/>
                <w:szCs w:val="20"/>
                <w:color w:val="auto"/>
              </w:rPr>
            </w:pPr>
            <w:r>
              <w:rPr>
                <w:rFonts w:ascii="Arial" w:cs="Arial" w:eastAsia="Arial" w:hAnsi="Arial"/>
                <w:sz w:val="14"/>
                <w:szCs w:val="14"/>
                <w:b w:val="1"/>
                <w:bCs w:val="1"/>
                <w:color w:val="auto"/>
                <w:w w:val="92"/>
              </w:rPr>
              <w:t>Accrued</w:t>
            </w:r>
          </w:p>
        </w:tc>
        <w:tc>
          <w:tcPr>
            <w:tcW w:w="0" w:type="dxa"/>
            <w:vAlign w:val="bottom"/>
          </w:tcPr>
          <w:p>
            <w:pPr>
              <w:spacing w:after="0"/>
              <w:rPr>
                <w:sz w:val="1"/>
                <w:szCs w:val="1"/>
                <w:color w:val="auto"/>
              </w:rPr>
            </w:pPr>
          </w:p>
        </w:tc>
      </w:tr>
      <w:tr>
        <w:trPr>
          <w:trHeight w:val="149"/>
        </w:trPr>
        <w:tc>
          <w:tcPr>
            <w:tcW w:w="3460" w:type="dxa"/>
            <w:vAlign w:val="bottom"/>
            <w:gridSpan w:val="2"/>
            <w:vMerge w:val="continue"/>
          </w:tcPr>
          <w:p>
            <w:pPr>
              <w:spacing w:after="0"/>
              <w:rPr>
                <w:sz w:val="12"/>
                <w:szCs w:val="12"/>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of Pledged</w:t>
            </w: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Interest on</w:t>
            </w:r>
          </w:p>
        </w:tc>
        <w:tc>
          <w:tcPr>
            <w:tcW w:w="160" w:type="dxa"/>
            <w:vAlign w:val="bottom"/>
          </w:tcPr>
          <w:p>
            <w:pPr>
              <w:spacing w:after="0"/>
              <w:rPr>
                <w:sz w:val="12"/>
                <w:szCs w:val="12"/>
                <w:color w:val="auto"/>
              </w:rPr>
            </w:pPr>
          </w:p>
        </w:tc>
        <w:tc>
          <w:tcPr>
            <w:tcW w:w="1080" w:type="dxa"/>
            <w:vAlign w:val="bottom"/>
            <w:vMerge w:val="restart"/>
          </w:tcPr>
          <w:p>
            <w:pPr>
              <w:jc w:val="right"/>
              <w:ind w:right="140"/>
              <w:spacing w:after="0"/>
              <w:rPr>
                <w:sz w:val="20"/>
                <w:szCs w:val="20"/>
                <w:color w:val="auto"/>
              </w:rPr>
            </w:pPr>
            <w:r>
              <w:rPr>
                <w:rFonts w:ascii="Arial" w:cs="Arial" w:eastAsia="Arial" w:hAnsi="Arial"/>
                <w:sz w:val="14"/>
                <w:szCs w:val="14"/>
                <w:b w:val="1"/>
                <w:bCs w:val="1"/>
                <w:color w:val="auto"/>
                <w:w w:val="99"/>
              </w:rPr>
              <w:t>Fair Value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94"/>
              </w:rPr>
              <w:t>Interest on</w:t>
            </w:r>
          </w:p>
        </w:tc>
        <w:tc>
          <w:tcPr>
            <w:tcW w:w="0" w:type="dxa"/>
            <w:vAlign w:val="bottom"/>
          </w:tcPr>
          <w:p>
            <w:pPr>
              <w:spacing w:after="0"/>
              <w:rPr>
                <w:sz w:val="1"/>
                <w:szCs w:val="1"/>
                <w:color w:val="auto"/>
              </w:rPr>
            </w:pPr>
          </w:p>
        </w:tc>
      </w:tr>
      <w:tr>
        <w:trPr>
          <w:trHeight w:val="149"/>
        </w:trPr>
        <w:tc>
          <w:tcPr>
            <w:tcW w:w="34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Repurchase Agreements and Debt of Consolidated</w:t>
            </w:r>
          </w:p>
        </w:tc>
        <w:tc>
          <w:tcPr>
            <w:tcW w:w="15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Cost of Pledged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Pledged</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Cost of Pledged</w:t>
            </w:r>
          </w:p>
        </w:tc>
        <w:tc>
          <w:tcPr>
            <w:tcW w:w="16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Arial" w:cs="Arial" w:eastAsia="Arial" w:hAnsi="Arial"/>
                <w:sz w:val="14"/>
                <w:szCs w:val="14"/>
                <w:b w:val="1"/>
                <w:bCs w:val="1"/>
                <w:color w:val="auto"/>
                <w:w w:val="88"/>
              </w:rPr>
              <w:t>Pledged</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VIEs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Pledged Securities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6"/>
              </w:rPr>
              <w:t>Securities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Securities</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Agency MBS: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120"/>
              <w:spacing w:after="0"/>
              <w:rPr>
                <w:sz w:val="20"/>
                <w:szCs w:val="20"/>
                <w:color w:val="auto"/>
              </w:rPr>
            </w:pPr>
            <w:r>
              <w:rPr>
                <w:rFonts w:ascii="Arial" w:cs="Arial" w:eastAsia="Arial" w:hAnsi="Arial"/>
                <w:sz w:val="16"/>
                <w:szCs w:val="16"/>
                <w:color w:val="auto"/>
              </w:rPr>
              <w:t>≤ 30 days</w:t>
            </w: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17,683</w:t>
            </w:r>
          </w:p>
        </w:tc>
        <w:tc>
          <w:tcPr>
            <w:tcW w:w="12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17,858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27,694</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28,125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30 and ≤ 60 days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15,881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16,024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14,955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15,210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37"/>
        </w:trPr>
        <w:tc>
          <w:tcPr>
            <w:tcW w:w="3460" w:type="dxa"/>
            <w:vAlign w:val="bottom"/>
            <w:gridSpan w:val="2"/>
          </w:tcPr>
          <w:p>
            <w:pPr>
              <w:ind w:left="120"/>
              <w:spacing w:after="0"/>
              <w:rPr>
                <w:sz w:val="20"/>
                <w:szCs w:val="20"/>
                <w:color w:val="auto"/>
              </w:rPr>
            </w:pPr>
            <w:r>
              <w:rPr>
                <w:rFonts w:ascii="Arial" w:cs="Arial" w:eastAsia="Arial" w:hAnsi="Arial"/>
                <w:sz w:val="16"/>
                <w:szCs w:val="16"/>
                <w:color w:val="auto"/>
              </w:rPr>
              <w:t>&gt; 60 and ≤ 90 days</w:t>
            </w:r>
          </w:p>
        </w:tc>
        <w:tc>
          <w:tcPr>
            <w:tcW w:w="2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5,585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5,630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10,117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10,290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6"/>
                <w:szCs w:val="16"/>
                <w:color w:val="auto"/>
              </w:rPr>
              <w:t>&gt; 90 days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14,315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14,519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11,401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11,623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3460" w:type="dxa"/>
            <w:vAlign w:val="bottom"/>
            <w:gridSpan w:val="2"/>
          </w:tcPr>
          <w:p>
            <w:pPr>
              <w:ind w:left="720"/>
              <w:spacing w:after="0"/>
              <w:rPr>
                <w:sz w:val="20"/>
                <w:szCs w:val="20"/>
                <w:color w:val="auto"/>
              </w:rPr>
            </w:pPr>
            <w:r>
              <w:rPr>
                <w:rFonts w:ascii="Arial" w:cs="Arial" w:eastAsia="Arial" w:hAnsi="Arial"/>
                <w:sz w:val="16"/>
                <w:szCs w:val="16"/>
                <w:color w:val="auto"/>
              </w:rPr>
              <w:t>Total agency MBS</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53,464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54,031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150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64,167</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65,248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U.S. Treasury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60" w:type="dxa"/>
            <w:vAlign w:val="bottom"/>
            <w:gridSpan w:val="2"/>
          </w:tcPr>
          <w:p>
            <w:pPr>
              <w:ind w:left="160"/>
              <w:spacing w:after="0"/>
              <w:rPr>
                <w:sz w:val="20"/>
                <w:szCs w:val="20"/>
                <w:color w:val="auto"/>
              </w:rPr>
            </w:pPr>
            <w:r>
              <w:rPr>
                <w:rFonts w:ascii="Arial" w:cs="Arial" w:eastAsia="Arial" w:hAnsi="Arial"/>
                <w:sz w:val="16"/>
                <w:szCs w:val="16"/>
                <w:color w:val="auto"/>
              </w:rPr>
              <w:t>1 day</w:t>
            </w:r>
          </w:p>
        </w:tc>
        <w:tc>
          <w:tcPr>
            <w:tcW w:w="240" w:type="dxa"/>
            <w:vAlign w:val="bottom"/>
          </w:tcPr>
          <w:p>
            <w:pPr>
              <w:spacing w:after="0"/>
              <w:rPr>
                <w:sz w:val="20"/>
                <w:szCs w:val="20"/>
                <w:color w:val="auto"/>
              </w:rPr>
            </w:pPr>
          </w:p>
        </w:tc>
        <w:tc>
          <w:tcPr>
            <w:tcW w:w="1140" w:type="dxa"/>
            <w:vAlign w:val="bottom"/>
          </w:tcPr>
          <w:p>
            <w:pPr>
              <w:jc w:val="right"/>
              <w:ind w:right="40"/>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Arial" w:cs="Arial" w:eastAsia="Arial" w:hAnsi="Arial"/>
                <w:sz w:val="16"/>
                <w:szCs w:val="16"/>
                <w:color w:val="auto"/>
              </w:rPr>
              <w:t>125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3,708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3,760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53,589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54,156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150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67,875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69,008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194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2014 and December 31, 2013, none of our repurchase agreement borrowings backed by agency MBS were due on demand or mature overnight.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Pledged from Counterparties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2014 and December 31, 2013, we also had assets pledged to us as collateral under our repurchase, reverse repurchase and derivative agreements summarized in the tables below (in millions).</w:t>
      </w:r>
    </w:p>
    <w:p>
      <w:pPr>
        <w:spacing w:after="0" w:line="338" w:lineRule="exact"/>
        <w:rPr>
          <w:sz w:val="20"/>
          <w:szCs w:val="20"/>
          <w:color w:val="auto"/>
        </w:rPr>
      </w:pPr>
    </w:p>
    <w:tbl>
      <w:tblPr>
        <w:tblLayout w:type="fixed"/>
        <w:tblInd w:w="174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rPr>
              <w:t>March 31, 2014</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Repurchase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Reverse</w:t>
            </w:r>
          </w:p>
        </w:tc>
        <w:tc>
          <w:tcPr>
            <w:tcW w:w="14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00" w:type="dxa"/>
            <w:vAlign w:val="bottom"/>
            <w:vMerge w:val="restart"/>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Repurchase</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Agreements</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3"/>
              </w:rPr>
              <w:t>Agreements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MBS - fair value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920" w:type="dxa"/>
            <w:vAlign w:val="bottom"/>
          </w:tcPr>
          <w:p>
            <w:pPr>
              <w:spacing w:after="0"/>
              <w:rPr>
                <w:sz w:val="22"/>
                <w:szCs w:val="22"/>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6,658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6,714</w:t>
            </w:r>
          </w:p>
        </w:tc>
        <w:tc>
          <w:tcPr>
            <w:tcW w:w="0" w:type="dxa"/>
            <w:vAlign w:val="bottom"/>
          </w:tcPr>
          <w:p>
            <w:pPr>
              <w:spacing w:after="0"/>
              <w:rPr>
                <w:sz w:val="1"/>
                <w:szCs w:val="1"/>
                <w:color w:val="auto"/>
              </w:rPr>
            </w:pPr>
          </w:p>
        </w:tc>
      </w:tr>
      <w:tr>
        <w:trPr>
          <w:trHeight w:val="270"/>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9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43"/>
        </w:trPr>
        <w:tc>
          <w:tcPr>
            <w:tcW w:w="326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92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6,914</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06" w:right="239" w:bottom="1440" w:gutter="0" w:footer="0" w:header="0"/>
        </w:sectPr>
      </w:pPr>
    </w:p>
    <w:bookmarkStart w:id="20" w:name="page21"/>
    <w:bookmarkEnd w:id="20"/>
    <w:tbl>
      <w:tblPr>
        <w:tblLayout w:type="fixed"/>
        <w:tblInd w:w="174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2013</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Repurchase</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Reverse</w:t>
            </w:r>
          </w:p>
        </w:tc>
        <w:tc>
          <w:tcPr>
            <w:tcW w:w="14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Derivative</w:t>
            </w: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Assets Pledged to AGNC</w:t>
            </w:r>
          </w:p>
        </w:tc>
        <w:tc>
          <w:tcPr>
            <w:tcW w:w="100" w:type="dxa"/>
            <w:vAlign w:val="bottom"/>
            <w:vMerge w:val="restart"/>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Repurchase</w:t>
            </w: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Agreements</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3"/>
              </w:rPr>
              <w:t>Agreements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Agency MBS - fair value</w:t>
            </w:r>
          </w:p>
        </w:tc>
        <w:tc>
          <w:tcPr>
            <w:tcW w:w="920" w:type="dxa"/>
            <w:vAlign w:val="bottom"/>
            <w:shd w:val="clear" w:color="auto" w:fill="CCEEFF"/>
          </w:tcPr>
          <w:p>
            <w:pPr>
              <w:jc w:val="right"/>
              <w:ind w:right="74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64"/>
        </w:trPr>
        <w:tc>
          <w:tcPr>
            <w:tcW w:w="3260" w:type="dxa"/>
            <w:vAlign w:val="bottom"/>
            <w:gridSpan w:val="2"/>
          </w:tcPr>
          <w:p>
            <w:pPr>
              <w:ind w:left="20"/>
              <w:spacing w:after="0"/>
              <w:rPr>
                <w:sz w:val="20"/>
                <w:szCs w:val="20"/>
                <w:color w:val="auto"/>
              </w:rPr>
            </w:pPr>
            <w:r>
              <w:rPr>
                <w:rFonts w:ascii="Arial" w:cs="Arial" w:eastAsia="Arial" w:hAnsi="Arial"/>
                <w:sz w:val="14"/>
                <w:szCs w:val="14"/>
                <w:color w:val="auto"/>
              </w:rPr>
              <w:t>U.S. Treasury securities - fair value</w:t>
            </w:r>
          </w:p>
        </w:tc>
        <w:tc>
          <w:tcPr>
            <w:tcW w:w="920" w:type="dxa"/>
            <w:vAlign w:val="bottom"/>
          </w:tcPr>
          <w:p>
            <w:pPr>
              <w:spacing w:after="0"/>
              <w:rPr>
                <w:sz w:val="22"/>
                <w:szCs w:val="22"/>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1,848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70"/>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Cash</w:t>
            </w:r>
          </w:p>
        </w:tc>
        <w:tc>
          <w:tcPr>
            <w:tcW w:w="92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243"/>
        </w:trPr>
        <w:tc>
          <w:tcPr>
            <w:tcW w:w="3260" w:type="dxa"/>
            <w:vAlign w:val="bottom"/>
            <w:gridSpan w:val="2"/>
          </w:tcPr>
          <w:p>
            <w:pPr>
              <w:ind w:left="180"/>
              <w:spacing w:after="0"/>
              <w:rPr>
                <w:sz w:val="20"/>
                <w:szCs w:val="20"/>
                <w:color w:val="auto"/>
              </w:rPr>
            </w:pPr>
            <w:r>
              <w:rPr>
                <w:rFonts w:ascii="Arial" w:cs="Arial" w:eastAsia="Arial" w:hAnsi="Arial"/>
                <w:sz w:val="14"/>
                <w:szCs w:val="14"/>
                <w:color w:val="auto"/>
              </w:rPr>
              <w:t>Total</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1,848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2,460</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U.S Treasury securities received as collateral under our reverse repurchase agreements are accounted for as securities borrowing transactions and are used to cover short sales of the same securities. We recognize a corresponding obligation to return the borrowed securities at fair value on the accompanying consolidated balance sheets based on the value of the underlying borrowed securities as of the reporting date.</w:t>
      </w:r>
    </w:p>
    <w:p>
      <w:pPr>
        <w:spacing w:after="0" w:line="1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Cash collateral received is recognized in cash and cash equivalents with a corresponding amount recognized in accounts payable and other accrued liabilities on the accompanying consolidated balance sheets.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Offsetting Assets and Liabilities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subject to such arrangements and can potentially be offset on our consolidated balance sheets as of March 31, 2014 and December 31, 2013 (in 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Offsetting of Financial Assets and Derivative Assets</w:t>
            </w: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ind w:left="240"/>
              <w:spacing w:after="0" w:line="153" w:lineRule="exact"/>
              <w:rPr>
                <w:sz w:val="20"/>
                <w:szCs w:val="20"/>
                <w:color w:val="auto"/>
              </w:rPr>
            </w:pPr>
            <w:r>
              <w:rPr>
                <w:rFonts w:ascii="Arial" w:cs="Arial" w:eastAsia="Arial" w:hAnsi="Arial"/>
                <w:sz w:val="14"/>
                <w:szCs w:val="14"/>
                <w:b w:val="1"/>
                <w:bCs w:val="1"/>
                <w:color w:val="auto"/>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gridSpan w:val="3"/>
            <w:vMerge w:val="restart"/>
          </w:tcPr>
          <w:p>
            <w:pPr>
              <w:jc w:val="right"/>
              <w:ind w:right="28"/>
              <w:spacing w:after="0" w:line="149" w:lineRule="exact"/>
              <w:rPr>
                <w:sz w:val="20"/>
                <w:szCs w:val="20"/>
                <w:color w:val="auto"/>
              </w:rPr>
            </w:pPr>
            <w:r>
              <w:rPr>
                <w:rFonts w:ascii="Arial" w:cs="Arial" w:eastAsia="Arial" w:hAnsi="Arial"/>
                <w:sz w:val="14"/>
                <w:szCs w:val="14"/>
                <w:b w:val="1"/>
                <w:bCs w:val="1"/>
                <w:color w:val="auto"/>
              </w:rPr>
              <w:t>in the</w:t>
            </w: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2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Assets Presented</w:t>
            </w:r>
          </w:p>
        </w:tc>
        <w:tc>
          <w:tcPr>
            <w:tcW w:w="140" w:type="dxa"/>
            <w:vAlign w:val="bottom"/>
          </w:tcPr>
          <w:p>
            <w:pPr>
              <w:spacing w:after="0"/>
              <w:rPr>
                <w:sz w:val="7"/>
                <w:szCs w:val="7"/>
                <w:color w:val="auto"/>
              </w:rPr>
            </w:pPr>
          </w:p>
        </w:tc>
        <w:tc>
          <w:tcPr>
            <w:tcW w:w="134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w w:val="96"/>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6"/>
              </w:rPr>
              <w:t>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of Recognized</w:t>
            </w: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240" w:type="dxa"/>
            <w:vAlign w:val="bottom"/>
          </w:tcPr>
          <w:p>
            <w:pPr>
              <w:spacing w:after="0"/>
              <w:rPr>
                <w:sz w:val="13"/>
                <w:szCs w:val="13"/>
                <w:color w:val="auto"/>
              </w:rPr>
            </w:pPr>
          </w:p>
        </w:tc>
        <w:tc>
          <w:tcPr>
            <w:tcW w:w="9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7"/>
              </w:rPr>
              <w:t>Assets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Received </w:t>
            </w:r>
            <w:r>
              <w:rPr>
                <w:rFonts w:ascii="Arial" w:cs="Arial" w:eastAsia="Arial" w:hAnsi="Arial"/>
                <w:sz w:val="8"/>
                <w:szCs w:val="8"/>
                <w:b w:val="1"/>
                <w:bCs w:val="1"/>
                <w:color w:val="auto"/>
              </w:rPr>
              <w:t>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6,685</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6,685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Total derivative, other hedging instruments and other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7,341</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(5,060)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and swaption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1,138</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1,138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2"/>
                <w:szCs w:val="22"/>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Receivable under reverse repurchase agreements</w:t>
            </w: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1,881</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020" w:type="dxa"/>
            <w:vAlign w:val="bottom"/>
            <w:gridSpan w:val="2"/>
          </w:tcPr>
          <w:p>
            <w:pPr>
              <w:ind w:left="280"/>
              <w:spacing w:after="0"/>
              <w:rPr>
                <w:sz w:val="20"/>
                <w:szCs w:val="20"/>
                <w:color w:val="auto"/>
              </w:rPr>
            </w:pPr>
            <w:r>
              <w:rPr>
                <w:rFonts w:ascii="Arial" w:cs="Arial" w:eastAsia="Arial" w:hAnsi="Arial"/>
                <w:sz w:val="14"/>
                <w:szCs w:val="14"/>
                <w:color w:val="auto"/>
              </w:rPr>
              <w:t>Total derivative, other hedging instruments and other assets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3,019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3,019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(2,212)</w:t>
            </w:r>
          </w:p>
        </w:tc>
        <w:tc>
          <w:tcPr>
            <w:tcW w:w="120" w:type="dxa"/>
            <w:vAlign w:val="bottom"/>
          </w:tcPr>
          <w:p>
            <w:pPr>
              <w:spacing w:after="0"/>
              <w:rPr>
                <w:sz w:val="21"/>
                <w:szCs w:val="21"/>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968"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11"/>
          </w:tcPr>
          <w:p>
            <w:pPr>
              <w:ind w:left="520"/>
              <w:spacing w:after="0"/>
              <w:rPr>
                <w:sz w:val="20"/>
                <w:szCs w:val="20"/>
                <w:color w:val="auto"/>
              </w:rPr>
            </w:pPr>
            <w:r>
              <w:rPr>
                <w:rFonts w:ascii="Arial" w:cs="Arial" w:eastAsia="Arial" w:hAnsi="Arial"/>
                <w:sz w:val="14"/>
                <w:szCs w:val="14"/>
                <w:b w:val="1"/>
                <w:bCs w:val="1"/>
                <w:color w:val="auto"/>
              </w:rPr>
              <w:t>Offsetting of Financial Liabilities and Derivative Liabilities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Net Amounts of</w:t>
            </w:r>
          </w:p>
        </w:tc>
        <w:tc>
          <w:tcPr>
            <w:tcW w:w="140" w:type="dxa"/>
            <w:vAlign w:val="bottom"/>
          </w:tcPr>
          <w:p>
            <w:pPr>
              <w:spacing w:after="0"/>
              <w:rPr>
                <w:sz w:val="13"/>
                <w:szCs w:val="13"/>
                <w:color w:val="auto"/>
              </w:rPr>
            </w:pPr>
          </w:p>
        </w:tc>
        <w:tc>
          <w:tcPr>
            <w:tcW w:w="2320" w:type="dxa"/>
            <w:vAlign w:val="bottom"/>
            <w:gridSpan w:val="5"/>
          </w:tcPr>
          <w:p>
            <w:pPr>
              <w:ind w:left="240"/>
              <w:spacing w:after="0" w:line="153" w:lineRule="exact"/>
              <w:rPr>
                <w:sz w:val="20"/>
                <w:szCs w:val="20"/>
                <w:color w:val="auto"/>
              </w:rPr>
            </w:pPr>
            <w:r>
              <w:rPr>
                <w:rFonts w:ascii="Arial" w:cs="Arial" w:eastAsia="Arial" w:hAnsi="Arial"/>
                <w:sz w:val="14"/>
                <w:szCs w:val="14"/>
                <w:b w:val="1"/>
                <w:bCs w:val="1"/>
                <w:color w:val="auto"/>
              </w:rPr>
              <w:t>Gross Amounts Not Offset</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13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b w:val="1"/>
                <w:bCs w:val="1"/>
                <w:color w:val="auto"/>
              </w:rPr>
              <w:t>in the</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3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7"/>
                <w:szCs w:val="7"/>
                <w:color w:val="auto"/>
              </w:rPr>
            </w:pPr>
          </w:p>
        </w:tc>
        <w:tc>
          <w:tcPr>
            <w:tcW w:w="1140" w:type="dxa"/>
            <w:vAlign w:val="bottom"/>
            <w:gridSpan w:val="2"/>
            <w:vMerge w:val="restart"/>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Liabilities</w:t>
            </w:r>
          </w:p>
        </w:tc>
        <w:tc>
          <w:tcPr>
            <w:tcW w:w="140" w:type="dxa"/>
            <w:vAlign w:val="bottom"/>
          </w:tcPr>
          <w:p>
            <w:pPr>
              <w:spacing w:after="0"/>
              <w:rPr>
                <w:sz w:val="7"/>
                <w:szCs w:val="7"/>
                <w:color w:val="auto"/>
              </w:rPr>
            </w:pPr>
          </w:p>
        </w:tc>
        <w:tc>
          <w:tcPr>
            <w:tcW w:w="13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220" w:type="dxa"/>
            <w:vAlign w:val="bottom"/>
            <w:gridSpan w:val="4"/>
            <w:vMerge w:val="restart"/>
          </w:tcPr>
          <w:p>
            <w:pPr>
              <w:jc w:val="right"/>
              <w:ind w:right="228"/>
              <w:spacing w:after="0"/>
              <w:rPr>
                <w:sz w:val="20"/>
                <w:szCs w:val="20"/>
                <w:color w:val="auto"/>
              </w:rPr>
            </w:pPr>
            <w:r>
              <w:rPr>
                <w:rFonts w:ascii="Arial" w:cs="Arial" w:eastAsia="Arial" w:hAnsi="Arial"/>
                <w:sz w:val="14"/>
                <w:szCs w:val="14"/>
                <w:b w:val="1"/>
                <w:bCs w:val="1"/>
                <w:color w:val="auto"/>
                <w:w w:val="96"/>
              </w:rPr>
              <w:t>Consolidated Balance Sheets</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1"/>
              </w:rPr>
              <w:t>Gross Amounts</w:t>
            </w:r>
          </w:p>
        </w:tc>
        <w:tc>
          <w:tcPr>
            <w:tcW w:w="100" w:type="dxa"/>
            <w:vAlign w:val="bottom"/>
          </w:tcPr>
          <w:p>
            <w:pPr>
              <w:spacing w:after="0"/>
              <w:rPr>
                <w:sz w:val="10"/>
                <w:szCs w:val="10"/>
                <w:color w:val="auto"/>
              </w:rPr>
            </w:pPr>
          </w:p>
        </w:tc>
        <w:tc>
          <w:tcPr>
            <w:tcW w:w="1180" w:type="dxa"/>
            <w:vAlign w:val="bottom"/>
            <w:gridSpan w:val="2"/>
          </w:tcPr>
          <w:p>
            <w:pPr>
              <w:jc w:val="center"/>
              <w:ind w:right="220"/>
              <w:spacing w:after="0" w:line="125" w:lineRule="exact"/>
              <w:rPr>
                <w:sz w:val="20"/>
                <w:szCs w:val="20"/>
                <w:color w:val="auto"/>
              </w:rPr>
            </w:pPr>
            <w:r>
              <w:rPr>
                <w:rFonts w:ascii="Arial" w:cs="Arial" w:eastAsia="Arial" w:hAnsi="Arial"/>
                <w:sz w:val="14"/>
                <w:szCs w:val="14"/>
                <w:b w:val="1"/>
                <w:bCs w:val="1"/>
                <w:color w:val="auto"/>
                <w:w w:val="92"/>
              </w:rPr>
              <w:t>Offset in the</w:t>
            </w:r>
          </w:p>
        </w:tc>
        <w:tc>
          <w:tcPr>
            <w:tcW w:w="126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1"/>
              </w:rPr>
              <w:t>Presented in the</w:t>
            </w:r>
          </w:p>
        </w:tc>
        <w:tc>
          <w:tcPr>
            <w:tcW w:w="14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87"/>
              </w:rPr>
              <w:t>of Recognized</w:t>
            </w:r>
          </w:p>
        </w:tc>
        <w:tc>
          <w:tcPr>
            <w:tcW w:w="100" w:type="dxa"/>
            <w:vAlign w:val="bottom"/>
          </w:tcPr>
          <w:p>
            <w:pPr>
              <w:spacing w:after="0"/>
              <w:rPr>
                <w:sz w:val="13"/>
                <w:szCs w:val="13"/>
                <w:color w:val="auto"/>
              </w:rPr>
            </w:pPr>
          </w:p>
        </w:tc>
        <w:tc>
          <w:tcPr>
            <w:tcW w:w="118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3"/>
                <w:szCs w:val="13"/>
                <w:color w:val="auto"/>
              </w:rPr>
            </w:pP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Consolidated</w:t>
            </w:r>
          </w:p>
        </w:tc>
        <w:tc>
          <w:tcPr>
            <w:tcW w:w="14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Financial</w:t>
            </w:r>
          </w:p>
        </w:tc>
        <w:tc>
          <w:tcPr>
            <w:tcW w:w="200" w:type="dxa"/>
            <w:vAlign w:val="bottom"/>
          </w:tcPr>
          <w:p>
            <w:pPr>
              <w:spacing w:after="0"/>
              <w:rPr>
                <w:sz w:val="13"/>
                <w:szCs w:val="13"/>
                <w:color w:val="auto"/>
              </w:rPr>
            </w:pPr>
          </w:p>
        </w:tc>
        <w:tc>
          <w:tcPr>
            <w:tcW w:w="10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Collateral</w:t>
            </w:r>
          </w:p>
        </w:tc>
        <w:tc>
          <w:tcPr>
            <w:tcW w:w="140" w:type="dxa"/>
            <w:vAlign w:val="bottom"/>
          </w:tcPr>
          <w:p>
            <w:pPr>
              <w:spacing w:after="0"/>
              <w:rPr>
                <w:sz w:val="13"/>
                <w:szCs w:val="13"/>
                <w:color w:val="auto"/>
              </w:rPr>
            </w:pPr>
          </w:p>
        </w:tc>
        <w:tc>
          <w:tcPr>
            <w:tcW w:w="9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8"/>
              </w:rPr>
              <w:t>Net Amount</w:t>
            </w:r>
          </w:p>
        </w:tc>
        <w:tc>
          <w:tcPr>
            <w:tcW w:w="0" w:type="dxa"/>
            <w:vAlign w:val="bottom"/>
          </w:tcPr>
          <w:p>
            <w:pPr>
              <w:spacing w:after="0"/>
              <w:rPr>
                <w:sz w:val="1"/>
                <w:szCs w:val="1"/>
                <w:color w:val="auto"/>
              </w:rPr>
            </w:pPr>
          </w:p>
        </w:tc>
      </w:tr>
      <w:tr>
        <w:trPr>
          <w:trHeight w:val="192"/>
        </w:trPr>
        <w:tc>
          <w:tcPr>
            <w:tcW w:w="3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2"/>
              </w:rPr>
              <w:t>Liabilities</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Balance Sheets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Instruments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 xml:space="preserve">Pledged </w:t>
            </w:r>
            <w:r>
              <w:rPr>
                <w:rFonts w:ascii="Arial" w:cs="Arial" w:eastAsia="Arial" w:hAnsi="Arial"/>
                <w:sz w:val="8"/>
                <w:szCs w:val="8"/>
                <w:b w:val="1"/>
                <w:bCs w:val="1"/>
                <w:color w:val="auto"/>
                <w:w w:val="98"/>
              </w:rPr>
              <w:t>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020" w:type="dxa"/>
            <w:vAlign w:val="bottom"/>
            <w:tcBorders>
              <w:bottom w:val="single" w:sz="8" w:color="CCEEFF"/>
            </w:tcBorders>
            <w:gridSpan w:val="2"/>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49,729</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49,729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(44,806)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3"/>
        </w:trPr>
        <w:tc>
          <w:tcPr>
            <w:tcW w:w="4020" w:type="dxa"/>
            <w:vAlign w:val="bottom"/>
            <w:gridSpan w:val="2"/>
            <w:shd w:val="clear" w:color="auto" w:fill="CCEEFF"/>
          </w:tcPr>
          <w:p>
            <w:pPr>
              <w:ind w:left="280"/>
              <w:spacing w:after="0" w:line="143" w:lineRule="exact"/>
              <w:rPr>
                <w:sz w:val="20"/>
                <w:szCs w:val="20"/>
                <w:color w:val="auto"/>
              </w:rPr>
            </w:pPr>
            <w:r>
              <w:rPr>
                <w:rFonts w:ascii="Arial" w:cs="Arial" w:eastAsia="Arial" w:hAnsi="Arial"/>
                <w:sz w:val="14"/>
                <w:szCs w:val="14"/>
                <w:color w:val="auto"/>
              </w:rPr>
              <w:t>Total derivative, other hedging instruments and other</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50,097</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50,097</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(5,061)</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(44,886)</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81"/>
        </w:trPr>
        <w:tc>
          <w:tcPr>
            <w:tcW w:w="402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December 31, 2013</w:t>
            </w: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20" w:type="dxa"/>
            <w:vAlign w:val="bottom"/>
            <w:gridSpan w:val="2"/>
          </w:tcPr>
          <w:p>
            <w:pPr>
              <w:ind w:left="180"/>
              <w:spacing w:after="0"/>
              <w:rPr>
                <w:sz w:val="20"/>
                <w:szCs w:val="20"/>
                <w:color w:val="auto"/>
              </w:rPr>
            </w:pPr>
            <w:r>
              <w:rPr>
                <w:rFonts w:ascii="Arial" w:cs="Arial" w:eastAsia="Arial" w:hAnsi="Arial"/>
                <w:sz w:val="14"/>
                <w:szCs w:val="14"/>
                <w:color w:val="auto"/>
              </w:rPr>
              <w:t xml:space="preserve">Interest rate swap agreements, at fair value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0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Repurchase agreements</w:t>
            </w:r>
          </w:p>
        </w:tc>
        <w:tc>
          <w:tcPr>
            <w:tcW w:w="1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63,533</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63,533</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(61,652)</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7"/>
        </w:trPr>
        <w:tc>
          <w:tcPr>
            <w:tcW w:w="4020" w:type="dxa"/>
            <w:vAlign w:val="bottom"/>
            <w:gridSpan w:val="2"/>
          </w:tcPr>
          <w:p>
            <w:pPr>
              <w:ind w:left="280"/>
              <w:spacing w:after="0" w:line="137" w:lineRule="exact"/>
              <w:rPr>
                <w:sz w:val="20"/>
                <w:szCs w:val="20"/>
                <w:color w:val="auto"/>
              </w:rPr>
            </w:pPr>
            <w:r>
              <w:rPr>
                <w:rFonts w:ascii="Arial" w:cs="Arial" w:eastAsia="Arial" w:hAnsi="Arial"/>
                <w:sz w:val="14"/>
                <w:szCs w:val="14"/>
                <w:color w:val="auto"/>
              </w:rPr>
              <w:t>Total derivative, other hedging instruments and other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ind w:right="48"/>
              <w:spacing w:after="0"/>
              <w:rPr>
                <w:sz w:val="20"/>
                <w:szCs w:val="20"/>
                <w:color w:val="auto"/>
              </w:rPr>
            </w:pPr>
            <w:r>
              <w:rPr>
                <w:rFonts w:ascii="Arial" w:cs="Arial" w:eastAsia="Arial" w:hAnsi="Arial"/>
                <w:sz w:val="14"/>
                <w:szCs w:val="14"/>
                <w:color w:val="auto"/>
              </w:rPr>
              <w:t>63,933</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40" w:type="dxa"/>
            <w:vAlign w:val="bottom"/>
            <w:vMerge w:val="restart"/>
          </w:tcPr>
          <w:p>
            <w:pPr>
              <w:jc w:val="right"/>
              <w:ind w:right="48"/>
              <w:spacing w:after="0"/>
              <w:rPr>
                <w:sz w:val="20"/>
                <w:szCs w:val="20"/>
                <w:color w:val="auto"/>
              </w:rPr>
            </w:pPr>
            <w:r>
              <w:rPr>
                <w:rFonts w:ascii="Arial" w:cs="Arial" w:eastAsia="Arial" w:hAnsi="Arial"/>
                <w:sz w:val="14"/>
                <w:szCs w:val="14"/>
                <w:color w:val="auto"/>
              </w:rPr>
              <w:t>63,933</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(2,212)</w:t>
            </w:r>
          </w:p>
        </w:tc>
        <w:tc>
          <w:tcPr>
            <w:tcW w:w="120" w:type="dxa"/>
            <w:vAlign w:val="bottom"/>
          </w:tcPr>
          <w:p>
            <w:pPr>
              <w:spacing w:after="0"/>
              <w:rPr>
                <w:sz w:val="11"/>
                <w:szCs w:val="11"/>
                <w:color w:val="auto"/>
              </w:rPr>
            </w:pP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(61,721)</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20" w:type="dxa"/>
            <w:vAlign w:val="bottom"/>
            <w:gridSpan w:val="2"/>
          </w:tcPr>
          <w:p>
            <w:pPr>
              <w:ind w:left="280"/>
              <w:spacing w:after="0"/>
              <w:rPr>
                <w:sz w:val="20"/>
                <w:szCs w:val="20"/>
                <w:color w:val="auto"/>
              </w:rPr>
            </w:pPr>
            <w:r>
              <w:rPr>
                <w:rFonts w:ascii="Arial" w:cs="Arial" w:eastAsia="Arial" w:hAnsi="Arial"/>
                <w:sz w:val="14"/>
                <w:szCs w:val="14"/>
                <w:color w:val="auto"/>
              </w:rPr>
              <w:t>liabilities</w:t>
            </w:r>
          </w:p>
        </w:tc>
        <w:tc>
          <w:tcPr>
            <w:tcW w:w="1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right="320" w:hanging="328"/>
        <w:spacing w:after="0" w:line="241"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Reported under derivative assets / liabilities, at fair value in the accompanying consolidated balance sheets. Refer to Note 6 for a reconciliation of derivative assets / liabilities, at fair value to their sub-components.</w:t>
      </w:r>
    </w:p>
    <w:p>
      <w:pPr>
        <w:ind w:left="660" w:right="240" w:hanging="328"/>
        <w:spacing w:after="0" w:line="255" w:lineRule="auto"/>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cash and securities received / pledged as collateral, at fair value. Amounts presented are limited to collateral pledged sufficient to reduce the net amount to zero for individual counterparties, as applicable. Refer to Note 4 for additional information regarding assets pledged as collateral.</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Measurements</w:t>
      </w:r>
    </w:p>
    <w:p>
      <w:pPr>
        <w:spacing w:after="0" w:line="22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determine the fair value of our agency securities and debt of consolidated VIEs based upon fair value estimates obtained from multiple third party pricing services and dealers. In determining fair value, third party pricing sources use various valuation approaches, including market and income approaches. Factors used by third party sources in estimating the fair value of an instrument may include observable inputs such as coupons, primary and secondary mortgage rates, pricing information, credit data, volatility statistics, and other market data that are current as of the measurement date. The availability of observable inputs can vary by instrument and is affected by a wide variety of factors, including the type of instrument, whether the instrument is new and not yet established in the marketplace and other characteristics particular to the instrument. Third party pricing sources may also use certain unobservable inputs, such as assumptions of future levels of prepayment, defaults and foreclosures, especially when estimating fair values for securities with lower levels of recent trading activity. We make inquiries of third party pricing sources to understand the significant inputs and assumptions they used to determine their prices. For further information regarding valuation of our derivative instruments, please refer to the discussion of derivative and other hedging instruments in Note 3.</w:t>
      </w:r>
    </w:p>
    <w:p>
      <w:pPr>
        <w:spacing w:after="0" w:line="23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review the various third party fair value estimates and perform procedures to validate their reasonableness, including an analysis of the range of third party estimates for each position, comparison to recent trade activity for similar securities, and management review for consistency with market conditions observed as of the measurement date. While we do not adjust prices we obtain from third party pricing sources, we will exclude third party prices for securities from our determination of fair value if we determine (based on our validation procedures and our market knowledge and expertise) that the price is significantly different than observable market data would indicate and we cannot obtain an understanding from the third party source as to the significant inputs used to determine the price.</w:t>
      </w:r>
    </w:p>
    <w:p>
      <w:pPr>
        <w:spacing w:after="0" w:line="23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validation procedures described above also influence our determination of the appropriate fair value measurement classification. We utilize a three-level valuation hierarchy for disclosure of fair value measurement. The valuation hierarchy is based upon the transparency of inputs to the valuation of an asset or liability as of the measurement date. A financial instrument's categorization within the hierarchy is based upon the lowest level of input that is significant to the fair value measurement. There were no transfers between hierarchy levels during the three months ended March 31, 2014. The three levels of hierarchy are defined as follows:</w:t>
      </w:r>
    </w:p>
    <w:p>
      <w:pPr>
        <w:spacing w:after="0" w:line="134" w:lineRule="exact"/>
        <w:rPr>
          <w:sz w:val="20"/>
          <w:szCs w:val="20"/>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1 Inputs —Quoted prices (unadjusted) for identical unrestricted assets and liabilities in active markets that are accessible at the measurement date.</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68" w:right="239" w:bottom="1440" w:gutter="0" w:footer="0" w:header="0"/>
        </w:sectPr>
      </w:pPr>
    </w:p>
    <w:bookmarkStart w:id="22" w:name="page23"/>
    <w:bookmarkEnd w:id="22"/>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Inputs —Instruments with primarily unobservable market data that cannot be corroborated.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provides a summary of our assets and liabilities that are measured at fair value on a recurring basis as of March 31,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(dollars in millions):</w:t>
      </w:r>
    </w:p>
    <w:p>
      <w:pPr>
        <w:spacing w:after="0" w:line="333" w:lineRule="exact"/>
        <w:rPr>
          <w:sz w:val="20"/>
          <w:szCs w:val="20"/>
          <w:color w:val="auto"/>
        </w:rPr>
      </w:pPr>
    </w:p>
    <w:tbl>
      <w:tblPr>
        <w:tblLayout w:type="fixed"/>
        <w:tblInd w:w="840" w:type="dxa"/>
        <w:tblCellMar>
          <w:top w:w="0" w:type="dxa"/>
          <w:left w:w="0" w:type="dxa"/>
          <w:bottom w:w="0" w:type="dxa"/>
          <w:right w:w="0" w:type="dxa"/>
        </w:tblCellMar>
      </w:tblPr>
      <w:tr>
        <w:trPr>
          <w:trHeight w:val="210"/>
        </w:trPr>
        <w:tc>
          <w:tcPr>
            <w:tcW w:w="2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80" w:type="dxa"/>
            <w:vAlign w:val="bottom"/>
            <w:gridSpan w:val="5"/>
          </w:tcPr>
          <w:p>
            <w:pPr>
              <w:ind w:left="20"/>
              <w:spacing w:after="0"/>
              <w:rPr>
                <w:sz w:val="20"/>
                <w:szCs w:val="20"/>
                <w:color w:val="auto"/>
              </w:rPr>
            </w:pPr>
            <w:r>
              <w:rPr>
                <w:rFonts w:ascii="Arial" w:cs="Arial" w:eastAsia="Arial" w:hAnsi="Arial"/>
                <w:sz w:val="16"/>
                <w:szCs w:val="16"/>
                <w:b w:val="1"/>
                <w:bCs w:val="1"/>
                <w:color w:val="auto"/>
                <w:w w:val="99"/>
              </w:rPr>
              <w:t>Fair Value Hierarchy</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20"/>
                <w:szCs w:val="20"/>
                <w:color w:val="auto"/>
              </w:rPr>
            </w:pPr>
          </w:p>
        </w:tc>
        <w:tc>
          <w:tcPr>
            <w:tcW w:w="960" w:type="dxa"/>
            <w:vAlign w:val="bottom"/>
          </w:tcPr>
          <w:p>
            <w:pPr>
              <w:ind w:left="1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w w:val="94"/>
              </w:rPr>
              <w:t>March 31, 2014</w:t>
            </w:r>
          </w:p>
        </w:tc>
        <w:tc>
          <w:tcPr>
            <w:tcW w:w="2340" w:type="dxa"/>
            <w:vAlign w:val="bottom"/>
            <w:tcBorders>
              <w:bottom w:val="single" w:sz="8" w:color="CCEEFF"/>
            </w:tcBorders>
            <w:gridSpan w:val="2"/>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gridSpan w:val="5"/>
          </w:tcPr>
          <w:p>
            <w:pPr>
              <w:ind w:left="20"/>
              <w:spacing w:after="0"/>
              <w:rPr>
                <w:sz w:val="20"/>
                <w:szCs w:val="20"/>
                <w:color w:val="auto"/>
              </w:rPr>
            </w:pPr>
            <w:r>
              <w:rPr>
                <w:rFonts w:ascii="Arial" w:cs="Arial" w:eastAsia="Arial" w:hAnsi="Arial"/>
                <w:sz w:val="16"/>
                <w:szCs w:val="16"/>
                <w:color w:val="auto"/>
              </w:rPr>
              <w:t>Assets: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Agency securities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U.S. Treasury securities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Interest rate swaps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Payer swaptions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REIT equity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U.S. Treasury futures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TBA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574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554</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57,057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Debt of consolidated VIEs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5740" w:type="dxa"/>
            <w:vAlign w:val="bottom"/>
            <w:gridSpan w:val="5"/>
            <w:shd w:val="clear" w:color="auto" w:fill="CCEEFF"/>
          </w:tcPr>
          <w:p>
            <w:pPr>
              <w:ind w:left="180"/>
              <w:spacing w:after="0"/>
              <w:rPr>
                <w:sz w:val="20"/>
                <w:szCs w:val="20"/>
                <w:color w:val="auto"/>
              </w:rPr>
            </w:pPr>
            <w:r>
              <w:rPr>
                <w:rFonts w:ascii="Arial" w:cs="Arial" w:eastAsia="Arial" w:hAnsi="Arial"/>
                <w:sz w:val="16"/>
                <w:szCs w:val="16"/>
                <w:color w:val="auto"/>
                <w:w w:val="97"/>
              </w:rPr>
              <w:t>Obligation to return U.S. Treasury securities borrowed under reverse repurchase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agreements</w:t>
            </w:r>
          </w:p>
        </w:tc>
        <w:tc>
          <w:tcPr>
            <w:tcW w:w="2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Interest rate swaps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TBA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4"/>
        </w:trPr>
        <w:tc>
          <w:tcPr>
            <w:tcW w:w="5740" w:type="dxa"/>
            <w:vAlign w:val="bottom"/>
            <w:tcBorders>
              <w:bottom w:val="single" w:sz="8" w:color="CCEEFF"/>
            </w:tcBorders>
            <w:gridSpan w:val="5"/>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6,658</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1,291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1"/>
        </w:trPr>
        <w:tc>
          <w:tcPr>
            <w:tcW w:w="2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740" w:type="dxa"/>
            <w:vAlign w:val="bottom"/>
            <w:gridSpan w:val="5"/>
          </w:tcPr>
          <w:p>
            <w:pPr>
              <w:jc w:val="center"/>
              <w:ind w:right="20"/>
              <w:spacing w:after="0"/>
              <w:rPr>
                <w:sz w:val="20"/>
                <w:szCs w:val="20"/>
                <w:color w:val="auto"/>
              </w:rPr>
            </w:pPr>
            <w:r>
              <w:rPr>
                <w:rFonts w:ascii="Arial" w:cs="Arial" w:eastAsia="Arial" w:hAnsi="Arial"/>
                <w:sz w:val="16"/>
                <w:szCs w:val="16"/>
                <w:b w:val="1"/>
                <w:bCs w:val="1"/>
                <w:color w:val="auto"/>
                <w:w w:val="91"/>
              </w:rPr>
              <w:t>December 31, 2013</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2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2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Agency securities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65,941</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U.S. Treasury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Interest rate swaps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880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Payer swaptions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REIT equity securities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U.S. Treasury futures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TBA securities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4,098</w:t>
            </w:r>
          </w:p>
        </w:tc>
        <w:tc>
          <w:tcPr>
            <w:tcW w:w="4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67,096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Arial" w:cs="Arial" w:eastAsia="Arial" w:hAnsi="Arial"/>
                <w:sz w:val="16"/>
                <w:szCs w:val="16"/>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40" w:type="dxa"/>
            <w:vAlign w:val="bottom"/>
            <w:gridSpan w:val="5"/>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Debt of consolidated VIEs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5740" w:type="dxa"/>
            <w:vAlign w:val="bottom"/>
            <w:gridSpan w:val="5"/>
          </w:tcPr>
          <w:p>
            <w:pPr>
              <w:ind w:left="180"/>
              <w:spacing w:after="0"/>
              <w:rPr>
                <w:sz w:val="20"/>
                <w:szCs w:val="20"/>
                <w:color w:val="auto"/>
              </w:rPr>
            </w:pPr>
            <w:r>
              <w:rPr>
                <w:rFonts w:ascii="Arial" w:cs="Arial" w:eastAsia="Arial" w:hAnsi="Arial"/>
                <w:sz w:val="16"/>
                <w:szCs w:val="16"/>
                <w:color w:val="auto"/>
                <w:w w:val="97"/>
              </w:rPr>
              <w:t>Obligation to return U.S. Treasury securities borrowed under reverse repurchase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agreements</w:t>
            </w:r>
          </w:p>
        </w:tc>
        <w:tc>
          <w:tcPr>
            <w:tcW w:w="2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1,848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tcBorders>
              <w:bottom w:val="single" w:sz="8" w:color="CCEEFF"/>
            </w:tcBorders>
            <w:gridSpan w:val="5"/>
            <w:shd w:val="clear" w:color="auto" w:fill="CCEEFF"/>
          </w:tcPr>
          <w:p>
            <w:pPr>
              <w:ind w:left="180"/>
              <w:spacing w:after="0"/>
              <w:rPr>
                <w:sz w:val="20"/>
                <w:szCs w:val="20"/>
                <w:color w:val="auto"/>
              </w:rPr>
            </w:pPr>
            <w:r>
              <w:rPr>
                <w:rFonts w:ascii="Arial" w:cs="Arial" w:eastAsia="Arial" w:hAnsi="Arial"/>
                <w:sz w:val="16"/>
                <w:szCs w:val="16"/>
                <w:color w:val="auto"/>
              </w:rPr>
              <w:t>Interest rate swaps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740" w:type="dxa"/>
            <w:vAlign w:val="bottom"/>
            <w:gridSpan w:val="5"/>
          </w:tcPr>
          <w:p>
            <w:pPr>
              <w:ind w:left="180"/>
              <w:spacing w:after="0"/>
              <w:rPr>
                <w:sz w:val="20"/>
                <w:szCs w:val="20"/>
                <w:color w:val="auto"/>
              </w:rPr>
            </w:pPr>
            <w:r>
              <w:rPr>
                <w:rFonts w:ascii="Arial" w:cs="Arial" w:eastAsia="Arial" w:hAnsi="Arial"/>
                <w:sz w:val="16"/>
                <w:szCs w:val="16"/>
                <w:color w:val="auto"/>
              </w:rPr>
              <w:t>TBA securities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740" w:type="dxa"/>
            <w:vAlign w:val="bottom"/>
            <w:gridSpan w:val="5"/>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1,848</w:t>
            </w:r>
          </w:p>
        </w:tc>
        <w:tc>
          <w:tcPr>
            <w:tcW w:w="440" w:type="dxa"/>
            <w:vAlign w:val="bottom"/>
            <w:gridSpan w:val="3"/>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7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elected the option to account for debt of consolidated VIEs at fair value with changes in fair value reflected in earnings during the period in which they occur, because we believe this election more appropriately reflects our financial position as both the consolidated agency securities and consolidated debt are presented in a consistent manner, at fair value, on our consolidated balance sheets. We estimate the fair value of the consolidated debt based on a market approach using Level 2 inputs from third-party pricing services and dealer quotes.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Note 9. Stockholders' Equity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 Program</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October 2012, our Board of Directors adopted a program that provides for stock repurchases of up to $500 million of our outstanding shares of common stock through December 31, 2013. In September 2013, our Board of Directors increased the authorized amount to $1 billion of our outstanding shares of common stock and extended its authorization through December 31, 2014. In January 2014, our Board of Directors increased the authorized amount by an additional $1 billion of our outstanding shares of common stock through December 31, 2014.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We intend to repurchase shares only when the purchase price is less than our estimate of our current net asset value per share of our common stock.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11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During the three months ended March 31, 2014, we repurchased approximately 3.4 million shares of our common stock at an average repurchase price of $22.10 per share, including expenses, totaling $74 million. As of March 31, 2014, the total remaining amount authorized for repurchases of our common stock was $992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changes to accumulated OCI for the three months ended March 31, 2014 and 2013 (in millions):</w:t>
      </w:r>
    </w:p>
    <w:p>
      <w:pPr>
        <w:spacing w:after="0" w:line="36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Net Unrealized Gain</w:t>
            </w: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Net Unrealized Gain</w:t>
            </w:r>
          </w:p>
        </w:tc>
        <w:tc>
          <w:tcPr>
            <w:tcW w:w="100" w:type="dxa"/>
            <w:vAlign w:val="bottom"/>
          </w:tcPr>
          <w:p>
            <w:pPr>
              <w:spacing w:after="0"/>
              <w:rPr>
                <w:sz w:val="14"/>
                <w:szCs w:val="14"/>
                <w:color w:val="auto"/>
              </w:rPr>
            </w:pPr>
          </w:p>
        </w:tc>
        <w:tc>
          <w:tcPr>
            <w:tcW w:w="130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55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Accumulated Other Comprehensive (Loss) Income</w:t>
            </w:r>
          </w:p>
        </w:tc>
        <w:tc>
          <w:tcPr>
            <w:tcW w:w="100" w:type="dxa"/>
            <w:vAlign w:val="bottom"/>
            <w:vMerge w:val="restart"/>
          </w:tcPr>
          <w:p>
            <w:pPr>
              <w:spacing w:after="0"/>
              <w:rPr>
                <w:sz w:val="12"/>
                <w:szCs w:val="12"/>
                <w:color w:val="auto"/>
              </w:rPr>
            </w:pPr>
          </w:p>
        </w:tc>
        <w:tc>
          <w:tcPr>
            <w:tcW w:w="15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(Loss) on Available-</w:t>
            </w:r>
          </w:p>
        </w:tc>
        <w:tc>
          <w:tcPr>
            <w:tcW w:w="15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rPr>
              <w:t>OCI</w:t>
            </w:r>
          </w:p>
        </w:tc>
        <w:tc>
          <w:tcPr>
            <w:tcW w:w="0" w:type="dxa"/>
            <w:vAlign w:val="bottom"/>
          </w:tcPr>
          <w:p>
            <w:pPr>
              <w:spacing w:after="0"/>
              <w:rPr>
                <w:sz w:val="1"/>
                <w:szCs w:val="1"/>
                <w:color w:val="auto"/>
              </w:rPr>
            </w:pPr>
          </w:p>
        </w:tc>
      </w:tr>
      <w:tr>
        <w:trPr>
          <w:trHeight w:val="192"/>
        </w:trPr>
        <w:tc>
          <w:tcPr>
            <w:tcW w:w="5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4"/>
              </w:rPr>
              <w:t>for-Sale MBS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1"/>
              </w:rPr>
              <w:t>(Loss) on Swaps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December 31, 2013</w:t>
            </w: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37"/>
        </w:trPr>
        <w:tc>
          <w:tcPr>
            <w:tcW w:w="5660" w:type="dxa"/>
            <w:vAlign w:val="bottom"/>
            <w:gridSpan w:val="2"/>
          </w:tcPr>
          <w:p>
            <w:pPr>
              <w:ind w:left="200"/>
              <w:spacing w:after="0"/>
              <w:rPr>
                <w:sz w:val="20"/>
                <w:szCs w:val="20"/>
                <w:color w:val="auto"/>
              </w:rPr>
            </w:pPr>
            <w:r>
              <w:rPr>
                <w:rFonts w:ascii="Arial" w:cs="Arial" w:eastAsia="Arial" w:hAnsi="Arial"/>
                <w:sz w:val="16"/>
                <w:szCs w:val="16"/>
                <w:color w:val="auto"/>
              </w:rPr>
              <w:t>OCI before reclassifications</w:t>
            </w:r>
          </w:p>
        </w:tc>
        <w:tc>
          <w:tcPr>
            <w:tcW w:w="20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84"/>
        </w:trPr>
        <w:tc>
          <w:tcPr>
            <w:tcW w:w="56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 as of March 31, 2014</w:t>
            </w:r>
          </w:p>
        </w:tc>
        <w:tc>
          <w:tcPr>
            <w:tcW w:w="2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(819)</w:t>
            </w:r>
          </w:p>
        </w:tc>
        <w:tc>
          <w:tcPr>
            <w:tcW w:w="0" w:type="dxa"/>
            <w:vAlign w:val="bottom"/>
          </w:tcPr>
          <w:p>
            <w:pPr>
              <w:spacing w:after="0"/>
              <w:rPr>
                <w:sz w:val="1"/>
                <w:szCs w:val="1"/>
                <w:color w:val="auto"/>
              </w:rPr>
            </w:pPr>
          </w:p>
        </w:tc>
      </w:tr>
      <w:tr>
        <w:trPr>
          <w:trHeight w:val="311"/>
        </w:trPr>
        <w:tc>
          <w:tcPr>
            <w:tcW w:w="5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660" w:type="dxa"/>
            <w:vAlign w:val="bottom"/>
            <w:gridSpan w:val="2"/>
          </w:tcPr>
          <w:p>
            <w:pPr>
              <w:ind w:left="40"/>
              <w:spacing w:after="0"/>
              <w:rPr>
                <w:sz w:val="20"/>
                <w:szCs w:val="20"/>
                <w:color w:val="auto"/>
              </w:rPr>
            </w:pPr>
            <w:r>
              <w:rPr>
                <w:rFonts w:ascii="Arial" w:cs="Arial" w:eastAsia="Arial" w:hAnsi="Arial"/>
                <w:sz w:val="16"/>
                <w:szCs w:val="16"/>
                <w:color w:val="auto"/>
              </w:rPr>
              <w:t>Balance as of December 31, 2012</w:t>
            </w:r>
          </w:p>
        </w:tc>
        <w:tc>
          <w:tcPr>
            <w:tcW w:w="20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2,040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1,555</w:t>
            </w:r>
          </w:p>
        </w:tc>
        <w:tc>
          <w:tcPr>
            <w:tcW w:w="0" w:type="dxa"/>
            <w:vAlign w:val="bottom"/>
          </w:tcPr>
          <w:p>
            <w:pPr>
              <w:spacing w:after="0"/>
              <w:rPr>
                <w:sz w:val="1"/>
                <w:szCs w:val="1"/>
                <w:color w:val="auto"/>
              </w:rPr>
            </w:pPr>
          </w:p>
        </w:tc>
      </w:tr>
      <w:tr>
        <w:trPr>
          <w:trHeight w:val="33"/>
        </w:trPr>
        <w:tc>
          <w:tcPr>
            <w:tcW w:w="5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rPr>
              <w:t>OCI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(863)</w:t>
            </w:r>
          </w:p>
        </w:tc>
        <w:tc>
          <w:tcPr>
            <w:tcW w:w="0" w:type="dxa"/>
            <w:vAlign w:val="bottom"/>
          </w:tcPr>
          <w:p>
            <w:pPr>
              <w:spacing w:after="0"/>
              <w:rPr>
                <w:sz w:val="1"/>
                <w:szCs w:val="1"/>
                <w:color w:val="auto"/>
              </w:rPr>
            </w:pPr>
          </w:p>
        </w:tc>
      </w:tr>
      <w:tr>
        <w:trPr>
          <w:trHeight w:val="237"/>
        </w:trPr>
        <w:tc>
          <w:tcPr>
            <w:tcW w:w="5660" w:type="dxa"/>
            <w:vAlign w:val="bottom"/>
            <w:gridSpan w:val="2"/>
          </w:tcPr>
          <w:p>
            <w:pPr>
              <w:ind w:left="200"/>
              <w:spacing w:after="0"/>
              <w:rPr>
                <w:sz w:val="20"/>
                <w:szCs w:val="20"/>
                <w:color w:val="auto"/>
              </w:rPr>
            </w:pPr>
            <w:r>
              <w:rPr>
                <w:rFonts w:ascii="Arial" w:cs="Arial" w:eastAsia="Arial" w:hAnsi="Arial"/>
                <w:sz w:val="16"/>
                <w:szCs w:val="16"/>
                <w:color w:val="auto"/>
              </w:rPr>
              <w:t>Amounts reclassified from accumulated OCI</w:t>
            </w:r>
          </w:p>
        </w:tc>
        <w:tc>
          <w:tcPr>
            <w:tcW w:w="20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33"/>
        </w:trPr>
        <w:tc>
          <w:tcPr>
            <w:tcW w:w="5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March 31, 2013</w:t>
            </w: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767</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reclassifications out of accumulated OCI for the three months ended March 31, 2014 and 2013 (in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3"/>
              </w:rPr>
              <w:t>Line Item in the Consolidated</w:t>
            </w:r>
          </w:p>
        </w:tc>
        <w:tc>
          <w:tcPr>
            <w:tcW w:w="0" w:type="dxa"/>
            <w:vAlign w:val="bottom"/>
          </w:tcPr>
          <w:p>
            <w:pPr>
              <w:spacing w:after="0"/>
              <w:rPr>
                <w:sz w:val="1"/>
                <w:szCs w:val="1"/>
                <w:color w:val="auto"/>
              </w:rPr>
            </w:pPr>
          </w:p>
        </w:tc>
      </w:tr>
      <w:tr>
        <w:trPr>
          <w:trHeight w:val="54"/>
        </w:trPr>
        <w:tc>
          <w:tcPr>
            <w:tcW w:w="4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65"/>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Amounts Reclassified from Accumulated OCI</w:t>
            </w:r>
          </w:p>
        </w:tc>
        <w:tc>
          <w:tcPr>
            <w:tcW w:w="120" w:type="dxa"/>
            <w:vAlign w:val="bottom"/>
            <w:vMerge w:val="restart"/>
          </w:tcPr>
          <w:p>
            <w:pPr>
              <w:spacing w:after="0"/>
              <w:rPr>
                <w:sz w:val="5"/>
                <w:szCs w:val="5"/>
                <w:color w:val="auto"/>
              </w:rPr>
            </w:pPr>
          </w:p>
        </w:tc>
        <w:tc>
          <w:tcPr>
            <w:tcW w:w="98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2013</w:t>
            </w: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Where Net Income is Presented</w:t>
            </w:r>
          </w:p>
        </w:tc>
        <w:tc>
          <w:tcPr>
            <w:tcW w:w="0" w:type="dxa"/>
            <w:vAlign w:val="bottom"/>
          </w:tcPr>
          <w:p>
            <w:pPr>
              <w:spacing w:after="0"/>
              <w:rPr>
                <w:sz w:val="1"/>
                <w:szCs w:val="1"/>
                <w:color w:val="auto"/>
              </w:rPr>
            </w:pPr>
          </w:p>
        </w:tc>
      </w:tr>
      <w:tr>
        <w:trPr>
          <w:trHeight w:val="219"/>
        </w:trPr>
        <w:tc>
          <w:tcPr>
            <w:tcW w:w="50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amounts reclassified from accumulated OCI for available-for-sale</w:t>
            </w: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MBS</w:t>
            </w:r>
          </w:p>
        </w:tc>
        <w:tc>
          <w:tcPr>
            <w:tcW w:w="98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shd w:val="clear" w:color="auto" w:fill="CCEEFF"/>
          </w:tcPr>
          <w:p>
            <w:pPr>
              <w:spacing w:after="0"/>
              <w:rPr>
                <w:sz w:val="19"/>
                <w:szCs w:val="19"/>
                <w:color w:val="auto"/>
              </w:rPr>
            </w:pPr>
          </w:p>
        </w:tc>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Gain (loss) on sale of agency securities, net</w:t>
            </w:r>
          </w:p>
        </w:tc>
        <w:tc>
          <w:tcPr>
            <w:tcW w:w="0" w:type="dxa"/>
            <w:vAlign w:val="bottom"/>
          </w:tcPr>
          <w:p>
            <w:pPr>
              <w:spacing w:after="0"/>
              <w:rPr>
                <w:sz w:val="1"/>
                <w:szCs w:val="1"/>
                <w:color w:val="auto"/>
              </w:rPr>
            </w:pPr>
          </w:p>
        </w:tc>
      </w:tr>
      <w:tr>
        <w:trPr>
          <w:trHeight w:val="220"/>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Periodic interest costs of interest rate swaps previously designated as</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040" w:type="dxa"/>
            <w:vAlign w:val="bottom"/>
            <w:gridSpan w:val="2"/>
          </w:tcPr>
          <w:p>
            <w:pPr>
              <w:ind w:left="40"/>
              <w:spacing w:after="0"/>
              <w:rPr>
                <w:sz w:val="20"/>
                <w:szCs w:val="20"/>
                <w:color w:val="auto"/>
              </w:rPr>
            </w:pPr>
            <w:r>
              <w:rPr>
                <w:rFonts w:ascii="Arial" w:cs="Arial" w:eastAsia="Arial" w:hAnsi="Arial"/>
                <w:sz w:val="16"/>
                <w:szCs w:val="16"/>
                <w:color w:val="auto"/>
              </w:rPr>
              <w:t>hedges under GAAP, net</w:t>
            </w:r>
          </w:p>
        </w:tc>
        <w:tc>
          <w:tcPr>
            <w:tcW w:w="980" w:type="dxa"/>
            <w:vAlign w:val="bottom"/>
          </w:tcPr>
          <w:p>
            <w:pPr>
              <w:spacing w:after="0"/>
              <w:rPr>
                <w:sz w:val="17"/>
                <w:szCs w:val="17"/>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34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0" w:type="dxa"/>
            <w:vAlign w:val="bottom"/>
          </w:tcPr>
          <w:p>
            <w:pPr>
              <w:spacing w:after="0"/>
              <w:rPr>
                <w:sz w:val="1"/>
                <w:szCs w:val="1"/>
                <w:color w:val="auto"/>
              </w:rPr>
            </w:pPr>
          </w:p>
        </w:tc>
      </w:tr>
      <w:tr>
        <w:trPr>
          <w:trHeight w:val="33"/>
        </w:trPr>
        <w:tc>
          <w:tcPr>
            <w:tcW w:w="4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4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reclassifications</w:t>
            </w:r>
          </w:p>
        </w:tc>
        <w:tc>
          <w:tcPr>
            <w:tcW w:w="980" w:type="dxa"/>
            <w:vAlign w:val="bottom"/>
            <w:tcBorders>
              <w:bottom w:val="single" w:sz="8" w:color="auto"/>
            </w:tcBorders>
            <w:shd w:val="clear" w:color="auto" w:fill="CCEEFF"/>
          </w:tcPr>
          <w:p>
            <w:pPr>
              <w:jc w:val="right"/>
              <w:ind w:right="783"/>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802"/>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auto"/>
            </w:tcBorders>
            <w:shd w:val="clear" w:color="auto" w:fill="CCEEFF"/>
          </w:tcPr>
          <w:p>
            <w:pPr>
              <w:spacing w:after="0"/>
              <w:rPr>
                <w:sz w:val="22"/>
                <w:szCs w:val="22"/>
                <w:color w:val="auto"/>
              </w:rPr>
            </w:pPr>
          </w:p>
        </w:tc>
        <w:tc>
          <w:tcPr>
            <w:tcW w:w="3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10. Subsequent Event</w:t>
      </w:r>
    </w:p>
    <w:p>
      <w:pPr>
        <w:spacing w:after="0" w:line="189" w:lineRule="exact"/>
        <w:rPr>
          <w:sz w:val="20"/>
          <w:szCs w:val="20"/>
          <w:color w:val="auto"/>
        </w:rPr>
      </w:pPr>
    </w:p>
    <w:p>
      <w:pPr>
        <w:jc w:val="both"/>
        <w:ind w:firstLine="432"/>
        <w:spacing w:after="0" w:line="287" w:lineRule="auto"/>
        <w:rPr>
          <w:sz w:val="20"/>
          <w:szCs w:val="20"/>
          <w:color w:val="auto"/>
        </w:rPr>
      </w:pPr>
      <w:r>
        <w:rPr>
          <w:rFonts w:ascii="Arial" w:cs="Arial" w:eastAsia="Arial" w:hAnsi="Arial"/>
          <w:sz w:val="16"/>
          <w:szCs w:val="16"/>
          <w:color w:val="auto"/>
        </w:rPr>
        <w:t>On May 8, 2014, we completed a public offering in which 7.0 million depository shares with a liquidation preference of $25.00 per depositary share were sold to the underwriters at a price of $24.2125 per depository share, for proceeds, net of offering expenses, of approximately $169 million. Each depositary share represents a 1/1,000th interest in a share of our 7.750% Series B Cumulative Redeemable Preferred Stock ("Series B Preferred Stock"). In connection with the offering, we granted the underwriters an option for 30 days to purchase up to an additional 1.05 million depositary shares to cover overallotments, if any. Our Series B Preferred Stock has no stated maturity, is not subject to any sinking fund or mandatory redemption and ranks on parity with our 8.000% Series A Cumulative Redeemable Preferred Stock. Under certain circumstances upon a change of control, our Series B Preferred Stock is convertible to shares of our common stock. Holders of depositary shares have no voting rights, except under limited conditions, and are entitled to receive cumulative cash dividends at a rate of 7.750% per annum of the $25.00 per depository share liquidation preference before holders of our common stock are entitled to receive any dividends. Dividends are payable quarterly in arrears on the 15th day of each January, April, July and October. Depositary shares are redeemable at $25.00 per depository share plus accumulated and unpaid dividends (whether or not declared) exclusively at our option commencing on May 8, 2019, or earlier under certain circumstances intended to preserve our qualification as a REIT for federal income tax purposes.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4"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Management's Discussion and Analysis of Financial Condition and Results of Operations ("MD&amp;A") is designed to provide a reader of American Capital Agency Corp.'s consolidated financial statements with a narrative from the perspective of management. Our MD&amp;A is presented in five sections:</w:t>
      </w:r>
    </w:p>
    <w:p>
      <w:pPr>
        <w:spacing w:after="0" w:line="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Executive Overview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Condition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American Capital Agency Corp. ("AGNC", the "Company", "we", "us" and "our") was organized on January 7, 2008 and commenced operations on May 20, 2008 following the completion of our initial public offering. Our common stock is traded on The NASDAQ Global Select Market under the symbol "AGNC." We are externally managed by American Capital AGNC Management, LLC (our "Manager"), an affiliate of American Capital, Ltd. ("American Capital").</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operate so as to qualify to be taxed as a real estate investment trust ("REIT") under the Internal Revenue Code of 1986, as amended (the "Internal Revenue Code"). As such, we are required to distribute annually 90% of our taxable net income. As long as we qualify as a REIT, we will generally not be subject to U.S. federal or state corporate taxes on our taxable net income to the extent that we distribute all of our annual taxable net income to our stockholders. It is our intention to distribute 100% of our taxable net income, after application of available tax attributes, within the limits prescribed by the Internal Revenue Code, which may extend into the subsequent taxable year.</w:t>
      </w:r>
    </w:p>
    <w:p>
      <w:pPr>
        <w:spacing w:after="0" w:line="13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earn income primarily from investing on a leveraged basis in agency mortgage-backed securities ("agency MBS"). These investments consist of residential mortgage pass-through securities and collateralized mortgage obligations ("CMOs") for which the principal and interest payments are guaranteed by a government-sponsored enterprise, such as the Federal National Mortgage Association ("Fannie Mae") and the Federal Home Loan Mortgage Corporation ("Freddie Mac"), or by a U.S. Government agency, such as the Government National Mortgage Association ("Ginnie Mae") (collectively referred to as "GSEs"). We may also invest in agency debenture securities issued by Freddie Mac, Fannie Mae or the Federal Home Loan Bank and in other assets reasonably related to agency securities.</w:t>
      </w:r>
    </w:p>
    <w:p>
      <w:pPr>
        <w:spacing w:after="0" w:line="1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principal objective is to preserve our net book value (also referred to as "net asset value", "NAV" and "stockholders' equity") while generating attractive risk-adjusted returns for distribution to our stockholders through regular quarterly dividends from the combination of our net interest income and net realized gains and losses on our investments and hedging activities. We fund our investments primarily through borrowings structured as repurchase agreements.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Our Investment Strategy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investment strategy is designed to:</w:t>
      </w:r>
    </w:p>
    <w:p>
      <w:pPr>
        <w:spacing w:after="0" w:line="185" w:lineRule="exact"/>
        <w:rPr>
          <w:sz w:val="20"/>
          <w:szCs w:val="20"/>
          <w:color w:val="auto"/>
        </w:rPr>
      </w:pPr>
    </w:p>
    <w:p>
      <w:pPr>
        <w:ind w:left="760" w:hanging="347"/>
        <w:spacing w:after="0" w:line="277"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an investment portfolio consisting primarily of agency securities and assets reasonably related to agency securities that seeks to generate attractive risk-adjusted returns;</w:t>
      </w:r>
    </w:p>
    <w:p>
      <w:pPr>
        <w:spacing w:after="0" w:line="75"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capitalize on discrepancies in the relative valuations in the agency securities market;</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 financing, interest rate, prepayment and extension risks;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preserve our net book value;</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regular quarterly distributions to our stockholders;</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qualify as a REIT; and</w:t>
      </w:r>
    </w:p>
    <w:p>
      <w:pPr>
        <w:spacing w:after="0" w:line="130" w:lineRule="exact"/>
        <w:rPr>
          <w:rFonts w:ascii="Arial" w:cs="Arial" w:eastAsia="Arial" w:hAnsi="Arial"/>
          <w:sz w:val="18"/>
          <w:szCs w:val="18"/>
          <w:color w:val="auto"/>
        </w:rPr>
      </w:pPr>
    </w:p>
    <w:p>
      <w:pPr>
        <w:ind w:left="760" w:hanging="347"/>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remain exempt from the requirements of the Investment Company Act of 1940, as amended (the "Investment Company Act").</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size and composition of our investment portfolio depends on investment strategies implemented by our Manager, the availability of investment capital and overall market conditions, including the availability of attractively priced investments and suitable financing to appropriately leverage our investment portfolio. Market conditions are influenced by, among other things, current levels of and expectations for future levels of interest rates, mortgage prepayments, market liquidity, housing prices, unemployment rates, general economic conditions, government participation in the mortgage market, evolving regulations or legal settlements that impact servicing practices or other mortgage related activities.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Risk Management Strategy</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use a variety of strategies to hedge a portion of our exposure to market risks, including interest rate, prepayment and extension risks, to the extent that our Manager believes is prudent, taking into account our investment strategy, the cost of the hedging transactions and our intention to qualify as a REIT. As a result, we may not hedge certain interest rate, prepayment or extension risks if our Manager believes that bearing such risks enhances our return relative to our risk/return profile, or the hedging transaction would negatively impact our REIT status.</w:t>
      </w:r>
    </w:p>
    <w:p>
      <w:pPr>
        <w:spacing w:after="0" w:line="349" w:lineRule="exact"/>
        <w:rPr>
          <w:sz w:val="20"/>
          <w:szCs w:val="20"/>
          <w:color w:val="auto"/>
        </w:rPr>
      </w:pPr>
    </w:p>
    <w:p>
      <w:pPr>
        <w:jc w:val="both"/>
        <w:ind w:left="660" w:hanging="328"/>
        <w:spacing w:after="0" w:line="272"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Interest Rate Risk. </w:t>
      </w:r>
      <w:r>
        <w:rPr>
          <w:rFonts w:ascii="Arial" w:cs="Arial" w:eastAsia="Arial" w:hAnsi="Arial"/>
          <w:sz w:val="17"/>
          <w:szCs w:val="17"/>
          <w:color w:val="auto"/>
        </w:rPr>
        <w:t>We hedge a portion of our exposure to potential interest rate mismatches between the interest we earn on our longer term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investments and the interest we pay on our shorter term borrowings. Because a majority of our funding is in the form of repurchase agreements, our financing costs fluctuate based on short-term interest rate indices, such as LIBOR. Because our investments are assets that primarily have fixed rates of interest and could mature in up to 40 years, the interest we earn on those assets generally does not move in tandem with the interest that we pay on our repurchase agreements; therefore, we may experience reduced income or losses due to adverse rate movements. In order to attempt to mitigate a portion of such risk, we utilize certain hedging techniques to attempt to lock in a portion of the net interest spread between the interest we earn on our assets and the interest we pay on our financing costs.</w:t>
      </w:r>
    </w:p>
    <w:p>
      <w:pPr>
        <w:spacing w:after="0" w:line="177" w:lineRule="exact"/>
        <w:rPr>
          <w:rFonts w:ascii="Arial" w:cs="Arial" w:eastAsia="Arial" w:hAnsi="Arial"/>
          <w:sz w:val="17"/>
          <w:szCs w:val="17"/>
          <w:color w:val="auto"/>
        </w:rPr>
      </w:pPr>
    </w:p>
    <w:p>
      <w:pPr>
        <w:jc w:val="both"/>
        <w:ind w:left="660"/>
        <w:spacing w:after="0" w:line="254" w:lineRule="auto"/>
        <w:rPr>
          <w:rFonts w:ascii="Arial" w:cs="Arial" w:eastAsia="Arial" w:hAnsi="Arial"/>
          <w:sz w:val="17"/>
          <w:szCs w:val="17"/>
          <w:color w:val="auto"/>
        </w:rPr>
      </w:pPr>
      <w:r>
        <w:rPr>
          <w:rFonts w:ascii="Arial" w:cs="Arial" w:eastAsia="Arial" w:hAnsi="Arial"/>
          <w:sz w:val="18"/>
          <w:szCs w:val="18"/>
          <w:color w:val="auto"/>
        </w:rPr>
        <w:t>Additionally, because prepayments on residential mortgages generally accelerate when interest rates decrease and slow when interest rates increase, mortgage securities typically have "negative convexity." In other words, certain mortgage securities in which we invest may increase in price more slowly than similar duration bonds, or even fall in value, as interest rates decline. Conversely, certain mortgage securities in which we invest may decrease in value more quickly than similar duration bonds as interest rates increase. In order to manage this risk, we monitor, among other things, the "duration gap" between our mortgage assets and our hedge portfolio as well as our convexity exposure. Duration is the estimated percentage change in market value of our mortgage assets or our hedge portfolio that would be caused by a parallel change in short and long-term interest rates. Convexity exposure relates to the way the duration of our mortgage assets or our hedge portfolio changes when the interest rate or prepayment environment changes.</w:t>
      </w:r>
    </w:p>
    <w:p>
      <w:pPr>
        <w:spacing w:after="0" w:line="192" w:lineRule="exact"/>
        <w:rPr>
          <w:rFonts w:ascii="Arial" w:cs="Arial" w:eastAsia="Arial" w:hAnsi="Arial"/>
          <w:sz w:val="17"/>
          <w:szCs w:val="17"/>
          <w:color w:val="auto"/>
        </w:rPr>
      </w:pPr>
    </w:p>
    <w:p>
      <w:pPr>
        <w:jc w:val="both"/>
        <w:ind w:left="660"/>
        <w:spacing w:after="0" w:line="264" w:lineRule="auto"/>
        <w:rPr>
          <w:rFonts w:ascii="Arial" w:cs="Arial" w:eastAsia="Arial" w:hAnsi="Arial"/>
          <w:sz w:val="17"/>
          <w:szCs w:val="17"/>
          <w:color w:val="auto"/>
        </w:rPr>
      </w:pPr>
      <w:r>
        <w:rPr>
          <w:rFonts w:ascii="Arial" w:cs="Arial" w:eastAsia="Arial" w:hAnsi="Arial"/>
          <w:sz w:val="18"/>
          <w:szCs w:val="18"/>
          <w:color w:val="auto"/>
        </w:rPr>
        <w:t>The value of our mortgage assets may also be adversely impacted by fluctuations in the shape of the yield curve or by changes in the market's expectation about the volatility of future interest rates. We analyze our exposure to non-parallel changes in interest rates and to changes in the market's expectation of future interest rate volatility and take actions to attempt to mitigate these risks.</w:t>
      </w:r>
    </w:p>
    <w:p>
      <w:pPr>
        <w:spacing w:after="0" w:line="181"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Prepayment Risk. </w:t>
      </w:r>
      <w:r>
        <w:rPr>
          <w:rFonts w:ascii="Arial" w:cs="Arial" w:eastAsia="Arial" w:hAnsi="Arial"/>
          <w:sz w:val="17"/>
          <w:szCs w:val="17"/>
          <w:color w:val="auto"/>
        </w:rPr>
        <w:t>Because residential borrowers have the option to prepay their mortgage loans at par at any time, we face the risk that we will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a return of principal on our investments faster than anticipated. Prepayment risk generally increases when interest rates decline. In this scenario, our financial results may be adversely affected as we may have to invest that principal at potentially lower yields.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2" w:right="239" w:bottom="1440" w:gutter="0" w:footer="0" w:header="0"/>
        </w:sectPr>
      </w:pPr>
    </w:p>
    <w:bookmarkStart w:id="26" w:name="page27"/>
    <w:bookmarkEnd w:id="26"/>
    <w:p>
      <w:pPr>
        <w:jc w:val="both"/>
        <w:ind w:left="660" w:hanging="328"/>
        <w:spacing w:after="0" w:line="259" w:lineRule="auto"/>
        <w:tabs>
          <w:tab w:leader="none" w:pos="6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Extension Risk. </w:t>
      </w:r>
      <w:r>
        <w:rPr>
          <w:rFonts w:ascii="Arial" w:cs="Arial" w:eastAsia="Arial" w:hAnsi="Arial"/>
          <w:sz w:val="18"/>
          <w:szCs w:val="18"/>
          <w:color w:val="auto"/>
        </w:rPr>
        <w:t>Because residential borrowers have the option to make only scheduled payments on their mortgage loans, rather than prepay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loans, we face the risk that a return of capital on our investment will occur slower than anticipated. Extension risk generally increases when interest rates rise. In this scenario, our financial results may be adversely affected as we may have to finance our investments at potentially higher costs without the ability to reinvest principal into higher yielding securities.</w:t>
      </w:r>
    </w:p>
    <w:p>
      <w:pPr>
        <w:spacing w:after="0" w:line="34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principal instruments that we use to hedge a portion of our exposure to interest rate, prepayment and extension risks are interest rate swaps and options to enter into interest rate swaps ("interest rate swaptions"). We also utilize forward contracts for the purchase or sale of agency MBS securities on a generic pool basis, or a TBA contract, and on a non-generic, specified pool basis, and we utilize U.S. Treasury securities and U.S. Treasury futures contracts, primarily through short sales. We may also purchase or write put or call options on TBA securities and we may invest in other types of mortgage derivatives, such as interest and principal-only securities.</w:t>
      </w:r>
    </w:p>
    <w:p>
      <w:pPr>
        <w:spacing w:after="0" w:line="134"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Our hedging instruments are generally not designed to protect our net book value from "spread risk" (also referred to as "basis risk"), which is the risk of an increase of the market spread between the yield on our agency securities and the benchmark yield on U.S. Treasury securities or interest rate swap rates. The inherent spread risk associated with our agency securities and the resulting fluctuations in fair value of these securities can occur independent of interest rates and may relate to other factors impacting the mortgage and fixed income markets, such as actual or anticipated monetary policy actions by the Federal Reserve ("Fed"), liquidity, or changes in required rates of return on different assets. Consequently, while we use interest rate swaps and other supplemental hedges to attempt to protect our net book value against moves in interest rates, such instruments typically will not protect our net book value against spread risk and, therefore, the value of our agency securities and our net book value could decline.</w:t>
      </w:r>
    </w:p>
    <w:p>
      <w:pPr>
        <w:spacing w:after="0" w:line="124"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risk management actions we take may lower our earnings and dividends in the short term to further our objective of maintaining attractive levels of earnings and dividends over the long term. In addition, some of our hedges are intended to provide protection against larger rate moves and as a result may be relatively ineffective for smaller changes in interest rates. There can be no certainty that our Manager's projections of our exposures to interest rates, prepayments, extension or other risks will be accurate or that our hedging activities will be effective and, therefore, actual results could differ materially.</w:t>
      </w:r>
    </w:p>
    <w:p>
      <w:pPr>
        <w:spacing w:after="0" w:line="100"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Income from hedging transactions that we enter into to manage risk may not constitute qualifying gross income under one or both of the gross income tests applicable to REITs. Therefore, we may have to limit our use of certain advantageous hedging techniques, which could expose us to greater risks than we would otherwise want to bear, or implement those hedges through a taxable REIT subsidiary ("TRS"). Implementing our hedges through a TRS could increase the cost of our hedging activities because a TRS is subject to tax on income and gains.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and Recent Market Impacts</w:t>
      </w:r>
    </w:p>
    <w:p>
      <w:pPr>
        <w:spacing w:after="0" w:line="17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first quarter of 2014 saw some stability return to the fixed income markets. After being one of the hardest hit sectors in 2013, fixed rate agency MBS prices were generally higher over the first quarter largely due to lower long term rates and lower levels of implied volatility (lower option prices). The yield curve flattened during the quarter as the market began to anticipate a shift in Fed monetary policy toward a moderate pace of tightening potentially beginning mid-2015. During the quarter, the Fed continued to taper its asset purchase program at a pace of $10 billion per meeting, spread equally between agency MBS and U.S. Treasury instruments. A continued decline in new mortgage origination volumes more than offset the reduced Fed purchases and generally supported mortgage performance despite significant selling on the part of fixed-income money managers.</w:t>
      </w:r>
    </w:p>
    <w:p>
      <w:pPr>
        <w:spacing w:after="0" w:line="11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favorable landscape for agency MBS led to our economic return for the quarter of 5.1%, or 20.5% on an annualized basis, comprised of a $0.56 increase in our net book value per common share and a $0.65 dividend per common share. A sizable portion of this positive performance related to how we positioned the portfolio toward the end of 2013. These actions included maintaining just over 50% of our portfolio in 15 year fixed rate agency MBS, operating with a larger than normal "duration gap" (the estimated difference between the interest rate sensitivity of our assets and our liabilities and hedges), concentrating our hedges in the three to seven year part of the yield curve, and reducing the size of our swaption portfolio both prior to and during the first quarter.</w:t>
      </w:r>
    </w:p>
    <w:p>
      <w:pPr>
        <w:spacing w:after="0" w:line="13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 xml:space="preserve">Our decision to operate with a slightly larger duration gap during the first quarter was consistent with the higher share of 15 year MBS in our asset composition, our moderate leverage profile, and the minimal extension risk in our portfolio and in agency MBS more broadly. Our exposure to an increase in interest rates is the combination of our current duration plus the duration extension that occurs as interest rates increase. As such, when extension risk is very significant, we will tend to operate with a smaller duration gap and when extension risk is very low we will tend to operate with a larger duration gap. See also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for a discussion of our exposure to interest rate sensitivity as of March 31, 2014.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432"/>
        <w:spacing w:after="0" w:line="259" w:lineRule="auto"/>
        <w:rPr>
          <w:sz w:val="20"/>
          <w:szCs w:val="20"/>
          <w:color w:val="auto"/>
        </w:rPr>
      </w:pPr>
      <w:r>
        <w:rPr>
          <w:rFonts w:ascii="Arial" w:cs="Arial" w:eastAsia="Arial" w:hAnsi="Arial"/>
          <w:sz w:val="18"/>
          <w:szCs w:val="18"/>
          <w:color w:val="auto"/>
        </w:rPr>
        <w:t>Given very favorable implied financing terms available in the agency MBS to-be-announced market (or "TBA" market) during the first quarter, we held a greater share of our assets in the form of forward commitments to purchase agency MBS, or TBAs, rather than settling specific mortgage pools and funding them with repurchase agreements. Our TBA dollar roll position increased to approximately $14 billion at quarter end due to a combination of very favorable financing and a reduction in the benefits of holding specified collateral.</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 xml:space="preserve">An additional benefit to gaining exposure to agency MBS in TBA form and continuing to roll the purchases forward to later settlement dates is that dollar roll income associated with these positions is tax efficient given our large capital loss carryforward from 2013. Each dollar roll transaction is recognized as a realized event and dollar roll income/loss is treated as capital gains/losses for tax purposes, rather than as ordinary income as would be the case if the position was held in pool form and funded with repurchase agreement financing. Dollar roll income, therefore, nets against our accumulated tax capital loss carryforward for taxable earnings purposes. If we continue to utilize our capital loss carryforward by generating net capital gains through dollar roll transactions, the tax characterization of a portion of our dividend may change from "ordinary" to "return of capital." Dividends characterized as "return of capital" may reduce a shareholder's cost basis in their stock position and thus impact the capital gain or loss they may recognize upon sale of the stock. If this occurs, it may be beneficial to shareholders in that dividends recorded as "return of capital" may represent a deferred tax liability and are typically taxed at the lower capital gains tax rate rather than being taxed in the current year at the ordinary income tax rate. As of March 31, 2014, we had $1.7 billion (or $4.77 per common share) of remaining capital loss carryforwards available to be applied against future capital gains (see also </w:t>
      </w:r>
      <w:r>
        <w:rPr>
          <w:rFonts w:ascii="Arial" w:cs="Arial" w:eastAsia="Arial" w:hAnsi="Arial"/>
          <w:sz w:val="16"/>
          <w:szCs w:val="16"/>
          <w:i w:val="1"/>
          <w:iCs w:val="1"/>
          <w:color w:val="auto"/>
        </w:rPr>
        <w:t>"Dividends and Income Taxes"</w:t>
      </w:r>
      <w:r>
        <w:rPr>
          <w:rFonts w:ascii="Arial" w:cs="Arial" w:eastAsia="Arial" w:hAnsi="Arial"/>
          <w:sz w:val="16"/>
          <w:szCs w:val="16"/>
          <w:color w:val="auto"/>
        </w:rPr>
        <w:t xml:space="preserve"> in our </w:t>
      </w:r>
      <w:r>
        <w:rPr>
          <w:rFonts w:ascii="Arial" w:cs="Arial" w:eastAsia="Arial" w:hAnsi="Arial"/>
          <w:sz w:val="16"/>
          <w:szCs w:val="16"/>
          <w:i w:val="1"/>
          <w:iCs w:val="1"/>
          <w:color w:val="auto"/>
        </w:rPr>
        <w:t>"Results of Operations"</w:t>
      </w:r>
      <w:r>
        <w:rPr>
          <w:rFonts w:ascii="Arial" w:cs="Arial" w:eastAsia="Arial" w:hAnsi="Arial"/>
          <w:sz w:val="16"/>
          <w:szCs w:val="16"/>
          <w:color w:val="auto"/>
        </w:rPr>
        <w:t>). The final tax characterization of our dividends will be determined on an annual basis and reported to shareholders on Form 1090-DIV after the end of the calendar year. The tax consequences of an investment in our common stock will depend upon each shareholder's particular circumstances and shareholders are advised to consult with their tax advisors concerning the tax consequences of an investment in our common stock.</w:t>
      </w:r>
    </w:p>
    <w:p>
      <w:pPr>
        <w:spacing w:after="0" w:line="121"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The table below summarizes interest rates and prices of generic fixed rate agency mortgage-backed securities as of each date presented below:</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Mar. 31, 2014</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1140"/>
              <w:spacing w:after="0"/>
              <w:rPr>
                <w:sz w:val="20"/>
                <w:szCs w:val="20"/>
                <w:color w:val="auto"/>
              </w:rPr>
            </w:pPr>
            <w:r>
              <w:rPr>
                <w:rFonts w:ascii="Arial" w:cs="Arial" w:eastAsia="Arial" w:hAnsi="Arial"/>
                <w:sz w:val="14"/>
                <w:szCs w:val="14"/>
                <w:b w:val="1"/>
                <w:bCs w:val="1"/>
                <w:color w:val="auto"/>
              </w:rPr>
              <w:t xml:space="preserve">Interest Rate/Security Price </w:t>
            </w:r>
            <w:r>
              <w:rPr>
                <w:rFonts w:ascii="Arial" w:cs="Arial" w:eastAsia="Arial" w:hAnsi="Arial"/>
                <w:sz w:val="11"/>
                <w:szCs w:val="11"/>
                <w:b w:val="1"/>
                <w:bCs w:val="1"/>
                <w:color w:val="auto"/>
              </w:rPr>
              <w:t>1</w:t>
            </w:r>
          </w:p>
        </w:tc>
        <w:tc>
          <w:tcPr>
            <w:tcW w:w="120" w:type="dxa"/>
            <w:vAlign w:val="bottom"/>
            <w:vMerge w:val="restart"/>
          </w:tcPr>
          <w:p>
            <w:pPr>
              <w:spacing w:after="0"/>
              <w:rPr>
                <w:sz w:val="12"/>
                <w:szCs w:val="12"/>
                <w:color w:val="auto"/>
              </w:rPr>
            </w:pPr>
          </w:p>
        </w:tc>
        <w:tc>
          <w:tcPr>
            <w:tcW w:w="88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 31,</w:t>
            </w:r>
          </w:p>
        </w:tc>
        <w:tc>
          <w:tcPr>
            <w:tcW w:w="86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 31,</w:t>
            </w:r>
          </w:p>
        </w:tc>
        <w:tc>
          <w:tcPr>
            <w:tcW w:w="880" w:type="dxa"/>
            <w:vAlign w:val="bottom"/>
            <w:gridSpan w:val="2"/>
          </w:tcPr>
          <w:p>
            <w:pPr>
              <w:ind w:left="180"/>
              <w:spacing w:after="0"/>
              <w:rPr>
                <w:sz w:val="20"/>
                <w:szCs w:val="20"/>
                <w:color w:val="auto"/>
              </w:rPr>
            </w:pPr>
            <w:r>
              <w:rPr>
                <w:rFonts w:ascii="Arial" w:cs="Arial" w:eastAsia="Arial" w:hAnsi="Arial"/>
                <w:sz w:val="13"/>
                <w:szCs w:val="13"/>
                <w:b w:val="1"/>
                <w:bCs w:val="1"/>
                <w:color w:val="auto"/>
              </w:rPr>
              <w:t>Sept 30,</w:t>
            </w: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w:t>
            </w:r>
          </w:p>
        </w:tc>
        <w:tc>
          <w:tcPr>
            <w:tcW w:w="88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 31,</w:t>
            </w:r>
          </w:p>
        </w:tc>
        <w:tc>
          <w:tcPr>
            <w:tcW w:w="500" w:type="dxa"/>
            <w:vAlign w:val="bottom"/>
          </w:tcPr>
          <w:p>
            <w:pPr>
              <w:spacing w:after="0"/>
              <w:rPr>
                <w:sz w:val="12"/>
                <w:szCs w:val="12"/>
                <w:color w:val="auto"/>
              </w:rPr>
            </w:pPr>
          </w:p>
        </w:tc>
        <w:tc>
          <w:tcPr>
            <w:tcW w:w="640" w:type="dxa"/>
            <w:vAlign w:val="bottom"/>
          </w:tcPr>
          <w:p>
            <w:pPr>
              <w:jc w:val="center"/>
              <w:ind w:right="411"/>
              <w:spacing w:after="0"/>
              <w:rPr>
                <w:sz w:val="20"/>
                <w:szCs w:val="20"/>
                <w:color w:val="auto"/>
              </w:rPr>
            </w:pPr>
            <w:r>
              <w:rPr>
                <w:rFonts w:ascii="Arial" w:cs="Arial" w:eastAsia="Arial" w:hAnsi="Arial"/>
                <w:sz w:val="13"/>
                <w:szCs w:val="13"/>
                <w:b w:val="1"/>
                <w:bCs w:val="1"/>
                <w:color w:val="auto"/>
                <w:w w:val="88"/>
              </w:rPr>
              <w:t>vs.</w:t>
            </w:r>
          </w:p>
        </w:tc>
        <w:tc>
          <w:tcPr>
            <w:tcW w:w="0" w:type="dxa"/>
            <w:vAlign w:val="bottom"/>
          </w:tcPr>
          <w:p>
            <w:pPr>
              <w:spacing w:after="0"/>
              <w:rPr>
                <w:sz w:val="1"/>
                <w:szCs w:val="1"/>
                <w:color w:val="auto"/>
              </w:rPr>
            </w:pPr>
          </w:p>
        </w:tc>
      </w:tr>
      <w:tr>
        <w:trPr>
          <w:trHeight w:val="178"/>
        </w:trPr>
        <w:tc>
          <w:tcPr>
            <w:tcW w:w="40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2014</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2013</w:t>
            </w:r>
          </w:p>
        </w:tc>
        <w:tc>
          <w:tcPr>
            <w:tcW w:w="100" w:type="dxa"/>
            <w:vAlign w:val="bottom"/>
          </w:tcPr>
          <w:p>
            <w:pPr>
              <w:spacing w:after="0"/>
              <w:rPr>
                <w:sz w:val="15"/>
                <w:szCs w:val="15"/>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Dec. 31, 2013</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LIBOR:</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1-Month</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0.19%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3-Month</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0.23%</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0.25%</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0.27%</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0.28%</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--0.02</w:t>
            </w:r>
          </w:p>
        </w:tc>
        <w:tc>
          <w:tcPr>
            <w:tcW w:w="64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6-Month</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0.44%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U.S. Treasury Security Rate:</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0.36%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3-Year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0.90%</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0.78%</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0.63%</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0.66%</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0.36%</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+0.12</w:t>
            </w:r>
          </w:p>
        </w:tc>
        <w:tc>
          <w:tcPr>
            <w:tcW w:w="64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1.39%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0.77%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--0.02</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10-Year U.S. Treasury</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2.72%</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3.03%</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2.61%</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2.49%</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1.85%</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--0.31</w:t>
            </w:r>
          </w:p>
        </w:tc>
        <w:tc>
          <w:tcPr>
            <w:tcW w:w="64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3.10%</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--0.40</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 Rate Swap Rate:</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0.46%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0.51%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0.42%</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+0.06</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3-Year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0.99%</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0.88%</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0.76%</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0.82%</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0.54%</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+0.11</w:t>
            </w:r>
          </w:p>
        </w:tc>
        <w:tc>
          <w:tcPr>
            <w:tcW w:w="64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5-Year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1.80%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1.79%</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1.57%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0.95%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200"/>
              <w:spacing w:after="0"/>
              <w:rPr>
                <w:sz w:val="20"/>
                <w:szCs w:val="20"/>
                <w:color w:val="auto"/>
              </w:rPr>
            </w:pPr>
            <w:r>
              <w:rPr>
                <w:rFonts w:ascii="Arial" w:cs="Arial" w:eastAsia="Arial" w:hAnsi="Arial"/>
                <w:sz w:val="14"/>
                <w:szCs w:val="14"/>
                <w:color w:val="auto"/>
              </w:rPr>
              <w:t>10-Year Swap</w:t>
            </w: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2.84%</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3.09%</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2.77%</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2.70%</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5"/>
              </w:rPr>
              <w:t>2.01%</w:t>
            </w:r>
          </w:p>
        </w:tc>
        <w:tc>
          <w:tcPr>
            <w:tcW w:w="10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--0.25</w:t>
            </w:r>
          </w:p>
        </w:tc>
        <w:tc>
          <w:tcPr>
            <w:tcW w:w="640" w:type="dxa"/>
            <w:vAlign w:val="bottom"/>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76"/>
        </w:trPr>
        <w:tc>
          <w:tcPr>
            <w:tcW w:w="41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30-Year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3.54%</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3.93%</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3.66%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3.45%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2.99%</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--0.39</w:t>
            </w:r>
          </w:p>
        </w:tc>
        <w:tc>
          <w:tcPr>
            <w:tcW w:w="64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bps</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30-Year Fixed Rate MBS Price:</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$96.53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$95.11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$97.70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$97.72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$103.11</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+$1.42</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$100.59</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8"/>
              </w:rPr>
              <w:t>$99.48</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$101.83</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$101.50</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$105.58</w:t>
            </w:r>
          </w:p>
        </w:tc>
        <w:tc>
          <w:tcPr>
            <w:tcW w:w="10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2"/>
              </w:rPr>
              <w:t>+$1.11</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$103.94</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$103.11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$104.86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$104.16</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$106.61</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+$0.83</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$106.69</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$106.06</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$106.80</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$105.82</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$107.73</w:t>
            </w:r>
          </w:p>
        </w:tc>
        <w:tc>
          <w:tcPr>
            <w:tcW w:w="10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2"/>
              </w:rPr>
              <w:t>+$0.63</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$109.05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$108.80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$108.45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$107.65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$108.34</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+$0.25</w:t>
            </w:r>
          </w:p>
        </w:tc>
        <w:tc>
          <w:tcPr>
            <w:tcW w:w="0" w:type="dxa"/>
            <w:vAlign w:val="bottom"/>
          </w:tcPr>
          <w:p>
            <w:pPr>
              <w:spacing w:after="0"/>
              <w:rPr>
                <w:sz w:val="1"/>
                <w:szCs w:val="1"/>
                <w:color w:val="auto"/>
              </w:rPr>
            </w:pPr>
          </w:p>
        </w:tc>
      </w:tr>
      <w:tr>
        <w:trPr>
          <w:trHeight w:val="264"/>
        </w:trPr>
        <w:tc>
          <w:tcPr>
            <w:tcW w:w="4120" w:type="dxa"/>
            <w:vAlign w:val="bottom"/>
            <w:gridSpan w:val="2"/>
          </w:tcPr>
          <w:p>
            <w:pPr>
              <w:ind w:left="40"/>
              <w:spacing w:after="0"/>
              <w:rPr>
                <w:sz w:val="20"/>
                <w:szCs w:val="20"/>
                <w:color w:val="auto"/>
              </w:rPr>
            </w:pPr>
            <w:r>
              <w:rPr>
                <w:rFonts w:ascii="Arial" w:cs="Arial" w:eastAsia="Arial" w:hAnsi="Arial"/>
                <w:sz w:val="14"/>
                <w:szCs w:val="14"/>
                <w:b w:val="1"/>
                <w:bCs w:val="1"/>
                <w:color w:val="auto"/>
              </w:rPr>
              <w:t>15-Year Fixed Rate MBS Price:</w:t>
            </w: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$99.92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$99.00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$100.61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$100.45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$103.75</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+$0.92</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$102.72</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$102.05</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$103.53</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$102.82</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$105.17</w:t>
            </w:r>
          </w:p>
        </w:tc>
        <w:tc>
          <w:tcPr>
            <w:tcW w:w="10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2"/>
              </w:rPr>
              <w:t>+$0.67</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$104.83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$104.58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$105.58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$104.20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$106.03</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2"/>
              </w:rPr>
              <w:t>+$0.25</w:t>
            </w:r>
          </w:p>
        </w:tc>
        <w:tc>
          <w:tcPr>
            <w:tcW w:w="0" w:type="dxa"/>
            <w:vAlign w:val="bottom"/>
          </w:tcPr>
          <w:p>
            <w:pPr>
              <w:spacing w:after="0"/>
              <w:rPr>
                <w:sz w:val="1"/>
                <w:szCs w:val="1"/>
                <w:color w:val="auto"/>
              </w:rPr>
            </w:pPr>
          </w:p>
        </w:tc>
      </w:tr>
      <w:tr>
        <w:trPr>
          <w:trHeight w:val="264"/>
        </w:trPr>
        <w:tc>
          <w:tcPr>
            <w:tcW w:w="4000" w:type="dxa"/>
            <w:vAlign w:val="bottom"/>
          </w:tcPr>
          <w:p>
            <w:pPr>
              <w:ind w:left="20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86"/>
              </w:rPr>
              <w:t>$105.78</w:t>
            </w:r>
          </w:p>
        </w:tc>
        <w:tc>
          <w:tcPr>
            <w:tcW w:w="12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$105.94</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$106.25</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$105.32</w:t>
            </w:r>
          </w:p>
        </w:tc>
        <w:tc>
          <w:tcPr>
            <w:tcW w:w="10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0"/>
              </w:rPr>
              <w:t>$107.00</w:t>
            </w:r>
          </w:p>
        </w:tc>
        <w:tc>
          <w:tcPr>
            <w:tcW w:w="100" w:type="dxa"/>
            <w:vAlign w:val="bottom"/>
          </w:tcPr>
          <w:p>
            <w:pPr>
              <w:spacing w:after="0"/>
              <w:rPr>
                <w:sz w:val="22"/>
                <w:szCs w:val="22"/>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0"/>
              </w:rPr>
              <w:t>-$0.16</w:t>
            </w:r>
          </w:p>
        </w:tc>
        <w:tc>
          <w:tcPr>
            <w:tcW w:w="0" w:type="dxa"/>
            <w:vAlign w:val="bottom"/>
          </w:tcPr>
          <w:p>
            <w:pPr>
              <w:spacing w:after="0"/>
              <w:rPr>
                <w:sz w:val="1"/>
                <w:szCs w:val="1"/>
                <w:color w:val="auto"/>
              </w:rPr>
            </w:pPr>
          </w:p>
        </w:tc>
      </w:tr>
      <w:tr>
        <w:trPr>
          <w:trHeight w:val="276"/>
        </w:trPr>
        <w:tc>
          <w:tcPr>
            <w:tcW w:w="400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6"/>
              </w:rPr>
              <w:t>$106.05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$106.44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$106.25</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$106.00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$107.67</w:t>
            </w:r>
          </w:p>
        </w:tc>
        <w:tc>
          <w:tcPr>
            <w:tcW w:w="1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-$0.39</w:t>
            </w:r>
          </w:p>
        </w:tc>
        <w:tc>
          <w:tcPr>
            <w:tcW w:w="0" w:type="dxa"/>
            <w:vAlign w:val="bottom"/>
          </w:tcPr>
          <w:p>
            <w:pPr>
              <w:spacing w:after="0"/>
              <w:rPr>
                <w:sz w:val="1"/>
                <w:szCs w:val="1"/>
                <w:color w:val="auto"/>
              </w:rPr>
            </w:pPr>
          </w:p>
        </w:tc>
      </w:tr>
      <w:tr>
        <w:trPr>
          <w:trHeight w:val="209"/>
        </w:trPr>
        <w:tc>
          <w:tcPr>
            <w:tcW w:w="4000" w:type="dxa"/>
            <w:vAlign w:val="bottom"/>
          </w:tcPr>
          <w:p>
            <w:pPr>
              <w:ind w:left="60"/>
              <w:spacing w:after="0"/>
              <w:rPr>
                <w:sz w:val="20"/>
                <w:szCs w:val="20"/>
                <w:color w:val="auto"/>
              </w:rPr>
            </w:pPr>
            <w:r>
              <w:rPr>
                <w:rFonts w:ascii="Arial" w:cs="Arial" w:eastAsia="Arial" w:hAnsi="Arial"/>
                <w:sz w:val="18"/>
                <w:szCs w:val="18"/>
                <w:color w:val="auto"/>
              </w:rPr>
              <w:t>________________________</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hanging="652"/>
        <w:spacing w:after="0" w:line="255" w:lineRule="auto"/>
        <w:tabs>
          <w:tab w:leader="none" w:pos="336"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Price information is for generic instruments only and is not reflective of our specific portfolio holdings. Price information can vary by source. Prices in the table above were obtained from a combination of Bloomberg and dealer indications. Interest rates were obtained from Bloomberg.</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recent prepayment trends for our portfolio:</w:t>
      </w:r>
    </w:p>
    <w:p>
      <w:pPr>
        <w:spacing w:after="0" w:line="392" w:lineRule="exact"/>
        <w:rPr>
          <w:sz w:val="20"/>
          <w:szCs w:val="20"/>
          <w:color w:val="auto"/>
        </w:rPr>
      </w:pPr>
    </w:p>
    <w:tbl>
      <w:tblPr>
        <w:tblLayout w:type="fixed"/>
        <w:tblInd w:w="2020" w:type="dxa"/>
        <w:tblCellMar>
          <w:top w:w="0" w:type="dxa"/>
          <w:left w:w="0" w:type="dxa"/>
          <w:bottom w:w="0" w:type="dxa"/>
          <w:right w:w="0" w:type="dxa"/>
        </w:tblCellMar>
      </w:tblPr>
      <w:tr>
        <w:trPr>
          <w:trHeight w:val="192"/>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Annualized Monthly Constant Prepayment Rates </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 2013</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Jan. 2014</w:t>
            </w:r>
          </w:p>
        </w:tc>
        <w:tc>
          <w:tcPr>
            <w:tcW w:w="1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Feb. 2014</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 2014</w:t>
            </w:r>
          </w:p>
        </w:tc>
      </w:tr>
      <w:tr>
        <w:trPr>
          <w:trHeight w:val="256"/>
        </w:trPr>
        <w:tc>
          <w:tcPr>
            <w:tcW w:w="4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AGNC portfolio</w:t>
            </w:r>
          </w:p>
        </w:tc>
        <w:tc>
          <w:tcPr>
            <w:tcW w:w="6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bl>
    <w:p>
      <w:pPr>
        <w:ind w:left="6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Weighted average actual one-month annualized CPR released at the beginning of the month based on securities held/outstanding as of the preceding month-end.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913"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FINANCIAL CONDITION</w:t>
      </w:r>
    </w:p>
    <w:p>
      <w:pPr>
        <w:spacing w:after="0" w:line="17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2014 and December 31, 2013, our investment portfolio consisted of $56.4 billion and $65.9 billion of agency MBS, respectively, and a $14.1 billion and $2.3 billion net long TBA position, at fair value, respectively.</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Our TBA positions are recorded as derivative instruments in our accompanying consolidated financial statements, with the TBA dollar roll transactions representing a form of off-balance sheet financing. As of March 31, 2014 and December 31, 2013, our TBA position had a net carrying value of $(25) million and $(5) million, respectively, reported in derivative assets/(liabilities) on our accompanying consolidated balance sheets. The net carrying value represents the difference between the fair value of the underlying agency security in the TBA contract and the cost basis or the forward price to be paid or received for the underlying agency security.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tables summarize certain characteristics of our agency MBS investment portfolio and our net TBA position as of March 31,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(dollars in millions):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March 31, 2014</w:t>
            </w:r>
          </w:p>
        </w:tc>
        <w:tc>
          <w:tcPr>
            <w:tcW w:w="6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 Lower Loan</w:t>
            </w:r>
          </w:p>
        </w:tc>
        <w:tc>
          <w:tcPr>
            <w:tcW w:w="640" w:type="dxa"/>
            <w:vAlign w:val="bottom"/>
          </w:tcPr>
          <w:p>
            <w:pPr>
              <w:spacing w:after="0"/>
              <w:rPr>
                <w:sz w:val="18"/>
                <w:szCs w:val="18"/>
                <w:color w:val="auto"/>
              </w:rPr>
            </w:pPr>
          </w:p>
        </w:tc>
        <w:tc>
          <w:tcPr>
            <w:tcW w:w="1960" w:type="dxa"/>
            <w:vAlign w:val="bottom"/>
            <w:gridSpan w:val="6"/>
          </w:tcPr>
          <w:p>
            <w:pPr>
              <w:jc w:val="center"/>
              <w:ind w:right="760"/>
              <w:spacing w:after="0"/>
              <w:rPr>
                <w:sz w:val="20"/>
                <w:szCs w:val="20"/>
                <w:color w:val="auto"/>
              </w:rPr>
            </w:pPr>
            <w:r>
              <w:rPr>
                <w:rFonts w:ascii="Arial" w:cs="Arial" w:eastAsia="Arial" w:hAnsi="Arial"/>
                <w:sz w:val="14"/>
                <w:szCs w:val="14"/>
                <w:b w:val="1"/>
                <w:bCs w:val="1"/>
                <w:color w:val="auto"/>
                <w:w w:val="91"/>
              </w:rPr>
              <w:t>Weighted Average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254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Agency MBS Classified as Available-</w:t>
            </w:r>
          </w:p>
        </w:tc>
        <w:tc>
          <w:tcPr>
            <w:tcW w:w="1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restart"/>
          </w:tcPr>
          <w:p>
            <w:pPr>
              <w:ind w:left="40"/>
              <w:spacing w:after="0" w:line="139" w:lineRule="exact"/>
              <w:rPr>
                <w:sz w:val="20"/>
                <w:szCs w:val="20"/>
                <w:color w:val="auto"/>
              </w:rPr>
            </w:pPr>
            <w:r>
              <w:rPr>
                <w:rFonts w:ascii="Arial" w:cs="Arial" w:eastAsia="Arial" w:hAnsi="Arial"/>
                <w:sz w:val="14"/>
                <w:szCs w:val="14"/>
                <w:b w:val="1"/>
                <w:bCs w:val="1"/>
                <w:color w:val="auto"/>
              </w:rPr>
              <w:t>Amortized</w:t>
            </w:r>
          </w:p>
        </w:tc>
        <w:tc>
          <w:tcPr>
            <w:tcW w:w="114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vMerge w:val="restart"/>
          </w:tcPr>
          <w:p>
            <w:pPr>
              <w:jc w:val="center"/>
              <w:ind w:right="100"/>
              <w:spacing w:after="0" w:line="139" w:lineRule="exact"/>
              <w:rPr>
                <w:sz w:val="20"/>
                <w:szCs w:val="20"/>
                <w:color w:val="auto"/>
              </w:rPr>
            </w:pPr>
            <w:r>
              <w:rPr>
                <w:rFonts w:ascii="Arial" w:cs="Arial" w:eastAsia="Arial" w:hAnsi="Arial"/>
                <w:sz w:val="14"/>
                <w:szCs w:val="14"/>
                <w:b w:val="1"/>
                <w:bCs w:val="1"/>
                <w:color w:val="auto"/>
                <w:w w:val="94"/>
              </w:rPr>
              <w:t>Balance &amp;</w:t>
            </w: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25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Par Value</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restart"/>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640" w:type="dxa"/>
            <w:vAlign w:val="bottom"/>
            <w:vMerge w:val="restart"/>
          </w:tcPr>
          <w:p>
            <w:pPr>
              <w:jc w:val="center"/>
              <w:ind w:left="88"/>
              <w:spacing w:after="0"/>
              <w:rPr>
                <w:sz w:val="20"/>
                <w:szCs w:val="20"/>
                <w:color w:val="auto"/>
              </w:rPr>
            </w:pPr>
            <w:r>
              <w:rPr>
                <w:rFonts w:ascii="Arial" w:cs="Arial" w:eastAsia="Arial" w:hAnsi="Arial"/>
                <w:sz w:val="14"/>
                <w:szCs w:val="14"/>
                <w:b w:val="1"/>
                <w:bCs w:val="1"/>
                <w:color w:val="auto"/>
                <w:w w:val="95"/>
              </w:rPr>
              <w:t xml:space="preserve">WAC </w:t>
            </w:r>
            <w:r>
              <w:rPr>
                <w:rFonts w:ascii="Arial" w:cs="Arial" w:eastAsia="Arial" w:hAnsi="Arial"/>
                <w:sz w:val="8"/>
                <w:szCs w:val="8"/>
                <w:b w:val="1"/>
                <w:bCs w:val="1"/>
                <w:color w:val="auto"/>
                <w:w w:val="95"/>
              </w:rPr>
              <w:t>4</w:t>
            </w: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Yield </w:t>
            </w:r>
            <w:r>
              <w:rPr>
                <w:rFonts w:ascii="Arial" w:cs="Arial" w:eastAsia="Arial" w:hAnsi="Arial"/>
                <w:sz w:val="8"/>
                <w:szCs w:val="8"/>
                <w:b w:val="1"/>
                <w:bCs w:val="1"/>
                <w:color w:val="auto"/>
                <w:w w:val="95"/>
              </w:rPr>
              <w:t>5</w:t>
            </w:r>
          </w:p>
        </w:tc>
        <w:tc>
          <w:tcPr>
            <w:tcW w:w="120" w:type="dxa"/>
            <w:vAlign w:val="bottom"/>
            <w:vMerge w:val="restart"/>
          </w:tcPr>
          <w:p>
            <w:pPr>
              <w:spacing w:after="0"/>
              <w:rPr>
                <w:sz w:val="5"/>
                <w:szCs w:val="5"/>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Age (Mths)</w:t>
            </w:r>
          </w:p>
        </w:tc>
        <w:tc>
          <w:tcPr>
            <w:tcW w:w="120" w:type="dxa"/>
            <w:vAlign w:val="bottom"/>
            <w:vMerge w:val="restart"/>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for-Sale ("AFS")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 Basis</w:t>
            </w:r>
          </w:p>
        </w:tc>
        <w:tc>
          <w:tcPr>
            <w:tcW w:w="120" w:type="dxa"/>
            <w:vAlign w:val="bottom"/>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HARP </w:t>
            </w:r>
            <w:r>
              <w:rPr>
                <w:rFonts w:ascii="Arial" w:cs="Arial" w:eastAsia="Arial" w:hAnsi="Arial"/>
                <w:sz w:val="8"/>
                <w:szCs w:val="8"/>
                <w:b w:val="1"/>
                <w:bCs w:val="1"/>
                <w:color w:val="auto"/>
              </w:rPr>
              <w:t>2,3</w:t>
            </w:r>
          </w:p>
        </w:tc>
        <w:tc>
          <w:tcPr>
            <w:tcW w:w="100" w:type="dxa"/>
            <w:vAlign w:val="bottom"/>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64"/>
        </w:trPr>
        <w:tc>
          <w:tcPr>
            <w:tcW w:w="254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Investments By Coupon: </w:t>
            </w:r>
            <w:r>
              <w:rPr>
                <w:rFonts w:ascii="Arial" w:cs="Arial" w:eastAsia="Arial" w:hAnsi="Arial"/>
                <w:sz w:val="8"/>
                <w:szCs w:val="8"/>
                <w:b w:val="1"/>
                <w:bCs w:val="1"/>
                <w:color w:val="auto"/>
              </w:rPr>
              <w:t>1</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Fixed Rate</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540" w:type="dxa"/>
            <w:vAlign w:val="bottom"/>
            <w:gridSpan w:val="2"/>
          </w:tcPr>
          <w:p>
            <w:pPr>
              <w:ind w:left="580"/>
              <w:spacing w:after="0"/>
              <w:rPr>
                <w:sz w:val="20"/>
                <w:szCs w:val="20"/>
                <w:color w:val="auto"/>
              </w:rPr>
            </w:pPr>
            <w:r>
              <w:rPr>
                <w:rFonts w:ascii="Arial" w:cs="Arial" w:eastAsia="Arial" w:hAnsi="Arial"/>
                <w:sz w:val="14"/>
                <w:szCs w:val="14"/>
                <w:color w:val="auto"/>
              </w:rPr>
              <w:t>≤ 15-Year</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2.5%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7,439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7,597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7,451</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36%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2.96%</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2.04%</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17</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64"/>
        </w:trPr>
        <w:tc>
          <w:tcPr>
            <w:tcW w:w="2420" w:type="dxa"/>
            <w:vAlign w:val="bottom"/>
          </w:tcPr>
          <w:p>
            <w:pPr>
              <w:ind w:left="380"/>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4,655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4,797</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103.1%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4,788</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76%</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3.49%</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2.30%</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10,479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10,894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11,004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59%</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3.93%</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2.53%</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42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5,436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5,699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5,788</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88%</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4.40%</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2.76%</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40</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597</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608</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97%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4.87%</w:t>
            </w:r>
          </w:p>
        </w:tc>
        <w:tc>
          <w:tcPr>
            <w:tcW w:w="940" w:type="dxa"/>
            <w:vAlign w:val="bottom"/>
            <w:gridSpan w:val="3"/>
            <w:shd w:val="clear" w:color="auto" w:fill="CCEEFF"/>
          </w:tcPr>
          <w:p>
            <w:pPr>
              <w:jc w:val="center"/>
              <w:ind w:left="188"/>
              <w:spacing w:after="0"/>
              <w:rPr>
                <w:sz w:val="20"/>
                <w:szCs w:val="20"/>
                <w:color w:val="auto"/>
              </w:rPr>
            </w:pPr>
            <w:r>
              <w:rPr>
                <w:rFonts w:ascii="Arial" w:cs="Arial" w:eastAsia="Arial" w:hAnsi="Arial"/>
                <w:sz w:val="14"/>
                <w:szCs w:val="14"/>
                <w:color w:val="auto"/>
                <w:w w:val="90"/>
              </w:rPr>
              <w:t>3.11%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43</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104.3%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24%</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0"/>
              </w:rPr>
              <w:t>6.48%</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4.37%</w:t>
            </w: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76</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2%</w:t>
            </w:r>
          </w:p>
        </w:tc>
        <w:tc>
          <w:tcPr>
            <w:tcW w:w="0" w:type="dxa"/>
            <w:vAlign w:val="bottom"/>
          </w:tcPr>
          <w:p>
            <w:pPr>
              <w:spacing w:after="0"/>
              <w:rPr>
                <w:sz w:val="1"/>
                <w:szCs w:val="1"/>
                <w:color w:val="auto"/>
              </w:rPr>
            </w:pPr>
          </w:p>
        </w:tc>
      </w:tr>
      <w:tr>
        <w:trPr>
          <w:trHeight w:val="256"/>
        </w:trPr>
        <w:tc>
          <w:tcPr>
            <w:tcW w:w="25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 15-Year</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28,585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29,592</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103.5%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29,648</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63%</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3.72%</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2.43%</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30</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58"/>
        </w:trPr>
        <w:tc>
          <w:tcPr>
            <w:tcW w:w="2540" w:type="dxa"/>
            <w:vAlign w:val="bottom"/>
            <w:gridSpan w:val="2"/>
          </w:tcPr>
          <w:p>
            <w:pPr>
              <w:ind w:left="540"/>
              <w:spacing w:after="0"/>
              <w:rPr>
                <w:sz w:val="20"/>
                <w:szCs w:val="20"/>
                <w:color w:val="auto"/>
              </w:rPr>
            </w:pPr>
            <w:r>
              <w:rPr>
                <w:rFonts w:ascii="Arial" w:cs="Arial" w:eastAsia="Arial" w:hAnsi="Arial"/>
                <w:sz w:val="14"/>
                <w:szCs w:val="14"/>
                <w:color w:val="auto"/>
              </w:rPr>
              <w:t>20-Year</w:t>
            </w:r>
          </w:p>
        </w:tc>
        <w:tc>
          <w:tcPr>
            <w:tcW w:w="12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54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99.2%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28%</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3.55%</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3.10%</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2%</w:t>
            </w:r>
          </w:p>
        </w:tc>
        <w:tc>
          <w:tcPr>
            <w:tcW w:w="0" w:type="dxa"/>
            <w:vAlign w:val="bottom"/>
          </w:tcPr>
          <w:p>
            <w:pPr>
              <w:spacing w:after="0"/>
              <w:rPr>
                <w:sz w:val="1"/>
                <w:szCs w:val="1"/>
                <w:color w:val="auto"/>
              </w:rPr>
            </w:pPr>
          </w:p>
        </w:tc>
      </w:tr>
      <w:tr>
        <w:trPr>
          <w:trHeight w:val="264"/>
        </w:trPr>
        <w:tc>
          <w:tcPr>
            <w:tcW w:w="2420" w:type="dxa"/>
            <w:vAlign w:val="bottom"/>
          </w:tcPr>
          <w:p>
            <w:pPr>
              <w:ind w:left="38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757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775</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779</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63%</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4.05%</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3.09%</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13</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47%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4.53%</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3.06%</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420" w:type="dxa"/>
            <w:vAlign w:val="bottom"/>
          </w:tcPr>
          <w:p>
            <w:pPr>
              <w:ind w:left="38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107.1%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97%</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4.89%</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3.15%</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40</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11%</w:t>
            </w: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106.5%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0"/>
              </w:rPr>
              <w:t>5.90%</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3.38%</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70</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21%</w:t>
            </w:r>
          </w:p>
        </w:tc>
        <w:tc>
          <w:tcPr>
            <w:tcW w:w="0" w:type="dxa"/>
            <w:vAlign w:val="bottom"/>
          </w:tcPr>
          <w:p>
            <w:pPr>
              <w:spacing w:after="0"/>
              <w:rPr>
                <w:sz w:val="1"/>
                <w:szCs w:val="1"/>
                <w:color w:val="auto"/>
              </w:rPr>
            </w:pPr>
          </w:p>
        </w:tc>
      </w:tr>
      <w:tr>
        <w:trPr>
          <w:trHeight w:val="250"/>
        </w:trPr>
        <w:tc>
          <w:tcPr>
            <w:tcW w:w="2540" w:type="dxa"/>
            <w:vAlign w:val="bottom"/>
            <w:gridSpan w:val="2"/>
          </w:tcPr>
          <w:p>
            <w:pPr>
              <w:ind w:left="540"/>
              <w:spacing w:after="0"/>
              <w:rPr>
                <w:sz w:val="20"/>
                <w:szCs w:val="20"/>
                <w:color w:val="auto"/>
              </w:rPr>
            </w:pPr>
            <w:r>
              <w:rPr>
                <w:rFonts w:ascii="Arial" w:cs="Arial" w:eastAsia="Arial" w:hAnsi="Arial"/>
                <w:sz w:val="14"/>
                <w:szCs w:val="14"/>
                <w:color w:val="auto"/>
              </w:rPr>
              <w:t>Total 20-Year:</w:t>
            </w:r>
          </w:p>
        </w:tc>
        <w:tc>
          <w:tcPr>
            <w:tcW w:w="120" w:type="dxa"/>
            <w:vAlign w:val="bottom"/>
          </w:tcPr>
          <w:p>
            <w:pPr>
              <w:spacing w:after="0"/>
              <w:rPr>
                <w:sz w:val="21"/>
                <w:szCs w:val="21"/>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1,310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1,338</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1,347</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56%</w:t>
            </w:r>
          </w:p>
        </w:tc>
        <w:tc>
          <w:tcPr>
            <w:tcW w:w="100" w:type="dxa"/>
            <w:vAlign w:val="bottom"/>
          </w:tcPr>
          <w:p>
            <w:pPr>
              <w:spacing w:after="0"/>
              <w:rPr>
                <w:sz w:val="21"/>
                <w:szCs w:val="21"/>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4.04%</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3.10%</w:t>
            </w: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16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70"/>
        </w:trPr>
        <w:tc>
          <w:tcPr>
            <w:tcW w:w="254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30-Year:</w:t>
            </w:r>
          </w:p>
        </w:tc>
        <w:tc>
          <w:tcPr>
            <w:tcW w:w="1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6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54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101.8%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69%</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3.69%</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2.77%</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14</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8,651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9,160</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105.9%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8,706</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96%</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4.02%</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2.75%</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420" w:type="dxa"/>
            <w:vAlign w:val="bottom"/>
          </w:tcPr>
          <w:p>
            <w:pPr>
              <w:ind w:left="380"/>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9,223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9,808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106.3%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9,592</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94%</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4.47%</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3.10%</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26</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3,215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3,433</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106.8%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3,445</w:t>
            </w:r>
          </w:p>
        </w:tc>
        <w:tc>
          <w:tcPr>
            <w:tcW w:w="100" w:type="dxa"/>
            <w:vAlign w:val="bottom"/>
            <w:shd w:val="clear" w:color="auto" w:fill="CCEEFF"/>
          </w:tcPr>
          <w:p>
            <w:pPr>
              <w:spacing w:after="0"/>
              <w:rPr>
                <w:sz w:val="24"/>
                <w:szCs w:val="24"/>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91%</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4.95%</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3.47%</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36</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64"/>
        </w:trPr>
        <w:tc>
          <w:tcPr>
            <w:tcW w:w="2420" w:type="dxa"/>
            <w:vAlign w:val="bottom"/>
          </w:tcPr>
          <w:p>
            <w:pPr>
              <w:ind w:left="38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217</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106.4%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65%</w:t>
            </w:r>
          </w:p>
        </w:tc>
        <w:tc>
          <w:tcPr>
            <w:tcW w:w="100" w:type="dxa"/>
            <w:vAlign w:val="bottom"/>
          </w:tcPr>
          <w:p>
            <w:pPr>
              <w:spacing w:after="0"/>
              <w:rPr>
                <w:sz w:val="22"/>
                <w:szCs w:val="22"/>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5.45%</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3.79%</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72</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5.5%</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276</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108.5%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280</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9"/>
              </w:rPr>
              <w:t>36%</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0"/>
              </w:rPr>
              <w:t>6.24%</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3.39%</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87</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17%</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gridSpan w:val="2"/>
          </w:tcPr>
          <w:p>
            <w:pPr>
              <w:ind w:left="540"/>
              <w:spacing w:after="0"/>
              <w:rPr>
                <w:sz w:val="20"/>
                <w:szCs w:val="20"/>
                <w:color w:val="auto"/>
              </w:rPr>
            </w:pPr>
            <w:r>
              <w:rPr>
                <w:rFonts w:ascii="Arial" w:cs="Arial" w:eastAsia="Arial" w:hAnsi="Arial"/>
                <w:sz w:val="14"/>
                <w:szCs w:val="14"/>
                <w:color w:val="auto"/>
              </w:rPr>
              <w:t>Total 30-Year</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21,775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23,126</w:t>
            </w:r>
          </w:p>
        </w:tc>
        <w:tc>
          <w:tcPr>
            <w:tcW w:w="12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106.2%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22,466</w:t>
            </w:r>
          </w:p>
        </w:tc>
        <w:tc>
          <w:tcPr>
            <w:tcW w:w="10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93%</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90"/>
              </w:rPr>
              <w:t>4.38%</w:t>
            </w: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3.02%</w:t>
            </w:r>
          </w:p>
        </w:tc>
        <w:tc>
          <w:tcPr>
            <w:tcW w:w="1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27</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56"/>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Fixed Rate</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54,056</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104.6%</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53,461</w:t>
            </w: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75%</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center"/>
              <w:ind w:left="88"/>
              <w:spacing w:after="0"/>
              <w:rPr>
                <w:sz w:val="20"/>
                <w:szCs w:val="20"/>
                <w:color w:val="auto"/>
              </w:rPr>
            </w:pPr>
            <w:r>
              <w:rPr>
                <w:rFonts w:ascii="Arial" w:cs="Arial" w:eastAsia="Arial" w:hAnsi="Arial"/>
                <w:sz w:val="14"/>
                <w:szCs w:val="14"/>
                <w:color w:val="auto"/>
                <w:w w:val="90"/>
              </w:rPr>
              <w:t>4.01%</w:t>
            </w:r>
          </w:p>
        </w:tc>
        <w:tc>
          <w:tcPr>
            <w:tcW w:w="940" w:type="dxa"/>
            <w:vAlign w:val="bottom"/>
            <w:gridSpan w:val="3"/>
            <w:shd w:val="clear" w:color="auto" w:fill="CCEEFF"/>
          </w:tcPr>
          <w:p>
            <w:pPr>
              <w:jc w:val="center"/>
              <w:ind w:left="208"/>
              <w:spacing w:after="0"/>
              <w:rPr>
                <w:sz w:val="20"/>
                <w:szCs w:val="20"/>
                <w:color w:val="auto"/>
              </w:rPr>
            </w:pPr>
            <w:r>
              <w:rPr>
                <w:rFonts w:ascii="Arial" w:cs="Arial" w:eastAsia="Arial" w:hAnsi="Arial"/>
                <w:sz w:val="14"/>
                <w:szCs w:val="14"/>
                <w:color w:val="auto"/>
                <w:w w:val="95"/>
              </w:rPr>
              <w:t>2.70%</w:t>
            </w: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28</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64"/>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Adjustable Rate</w:t>
            </w:r>
          </w:p>
        </w:tc>
        <w:tc>
          <w:tcPr>
            <w:tcW w:w="12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1,152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1,195</w:t>
            </w:r>
          </w:p>
        </w:tc>
        <w:tc>
          <w:tcPr>
            <w:tcW w:w="100" w:type="dxa"/>
            <w:vAlign w:val="bottom"/>
          </w:tcPr>
          <w:p>
            <w:pPr>
              <w:spacing w:after="0"/>
              <w:rPr>
                <w:sz w:val="22"/>
                <w:szCs w:val="22"/>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rPr>
              <w:t>—%</w:t>
            </w: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2.58%</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2.36%</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28</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2"/>
              </w:rPr>
              <w:t>18%</w:t>
            </w:r>
          </w:p>
        </w:tc>
        <w:tc>
          <w:tcPr>
            <w:tcW w:w="0" w:type="dxa"/>
            <w:vAlign w:val="bottom"/>
          </w:tcPr>
          <w:p>
            <w:pPr>
              <w:spacing w:after="0"/>
              <w:rPr>
                <w:sz w:val="1"/>
                <w:szCs w:val="1"/>
                <w:color w:val="auto"/>
              </w:rPr>
            </w:pPr>
          </w:p>
        </w:tc>
      </w:tr>
      <w:tr>
        <w:trPr>
          <w:trHeight w:val="270"/>
        </w:trPr>
        <w:tc>
          <w:tcPr>
            <w:tcW w:w="25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CMO</w:t>
            </w: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1,249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1,281</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102.6%</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1,289</w:t>
            </w:r>
          </w:p>
        </w:tc>
        <w:tc>
          <w:tcPr>
            <w:tcW w:w="100" w:type="dxa"/>
            <w:vAlign w:val="bottom"/>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90"/>
              </w:rPr>
              <w:t>4.29%</w:t>
            </w:r>
          </w:p>
        </w:tc>
        <w:tc>
          <w:tcPr>
            <w:tcW w:w="1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2.88%</w:t>
            </w:r>
          </w:p>
        </w:tc>
        <w:tc>
          <w:tcPr>
            <w:tcW w:w="120" w:type="dxa"/>
            <w:vAlign w:val="bottom"/>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24</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7%</w:t>
            </w:r>
          </w:p>
        </w:tc>
        <w:tc>
          <w:tcPr>
            <w:tcW w:w="0" w:type="dxa"/>
            <w:vAlign w:val="bottom"/>
          </w:tcPr>
          <w:p>
            <w:pPr>
              <w:spacing w:after="0"/>
              <w:rPr>
                <w:sz w:val="1"/>
                <w:szCs w:val="1"/>
                <w:color w:val="auto"/>
              </w:rPr>
            </w:pPr>
          </w:p>
        </w:tc>
      </w:tr>
      <w:tr>
        <w:trPr>
          <w:trHeight w:val="243"/>
        </w:trPr>
        <w:tc>
          <w:tcPr>
            <w:tcW w:w="2540" w:type="dxa"/>
            <w:vAlign w:val="bottom"/>
            <w:gridSpan w:val="2"/>
          </w:tcPr>
          <w:p>
            <w:pPr>
              <w:ind w:left="40"/>
              <w:spacing w:after="0"/>
              <w:rPr>
                <w:sz w:val="20"/>
                <w:szCs w:val="20"/>
                <w:color w:val="auto"/>
              </w:rPr>
            </w:pPr>
            <w:r>
              <w:rPr>
                <w:rFonts w:ascii="Arial" w:cs="Arial" w:eastAsia="Arial" w:hAnsi="Arial"/>
                <w:sz w:val="14"/>
                <w:szCs w:val="14"/>
                <w:color w:val="auto"/>
              </w:rPr>
              <w:t>Total / Weighted Average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54,071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56,513</w:t>
            </w:r>
          </w:p>
        </w:tc>
        <w:tc>
          <w:tcPr>
            <w:tcW w:w="12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104.5%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55,945</w:t>
            </w: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72%</w:t>
            </w:r>
          </w:p>
        </w:tc>
        <w:tc>
          <w:tcPr>
            <w:tcW w:w="100" w:type="dxa"/>
            <w:vAlign w:val="bottom"/>
          </w:tcPr>
          <w:p>
            <w:pPr>
              <w:spacing w:after="0"/>
              <w:rPr>
                <w:sz w:val="21"/>
                <w:szCs w:val="21"/>
                <w:color w:val="auto"/>
              </w:rPr>
            </w:pPr>
          </w:p>
        </w:tc>
        <w:tc>
          <w:tcPr>
            <w:tcW w:w="640" w:type="dxa"/>
            <w:vAlign w:val="bottom"/>
          </w:tcPr>
          <w:p>
            <w:pPr>
              <w:jc w:val="center"/>
              <w:ind w:left="88"/>
              <w:spacing w:after="0"/>
              <w:rPr>
                <w:sz w:val="20"/>
                <w:szCs w:val="20"/>
                <w:color w:val="auto"/>
              </w:rPr>
            </w:pPr>
            <w:r>
              <w:rPr>
                <w:rFonts w:ascii="Arial" w:cs="Arial" w:eastAsia="Arial" w:hAnsi="Arial"/>
                <w:sz w:val="14"/>
                <w:szCs w:val="14"/>
                <w:color w:val="auto"/>
                <w:w w:val="90"/>
              </w:rPr>
              <w:t>3.99%</w:t>
            </w:r>
          </w:p>
        </w:tc>
        <w:tc>
          <w:tcPr>
            <w:tcW w:w="940" w:type="dxa"/>
            <w:vAlign w:val="bottom"/>
            <w:gridSpan w:val="3"/>
          </w:tcPr>
          <w:p>
            <w:pPr>
              <w:jc w:val="center"/>
              <w:ind w:left="208"/>
              <w:spacing w:after="0"/>
              <w:rPr>
                <w:sz w:val="20"/>
                <w:szCs w:val="20"/>
                <w:color w:val="auto"/>
              </w:rPr>
            </w:pPr>
            <w:r>
              <w:rPr>
                <w:rFonts w:ascii="Arial" w:cs="Arial" w:eastAsia="Arial" w:hAnsi="Arial"/>
                <w:sz w:val="14"/>
                <w:szCs w:val="14"/>
                <w:color w:val="auto"/>
                <w:w w:val="95"/>
              </w:rPr>
              <w:t>2.70%</w:t>
            </w: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89"/>
              </w:rPr>
              <w:t>28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88"/>
              </w:rPr>
              <w:t>8%</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42"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 2014</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4"/>
              </w:rPr>
              <w:t>Unamortized</w:t>
            </w: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vMerge w:val="continue"/>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78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6"/>
              </w:rPr>
              <w:t>Agency MBS Remeasured at Fair Value Through Earnings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Principal</w:t>
            </w:r>
          </w:p>
        </w:tc>
        <w:tc>
          <w:tcPr>
            <w:tcW w:w="14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Amortized</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xml:space="preserve">Coupon </w:t>
            </w:r>
            <w:r>
              <w:rPr>
                <w:rFonts w:ascii="Arial" w:cs="Arial" w:eastAsia="Arial" w:hAnsi="Arial"/>
                <w:sz w:val="8"/>
                <w:szCs w:val="8"/>
                <w:b w:val="1"/>
                <w:bCs w:val="1"/>
                <w:color w:val="auto"/>
              </w:rPr>
              <w:t>1</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 xml:space="preserve">Yield </w:t>
            </w:r>
            <w:r>
              <w:rPr>
                <w:rFonts w:ascii="Arial" w:cs="Arial" w:eastAsia="Arial" w:hAnsi="Arial"/>
                <w:sz w:val="8"/>
                <w:szCs w:val="8"/>
                <w:b w:val="1"/>
                <w:bCs w:val="1"/>
                <w:color w:val="auto"/>
                <w:w w:val="95"/>
              </w:rPr>
              <w:t>5</w:t>
            </w:r>
          </w:p>
        </w:tc>
        <w:tc>
          <w:tcPr>
            <w:tcW w:w="100" w:type="dxa"/>
            <w:vAlign w:val="bottom"/>
            <w:vMerge w:val="restart"/>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Age (Mths)</w:t>
            </w:r>
          </w:p>
        </w:tc>
        <w:tc>
          <w:tcPr>
            <w:tcW w:w="120" w:type="dxa"/>
            <w:vAlign w:val="bottom"/>
            <w:vMerge w:val="restart"/>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Projected Life</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256"/>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Interest-Only Strips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100" w:type="dxa"/>
            <w:vAlign w:val="bottom"/>
            <w:gridSpan w:val="3"/>
            <w:shd w:val="clear" w:color="auto" w:fill="CCEEFF"/>
          </w:tcPr>
          <w:p>
            <w:pPr>
              <w:jc w:val="center"/>
              <w:ind w:left="128"/>
              <w:spacing w:after="0"/>
              <w:rPr>
                <w:sz w:val="20"/>
                <w:szCs w:val="20"/>
                <w:color w:val="auto"/>
              </w:rPr>
            </w:pPr>
            <w:r>
              <w:rPr>
                <w:rFonts w:ascii="Arial" w:cs="Arial" w:eastAsia="Arial" w:hAnsi="Arial"/>
                <w:sz w:val="14"/>
                <w:szCs w:val="14"/>
                <w:color w:val="auto"/>
                <w:w w:val="95"/>
              </w:rPr>
              <w:t>5.49%</w:t>
            </w:r>
          </w:p>
        </w:tc>
        <w:tc>
          <w:tcPr>
            <w:tcW w:w="1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0"/>
              </w:rPr>
              <w:t>7.83%</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47</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12%</w:t>
            </w: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Principal-Only Strips</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4.13%</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28</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9%</w:t>
            </w:r>
          </w:p>
        </w:tc>
        <w:tc>
          <w:tcPr>
            <w:tcW w:w="0" w:type="dxa"/>
            <w:vAlign w:val="bottom"/>
          </w:tcPr>
          <w:p>
            <w:pPr>
              <w:spacing w:after="0"/>
              <w:rPr>
                <w:sz w:val="1"/>
                <w:szCs w:val="1"/>
                <w:color w:val="auto"/>
              </w:rPr>
            </w:pPr>
          </w:p>
        </w:tc>
      </w:tr>
      <w:tr>
        <w:trPr>
          <w:trHeight w:val="243"/>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Total / Weighted Average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100" w:type="dxa"/>
            <w:vAlign w:val="bottom"/>
            <w:gridSpan w:val="3"/>
            <w:shd w:val="clear" w:color="auto" w:fill="CCEEFF"/>
          </w:tcPr>
          <w:p>
            <w:pPr>
              <w:jc w:val="center"/>
              <w:ind w:left="128"/>
              <w:spacing w:after="0"/>
              <w:rPr>
                <w:sz w:val="20"/>
                <w:szCs w:val="20"/>
                <w:color w:val="auto"/>
              </w:rPr>
            </w:pPr>
            <w:r>
              <w:rPr>
                <w:rFonts w:ascii="Arial" w:cs="Arial" w:eastAsia="Arial" w:hAnsi="Arial"/>
                <w:sz w:val="14"/>
                <w:szCs w:val="14"/>
                <w:color w:val="auto"/>
                <w:w w:val="95"/>
              </w:rPr>
              <w:t>4.57%</w:t>
            </w:r>
          </w:p>
        </w:tc>
        <w:tc>
          <w:tcPr>
            <w:tcW w:w="102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0"/>
              </w:rPr>
              <w:t>6.01%</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38</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8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weighted average coupon on our agency MBS classified as "AFS" was 3.53% and the weighted average coupon on our total agency MBS portfolio, including agency MBS remeasured at fair value through earnings, was 3.65% as of March 31, 2014.</w:t>
      </w:r>
    </w:p>
    <w:p>
      <w:pPr>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 $150,000. Our lower loan balance securities had a weighted average original loan balance of $100,000 and $95,000 for 15-year and 30-year securities, respectively, as of March 31, 2014.</w:t>
      </w:r>
    </w:p>
    <w:p>
      <w:pPr>
        <w:jc w:val="both"/>
        <w:ind w:left="660" w:hanging="328"/>
        <w:spacing w:after="0" w:line="241" w:lineRule="auto"/>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HARP securities are defined as pools backed by100% refinance loans with LTV ≥ 80%. Our HARP securities had a weighted average LTV of 107% and 106% for 15-year and 30-year securities, respectively, as of March 31, 2014. Includes $987 million and $2.1 billion of 15-year and 30-year securities with &gt;105 LTV pools which are not deliverable into TBA securities.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March 31, 2014.</w:t>
      </w:r>
    </w:p>
    <w:p>
      <w:pPr>
        <w:spacing w:after="0" w:line="200" w:lineRule="exact"/>
        <w:rPr>
          <w:sz w:val="20"/>
          <w:szCs w:val="20"/>
          <w:color w:val="auto"/>
        </w:rPr>
      </w:pPr>
    </w:p>
    <w:p>
      <w:pPr>
        <w:spacing w:after="0" w:line="393" w:lineRule="exact"/>
        <w:rPr>
          <w:sz w:val="20"/>
          <w:szCs w:val="20"/>
          <w:color w:val="auto"/>
        </w:rPr>
      </w:pPr>
    </w:p>
    <w:tbl>
      <w:tblPr>
        <w:tblLayout w:type="fixed"/>
        <w:tblInd w:w="100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2014</w:t>
            </w: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6"/>
              </w:rPr>
              <w:t>Notional</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3"/>
                <w:szCs w:val="13"/>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4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TBA Securities</w:t>
            </w:r>
          </w:p>
        </w:tc>
        <w:tc>
          <w:tcPr>
            <w:tcW w:w="1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Amount - Long</w:t>
            </w:r>
          </w:p>
        </w:tc>
        <w:tc>
          <w:tcPr>
            <w:tcW w:w="180" w:type="dxa"/>
            <w:vAlign w:val="bottom"/>
          </w:tcPr>
          <w:p>
            <w:pPr>
              <w:spacing w:after="0"/>
              <w:rPr>
                <w:sz w:val="12"/>
                <w:szCs w:val="12"/>
                <w:color w:val="auto"/>
              </w:rPr>
            </w:pPr>
          </w:p>
        </w:tc>
        <w:tc>
          <w:tcPr>
            <w:tcW w:w="11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w w:val="99"/>
              </w:rPr>
              <w:t xml:space="preserve">Cost Basis </w:t>
            </w:r>
            <w:r>
              <w:rPr>
                <w:rFonts w:ascii="Arial" w:cs="Arial" w:eastAsia="Arial" w:hAnsi="Arial"/>
                <w:sz w:val="8"/>
                <w:szCs w:val="8"/>
                <w:b w:val="1"/>
                <w:bCs w:val="1"/>
                <w:color w:val="auto"/>
                <w:w w:val="99"/>
              </w:rPr>
              <w:t>2</w:t>
            </w:r>
          </w:p>
        </w:tc>
        <w:tc>
          <w:tcPr>
            <w:tcW w:w="100" w:type="dxa"/>
            <w:vAlign w:val="bottom"/>
            <w:vMerge w:val="restart"/>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5"/>
              </w:rPr>
              <w:t xml:space="preserve">(Short) </w:t>
            </w:r>
            <w:r>
              <w:rPr>
                <w:rFonts w:ascii="Arial" w:cs="Arial" w:eastAsia="Arial" w:hAnsi="Arial"/>
                <w:sz w:val="8"/>
                <w:szCs w:val="8"/>
                <w:b w:val="1"/>
                <w:bCs w:val="1"/>
                <w:color w:val="auto"/>
                <w:w w:val="95"/>
              </w:rPr>
              <w:t>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6"/>
              </w:rPr>
              <w:t xml:space="preserve">Value </w:t>
            </w:r>
            <w:r>
              <w:rPr>
                <w:rFonts w:ascii="Arial" w:cs="Arial" w:eastAsia="Arial" w:hAnsi="Arial"/>
                <w:sz w:val="8"/>
                <w:szCs w:val="8"/>
                <w:b w:val="1"/>
                <w:bCs w:val="1"/>
                <w:color w:val="auto"/>
                <w:w w:val="96"/>
              </w:rPr>
              <w:t>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80" w:type="dxa"/>
            <w:vAlign w:val="bottom"/>
          </w:tcPr>
          <w:p>
            <w:pPr>
              <w:jc w:val="right"/>
              <w:ind w:right="3528"/>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1,774</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1,773</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1,769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jc w:val="right"/>
              <w:ind w:right="3528"/>
              <w:spacing w:after="0"/>
              <w:rPr>
                <w:sz w:val="20"/>
                <w:szCs w:val="20"/>
                <w:color w:val="auto"/>
              </w:rPr>
            </w:pPr>
            <w:r>
              <w:rPr>
                <w:rFonts w:ascii="Arial" w:cs="Arial" w:eastAsia="Arial" w:hAnsi="Arial"/>
                <w:sz w:val="14"/>
                <w:szCs w:val="14"/>
                <w:color w:val="auto"/>
              </w:rPr>
              <w:t>3.0%</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4,884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5,020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4080" w:type="dxa"/>
            <w:vAlign w:val="bottom"/>
          </w:tcPr>
          <w:p>
            <w:pPr>
              <w:jc w:val="right"/>
              <w:ind w:right="3528"/>
              <w:spacing w:after="0"/>
              <w:rPr>
                <w:sz w:val="20"/>
                <w:szCs w:val="20"/>
                <w:color w:val="auto"/>
              </w:rPr>
            </w:pPr>
            <w:r>
              <w:rPr>
                <w:rFonts w:ascii="Arial" w:cs="Arial" w:eastAsia="Arial" w:hAnsi="Arial"/>
                <w:sz w:val="14"/>
                <w:szCs w:val="14"/>
                <w:color w:val="auto"/>
              </w:rPr>
              <w:t>3.5%</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(2,437)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(2,424)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jc w:val="right"/>
              <w:ind w:right="3528"/>
              <w:spacing w:after="0"/>
              <w:rPr>
                <w:sz w:val="20"/>
                <w:szCs w:val="20"/>
                <w:color w:val="auto"/>
              </w:rPr>
            </w:pPr>
            <w:r>
              <w:rPr>
                <w:rFonts w:ascii="Arial" w:cs="Arial" w:eastAsia="Arial" w:hAnsi="Arial"/>
                <w:sz w:val="14"/>
                <w:szCs w:val="14"/>
                <w:color w:val="auto"/>
              </w:rPr>
              <w:t>4.0%</w:t>
            </w:r>
          </w:p>
        </w:tc>
        <w:tc>
          <w:tcPr>
            <w:tcW w:w="1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15-Year TBAs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4,293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4,303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4,300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30-Year TBA securities:</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80" w:type="dxa"/>
            <w:vAlign w:val="bottom"/>
          </w:tcPr>
          <w:p>
            <w:pPr>
              <w:jc w:val="right"/>
              <w:ind w:right="3528"/>
              <w:spacing w:after="0"/>
              <w:rPr>
                <w:sz w:val="20"/>
                <w:szCs w:val="20"/>
                <w:color w:val="auto"/>
              </w:rPr>
            </w:pPr>
            <w:r>
              <w:rPr>
                <w:rFonts w:ascii="Arial" w:cs="Arial" w:eastAsia="Arial" w:hAnsi="Arial"/>
                <w:sz w:val="14"/>
                <w:szCs w:val="14"/>
                <w:color w:val="auto"/>
              </w:rPr>
              <w:t>3.0%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76"/>
        </w:trPr>
        <w:tc>
          <w:tcPr>
            <w:tcW w:w="4080" w:type="dxa"/>
            <w:vAlign w:val="bottom"/>
            <w:shd w:val="clear" w:color="auto" w:fill="CCEEFF"/>
          </w:tcPr>
          <w:p>
            <w:pPr>
              <w:jc w:val="right"/>
              <w:ind w:right="3528"/>
              <w:spacing w:after="0"/>
              <w:rPr>
                <w:sz w:val="20"/>
                <w:szCs w:val="20"/>
                <w:color w:val="auto"/>
              </w:rPr>
            </w:pPr>
            <w:r>
              <w:rPr>
                <w:rFonts w:ascii="Arial" w:cs="Arial" w:eastAsia="Arial" w:hAnsi="Arial"/>
                <w:sz w:val="14"/>
                <w:szCs w:val="14"/>
                <w:color w:val="auto"/>
              </w:rPr>
              <w:t>3.5%</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4,237</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4080" w:type="dxa"/>
            <w:vAlign w:val="bottom"/>
          </w:tcPr>
          <w:p>
            <w:pPr>
              <w:jc w:val="right"/>
              <w:ind w:right="3528"/>
              <w:spacing w:after="0"/>
              <w:rPr>
                <w:sz w:val="20"/>
                <w:szCs w:val="20"/>
                <w:color w:val="auto"/>
              </w:rPr>
            </w:pPr>
            <w:r>
              <w:rPr>
                <w:rFonts w:ascii="Arial" w:cs="Arial" w:eastAsia="Arial" w:hAnsi="Arial"/>
                <w:sz w:val="14"/>
                <w:szCs w:val="14"/>
                <w:color w:val="auto"/>
              </w:rPr>
              <w:t>4.0%</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6,786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7,054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7,043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0"/>
        </w:trPr>
        <w:tc>
          <w:tcPr>
            <w:tcW w:w="4080" w:type="dxa"/>
            <w:vAlign w:val="bottom"/>
            <w:shd w:val="clear" w:color="auto" w:fill="CCEEFF"/>
          </w:tcPr>
          <w:p>
            <w:pPr>
              <w:jc w:val="right"/>
              <w:ind w:right="3528"/>
              <w:spacing w:after="0"/>
              <w:rPr>
                <w:sz w:val="20"/>
                <w:szCs w:val="20"/>
                <w:color w:val="auto"/>
              </w:rPr>
            </w:pPr>
            <w:r>
              <w:rPr>
                <w:rFonts w:ascii="Arial" w:cs="Arial" w:eastAsia="Arial" w:hAnsi="Arial"/>
                <w:sz w:val="14"/>
                <w:szCs w:val="14"/>
                <w:color w:val="auto"/>
              </w:rPr>
              <w:t>4.5%</w:t>
            </w:r>
          </w:p>
        </w:tc>
        <w:tc>
          <w:tcPr>
            <w:tcW w:w="16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(1,517)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30-Year TBAs</w:t>
            </w: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9,616</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9,824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9,802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43"/>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net TBA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13,909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14,102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on the accompanying consolidated balance sheets.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96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w w:val="93"/>
              </w:rPr>
              <w:t>December 31, 2013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60" w:type="dxa"/>
            <w:vAlign w:val="bottom"/>
            <w:gridSpan w:val="8"/>
          </w:tcPr>
          <w:p>
            <w:pPr>
              <w:jc w:val="center"/>
              <w:ind w:right="920"/>
              <w:spacing w:after="0"/>
              <w:rPr>
                <w:sz w:val="20"/>
                <w:szCs w:val="20"/>
                <w:color w:val="auto"/>
              </w:rPr>
            </w:pPr>
            <w:r>
              <w:rPr>
                <w:rFonts w:ascii="Arial" w:cs="Arial" w:eastAsia="Arial" w:hAnsi="Arial"/>
                <w:sz w:val="14"/>
                <w:szCs w:val="14"/>
                <w:b w:val="1"/>
                <w:bCs w:val="1"/>
                <w:color w:val="auto"/>
                <w:w w:val="98"/>
              </w:rPr>
              <w:t>% Lower Loan</w:t>
            </w:r>
          </w:p>
        </w:tc>
        <w:tc>
          <w:tcPr>
            <w:tcW w:w="1900" w:type="dxa"/>
            <w:vAlign w:val="bottom"/>
            <w:gridSpan w:val="9"/>
          </w:tcPr>
          <w:p>
            <w:pPr>
              <w:spacing w:after="0"/>
              <w:rPr>
                <w:sz w:val="20"/>
                <w:szCs w:val="20"/>
                <w:color w:val="auto"/>
              </w:rPr>
            </w:pPr>
            <w:r>
              <w:rPr>
                <w:rFonts w:ascii="Arial" w:cs="Arial" w:eastAsia="Arial" w:hAnsi="Arial"/>
                <w:sz w:val="14"/>
                <w:szCs w:val="14"/>
                <w:b w:val="1"/>
                <w:bCs w:val="1"/>
                <w:color w:val="auto"/>
              </w:rPr>
              <w:t>Weighted Average</w:t>
            </w:r>
          </w:p>
        </w:tc>
        <w:tc>
          <w:tcPr>
            <w:tcW w:w="12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Projected</w:t>
            </w: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2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gridSpan w:val="2"/>
            <w:vMerge w:val="restart"/>
          </w:tcPr>
          <w:p>
            <w:pPr>
              <w:jc w:val="right"/>
              <w:ind w:right="80"/>
              <w:spacing w:after="0" w:line="139" w:lineRule="exact"/>
              <w:rPr>
                <w:sz w:val="20"/>
                <w:szCs w:val="20"/>
                <w:color w:val="auto"/>
              </w:rPr>
            </w:pPr>
            <w:r>
              <w:rPr>
                <w:rFonts w:ascii="Arial" w:cs="Arial" w:eastAsia="Arial" w:hAnsi="Arial"/>
                <w:sz w:val="14"/>
                <w:szCs w:val="14"/>
                <w:b w:val="1"/>
                <w:bCs w:val="1"/>
                <w:color w:val="auto"/>
                <w:w w:val="99"/>
              </w:rPr>
              <w:t>Amortized</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restart"/>
          </w:tcPr>
          <w:p>
            <w:pPr>
              <w:ind w:left="180"/>
              <w:spacing w:after="0" w:line="139" w:lineRule="exact"/>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3"/>
            <w:vMerge w:val="restart"/>
          </w:tcPr>
          <w:p>
            <w:pPr>
              <w:jc w:val="center"/>
              <w:spacing w:after="0" w:line="139" w:lineRule="exact"/>
              <w:rPr>
                <w:sz w:val="20"/>
                <w:szCs w:val="20"/>
                <w:color w:val="auto"/>
              </w:rPr>
            </w:pPr>
            <w:r>
              <w:rPr>
                <w:rFonts w:ascii="Arial" w:cs="Arial" w:eastAsia="Arial" w:hAnsi="Arial"/>
                <w:sz w:val="14"/>
                <w:szCs w:val="14"/>
                <w:b w:val="1"/>
                <w:bCs w:val="1"/>
                <w:color w:val="auto"/>
                <w:w w:val="94"/>
              </w:rPr>
              <w:t>Balance &amp;</w:t>
            </w: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gridSpan w:val="2"/>
            <w:vMerge w:val="restart"/>
          </w:tcPr>
          <w:p>
            <w:pPr>
              <w:jc w:val="center"/>
              <w:spacing w:after="0" w:line="139" w:lineRule="exact"/>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65"/>
        </w:trPr>
        <w:tc>
          <w:tcPr>
            <w:tcW w:w="60" w:type="dxa"/>
            <w:vAlign w:val="bottom"/>
          </w:tcPr>
          <w:p>
            <w:pPr>
              <w:spacing w:after="0"/>
              <w:rPr>
                <w:sz w:val="5"/>
                <w:szCs w:val="5"/>
                <w:color w:val="auto"/>
              </w:rPr>
            </w:pPr>
          </w:p>
        </w:tc>
        <w:tc>
          <w:tcPr>
            <w:tcW w:w="2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Agency MBS Classified as AFS</w:t>
            </w:r>
          </w:p>
        </w:tc>
        <w:tc>
          <w:tcPr>
            <w:tcW w:w="120" w:type="dxa"/>
            <w:vAlign w:val="bottom"/>
            <w:vMerge w:val="restart"/>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3"/>
              </w:rPr>
              <w:t>Par Value</w:t>
            </w:r>
          </w:p>
        </w:tc>
        <w:tc>
          <w:tcPr>
            <w:tcW w:w="120" w:type="dxa"/>
            <w:vAlign w:val="bottom"/>
            <w:vMerge w:val="restart"/>
          </w:tcPr>
          <w:p>
            <w:pPr>
              <w:spacing w:after="0"/>
              <w:rPr>
                <w:sz w:val="5"/>
                <w:szCs w:val="5"/>
                <w:color w:val="auto"/>
              </w:rPr>
            </w:pPr>
          </w:p>
        </w:tc>
        <w:tc>
          <w:tcPr>
            <w:tcW w:w="16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8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 xml:space="preserve">WAC </w:t>
            </w:r>
            <w:r>
              <w:rPr>
                <w:rFonts w:ascii="Arial" w:cs="Arial" w:eastAsia="Arial" w:hAnsi="Arial"/>
                <w:sz w:val="8"/>
                <w:szCs w:val="8"/>
                <w:b w:val="1"/>
                <w:bCs w:val="1"/>
                <w:color w:val="auto"/>
              </w:rPr>
              <w:t>4</w:t>
            </w:r>
          </w:p>
        </w:tc>
        <w:tc>
          <w:tcPr>
            <w:tcW w:w="120" w:type="dxa"/>
            <w:vAlign w:val="bottom"/>
          </w:tcPr>
          <w:p>
            <w:pPr>
              <w:spacing w:after="0"/>
              <w:rPr>
                <w:sz w:val="5"/>
                <w:szCs w:val="5"/>
                <w:color w:val="auto"/>
              </w:rPr>
            </w:pPr>
          </w:p>
        </w:tc>
        <w:tc>
          <w:tcPr>
            <w:tcW w:w="7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5</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3"/>
              </w:rPr>
              <w:t>Age (Months)</w:t>
            </w:r>
          </w:p>
        </w:tc>
        <w:tc>
          <w:tcPr>
            <w:tcW w:w="12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2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Cost Basis</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 xml:space="preserve">HARP </w:t>
            </w:r>
            <w:r>
              <w:rPr>
                <w:rFonts w:ascii="Arial" w:cs="Arial" w:eastAsia="Arial" w:hAnsi="Arial"/>
                <w:sz w:val="8"/>
                <w:szCs w:val="8"/>
                <w:b w:val="1"/>
                <w:bCs w:val="1"/>
                <w:color w:val="auto"/>
              </w:rPr>
              <w:t>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gridSpan w:val="3"/>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 xml:space="preserve">CPR </w:t>
            </w:r>
            <w:r>
              <w:rPr>
                <w:rFonts w:ascii="Arial" w:cs="Arial" w:eastAsia="Arial" w:hAnsi="Arial"/>
                <w:sz w:val="8"/>
                <w:szCs w:val="8"/>
                <w:b w:val="1"/>
                <w:bCs w:val="1"/>
                <w:color w:val="auto"/>
              </w:rPr>
              <w:t>5</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280" w:type="dxa"/>
            <w:vAlign w:val="bottom"/>
            <w:gridSpan w:val="2"/>
            <w:shd w:val="clear" w:color="auto" w:fill="CCEEFF"/>
          </w:tcPr>
          <w:p>
            <w:pPr>
              <w:ind w:left="700"/>
              <w:spacing w:after="0" w:line="153" w:lineRule="exact"/>
              <w:rPr>
                <w:sz w:val="20"/>
                <w:szCs w:val="20"/>
                <w:color w:val="auto"/>
              </w:rPr>
            </w:pPr>
            <w:r>
              <w:rPr>
                <w:rFonts w:ascii="Arial" w:cs="Arial" w:eastAsia="Arial" w:hAnsi="Arial"/>
                <w:sz w:val="14"/>
                <w:szCs w:val="14"/>
                <w:b w:val="1"/>
                <w:bCs w:val="1"/>
                <w:color w:val="auto"/>
              </w:rPr>
              <w:t>Investments By</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60" w:type="dxa"/>
            <w:vAlign w:val="bottom"/>
          </w:tcPr>
          <w:p>
            <w:pPr>
              <w:spacing w:after="0"/>
              <w:rPr>
                <w:sz w:val="17"/>
                <w:szCs w:val="17"/>
                <w:color w:val="auto"/>
              </w:rPr>
            </w:pPr>
          </w:p>
        </w:tc>
        <w:tc>
          <w:tcPr>
            <w:tcW w:w="2280" w:type="dxa"/>
            <w:vAlign w:val="bottom"/>
            <w:gridSpan w:val="2"/>
            <w:shd w:val="clear" w:color="auto" w:fill="CCEEFF"/>
          </w:tcPr>
          <w:p>
            <w:pPr>
              <w:ind w:left="700"/>
              <w:spacing w:after="0"/>
              <w:rPr>
                <w:sz w:val="20"/>
                <w:szCs w:val="20"/>
                <w:color w:val="auto"/>
              </w:rPr>
            </w:pPr>
            <w:r>
              <w:rPr>
                <w:rFonts w:ascii="Arial" w:cs="Arial" w:eastAsia="Arial" w:hAnsi="Arial"/>
                <w:sz w:val="14"/>
                <w:szCs w:val="14"/>
                <w:b w:val="1"/>
                <w:bCs w:val="1"/>
                <w:color w:val="auto"/>
              </w:rPr>
              <w:t xml:space="preserve">Coupon: </w:t>
            </w:r>
            <w:r>
              <w:rPr>
                <w:rFonts w:ascii="Arial" w:cs="Arial" w:eastAsia="Arial" w:hAnsi="Arial"/>
                <w:sz w:val="8"/>
                <w:szCs w:val="8"/>
                <w:b w:val="1"/>
                <w:bCs w:val="1"/>
                <w:color w:val="auto"/>
              </w:rPr>
              <w:t>1</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280" w:type="dxa"/>
            <w:vAlign w:val="bottom"/>
            <w:gridSpan w:val="2"/>
          </w:tcPr>
          <w:p>
            <w:pPr>
              <w:ind w:left="700"/>
              <w:spacing w:after="0"/>
              <w:rPr>
                <w:sz w:val="20"/>
                <w:szCs w:val="20"/>
                <w:color w:val="auto"/>
              </w:rPr>
            </w:pPr>
            <w:r>
              <w:rPr>
                <w:rFonts w:ascii="Arial" w:cs="Arial" w:eastAsia="Arial" w:hAnsi="Arial"/>
                <w:sz w:val="14"/>
                <w:szCs w:val="14"/>
                <w:color w:val="auto"/>
              </w:rPr>
              <w:t>Fixed Rate</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28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 15-Year</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280" w:type="dxa"/>
            <w:vAlign w:val="bottom"/>
            <w:gridSpan w:val="2"/>
          </w:tcPr>
          <w:p>
            <w:pPr>
              <w:ind w:left="420"/>
              <w:spacing w:after="0"/>
              <w:rPr>
                <w:sz w:val="20"/>
                <w:szCs w:val="20"/>
                <w:color w:val="auto"/>
              </w:rPr>
            </w:pPr>
            <w:r>
              <w:rPr>
                <w:rFonts w:ascii="Arial" w:cs="Arial" w:eastAsia="Arial" w:hAnsi="Arial"/>
                <w:sz w:val="14"/>
                <w:szCs w:val="14"/>
                <w:color w:val="auto"/>
              </w:rPr>
              <w:t>≤ 2.5%</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11,189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11,400</w:t>
            </w:r>
          </w:p>
        </w:tc>
        <w:tc>
          <w:tcPr>
            <w:tcW w:w="100" w:type="dxa"/>
            <w:vAlign w:val="bottom"/>
          </w:tcPr>
          <w:p>
            <w:pPr>
              <w:spacing w:after="0"/>
              <w:rPr>
                <w:sz w:val="22"/>
                <w:szCs w:val="22"/>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101.9%</w:t>
            </w:r>
          </w:p>
        </w:tc>
        <w:tc>
          <w:tcPr>
            <w:tcW w:w="100" w:type="dxa"/>
            <w:vAlign w:val="bottom"/>
          </w:tcPr>
          <w:p>
            <w:pPr>
              <w:spacing w:after="0"/>
              <w:rPr>
                <w:sz w:val="22"/>
                <w:szCs w:val="22"/>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11,109</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31%</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14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6%</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6,037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6,220</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103.0%</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69%</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2.34%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21</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gridSpan w:val="2"/>
          </w:tcPr>
          <w:p>
            <w:pPr>
              <w:ind w:left="44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14,049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14,632</w:t>
            </w:r>
          </w:p>
        </w:tc>
        <w:tc>
          <w:tcPr>
            <w:tcW w:w="100" w:type="dxa"/>
            <w:vAlign w:val="bottom"/>
          </w:tcPr>
          <w:p>
            <w:pPr>
              <w:spacing w:after="0"/>
              <w:rPr>
                <w:sz w:val="22"/>
                <w:szCs w:val="22"/>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104.2%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14,716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51%</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3.93%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31</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5,981</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104.9%</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88%</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4.40%</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9%</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gridSpan w:val="2"/>
          </w:tcPr>
          <w:p>
            <w:pPr>
              <w:ind w:left="44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619</w:t>
            </w:r>
          </w:p>
        </w:tc>
        <w:tc>
          <w:tcPr>
            <w:tcW w:w="100" w:type="dxa"/>
            <w:vAlign w:val="bottom"/>
          </w:tcPr>
          <w:p>
            <w:pPr>
              <w:spacing w:after="0"/>
              <w:rPr>
                <w:sz w:val="22"/>
                <w:szCs w:val="22"/>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105.3%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631</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99%</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3.15%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40</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92"/>
              </w:rPr>
              <w:t>10%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2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auto"/>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92"/>
              </w:rPr>
              <w:t>104.5%</w:t>
            </w: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auto"/>
            </w:tcBorders>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23%</w:t>
            </w:r>
          </w:p>
        </w:tc>
        <w:tc>
          <w:tcPr>
            <w:tcW w:w="2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6.49%</w:t>
            </w:r>
          </w:p>
        </w:tc>
        <w:tc>
          <w:tcPr>
            <w:tcW w:w="100" w:type="dxa"/>
            <w:vAlign w:val="bottom"/>
            <w:tcBorders>
              <w:bottom w:val="single" w:sz="8" w:color="auto"/>
            </w:tcBorders>
            <w:shd w:val="clear" w:color="auto" w:fill="CCEEFF"/>
          </w:tcPr>
          <w:p>
            <w:pPr>
              <w:spacing w:after="0"/>
              <w:rPr>
                <w:sz w:val="23"/>
                <w:szCs w:val="23"/>
                <w:color w:val="auto"/>
              </w:rPr>
            </w:pP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4.40%</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89"/>
              </w:rPr>
              <w:t>73</w:t>
            </w:r>
          </w:p>
        </w:tc>
        <w:tc>
          <w:tcPr>
            <w:tcW w:w="120" w:type="dxa"/>
            <w:vAlign w:val="bottom"/>
            <w:tcBorders>
              <w:bottom w:val="single" w:sz="8" w:color="auto"/>
            </w:tcBorders>
            <w:shd w:val="clear" w:color="auto" w:fill="CCEEFF"/>
          </w:tcPr>
          <w:p>
            <w:pPr>
              <w:spacing w:after="0"/>
              <w:rPr>
                <w:sz w:val="23"/>
                <w:szCs w:val="23"/>
                <w:color w:val="auto"/>
              </w:rPr>
            </w:pP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14%</w:t>
            </w:r>
          </w:p>
        </w:tc>
        <w:tc>
          <w:tcPr>
            <w:tcW w:w="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280" w:type="dxa"/>
            <w:vAlign w:val="bottom"/>
            <w:gridSpan w:val="2"/>
          </w:tcPr>
          <w:p>
            <w:pPr>
              <w:ind w:left="540"/>
              <w:spacing w:after="0"/>
              <w:rPr>
                <w:sz w:val="20"/>
                <w:szCs w:val="20"/>
                <w:color w:val="auto"/>
              </w:rPr>
            </w:pPr>
            <w:r>
              <w:rPr>
                <w:rFonts w:ascii="Arial" w:cs="Arial" w:eastAsia="Arial" w:hAnsi="Arial"/>
                <w:sz w:val="14"/>
                <w:szCs w:val="14"/>
                <w:color w:val="auto"/>
              </w:rPr>
              <w:t>Total ≤ 15-Year</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37,571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38,861</w:t>
            </w:r>
          </w:p>
        </w:tc>
        <w:tc>
          <w:tcPr>
            <w:tcW w:w="100" w:type="dxa"/>
            <w:vAlign w:val="bottom"/>
          </w:tcPr>
          <w:p>
            <w:pPr>
              <w:spacing w:after="0"/>
              <w:rPr>
                <w:sz w:val="21"/>
                <w:szCs w:val="21"/>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103.4%</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38,687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55%</w:t>
            </w:r>
          </w:p>
        </w:tc>
        <w:tc>
          <w:tcPr>
            <w:tcW w:w="200" w:type="dxa"/>
            <w:vAlign w:val="bottom"/>
          </w:tcPr>
          <w:p>
            <w:pPr>
              <w:spacing w:after="0"/>
              <w:rPr>
                <w:sz w:val="21"/>
                <w:szCs w:val="21"/>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2.42%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25</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2280" w:type="dxa"/>
            <w:vAlign w:val="bottom"/>
            <w:tcBorders>
              <w:top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20-Year</w:t>
            </w:r>
          </w:p>
        </w:tc>
        <w:tc>
          <w:tcPr>
            <w:tcW w:w="1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7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280" w:type="dxa"/>
            <w:vAlign w:val="bottom"/>
            <w:gridSpan w:val="2"/>
          </w:tcPr>
          <w:p>
            <w:pPr>
              <w:ind w:left="420"/>
              <w:spacing w:after="0"/>
              <w:rPr>
                <w:sz w:val="20"/>
                <w:szCs w:val="20"/>
                <w:color w:val="auto"/>
              </w:rPr>
            </w:pPr>
            <w:r>
              <w:rPr>
                <w:rFonts w:ascii="Arial" w:cs="Arial" w:eastAsia="Arial" w:hAnsi="Arial"/>
                <w:sz w:val="14"/>
                <w:szCs w:val="14"/>
                <w:color w:val="auto"/>
              </w:rPr>
              <w:t>≤ 3.0%</w:t>
            </w: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347</w:t>
            </w:r>
          </w:p>
        </w:tc>
        <w:tc>
          <w:tcPr>
            <w:tcW w:w="100" w:type="dxa"/>
            <w:vAlign w:val="bottom"/>
          </w:tcPr>
          <w:p>
            <w:pPr>
              <w:spacing w:after="0"/>
              <w:rPr>
                <w:sz w:val="22"/>
                <w:szCs w:val="22"/>
                <w:color w:val="auto"/>
              </w:rPr>
            </w:pPr>
          </w:p>
        </w:tc>
        <w:tc>
          <w:tcPr>
            <w:tcW w:w="1000" w:type="dxa"/>
            <w:vAlign w:val="bottom"/>
            <w:gridSpan w:val="2"/>
          </w:tcPr>
          <w:p>
            <w:pPr>
              <w:jc w:val="center"/>
              <w:ind w:left="228"/>
              <w:spacing w:after="0"/>
              <w:rPr>
                <w:sz w:val="20"/>
                <w:szCs w:val="20"/>
                <w:color w:val="auto"/>
              </w:rPr>
            </w:pPr>
            <w:r>
              <w:rPr>
                <w:rFonts w:ascii="Arial" w:cs="Arial" w:eastAsia="Arial" w:hAnsi="Arial"/>
                <w:sz w:val="14"/>
                <w:szCs w:val="14"/>
                <w:color w:val="auto"/>
                <w:w w:val="95"/>
              </w:rPr>
              <w:t>99.2%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346</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28%</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788</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102.4%</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785</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63%</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10</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6%</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gridSpan w:val="2"/>
          </w:tcPr>
          <w:p>
            <w:pPr>
              <w:ind w:left="440"/>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105.0%</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47%</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4.53%</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28</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125</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107.3%</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97%</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4.89%</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37</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8%</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28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5.0%</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2"/>
              </w:rPr>
              <w:t>106.7%</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5.89%</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3.39%</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89"/>
              </w:rPr>
              <w:t>67</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16%</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2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20-Year:</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1,364</w:t>
            </w:r>
          </w:p>
        </w:tc>
        <w:tc>
          <w:tcPr>
            <w:tcW w:w="10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102.2%</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56%</w:t>
            </w: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4.05%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3.11%</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13</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60" w:type="dxa"/>
            <w:vAlign w:val="bottom"/>
          </w:tcPr>
          <w:p>
            <w:pPr>
              <w:spacing w:after="0"/>
              <w:rPr>
                <w:sz w:val="22"/>
                <w:szCs w:val="22"/>
                <w:color w:val="auto"/>
              </w:rPr>
            </w:pPr>
          </w:p>
        </w:tc>
        <w:tc>
          <w:tcPr>
            <w:tcW w:w="2280" w:type="dxa"/>
            <w:vAlign w:val="bottom"/>
            <w:gridSpan w:val="2"/>
          </w:tcPr>
          <w:p>
            <w:pPr>
              <w:ind w:left="540"/>
              <w:spacing w:after="0"/>
              <w:rPr>
                <w:sz w:val="20"/>
                <w:szCs w:val="20"/>
                <w:color w:val="auto"/>
              </w:rPr>
            </w:pPr>
            <w:r>
              <w:rPr>
                <w:rFonts w:ascii="Arial" w:cs="Arial" w:eastAsia="Arial" w:hAnsi="Arial"/>
                <w:sz w:val="14"/>
                <w:szCs w:val="14"/>
                <w:color w:val="auto"/>
              </w:rPr>
              <w:t>30-Year:</w:t>
            </w:r>
          </w:p>
        </w:tc>
        <w:tc>
          <w:tcPr>
            <w:tcW w:w="10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2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 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101.8%</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69%</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2.78%</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11</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5%</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gridSpan w:val="2"/>
          </w:tcPr>
          <w:p>
            <w:pPr>
              <w:ind w:left="44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8,530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9,051</w:t>
            </w:r>
          </w:p>
        </w:tc>
        <w:tc>
          <w:tcPr>
            <w:tcW w:w="100" w:type="dxa"/>
            <w:vAlign w:val="bottom"/>
          </w:tcPr>
          <w:p>
            <w:pPr>
              <w:spacing w:after="0"/>
              <w:rPr>
                <w:sz w:val="22"/>
                <w:szCs w:val="22"/>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106.1%</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8,477</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99%</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4.02%</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19</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9,669</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106.5%</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9,359</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92%</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22</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6%</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gridSpan w:val="2"/>
          </w:tcPr>
          <w:p>
            <w:pPr>
              <w:ind w:left="440"/>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4,075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4,355</w:t>
            </w:r>
          </w:p>
        </w:tc>
        <w:tc>
          <w:tcPr>
            <w:tcW w:w="100" w:type="dxa"/>
            <w:vAlign w:val="bottom"/>
          </w:tcPr>
          <w:p>
            <w:pPr>
              <w:spacing w:after="0"/>
              <w:rPr>
                <w:sz w:val="22"/>
                <w:szCs w:val="22"/>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106.9%</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4,332</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88%</w:t>
            </w:r>
          </w:p>
        </w:tc>
        <w:tc>
          <w:tcPr>
            <w:tcW w:w="200" w:type="dxa"/>
            <w:vAlign w:val="bottom"/>
          </w:tcPr>
          <w:p>
            <w:pPr>
              <w:spacing w:after="0"/>
              <w:rPr>
                <w:sz w:val="22"/>
                <w:szCs w:val="22"/>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3.53%</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33</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226</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106.6%</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229</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65%</w:t>
            </w:r>
          </w:p>
        </w:tc>
        <w:tc>
          <w:tcPr>
            <w:tcW w:w="200" w:type="dxa"/>
            <w:vAlign w:val="bottom"/>
            <w:shd w:val="clear" w:color="auto" w:fill="CCEEFF"/>
          </w:tcPr>
          <w:p>
            <w:pPr>
              <w:spacing w:after="0"/>
              <w:rPr>
                <w:sz w:val="24"/>
                <w:szCs w:val="24"/>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69</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2"/>
              </w:rPr>
              <w:t>10%</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280" w:type="dxa"/>
            <w:vAlign w:val="bottom"/>
            <w:tcBorders>
              <w:bottom w:val="single" w:sz="8" w:color="CCEEFF"/>
            </w:tcBorders>
            <w:gridSpan w:val="2"/>
          </w:tcPr>
          <w:p>
            <w:pPr>
              <w:ind w:left="380"/>
              <w:spacing w:after="0"/>
              <w:rPr>
                <w:sz w:val="20"/>
                <w:szCs w:val="20"/>
                <w:color w:val="auto"/>
              </w:rPr>
            </w:pPr>
            <w:r>
              <w:rPr>
                <w:rFonts w:ascii="Arial" w:cs="Arial" w:eastAsia="Arial" w:hAnsi="Arial"/>
                <w:sz w:val="14"/>
                <w:szCs w:val="14"/>
                <w:color w:val="auto"/>
              </w:rPr>
              <w:t>≥ 5.5%</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2"/>
              </w:rPr>
              <w:t>108.8%</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298</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2"/>
          </w:tcPr>
          <w:p>
            <w:pPr>
              <w:jc w:val="center"/>
              <w:ind w:left="188"/>
              <w:spacing w:after="0"/>
              <w:rPr>
                <w:sz w:val="20"/>
                <w:szCs w:val="20"/>
                <w:color w:val="auto"/>
              </w:rPr>
            </w:pPr>
            <w:r>
              <w:rPr>
                <w:rFonts w:ascii="Arial" w:cs="Arial" w:eastAsia="Arial" w:hAnsi="Arial"/>
                <w:sz w:val="14"/>
                <w:szCs w:val="14"/>
                <w:color w:val="auto"/>
                <w:w w:val="92"/>
              </w:rPr>
              <w:t>36%</w:t>
            </w: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6.25%</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3.46%</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89"/>
              </w:rPr>
              <w:t>84</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19%</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28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Total 30-Year</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22,395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23,832</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center"/>
              <w:ind w:left="68"/>
              <w:spacing w:after="0"/>
              <w:rPr>
                <w:sz w:val="20"/>
                <w:szCs w:val="20"/>
                <w:color w:val="auto"/>
              </w:rPr>
            </w:pPr>
            <w:r>
              <w:rPr>
                <w:rFonts w:ascii="Arial" w:cs="Arial" w:eastAsia="Arial" w:hAnsi="Arial"/>
                <w:sz w:val="14"/>
                <w:szCs w:val="14"/>
                <w:color w:val="auto"/>
                <w:w w:val="92"/>
              </w:rPr>
              <w:t>106.4%</w:t>
            </w:r>
          </w:p>
        </w:tc>
        <w:tc>
          <w:tcPr>
            <w:tcW w:w="1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22,915</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93%</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4.41%</w:t>
            </w:r>
          </w:p>
        </w:tc>
        <w:tc>
          <w:tcPr>
            <w:tcW w:w="1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center"/>
              <w:ind w:left="88"/>
              <w:spacing w:after="0"/>
              <w:rPr>
                <w:sz w:val="20"/>
                <w:szCs w:val="20"/>
                <w:color w:val="auto"/>
              </w:rPr>
            </w:pPr>
            <w:r>
              <w:rPr>
                <w:rFonts w:ascii="Arial" w:cs="Arial" w:eastAsia="Arial" w:hAnsi="Arial"/>
                <w:sz w:val="14"/>
                <w:szCs w:val="14"/>
                <w:color w:val="auto"/>
                <w:w w:val="89"/>
              </w:rPr>
              <w:t>24</w:t>
            </w:r>
          </w:p>
        </w:tc>
        <w:tc>
          <w:tcPr>
            <w:tcW w:w="1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6%</w:t>
            </w:r>
          </w:p>
        </w:tc>
        <w:tc>
          <w:tcPr>
            <w:tcW w:w="6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280" w:type="dxa"/>
            <w:vAlign w:val="bottom"/>
            <w:gridSpan w:val="2"/>
          </w:tcPr>
          <w:p>
            <w:pPr>
              <w:ind w:left="20"/>
              <w:spacing w:after="0"/>
              <w:rPr>
                <w:sz w:val="20"/>
                <w:szCs w:val="20"/>
                <w:color w:val="auto"/>
              </w:rPr>
            </w:pPr>
            <w:r>
              <w:rPr>
                <w:rFonts w:ascii="Arial" w:cs="Arial" w:eastAsia="Arial" w:hAnsi="Arial"/>
                <w:sz w:val="14"/>
                <w:szCs w:val="14"/>
                <w:color w:val="auto"/>
              </w:rPr>
              <w:t>Total Fixed Rate</w:t>
            </w:r>
          </w:p>
        </w:tc>
        <w:tc>
          <w:tcPr>
            <w:tcW w:w="1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61,301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64,057</w:t>
            </w:r>
          </w:p>
        </w:tc>
        <w:tc>
          <w:tcPr>
            <w:tcW w:w="100" w:type="dxa"/>
            <w:vAlign w:val="bottom"/>
          </w:tcPr>
          <w:p>
            <w:pPr>
              <w:spacing w:after="0"/>
              <w:rPr>
                <w:sz w:val="21"/>
                <w:szCs w:val="21"/>
                <w:color w:val="auto"/>
              </w:rPr>
            </w:pPr>
          </w:p>
        </w:tc>
        <w:tc>
          <w:tcPr>
            <w:tcW w:w="1000" w:type="dxa"/>
            <w:vAlign w:val="bottom"/>
            <w:gridSpan w:val="2"/>
          </w:tcPr>
          <w:p>
            <w:pPr>
              <w:jc w:val="center"/>
              <w:ind w:left="208"/>
              <w:spacing w:after="0"/>
              <w:rPr>
                <w:sz w:val="20"/>
                <w:szCs w:val="20"/>
                <w:color w:val="auto"/>
              </w:rPr>
            </w:pPr>
            <w:r>
              <w:rPr>
                <w:rFonts w:ascii="Arial" w:cs="Arial" w:eastAsia="Arial" w:hAnsi="Arial"/>
                <w:sz w:val="14"/>
                <w:szCs w:val="14"/>
                <w:color w:val="auto"/>
                <w:w w:val="92"/>
              </w:rPr>
              <w:t>104.5%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62,961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gridSpan w:val="2"/>
          </w:tcPr>
          <w:p>
            <w:pPr>
              <w:jc w:val="center"/>
              <w:ind w:left="188"/>
              <w:spacing w:after="0"/>
              <w:rPr>
                <w:sz w:val="20"/>
                <w:szCs w:val="20"/>
                <w:color w:val="auto"/>
              </w:rPr>
            </w:pPr>
            <w:r>
              <w:rPr>
                <w:rFonts w:ascii="Arial" w:cs="Arial" w:eastAsia="Arial" w:hAnsi="Arial"/>
                <w:sz w:val="14"/>
                <w:szCs w:val="14"/>
                <w:color w:val="auto"/>
                <w:w w:val="92"/>
              </w:rPr>
              <w:t>69%</w:t>
            </w:r>
          </w:p>
        </w:tc>
        <w:tc>
          <w:tcPr>
            <w:tcW w:w="200" w:type="dxa"/>
            <w:vAlign w:val="bottom"/>
          </w:tcPr>
          <w:p>
            <w:pPr>
              <w:spacing w:after="0"/>
              <w:rPr>
                <w:sz w:val="21"/>
                <w:szCs w:val="21"/>
                <w:color w:val="auto"/>
              </w:rPr>
            </w:pPr>
          </w:p>
        </w:tc>
        <w:tc>
          <w:tcPr>
            <w:tcW w:w="820" w:type="dxa"/>
            <w:vAlign w:val="bottom"/>
            <w:gridSpan w:val="3"/>
          </w:tcPr>
          <w:p>
            <w:pPr>
              <w:ind w:left="400"/>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tcPr>
          <w:p>
            <w:pPr>
              <w:ind w:left="320"/>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gridSpan w:val="3"/>
          </w:tcPr>
          <w:p>
            <w:pPr>
              <w:jc w:val="center"/>
              <w:ind w:left="228"/>
              <w:spacing w:after="0"/>
              <w:rPr>
                <w:sz w:val="20"/>
                <w:szCs w:val="20"/>
                <w:color w:val="auto"/>
              </w:rPr>
            </w:pPr>
            <w:r>
              <w:rPr>
                <w:rFonts w:ascii="Arial" w:cs="Arial" w:eastAsia="Arial" w:hAnsi="Arial"/>
                <w:sz w:val="14"/>
                <w:szCs w:val="14"/>
                <w:color w:val="auto"/>
                <w:w w:val="89"/>
              </w:rPr>
              <w:t>24</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gridSpan w:val="2"/>
          </w:tcPr>
          <w:p>
            <w:pPr>
              <w:jc w:val="center"/>
              <w:ind w:left="108"/>
              <w:spacing w:after="0"/>
              <w:rPr>
                <w:sz w:val="20"/>
                <w:szCs w:val="20"/>
                <w:color w:val="auto"/>
              </w:rPr>
            </w:pPr>
            <w:r>
              <w:rPr>
                <w:rFonts w:ascii="Arial" w:cs="Arial" w:eastAsia="Arial" w:hAnsi="Arial"/>
                <w:sz w:val="14"/>
                <w:szCs w:val="14"/>
                <w:color w:val="auto"/>
                <w:w w:val="88"/>
              </w:rPr>
              <w:t>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Adjustable Rate</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1,223</w:t>
            </w:r>
          </w:p>
        </w:tc>
        <w:tc>
          <w:tcPr>
            <w:tcW w:w="10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102.2%</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1,235</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98"/>
              </w:rPr>
              <w:t>—%</w:t>
            </w: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26</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2"/>
              </w:rPr>
              <w:t>17%</w:t>
            </w: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22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CMO</w:t>
            </w: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1,280</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1,313</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color w:val="auto"/>
                <w:w w:val="92"/>
              </w:rPr>
              <w:t>102.6%</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8"/>
              </w:rPr>
              <w:t>—%</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4.30%</w:t>
            </w: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color w:val="auto"/>
              </w:rPr>
              <w:t>2.88%</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w w:val="89"/>
              </w:rPr>
              <w:t>21</w:t>
            </w: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7%</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Total / Weighted Average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63,777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66,593</w:t>
            </w: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2"/>
              </w:rPr>
              <w:t>104.4%</w:t>
            </w:r>
          </w:p>
        </w:tc>
        <w:tc>
          <w:tcPr>
            <w:tcW w:w="100" w:type="dxa"/>
            <w:vAlign w:val="bottom"/>
            <w:shd w:val="clear" w:color="auto" w:fill="CCEEFF"/>
          </w:tcPr>
          <w:p>
            <w:pPr>
              <w:spacing w:after="0"/>
              <w:rPr>
                <w:sz w:val="21"/>
                <w:szCs w:val="21"/>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65,504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center"/>
              <w:ind w:left="188"/>
              <w:spacing w:after="0"/>
              <w:rPr>
                <w:sz w:val="20"/>
                <w:szCs w:val="20"/>
                <w:color w:val="auto"/>
              </w:rPr>
            </w:pPr>
            <w:r>
              <w:rPr>
                <w:rFonts w:ascii="Arial" w:cs="Arial" w:eastAsia="Arial" w:hAnsi="Arial"/>
                <w:sz w:val="14"/>
                <w:szCs w:val="14"/>
                <w:color w:val="auto"/>
                <w:w w:val="92"/>
              </w:rPr>
              <w:t>66%</w:t>
            </w: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ind w:left="400"/>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2.68%</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center"/>
              <w:ind w:left="228"/>
              <w:spacing w:after="0"/>
              <w:rPr>
                <w:sz w:val="20"/>
                <w:szCs w:val="20"/>
                <w:color w:val="auto"/>
              </w:rPr>
            </w:pPr>
            <w:r>
              <w:rPr>
                <w:rFonts w:ascii="Arial" w:cs="Arial" w:eastAsia="Arial" w:hAnsi="Arial"/>
                <w:sz w:val="14"/>
                <w:szCs w:val="14"/>
                <w:color w:val="auto"/>
                <w:w w:val="89"/>
              </w:rPr>
              <w:t>24</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88"/>
              </w:rPr>
              <w:t>7%</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w w:val="99"/>
              </w:rPr>
              <w:t>December 31, 2013</w:t>
            </w: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3"/>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Underlying</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7"/>
            <w:vMerge w:val="restart"/>
          </w:tcPr>
          <w:p>
            <w:pPr>
              <w:ind w:left="520"/>
              <w:spacing w:after="0"/>
              <w:rPr>
                <w:sz w:val="20"/>
                <w:szCs w:val="20"/>
                <w:color w:val="auto"/>
              </w:rPr>
            </w:pPr>
            <w:r>
              <w:rPr>
                <w:rFonts w:ascii="Arial" w:cs="Arial" w:eastAsia="Arial" w:hAnsi="Arial"/>
                <w:sz w:val="14"/>
                <w:szCs w:val="14"/>
                <w:b w:val="1"/>
                <w:bCs w:val="1"/>
                <w:color w:val="auto"/>
                <w:w w:val="90"/>
              </w:rPr>
              <w:t>Weighted Average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94"/>
              </w:rPr>
              <w:t>Unamortized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7"/>
            <w:vMerge w:val="continue"/>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200" w:type="dxa"/>
            <w:vAlign w:val="bottom"/>
            <w:gridSpan w:val="8"/>
            <w:vMerge w:val="restart"/>
          </w:tcPr>
          <w:p>
            <w:pPr>
              <w:ind w:left="40"/>
              <w:spacing w:after="0"/>
              <w:rPr>
                <w:sz w:val="20"/>
                <w:szCs w:val="20"/>
                <w:color w:val="auto"/>
              </w:rPr>
            </w:pPr>
            <w:r>
              <w:rPr>
                <w:rFonts w:ascii="Arial" w:cs="Arial" w:eastAsia="Arial" w:hAnsi="Arial"/>
                <w:sz w:val="14"/>
                <w:szCs w:val="14"/>
                <w:b w:val="1"/>
                <w:bCs w:val="1"/>
                <w:color w:val="auto"/>
              </w:rPr>
              <w:t>Agency MBS Remeasured at Fair Value Through Earnings</w:t>
            </w:r>
          </w:p>
        </w:tc>
        <w:tc>
          <w:tcPr>
            <w:tcW w:w="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Principal</w:t>
            </w:r>
          </w:p>
        </w:tc>
        <w:tc>
          <w:tcPr>
            <w:tcW w:w="60" w:type="dxa"/>
            <w:vAlign w:val="bottom"/>
          </w:tcPr>
          <w:p>
            <w:pPr>
              <w:spacing w:after="0"/>
              <w:rPr>
                <w:sz w:val="12"/>
                <w:szCs w:val="12"/>
                <w:color w:val="auto"/>
              </w:rPr>
            </w:pPr>
          </w:p>
        </w:tc>
        <w:tc>
          <w:tcPr>
            <w:tcW w:w="1020" w:type="dxa"/>
            <w:vAlign w:val="bottom"/>
            <w:gridSpan w:val="4"/>
          </w:tcPr>
          <w:p>
            <w:pPr>
              <w:ind w:left="120"/>
              <w:spacing w:after="0" w:line="149" w:lineRule="exact"/>
              <w:rPr>
                <w:sz w:val="20"/>
                <w:szCs w:val="20"/>
                <w:color w:val="auto"/>
              </w:rPr>
            </w:pPr>
            <w:r>
              <w:rPr>
                <w:rFonts w:ascii="Arial" w:cs="Arial" w:eastAsia="Arial" w:hAnsi="Arial"/>
                <w:sz w:val="14"/>
                <w:szCs w:val="14"/>
                <w:b w:val="1"/>
                <w:bCs w:val="1"/>
                <w:color w:val="auto"/>
              </w:rPr>
              <w:t>Amortized</w:t>
            </w:r>
          </w:p>
        </w:tc>
        <w:tc>
          <w:tcPr>
            <w:tcW w:w="40" w:type="dxa"/>
            <w:vAlign w:val="bottom"/>
          </w:tcPr>
          <w:p>
            <w:pPr>
              <w:spacing w:after="0"/>
              <w:rPr>
                <w:sz w:val="12"/>
                <w:szCs w:val="12"/>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200" w:type="dxa"/>
            <w:vAlign w:val="bottom"/>
            <w:vMerge w:val="restart"/>
          </w:tcPr>
          <w:p>
            <w:pPr>
              <w:spacing w:after="0"/>
              <w:rPr>
                <w:sz w:val="12"/>
                <w:szCs w:val="12"/>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Coupon </w:t>
            </w:r>
            <w:r>
              <w:rPr>
                <w:rFonts w:ascii="Arial" w:cs="Arial" w:eastAsia="Arial" w:hAnsi="Arial"/>
                <w:sz w:val="8"/>
                <w:szCs w:val="8"/>
                <w:b w:val="1"/>
                <w:bCs w:val="1"/>
                <w:color w:val="auto"/>
              </w:rPr>
              <w:t>1</w:t>
            </w:r>
          </w:p>
        </w:tc>
        <w:tc>
          <w:tcPr>
            <w:tcW w:w="10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Yield </w:t>
            </w:r>
            <w:r>
              <w:rPr>
                <w:rFonts w:ascii="Arial" w:cs="Arial" w:eastAsia="Arial" w:hAnsi="Arial"/>
                <w:sz w:val="8"/>
                <w:szCs w:val="8"/>
                <w:b w:val="1"/>
                <w:bCs w:val="1"/>
                <w:color w:val="auto"/>
              </w:rPr>
              <w:t>5</w:t>
            </w:r>
          </w:p>
        </w:tc>
        <w:tc>
          <w:tcPr>
            <w:tcW w:w="1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Age (Months)</w:t>
            </w:r>
          </w:p>
        </w:tc>
        <w:tc>
          <w:tcPr>
            <w:tcW w:w="1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Projected Life</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CCEEFF"/>
            </w:tcBorders>
            <w:gridSpan w:val="8"/>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gridSpan w:val="3"/>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4"/>
              </w:rPr>
              <w:t xml:space="preserve">CPR </w:t>
            </w:r>
            <w:r>
              <w:rPr>
                <w:rFonts w:ascii="Arial" w:cs="Arial" w:eastAsia="Arial" w:hAnsi="Arial"/>
                <w:sz w:val="8"/>
                <w:szCs w:val="8"/>
                <w:b w:val="1"/>
                <w:bCs w:val="1"/>
                <w:color w:val="auto"/>
                <w:w w:val="94"/>
              </w:rPr>
              <w:t>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23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Interest-Only Strips</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223</w:t>
            </w:r>
          </w:p>
        </w:tc>
        <w:tc>
          <w:tcPr>
            <w:tcW w:w="80" w:type="dxa"/>
            <w:vAlign w:val="bottom"/>
            <w:shd w:val="clear" w:color="auto" w:fill="CCEEFF"/>
          </w:tcPr>
          <w:p>
            <w:pPr>
              <w:spacing w:after="0"/>
              <w:rPr>
                <w:sz w:val="22"/>
                <w:szCs w:val="22"/>
                <w:color w:val="auto"/>
              </w:rPr>
            </w:pPr>
          </w:p>
        </w:tc>
        <w:tc>
          <w:tcPr>
            <w:tcW w:w="1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center"/>
              <w:ind w:right="128"/>
              <w:spacing w:after="0"/>
              <w:rPr>
                <w:sz w:val="20"/>
                <w:szCs w:val="20"/>
                <w:color w:val="auto"/>
              </w:rPr>
            </w:pPr>
            <w:r>
              <w:rPr>
                <w:rFonts w:ascii="Arial" w:cs="Arial" w:eastAsia="Arial" w:hAnsi="Arial"/>
                <w:sz w:val="14"/>
                <w:szCs w:val="14"/>
                <w:color w:val="auto"/>
                <w:w w:val="95"/>
              </w:rPr>
              <w:t>5.50%</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7.63%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9"/>
              </w:rPr>
              <w:t>45</w:t>
            </w: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85"/>
              </w:rPr>
              <w:t>11%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34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color w:val="auto"/>
              </w:rPr>
              <w:t>Principal-Only Strips</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76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271</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center"/>
              <w:ind w:right="228"/>
              <w:spacing w:after="0"/>
              <w:rPr>
                <w:sz w:val="20"/>
                <w:szCs w:val="20"/>
                <w:color w:val="auto"/>
              </w:rPr>
            </w:pPr>
            <w:r>
              <w:rPr>
                <w:rFonts w:ascii="Arial" w:cs="Arial" w:eastAsia="Arial" w:hAnsi="Arial"/>
                <w:sz w:val="14"/>
                <w:szCs w:val="14"/>
                <w:color w:val="auto"/>
                <w:w w:val="98"/>
              </w:rPr>
              <w:t>—%</w:t>
            </w:r>
          </w:p>
        </w:tc>
        <w:tc>
          <w:tcPr>
            <w:tcW w:w="10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89"/>
              </w:rPr>
              <w:t>25</w:t>
            </w: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8"/>
              </w:rPr>
              <w:t>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Total / Weighted Average</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1,650</w:t>
            </w:r>
          </w:p>
        </w:tc>
        <w:tc>
          <w:tcPr>
            <w:tcW w:w="10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c>
          <w:tcPr>
            <w:tcW w:w="80" w:type="dxa"/>
            <w:vAlign w:val="bottom"/>
            <w:shd w:val="clear" w:color="auto" w:fill="CCEEFF"/>
          </w:tcPr>
          <w:p>
            <w:pPr>
              <w:spacing w:after="0"/>
              <w:rPr>
                <w:sz w:val="21"/>
                <w:szCs w:val="21"/>
                <w:color w:val="auto"/>
              </w:rPr>
            </w:pPr>
          </w:p>
        </w:tc>
        <w:tc>
          <w:tcPr>
            <w:tcW w:w="140" w:type="dxa"/>
            <w:vAlign w:val="bottom"/>
            <w:gridSpan w:val="3"/>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center"/>
              <w:ind w:right="128"/>
              <w:spacing w:after="0"/>
              <w:rPr>
                <w:sz w:val="20"/>
                <w:szCs w:val="20"/>
                <w:color w:val="auto"/>
              </w:rPr>
            </w:pPr>
            <w:r>
              <w:rPr>
                <w:rFonts w:ascii="Arial" w:cs="Arial" w:eastAsia="Arial" w:hAnsi="Arial"/>
                <w:sz w:val="14"/>
                <w:szCs w:val="14"/>
                <w:color w:val="auto"/>
                <w:w w:val="95"/>
              </w:rPr>
              <w:t>4.59%</w:t>
            </w:r>
          </w:p>
        </w:tc>
        <w:tc>
          <w:tcPr>
            <w:tcW w:w="1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5.80%</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9"/>
              </w:rPr>
              <w:t>35</w:t>
            </w:r>
          </w:p>
        </w:tc>
        <w:tc>
          <w:tcPr>
            <w:tcW w:w="1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8"/>
              </w:rPr>
              <w:t>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w w:val="99"/>
              </w:rPr>
              <w:t>______________________</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weighted average coupon on our agency MBS classified as "AFS" held as of December 31, 2013 was 3.47% and the weighted average coupon on our total agency MBS portfolio, including agency MBS remeasured at fair value through earnings, held as of December 31, 2013 was 3.58%.</w:t>
      </w:r>
    </w:p>
    <w:p>
      <w:pPr>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Lower loan balance securities represent pools backed by an original loan balance of up to ≤ $150,000. Our lower loan balance securities had a weighted average original loan balance of $100,000 and $95,000 for 15-year and 30-year securities, respectively, as of December 31, 2013.</w:t>
      </w:r>
    </w:p>
    <w:p>
      <w:pPr>
        <w:ind w:left="660" w:hanging="328"/>
        <w:spacing w:after="0" w:line="241" w:lineRule="auto"/>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HARP securities are defined as pools backed by100% refinance loans with LTVs ≥ 80%. Our HARP securities had a weighted average LTV of 106% and 105% for 15-year and 30-year securities, respectively, as of December 31, 2013.</w:t>
      </w: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WAC represents the weighted average coupon of the underlying collateral.</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Portfolio yield incorporates a projected life CPR assumption based on forward rate assumptions as of December 31, 2013.</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806" w:right="239" w:bottom="1440" w:gutter="0" w:footer="0" w:header="0"/>
        </w:sectPr>
      </w:pPr>
    </w:p>
    <w:bookmarkStart w:id="32" w:name="page33"/>
    <w:bookmarkEnd w:id="32"/>
    <w:tbl>
      <w:tblPr>
        <w:tblLayout w:type="fixed"/>
        <w:tblInd w:w="142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December 31, 2013</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Notional</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Market</w:t>
            </w:r>
          </w:p>
        </w:tc>
        <w:tc>
          <w:tcPr>
            <w:tcW w:w="120" w:type="dxa"/>
            <w:vAlign w:val="bottom"/>
          </w:tcPr>
          <w:p>
            <w:pPr>
              <w:spacing w:after="0"/>
              <w:rPr>
                <w:sz w:val="13"/>
                <w:szCs w:val="13"/>
                <w:color w:val="auto"/>
              </w:rPr>
            </w:pPr>
          </w:p>
        </w:tc>
        <w:tc>
          <w:tcPr>
            <w:tcW w:w="10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9"/>
        </w:trPr>
        <w:tc>
          <w:tcPr>
            <w:tcW w:w="3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TBA Securities</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9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1"/>
              </w:rPr>
              <w:t xml:space="preserve">Cost Basis </w:t>
            </w:r>
            <w:r>
              <w:rPr>
                <w:rFonts w:ascii="Arial" w:cs="Arial" w:eastAsia="Arial" w:hAnsi="Arial"/>
                <w:sz w:val="8"/>
                <w:szCs w:val="8"/>
                <w:b w:val="1"/>
                <w:bCs w:val="1"/>
                <w:color w:val="auto"/>
                <w:w w:val="91"/>
              </w:rPr>
              <w:t>2</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 xml:space="preserve">Long / (Short) </w:t>
            </w:r>
            <w:r>
              <w:rPr>
                <w:rFonts w:ascii="Arial" w:cs="Arial" w:eastAsia="Arial" w:hAnsi="Arial"/>
                <w:sz w:val="8"/>
                <w:szCs w:val="8"/>
                <w:b w:val="1"/>
                <w:bCs w:val="1"/>
                <w:color w:val="auto"/>
                <w:w w:val="93"/>
              </w:rPr>
              <w:t>1</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3</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8"/>
                <w:szCs w:val="8"/>
                <w:b w:val="1"/>
                <w:bCs w:val="1"/>
                <w:color w:val="auto"/>
              </w:rPr>
              <w:t>4</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15-Year TBA securities</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80" w:type="dxa"/>
            <w:vAlign w:val="bottom"/>
          </w:tcPr>
          <w:p>
            <w:pPr>
              <w:jc w:val="right"/>
              <w:ind w:right="30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(1,174)</w:t>
            </w:r>
          </w:p>
        </w:tc>
        <w:tc>
          <w:tcPr>
            <w:tcW w:w="100" w:type="dxa"/>
            <w:vAlign w:val="bottom"/>
          </w:tcPr>
          <w:p>
            <w:pPr>
              <w:spacing w:after="0"/>
              <w:rPr>
                <w:sz w:val="22"/>
                <w:szCs w:val="22"/>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(1,171)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6"/>
        </w:trPr>
        <w:tc>
          <w:tcPr>
            <w:tcW w:w="3580" w:type="dxa"/>
            <w:vAlign w:val="bottom"/>
            <w:shd w:val="clear" w:color="auto" w:fill="CCEEFF"/>
          </w:tcPr>
          <w:p>
            <w:pPr>
              <w:jc w:val="right"/>
              <w:ind w:right="302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4"/>
        </w:trPr>
        <w:tc>
          <w:tcPr>
            <w:tcW w:w="3580" w:type="dxa"/>
            <w:vAlign w:val="bottom"/>
          </w:tcPr>
          <w:p>
            <w:pPr>
              <w:jc w:val="right"/>
              <w:ind w:right="30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jc w:val="right"/>
              <w:ind w:right="30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15-Year TBAs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(4,146)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30-Year TBA securities</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580" w:type="dxa"/>
            <w:vAlign w:val="bottom"/>
          </w:tcPr>
          <w:p>
            <w:pPr>
              <w:jc w:val="right"/>
              <w:ind w:right="302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80" w:type="dxa"/>
            <w:vAlign w:val="bottom"/>
            <w:shd w:val="clear" w:color="auto" w:fill="CCEEFF"/>
          </w:tcPr>
          <w:p>
            <w:pPr>
              <w:jc w:val="right"/>
              <w:ind w:right="30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3580" w:type="dxa"/>
            <w:vAlign w:val="bottom"/>
          </w:tcPr>
          <w:p>
            <w:pPr>
              <w:jc w:val="right"/>
              <w:ind w:right="3028"/>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4,131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4,274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4,256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jc w:val="right"/>
              <w:ind w:right="302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1,425</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1,510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1,511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37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Total 30-Year TBAs</w:t>
            </w: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6,210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6,434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6,417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43"/>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 net TBA securities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________________________</w:t>
      </w:r>
    </w:p>
    <w:p>
      <w:pPr>
        <w:spacing w:after="0" w:line="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Notional amount represents the par value (or principal balance) of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Cost basis represents the forward price to be paid (received) for the underlying agency security.</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Market value represents the current market value of the TBA contract (or of the underlying agency security) as of period-end.</w:t>
      </w:r>
    </w:p>
    <w:p>
      <w:pPr>
        <w:spacing w:after="0" w:line="1" w:lineRule="exact"/>
        <w:rPr>
          <w:rFonts w:ascii="Arial" w:cs="Arial" w:eastAsia="Arial" w:hAnsi="Arial"/>
          <w:sz w:val="14"/>
          <w:szCs w:val="14"/>
          <w:color w:val="auto"/>
        </w:rPr>
      </w:pPr>
    </w:p>
    <w:p>
      <w:pPr>
        <w:ind w:left="660" w:hanging="328"/>
        <w:spacing w:after="0" w:line="255" w:lineRule="auto"/>
        <w:tabs>
          <w:tab w:leader="none" w:pos="6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Net carrying value represents the difference between the market value and the cost basis of the TBA contract as of period-end and is reported in derivative assets / (liabilities), at fair value on the accompanying consolidated balance sheets.</w:t>
      </w:r>
    </w:p>
    <w:p>
      <w:pPr>
        <w:spacing w:after="0" w:line="29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March 31, 2014 and December 31, 2013, the combined weighted average yield of our agency MBS portfolio, inclusive of interest and principal-only strips, was 2.72% and 2.70%, respectively.</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stated contractual final maturity of the mortgage loans underlying our agency MBS portfolio ranges up to 40 years. As of March 31, 2014 and December 31, 2013, the weighted average final contractual maturity of our agency MBS portfolio was 20 and 19 years, respectively.</w:t>
      </w:r>
    </w:p>
    <w:p>
      <w:pPr>
        <w:spacing w:after="0" w:line="116"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actual maturities of agency MBS are generally shorter than their stated contractual maturities primarily as a result of prepayments of principal of the underlying mortgages. The weighted average expected maturity of our agency MBS portfolio was 5.2 and 6.5 years as of March 31, 2014 and December 31, 2013, respectively. In determining the estimated weighted average years to maturity of our agency MBS and the yield on our agency MBS, we have assumed a weighted average CPR over the remaining life of our agency MBS portfolio of 8% and 7% as of March 31, 2014 and December 31, 2013, respectively. We amortize or accrete premiums and discounts associated with purchases of our agency MBS into interest income over the estimated life of our securities based on actual and projected CPRs, using the effective yield method. Since the weighted average cost basis of our agency MBS portfolio, including principal and interest-only strips, was 104.8% of par value as of March 31, 2014, slower actual and projected prepayments can have a meaningful positive impact on our asset yields, while faster actual or projected prepayments can have a meaningful negative impact on our asset yields.</w:t>
      </w:r>
    </w:p>
    <w:p>
      <w:pPr>
        <w:spacing w:after="0" w:line="11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summarizes our agency MBS classified as available-for-sale, at fair value, according to their estimated weighted average life classifications as of March 31, 2014 and December 31, 2013 (dollars in millions):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March 31, 2014</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December 31, 2013</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 Weighted Average Life of Agency</w:t>
            </w: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Amortized</w:t>
            </w:r>
          </w:p>
        </w:tc>
        <w:tc>
          <w:tcPr>
            <w:tcW w:w="10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1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8"/>
              </w:rPr>
              <w:t>Fair Value</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 xml:space="preserve">MBS Classified as Available-for-Sale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Cost</w:t>
            </w:r>
          </w:p>
        </w:tc>
        <w:tc>
          <w:tcPr>
            <w:tcW w:w="1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Coupon</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25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1 year</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2.49%</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3.07%</w:t>
            </w: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2.53%</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&gt; 1 year and ≤ 3 years</w:t>
            </w: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4.86%</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3.29%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4.08%</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2.25%</w:t>
            </w:r>
          </w:p>
        </w:tc>
        <w:tc>
          <w:tcPr>
            <w:tcW w:w="0" w:type="dxa"/>
            <w:vAlign w:val="bottom"/>
          </w:tcPr>
          <w:p>
            <w:pPr>
              <w:spacing w:after="0"/>
              <w:rPr>
                <w:sz w:val="1"/>
                <w:szCs w:val="1"/>
                <w:color w:val="auto"/>
              </w:rPr>
            </w:pPr>
          </w:p>
        </w:tc>
      </w:tr>
      <w:tr>
        <w:trPr>
          <w:trHeight w:val="276"/>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3 years and ≤ 5 years</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22,947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22,758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3.55%</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2.53%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24,471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24,342</w:t>
            </w: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3.59%</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2.57%</w:t>
            </w:r>
          </w:p>
        </w:tc>
        <w:tc>
          <w:tcPr>
            <w:tcW w:w="0" w:type="dxa"/>
            <w:vAlign w:val="bottom"/>
          </w:tcPr>
          <w:p>
            <w:pPr>
              <w:spacing w:after="0"/>
              <w:rPr>
                <w:sz w:val="1"/>
                <w:szCs w:val="1"/>
                <w:color w:val="auto"/>
              </w:rPr>
            </w:pPr>
          </w:p>
        </w:tc>
      </w:tr>
      <w:tr>
        <w:trPr>
          <w:trHeight w:val="264"/>
        </w:trPr>
        <w:tc>
          <w:tcPr>
            <w:tcW w:w="3100" w:type="dxa"/>
            <w:vAlign w:val="bottom"/>
            <w:gridSpan w:val="2"/>
          </w:tcPr>
          <w:p>
            <w:pPr>
              <w:ind w:left="40"/>
              <w:spacing w:after="0"/>
              <w:rPr>
                <w:sz w:val="20"/>
                <w:szCs w:val="20"/>
                <w:color w:val="auto"/>
              </w:rPr>
            </w:pPr>
            <w:r>
              <w:rPr>
                <w:rFonts w:ascii="Arial" w:cs="Arial" w:eastAsia="Arial" w:hAnsi="Arial"/>
                <w:sz w:val="14"/>
                <w:szCs w:val="14"/>
                <w:color w:val="auto"/>
              </w:rPr>
              <w:t>&gt; 5 years and ≤10 years</w:t>
            </w:r>
          </w:p>
        </w:tc>
        <w:tc>
          <w:tcPr>
            <w:tcW w:w="12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32,534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33,284</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5"/>
              </w:rPr>
              <w:t>3.51%</w:t>
            </w:r>
          </w:p>
        </w:tc>
        <w:tc>
          <w:tcPr>
            <w:tcW w:w="120" w:type="dxa"/>
            <w:vAlign w:val="bottom"/>
          </w:tcPr>
          <w:p>
            <w:pPr>
              <w:spacing w:after="0"/>
              <w:rPr>
                <w:sz w:val="22"/>
                <w:szCs w:val="22"/>
                <w:color w:val="auto"/>
              </w:rPr>
            </w:pPr>
          </w:p>
        </w:tc>
        <w:tc>
          <w:tcPr>
            <w:tcW w:w="920" w:type="dxa"/>
            <w:vAlign w:val="bottom"/>
          </w:tcPr>
          <w:p>
            <w:pPr>
              <w:jc w:val="center"/>
              <w:spacing w:after="0"/>
              <w:rPr>
                <w:sz w:val="20"/>
                <w:szCs w:val="20"/>
                <w:color w:val="auto"/>
              </w:rPr>
            </w:pPr>
            <w:r>
              <w:rPr>
                <w:rFonts w:ascii="Arial" w:cs="Arial" w:eastAsia="Arial" w:hAnsi="Arial"/>
                <w:sz w:val="14"/>
                <w:szCs w:val="14"/>
                <w:color w:val="auto"/>
                <w:w w:val="90"/>
              </w:rPr>
              <w:t>2.80%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38,522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39,635</w:t>
            </w:r>
          </w:p>
        </w:tc>
        <w:tc>
          <w:tcPr>
            <w:tcW w:w="10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3.39%</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2.73%</w:t>
            </w:r>
          </w:p>
        </w:tc>
        <w:tc>
          <w:tcPr>
            <w:tcW w:w="0" w:type="dxa"/>
            <w:vAlign w:val="bottom"/>
          </w:tcPr>
          <w:p>
            <w:pPr>
              <w:spacing w:after="0"/>
              <w:rPr>
                <w:sz w:val="1"/>
                <w:szCs w:val="1"/>
                <w:color w:val="auto"/>
              </w:rPr>
            </w:pPr>
          </w:p>
        </w:tc>
      </w:tr>
      <w:tr>
        <w:trPr>
          <w:trHeight w:val="270"/>
        </w:trPr>
        <w:tc>
          <w:tcPr>
            <w:tcW w:w="31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&gt; 10 years</w:t>
            </w: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3.61%</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2.87%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1,996</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3.66%</w:t>
            </w:r>
          </w:p>
        </w:tc>
        <w:tc>
          <w:tcPr>
            <w:tcW w:w="120" w:type="dxa"/>
            <w:vAlign w:val="bottom"/>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2.96%</w:t>
            </w:r>
          </w:p>
        </w:tc>
        <w:tc>
          <w:tcPr>
            <w:tcW w:w="0" w:type="dxa"/>
            <w:vAlign w:val="bottom"/>
          </w:tcPr>
          <w:p>
            <w:pPr>
              <w:spacing w:after="0"/>
              <w:rPr>
                <w:sz w:val="1"/>
                <w:szCs w:val="1"/>
                <w:color w:val="auto"/>
              </w:rPr>
            </w:pPr>
          </w:p>
        </w:tc>
      </w:tr>
      <w:tr>
        <w:trPr>
          <w:trHeight w:val="243"/>
        </w:trPr>
        <w:tc>
          <w:tcPr>
            <w:tcW w:w="3100" w:type="dxa"/>
            <w:vAlign w:val="bottom"/>
            <w:gridSpan w:val="2"/>
          </w:tcPr>
          <w:p>
            <w:pPr>
              <w:ind w:left="380"/>
              <w:spacing w:after="0"/>
              <w:rPr>
                <w:sz w:val="20"/>
                <w:szCs w:val="20"/>
                <w:color w:val="auto"/>
              </w:rPr>
            </w:pPr>
            <w:r>
              <w:rPr>
                <w:rFonts w:ascii="Arial" w:cs="Arial" w:eastAsia="Arial" w:hAnsi="Arial"/>
                <w:sz w:val="14"/>
                <w:szCs w:val="14"/>
                <w:color w:val="auto"/>
              </w:rPr>
              <w:t>Total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55,945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56,513</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3.53%</w:t>
            </w:r>
          </w:p>
        </w:tc>
        <w:tc>
          <w:tcPr>
            <w:tcW w:w="120" w:type="dxa"/>
            <w:vAlign w:val="bottom"/>
          </w:tcPr>
          <w:p>
            <w:pPr>
              <w:spacing w:after="0"/>
              <w:rPr>
                <w:sz w:val="21"/>
                <w:szCs w:val="21"/>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2.70%</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65,504</w:t>
            </w:r>
          </w:p>
        </w:tc>
        <w:tc>
          <w:tcPr>
            <w:tcW w:w="1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66,593</w:t>
            </w:r>
          </w:p>
        </w:tc>
        <w:tc>
          <w:tcPr>
            <w:tcW w:w="1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3.47%</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2.68%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968" w:right="239"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color w:val="auto"/>
        </w:rPr>
        <w:t>_______________________</w:t>
      </w:r>
    </w:p>
    <w:p>
      <w:pPr>
        <w:spacing w:after="0" w:line="1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interest and principal-only strips.</w:t>
      </w:r>
    </w:p>
    <w:p>
      <w:pPr>
        <w:spacing w:after="0" w:line="3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weighted average life of our interest-only strips was 6.2 and 6.3 years as of March 31, 2014 and December 31, 2013, respectively, and the weighted average life of our principal-only strips was 8.3 and 8.6 years as of March 31, 2014 and December 31, 2013, respectively.</w:t>
      </w:r>
    </w:p>
    <w:p>
      <w:pPr>
        <w:spacing w:after="0" w:line="116"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Our pass-through agency MBS collateralized by adjustable rate mortgage loans ("ARMs") have coupons linked to various indices. As of March 31, 2014 and December 31, 2013, our ARM securities had a weighted average next reset date of 63 months and 64 months, respectively.</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presents the gross unrealized loss and fair values of our available-for-sale agency securities by length of time that such securities have been in a continuous unrealized loss position as of March 31, 2014 and December 31, 2013 (in millions):</w:t>
      </w:r>
    </w:p>
    <w:p>
      <w:pPr>
        <w:spacing w:after="0" w:line="365" w:lineRule="exact"/>
        <w:rPr>
          <w:sz w:val="20"/>
          <w:szCs w:val="20"/>
          <w:color w:val="auto"/>
        </w:rPr>
      </w:pPr>
    </w:p>
    <w:tbl>
      <w:tblPr>
        <w:tblLayout w:type="fixed"/>
        <w:tblInd w:w="720" w:type="dxa"/>
        <w:tblCellMar>
          <w:top w:w="0" w:type="dxa"/>
          <w:left w:w="0" w:type="dxa"/>
          <w:bottom w:w="0" w:type="dxa"/>
          <w:right w:w="0" w:type="dxa"/>
        </w:tblCellMar>
      </w:tblPr>
      <w:tr>
        <w:trPr>
          <w:trHeight w:val="192"/>
        </w:trPr>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Unrealized Loss Position For</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63"/>
        </w:trPr>
        <w:tc>
          <w:tcPr>
            <w:tcW w:w="2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Total</w:t>
            </w:r>
          </w:p>
        </w:tc>
        <w:tc>
          <w:tcPr>
            <w:tcW w:w="1020" w:type="dxa"/>
            <w:vAlign w:val="bottom"/>
            <w:tcBorders>
              <w:bottom w:val="single" w:sz="8" w:color="auto"/>
            </w:tcBorders>
          </w:tcPr>
          <w:p>
            <w:pPr>
              <w:spacing w:after="0"/>
              <w:rPr>
                <w:sz w:val="22"/>
                <w:szCs w:val="22"/>
                <w:color w:val="auto"/>
              </w:rPr>
            </w:pPr>
          </w:p>
        </w:tc>
      </w:tr>
      <w:tr>
        <w:trPr>
          <w:trHeight w:val="153"/>
        </w:trPr>
        <w:tc>
          <w:tcPr>
            <w:tcW w:w="27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Agency Securities Classified as</w:t>
            </w:r>
          </w:p>
        </w:tc>
        <w:tc>
          <w:tcPr>
            <w:tcW w:w="10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Estimated Fair</w:t>
            </w:r>
          </w:p>
        </w:tc>
        <w:tc>
          <w:tcPr>
            <w:tcW w:w="12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Unrealized</w:t>
            </w:r>
          </w:p>
        </w:tc>
        <w:tc>
          <w:tcPr>
            <w:tcW w:w="160" w:type="dxa"/>
            <w:vAlign w:val="bottom"/>
          </w:tcPr>
          <w:p>
            <w:pPr>
              <w:spacing w:after="0"/>
              <w:rPr>
                <w:sz w:val="13"/>
                <w:szCs w:val="13"/>
                <w:color w:val="auto"/>
              </w:rPr>
            </w:pPr>
          </w:p>
        </w:tc>
        <w:tc>
          <w:tcPr>
            <w:tcW w:w="10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3"/>
                <w:szCs w:val="13"/>
                <w:color w:val="auto"/>
              </w:rPr>
            </w:pPr>
          </w:p>
        </w:tc>
        <w:tc>
          <w:tcPr>
            <w:tcW w:w="9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w w:val="95"/>
              </w:rPr>
              <w:t>Estimated Fair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ind w:right="208"/>
              <w:spacing w:after="0" w:line="153" w:lineRule="exact"/>
              <w:rPr>
                <w:sz w:val="20"/>
                <w:szCs w:val="20"/>
                <w:color w:val="auto"/>
              </w:rPr>
            </w:pPr>
            <w:r>
              <w:rPr>
                <w:rFonts w:ascii="Arial" w:cs="Arial" w:eastAsia="Arial" w:hAnsi="Arial"/>
                <w:sz w:val="14"/>
                <w:szCs w:val="14"/>
                <w:b w:val="1"/>
                <w:bCs w:val="1"/>
                <w:color w:val="auto"/>
              </w:rPr>
              <w:t>Unrealized</w:t>
            </w:r>
          </w:p>
        </w:tc>
      </w:tr>
      <w:tr>
        <w:trPr>
          <w:trHeight w:val="192"/>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Available-for-Sale</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Loss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Loss</w:t>
            </w:r>
          </w:p>
        </w:tc>
      </w:tr>
      <w:tr>
        <w:trPr>
          <w:trHeight w:val="256"/>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March 31, 2014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8,673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30,785</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w:t>
            </w:r>
          </w:p>
        </w:tc>
      </w:tr>
      <w:tr>
        <w:trPr>
          <w:trHeight w:val="258"/>
        </w:trPr>
        <w:tc>
          <w:tcPr>
            <w:tcW w:w="2780" w:type="dxa"/>
            <w:vAlign w:val="bottom"/>
            <w:gridSpan w:val="2"/>
          </w:tcPr>
          <w:p>
            <w:pPr>
              <w:ind w:left="20"/>
              <w:spacing w:after="0"/>
              <w:rPr>
                <w:sz w:val="20"/>
                <w:szCs w:val="20"/>
                <w:color w:val="auto"/>
              </w:rPr>
            </w:pPr>
            <w:r>
              <w:rPr>
                <w:rFonts w:ascii="Arial" w:cs="Arial" w:eastAsia="Arial" w:hAnsi="Arial"/>
                <w:sz w:val="14"/>
                <w:szCs w:val="14"/>
                <w:color w:val="auto"/>
              </w:rPr>
              <w:t>December 31, 2013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42,853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(1,248)</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1,586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44,439</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(1,349)</w:t>
            </w:r>
          </w:p>
        </w:tc>
      </w:tr>
    </w:tbl>
    <w:p>
      <w:pPr>
        <w:spacing w:after="0" w:line="21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of March 31, 2014, a decision had not been made to sell any of these agency securities and we do not believe it is more likely than not we will be required to sell the agency securities before recovery of their amortized cost basis. The unrealized losses on these agency securities are not due to credit losses given the GSE guarantees, but are rather due to changes in interest rates and prepayment expectations. Accordingly, we did not recognize any OTTI charges on our investment securities for the three months ended March 31, 2014. However, as we continue to actively manage our portfolio, we may recognize additional realized losses on our agency securities upon selecting specific securities to sell.</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addition to the results presented in accordance with GAAP, our results of operations discussed below include certain non-GAAP financial information, including adjusted net interest expense, net spread and dollar roll income and estimated taxable income and certain financial metrics derived from non-GAAP information, such as cost of funds and estimated undistributed taxable income. By providing users of our financial information with such measures in addition to the related GAAP measures, we believe it gives users greater transparency into the information used by our management in its financial and operational decision-making and, in the case of estimated taxable income, information that is directly related to the amount of dividends we are required to distribute in order to maintain our REIT qualification status. However, because such measures are incomplete measures of our financial performance and involve differences from results computed in accordance with GAAP, they should be considered as supplementary to, and not as a substitute for, our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69"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March 31, 2014 and December 31, 2013 and our condensed consolidated statements of comprehensive income and key statistics for the three months ended March 31, 2014 and 2013 (in millions, except per share amounts):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74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4"/>
                <w:szCs w:val="14"/>
                <w:color w:val="auto"/>
              </w:rPr>
            </w:pPr>
          </w:p>
        </w:tc>
        <w:tc>
          <w:tcPr>
            <w:tcW w:w="134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Investment portfolio, at fair value</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56,377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65,941</w:t>
            </w:r>
          </w:p>
        </w:tc>
        <w:tc>
          <w:tcPr>
            <w:tcW w:w="0" w:type="dxa"/>
            <w:vAlign w:val="bottom"/>
          </w:tcPr>
          <w:p>
            <w:pPr>
              <w:spacing w:after="0"/>
              <w:rPr>
                <w:sz w:val="1"/>
                <w:szCs w:val="1"/>
                <w:color w:val="auto"/>
              </w:rPr>
            </w:pP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67,318</w:t>
            </w:r>
          </w:p>
        </w:tc>
        <w:tc>
          <w:tcPr>
            <w:tcW w:w="120" w:type="dxa"/>
            <w:vAlign w:val="bottom"/>
          </w:tcPr>
          <w:p>
            <w:pPr>
              <w:spacing w:after="0"/>
              <w:rPr>
                <w:sz w:val="20"/>
                <w:szCs w:val="20"/>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76,255</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Repurchase agreements and other debt</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50,603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64,443</w:t>
            </w:r>
          </w:p>
        </w:tc>
        <w:tc>
          <w:tcPr>
            <w:tcW w:w="0" w:type="dxa"/>
            <w:vAlign w:val="bottom"/>
          </w:tcPr>
          <w:p>
            <w:pPr>
              <w:spacing w:after="0"/>
              <w:rPr>
                <w:sz w:val="1"/>
                <w:szCs w:val="1"/>
                <w:color w:val="auto"/>
              </w:rPr>
            </w:pP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Total liabilities</w:t>
            </w: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58,504</w:t>
            </w:r>
          </w:p>
        </w:tc>
        <w:tc>
          <w:tcPr>
            <w:tcW w:w="120" w:type="dxa"/>
            <w:vAlign w:val="bottom"/>
          </w:tcPr>
          <w:p>
            <w:pPr>
              <w:spacing w:after="0"/>
              <w:rPr>
                <w:sz w:val="20"/>
                <w:szCs w:val="20"/>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67,558</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4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8,697</w:t>
            </w:r>
          </w:p>
        </w:tc>
        <w:tc>
          <w:tcPr>
            <w:tcW w:w="0" w:type="dxa"/>
            <w:vAlign w:val="bottom"/>
          </w:tcPr>
          <w:p>
            <w:pPr>
              <w:spacing w:after="0"/>
              <w:rPr>
                <w:sz w:val="1"/>
                <w:szCs w:val="1"/>
                <w:color w:val="auto"/>
              </w:rPr>
            </w:pPr>
          </w:p>
        </w:tc>
      </w:tr>
      <w:tr>
        <w:trPr>
          <w:trHeight w:val="311"/>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 xml:space="preserve">Net asset value per common share as of period end </w:t>
            </w:r>
            <w:r>
              <w:rPr>
                <w:rFonts w:ascii="Arial" w:cs="Arial" w:eastAsia="Arial" w:hAnsi="Arial"/>
                <w:sz w:val="21"/>
                <w:szCs w:val="21"/>
                <w:color w:val="auto"/>
                <w:vertAlign w:val="superscript"/>
              </w:rPr>
              <w:t>1</w:t>
            </w: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24.49</w:t>
            </w:r>
          </w:p>
        </w:tc>
        <w:tc>
          <w:tcPr>
            <w:tcW w:w="120" w:type="dxa"/>
            <w:vAlign w:val="bottom"/>
          </w:tcPr>
          <w:p>
            <w:pPr>
              <w:spacing w:after="0"/>
              <w:rPr>
                <w:sz w:val="24"/>
                <w:szCs w:val="24"/>
                <w:color w:val="auto"/>
              </w:rPr>
            </w:pPr>
          </w:p>
        </w:tc>
        <w:tc>
          <w:tcPr>
            <w:tcW w:w="280" w:type="dxa"/>
            <w:vAlign w:val="bottom"/>
          </w:tcPr>
          <w:p>
            <w:pPr>
              <w:jc w:val="right"/>
              <w:ind w:right="100"/>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23.93</w:t>
            </w:r>
          </w:p>
        </w:tc>
        <w:tc>
          <w:tcPr>
            <w:tcW w:w="0" w:type="dxa"/>
            <w:vAlign w:val="bottom"/>
          </w:tcPr>
          <w:p>
            <w:pPr>
              <w:spacing w:after="0"/>
              <w:rPr>
                <w:sz w:val="1"/>
                <w:szCs w:val="1"/>
                <w:color w:val="auto"/>
              </w:rPr>
            </w:pPr>
          </w:p>
        </w:tc>
      </w:tr>
      <w:tr>
        <w:trPr>
          <w:trHeight w:val="654"/>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Statement of Comprehensive Income Data (unaudited)</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399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2</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interest income</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 xml:space="preserve">Other loss, net </w:t>
            </w:r>
            <w:r>
              <w:rPr>
                <w:rFonts w:ascii="Arial" w:cs="Arial" w:eastAsia="Arial" w:hAnsi="Arial"/>
                <w:sz w:val="21"/>
                <w:szCs w:val="21"/>
                <w:color w:val="auto"/>
                <w:vertAlign w:val="superscript"/>
              </w:rPr>
              <w:t>2</w:t>
            </w: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7"/>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(Loss) income before income tax</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Provision for income tax, net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7"/>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Net (loss) income</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 on preferred stock</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Net (loss) income available (attributable) to common shareholders</w:t>
            </w: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84"/>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Net (loss) income</w:t>
            </w: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20"/>
                <w:szCs w:val="20"/>
                <w:color w:val="auto"/>
              </w:rPr>
            </w:pP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Other comprehensive income (loss) </w:t>
            </w:r>
            <w:r>
              <w:rPr>
                <w:rFonts w:ascii="Arial" w:cs="Arial" w:eastAsia="Arial" w:hAnsi="Arial"/>
                <w:sz w:val="21"/>
                <w:szCs w:val="21"/>
                <w:color w:val="auto"/>
                <w:vertAlign w:val="superscript"/>
              </w:rPr>
              <w:t>2</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564</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(788)</w:t>
            </w:r>
          </w:p>
        </w:tc>
        <w:tc>
          <w:tcPr>
            <w:tcW w:w="0" w:type="dxa"/>
            <w:vAlign w:val="bottom"/>
          </w:tcPr>
          <w:p>
            <w:pPr>
              <w:spacing w:after="0"/>
              <w:rPr>
                <w:sz w:val="1"/>
                <w:szCs w:val="1"/>
                <w:color w:val="auto"/>
              </w:rPr>
            </w:pPr>
          </w:p>
        </w:tc>
      </w:tr>
      <w:tr>
        <w:trPr>
          <w:trHeight w:val="217"/>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Comprehensive income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423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 on preferred stock</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84"/>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Comprehensive income (loss) available (attributable) to common shareholders</w:t>
            </w:r>
          </w:p>
        </w:tc>
        <w:tc>
          <w:tcPr>
            <w:tcW w:w="2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6"/>
                <w:szCs w:val="16"/>
                <w:color w:val="auto"/>
              </w:rPr>
              <w:t>420</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84"/>
        </w:trPr>
        <w:tc>
          <w:tcPr>
            <w:tcW w:w="7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Weighted average number of common shares outstanding - basic and diluted</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354.8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356.2</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(loss) income per common share - basic and diluted</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0.64</w:t>
            </w:r>
          </w:p>
        </w:tc>
        <w:tc>
          <w:tcPr>
            <w:tcW w:w="0" w:type="dxa"/>
            <w:vAlign w:val="bottom"/>
          </w:tcPr>
          <w:p>
            <w:pPr>
              <w:spacing w:after="0"/>
              <w:rPr>
                <w:sz w:val="1"/>
                <w:szCs w:val="1"/>
                <w:color w:val="auto"/>
              </w:rPr>
            </w:pPr>
          </w:p>
        </w:tc>
      </w:tr>
      <w:tr>
        <w:trPr>
          <w:trHeight w:val="20"/>
        </w:trPr>
        <w:tc>
          <w:tcPr>
            <w:tcW w:w="7440" w:type="dxa"/>
            <w:vAlign w:val="bottom"/>
            <w:gridSpan w:val="2"/>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Comprehensive income (loss) per common share - basic and diluted</w:t>
            </w:r>
          </w:p>
        </w:tc>
        <w:tc>
          <w:tcPr>
            <w:tcW w:w="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Dividends declared per common share</w:t>
            </w: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0.65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439"/>
              <w:spacing w:after="0"/>
              <w:rPr>
                <w:sz w:val="20"/>
                <w:szCs w:val="20"/>
                <w:color w:val="auto"/>
              </w:rPr>
            </w:pPr>
            <w:r>
              <w:rPr>
                <w:rFonts w:ascii="Arial" w:cs="Arial" w:eastAsia="Arial" w:hAnsi="Arial"/>
                <w:sz w:val="14"/>
                <w:szCs w:val="14"/>
                <w:b w:val="1"/>
                <w:bCs w:val="1"/>
                <w:color w:val="auto"/>
                <w:w w:val="99"/>
              </w:rPr>
              <w:t>Three Months Ended March 31,</w:t>
            </w:r>
          </w:p>
        </w:tc>
        <w:tc>
          <w:tcPr>
            <w:tcW w:w="0" w:type="dxa"/>
            <w:vAlign w:val="bottom"/>
          </w:tcPr>
          <w:p>
            <w:pPr>
              <w:spacing w:after="0"/>
              <w:rPr>
                <w:sz w:val="1"/>
                <w:szCs w:val="1"/>
                <w:color w:val="auto"/>
              </w:rPr>
            </w:pPr>
          </w:p>
        </w:tc>
      </w:tr>
      <w:tr>
        <w:trPr>
          <w:trHeight w:val="264"/>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Other Data (unaudited)</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agency securities, at par</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60,103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73,922</w:t>
            </w:r>
          </w:p>
        </w:tc>
        <w:tc>
          <w:tcPr>
            <w:tcW w:w="0" w:type="dxa"/>
            <w:vAlign w:val="bottom"/>
          </w:tcPr>
          <w:p>
            <w:pPr>
              <w:spacing w:after="0"/>
              <w:rPr>
                <w:sz w:val="1"/>
                <w:szCs w:val="1"/>
                <w:color w:val="auto"/>
              </w:rPr>
            </w:pP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Average agency securities, at cost</w:t>
            </w: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20"/>
                <w:szCs w:val="20"/>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62,920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78,009</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total assets, at fair value</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73,422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95,410</w:t>
            </w:r>
          </w:p>
        </w:tc>
        <w:tc>
          <w:tcPr>
            <w:tcW w:w="0" w:type="dxa"/>
            <w:vAlign w:val="bottom"/>
          </w:tcPr>
          <w:p>
            <w:pPr>
              <w:spacing w:after="0"/>
              <w:rPr>
                <w:sz w:val="1"/>
                <w:szCs w:val="1"/>
                <w:color w:val="auto"/>
              </w:rPr>
            </w:pP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Average net TBA dollar roll position, at cost</w:t>
            </w: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20"/>
                <w:szCs w:val="20"/>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4,534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17,892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Average repurchase agreements and other debt</w:t>
            </w: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rPr>
              <w:t>57,544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70,591</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stockholders' equity </w:t>
            </w:r>
            <w:r>
              <w:rPr>
                <w:rFonts w:ascii="Arial" w:cs="Arial" w:eastAsia="Arial" w:hAnsi="Arial"/>
                <w:sz w:val="21"/>
                <w:szCs w:val="21"/>
                <w:color w:val="auto"/>
                <w:vertAlign w:val="superscript"/>
              </w:rPr>
              <w:t>3</w:t>
            </w: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23"/>
                <w:szCs w:val="23"/>
                <w:color w:val="auto"/>
              </w:rPr>
            </w:pPr>
          </w:p>
        </w:tc>
        <w:tc>
          <w:tcPr>
            <w:tcW w:w="1040" w:type="dxa"/>
            <w:vAlign w:val="bottom"/>
          </w:tcPr>
          <w:p>
            <w:pPr>
              <w:jc w:val="right"/>
              <w:ind w:right="140"/>
              <w:spacing w:after="0"/>
              <w:rPr>
                <w:sz w:val="20"/>
                <w:szCs w:val="20"/>
                <w:color w:val="auto"/>
              </w:rPr>
            </w:pPr>
            <w:r>
              <w:rPr>
                <w:rFonts w:ascii="Arial" w:cs="Arial" w:eastAsia="Arial" w:hAnsi="Arial"/>
                <w:sz w:val="16"/>
                <w:szCs w:val="16"/>
                <w:color w:val="auto"/>
              </w:rPr>
              <w:t>8,975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10,843</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21"/>
                <w:szCs w:val="21"/>
                <w:color w:val="auto"/>
                <w:vertAlign w:val="superscript"/>
              </w:rPr>
              <w:t>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3.60 %</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3.68 %</w:t>
            </w:r>
          </w:p>
        </w:tc>
        <w:tc>
          <w:tcPr>
            <w:tcW w:w="0" w:type="dxa"/>
            <w:vAlign w:val="bottom"/>
          </w:tcPr>
          <w:p>
            <w:pPr>
              <w:spacing w:after="0"/>
              <w:rPr>
                <w:sz w:val="1"/>
                <w:szCs w:val="1"/>
                <w:color w:val="auto"/>
              </w:rPr>
            </w:pPr>
          </w:p>
        </w:tc>
      </w:tr>
      <w:tr>
        <w:trPr>
          <w:trHeight w:val="270"/>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21"/>
                <w:szCs w:val="21"/>
                <w:color w:val="auto"/>
                <w:vertAlign w:val="superscript"/>
              </w:rPr>
              <w:t>5</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2.54 %</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2.80 %</w:t>
            </w:r>
          </w:p>
        </w:tc>
        <w:tc>
          <w:tcPr>
            <w:tcW w:w="0" w:type="dxa"/>
            <w:vAlign w:val="bottom"/>
          </w:tcPr>
          <w:p>
            <w:pPr>
              <w:spacing w:after="0"/>
              <w:rPr>
                <w:sz w:val="1"/>
                <w:szCs w:val="1"/>
                <w:color w:val="auto"/>
              </w:rPr>
            </w:pPr>
          </w:p>
        </w:tc>
      </w:tr>
      <w:tr>
        <w:trPr>
          <w:trHeight w:val="27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21"/>
                <w:szCs w:val="21"/>
                <w:color w:val="auto"/>
                <w:vertAlign w:val="superscript"/>
              </w:rPr>
              <w:t>6</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7"/>
        </w:trPr>
        <w:tc>
          <w:tcPr>
            <w:tcW w:w="7440" w:type="dxa"/>
            <w:vAlign w:val="bottom"/>
            <w:gridSpan w:val="2"/>
          </w:tcPr>
          <w:p>
            <w:pPr>
              <w:ind w:left="20"/>
              <w:spacing w:after="0"/>
              <w:rPr>
                <w:sz w:val="20"/>
                <w:szCs w:val="20"/>
                <w:color w:val="auto"/>
              </w:rPr>
            </w:pPr>
            <w:r>
              <w:rPr>
                <w:rFonts w:ascii="Arial" w:cs="Arial" w:eastAsia="Arial" w:hAnsi="Arial"/>
                <w:sz w:val="16"/>
                <w:szCs w:val="16"/>
                <w:color w:val="auto"/>
              </w:rPr>
              <w:t>Average net interest rate spread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1.52 %</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Average net interest rate spread, including estimated TBA dollar roll income </w:t>
            </w:r>
            <w:r>
              <w:rPr>
                <w:rFonts w:ascii="Arial" w:cs="Arial" w:eastAsia="Arial" w:hAnsi="Arial"/>
                <w:sz w:val="21"/>
                <w:szCs w:val="21"/>
                <w:color w:val="auto"/>
                <w:vertAlign w:val="superscript"/>
              </w:rPr>
              <w:t>7</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1.43 %</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440"/>
          </w:cols>
          <w:pgMar w:left="740" w:top="807" w:right="719" w:bottom="1440" w:gutter="0" w:footer="0" w:header="0"/>
        </w:sectPr>
      </w:pPr>
    </w:p>
    <w:p>
      <w:pPr>
        <w:spacing w:after="0" w:line="2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0440"/>
          </w:cols>
          <w:pgMar w:left="740" w:top="807" w:right="719" w:bottom="1440" w:gutter="0" w:footer="0" w:header="0"/>
          <w:type w:val="continuous"/>
        </w:sectPr>
      </w:pPr>
    </w:p>
    <w:bookmarkStart w:id="35" w:name="page36"/>
    <w:bookmarkEnd w:id="35"/>
    <w:tbl>
      <w:tblPr>
        <w:tblLayout w:type="fixed"/>
        <w:tblInd w:w="500" w:type="dxa"/>
        <w:tblCellMar>
          <w:top w:w="0" w:type="dxa"/>
          <w:left w:w="0" w:type="dxa"/>
          <w:bottom w:w="0" w:type="dxa"/>
          <w:right w:w="0" w:type="dxa"/>
        </w:tblCellMar>
      </w:tblPr>
      <w:tr>
        <w:trPr>
          <w:trHeight w:val="206"/>
        </w:trPr>
        <w:tc>
          <w:tcPr>
            <w:tcW w:w="7100" w:type="dxa"/>
            <w:vAlign w:val="bottom"/>
          </w:tcPr>
          <w:p>
            <w:pPr>
              <w:ind w:left="20"/>
              <w:spacing w:after="0"/>
              <w:rPr>
                <w:sz w:val="20"/>
                <w:szCs w:val="20"/>
                <w:color w:val="auto"/>
              </w:rPr>
            </w:pPr>
            <w:r>
              <w:rPr>
                <w:rFonts w:ascii="Arial" w:cs="Arial" w:eastAsia="Arial" w:hAnsi="Arial"/>
                <w:sz w:val="16"/>
                <w:szCs w:val="16"/>
                <w:color w:val="auto"/>
              </w:rPr>
              <w:t xml:space="preserve">Average coupon </w:t>
            </w:r>
            <w:r>
              <w:rPr>
                <w:rFonts w:ascii="Arial" w:cs="Arial" w:eastAsia="Arial" w:hAnsi="Arial"/>
                <w:sz w:val="16"/>
                <w:szCs w:val="16"/>
                <w:i w:val="1"/>
                <w:iCs w:val="1"/>
                <w:color w:val="auto"/>
              </w:rPr>
              <w:t>(as of period end)</w:t>
            </w:r>
          </w:p>
        </w:tc>
        <w:tc>
          <w:tcPr>
            <w:tcW w:w="2260" w:type="dxa"/>
            <w:vAlign w:val="bottom"/>
          </w:tcPr>
          <w:p>
            <w:pPr>
              <w:jc w:val="right"/>
              <w:ind w:right="439"/>
              <w:spacing w:after="0"/>
              <w:rPr>
                <w:sz w:val="20"/>
                <w:szCs w:val="20"/>
                <w:color w:val="auto"/>
              </w:rPr>
            </w:pPr>
            <w:r>
              <w:rPr>
                <w:rFonts w:ascii="Arial" w:cs="Arial" w:eastAsia="Arial" w:hAnsi="Arial"/>
                <w:sz w:val="16"/>
                <w:szCs w:val="16"/>
                <w:color w:val="auto"/>
              </w:rPr>
              <w:t>3.65 %</w:t>
            </w:r>
          </w:p>
        </w:tc>
        <w:tc>
          <w:tcPr>
            <w:tcW w:w="1080" w:type="dxa"/>
            <w:vAlign w:val="bottom"/>
          </w:tcPr>
          <w:p>
            <w:pPr>
              <w:jc w:val="right"/>
              <w:spacing w:after="0"/>
              <w:rPr>
                <w:sz w:val="20"/>
                <w:szCs w:val="20"/>
                <w:color w:val="auto"/>
              </w:rPr>
            </w:pPr>
            <w:r>
              <w:rPr>
                <w:rFonts w:ascii="Arial" w:cs="Arial" w:eastAsia="Arial" w:hAnsi="Arial"/>
                <w:sz w:val="16"/>
                <w:szCs w:val="16"/>
                <w:color w:val="auto"/>
              </w:rPr>
              <w:t>3.73 %</w:t>
            </w:r>
          </w:p>
        </w:tc>
      </w:tr>
      <w:tr>
        <w:trPr>
          <w:trHeight w:val="33"/>
        </w:trPr>
        <w:tc>
          <w:tcPr>
            <w:tcW w:w="7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Average asset yield </w:t>
            </w:r>
            <w:r>
              <w:rPr>
                <w:rFonts w:ascii="Arial" w:cs="Arial" w:eastAsia="Arial" w:hAnsi="Arial"/>
                <w:sz w:val="16"/>
                <w:szCs w:val="16"/>
                <w:i w:val="1"/>
                <w:iCs w:val="1"/>
                <w:color w:val="auto"/>
              </w:rPr>
              <w:t>(as of period end)</w:t>
            </w:r>
          </w:p>
        </w:tc>
        <w:tc>
          <w:tcPr>
            <w:tcW w:w="22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2.72 %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2.75 %</w:t>
            </w:r>
          </w:p>
        </w:tc>
      </w:tr>
      <w:tr>
        <w:trPr>
          <w:trHeight w:val="270"/>
        </w:trPr>
        <w:tc>
          <w:tcPr>
            <w:tcW w:w="7100" w:type="dxa"/>
            <w:vAlign w:val="bottom"/>
          </w:tcPr>
          <w:p>
            <w:pPr>
              <w:ind w:left="20"/>
              <w:spacing w:after="0"/>
              <w:rPr>
                <w:sz w:val="20"/>
                <w:szCs w:val="20"/>
                <w:color w:val="auto"/>
              </w:rPr>
            </w:pPr>
            <w:r>
              <w:rPr>
                <w:rFonts w:ascii="Arial" w:cs="Arial" w:eastAsia="Arial" w:hAnsi="Arial"/>
                <w:sz w:val="16"/>
                <w:szCs w:val="16"/>
                <w:color w:val="auto"/>
              </w:rPr>
              <w:t xml:space="preserve">Average cost of funds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8</w:t>
            </w:r>
          </w:p>
        </w:tc>
        <w:tc>
          <w:tcPr>
            <w:tcW w:w="2260" w:type="dxa"/>
            <w:vAlign w:val="bottom"/>
          </w:tcPr>
          <w:p>
            <w:pPr>
              <w:jc w:val="right"/>
              <w:ind w:right="419"/>
              <w:spacing w:after="0"/>
              <w:rPr>
                <w:sz w:val="20"/>
                <w:szCs w:val="20"/>
                <w:color w:val="auto"/>
              </w:rPr>
            </w:pPr>
            <w:r>
              <w:rPr>
                <w:rFonts w:ascii="Arial" w:cs="Arial" w:eastAsia="Arial" w:hAnsi="Arial"/>
                <w:sz w:val="16"/>
                <w:szCs w:val="16"/>
                <w:color w:val="auto"/>
              </w:rPr>
              <w:t>(1.45)%</w:t>
            </w:r>
          </w:p>
        </w:tc>
        <w:tc>
          <w:tcPr>
            <w:tcW w:w="1080" w:type="dxa"/>
            <w:vAlign w:val="bottom"/>
          </w:tcPr>
          <w:p>
            <w:pPr>
              <w:jc w:val="right"/>
              <w:spacing w:after="0"/>
              <w:rPr>
                <w:sz w:val="20"/>
                <w:szCs w:val="20"/>
                <w:color w:val="auto"/>
              </w:rPr>
            </w:pPr>
            <w:r>
              <w:rPr>
                <w:rFonts w:ascii="Arial" w:cs="Arial" w:eastAsia="Arial" w:hAnsi="Arial"/>
                <w:sz w:val="16"/>
                <w:szCs w:val="16"/>
                <w:color w:val="auto"/>
              </w:rPr>
              <w:t>(1.32)%</w:t>
            </w: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xml:space="preserve">Average net interest rate spread </w:t>
            </w:r>
            <w:r>
              <w:rPr>
                <w:rFonts w:ascii="Arial" w:cs="Arial" w:eastAsia="Arial" w:hAnsi="Arial"/>
                <w:sz w:val="16"/>
                <w:szCs w:val="16"/>
                <w:i w:val="1"/>
                <w:iCs w:val="1"/>
                <w:color w:val="auto"/>
              </w:rPr>
              <w:t>(as of period end)</w:t>
            </w:r>
          </w:p>
        </w:tc>
        <w:tc>
          <w:tcPr>
            <w:tcW w:w="22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1.27 %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1.43 %</w:t>
            </w:r>
          </w:p>
        </w:tc>
      </w:tr>
      <w:tr>
        <w:trPr>
          <w:trHeight w:val="270"/>
        </w:trPr>
        <w:tc>
          <w:tcPr>
            <w:tcW w:w="7100" w:type="dxa"/>
            <w:vAlign w:val="bottom"/>
          </w:tcPr>
          <w:p>
            <w:pPr>
              <w:ind w:left="20"/>
              <w:spacing w:after="0"/>
              <w:rPr>
                <w:sz w:val="20"/>
                <w:szCs w:val="20"/>
                <w:color w:val="auto"/>
              </w:rPr>
            </w:pPr>
            <w:r>
              <w:rPr>
                <w:rFonts w:ascii="Arial" w:cs="Arial" w:eastAsia="Arial" w:hAnsi="Arial"/>
                <w:sz w:val="16"/>
                <w:szCs w:val="16"/>
                <w:color w:val="auto"/>
              </w:rPr>
              <w:t xml:space="preserve">Net comprehensive income (loss) return on average common equity - annualized </w:t>
            </w:r>
            <w:r>
              <w:rPr>
                <w:rFonts w:ascii="Arial" w:cs="Arial" w:eastAsia="Arial" w:hAnsi="Arial"/>
                <w:sz w:val="21"/>
                <w:szCs w:val="21"/>
                <w:color w:val="auto"/>
                <w:vertAlign w:val="superscript"/>
              </w:rPr>
              <w:t>9</w:t>
            </w:r>
          </w:p>
        </w:tc>
        <w:tc>
          <w:tcPr>
            <w:tcW w:w="2260" w:type="dxa"/>
            <w:vAlign w:val="bottom"/>
          </w:tcPr>
          <w:p>
            <w:pPr>
              <w:jc w:val="right"/>
              <w:ind w:right="439"/>
              <w:spacing w:after="0"/>
              <w:rPr>
                <w:sz w:val="20"/>
                <w:szCs w:val="20"/>
                <w:color w:val="auto"/>
              </w:rPr>
            </w:pPr>
            <w:r>
              <w:rPr>
                <w:rFonts w:ascii="Arial" w:cs="Arial" w:eastAsia="Arial" w:hAnsi="Arial"/>
                <w:sz w:val="16"/>
                <w:szCs w:val="16"/>
                <w:color w:val="auto"/>
              </w:rPr>
              <w:t>19.4 %</w:t>
            </w:r>
          </w:p>
        </w:tc>
        <w:tc>
          <w:tcPr>
            <w:tcW w:w="108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7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Economic (loss) return on common equity - annualized </w:t>
            </w:r>
            <w:r>
              <w:rPr>
                <w:rFonts w:ascii="Arial" w:cs="Arial" w:eastAsia="Arial" w:hAnsi="Arial"/>
                <w:sz w:val="21"/>
                <w:szCs w:val="21"/>
                <w:color w:val="auto"/>
                <w:vertAlign w:val="superscript"/>
              </w:rPr>
              <w:t>10</w:t>
            </w:r>
          </w:p>
        </w:tc>
        <w:tc>
          <w:tcPr>
            <w:tcW w:w="22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20.5 %</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70"/>
        </w:trPr>
        <w:tc>
          <w:tcPr>
            <w:tcW w:w="7100" w:type="dxa"/>
            <w:vAlign w:val="bottom"/>
          </w:tcPr>
          <w:p>
            <w:pPr>
              <w:ind w:left="2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(average during the period)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11</w:t>
            </w:r>
          </w:p>
        </w:tc>
        <w:tc>
          <w:tcPr>
            <w:tcW w:w="2260" w:type="dxa"/>
            <w:vAlign w:val="bottom"/>
          </w:tcPr>
          <w:p>
            <w:pPr>
              <w:jc w:val="right"/>
              <w:ind w:right="599"/>
              <w:spacing w:after="0"/>
              <w:rPr>
                <w:sz w:val="20"/>
                <w:szCs w:val="20"/>
                <w:color w:val="auto"/>
              </w:rPr>
            </w:pPr>
            <w:r>
              <w:rPr>
                <w:rFonts w:ascii="Arial" w:cs="Arial" w:eastAsia="Arial" w:hAnsi="Arial"/>
                <w:sz w:val="16"/>
                <w:szCs w:val="16"/>
                <w:color w:val="auto"/>
              </w:rPr>
              <w:t>6.7:1</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6.5:1</w:t>
            </w:r>
          </w:p>
        </w:tc>
      </w:tr>
      <w:tr>
        <w:trPr>
          <w:trHeight w:val="27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Leverage, including net TBA dollar roll position </w:t>
            </w:r>
            <w:r>
              <w:rPr>
                <w:rFonts w:ascii="Arial" w:cs="Arial" w:eastAsia="Arial" w:hAnsi="Arial"/>
                <w:sz w:val="16"/>
                <w:szCs w:val="16"/>
                <w:i w:val="1"/>
                <w:iCs w:val="1"/>
                <w:color w:val="auto"/>
              </w:rPr>
              <w:t>(average during the period)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12</w:t>
            </w:r>
          </w:p>
        </w:tc>
        <w:tc>
          <w:tcPr>
            <w:tcW w:w="22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7.2:1</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8.2:1</w:t>
            </w:r>
          </w:p>
        </w:tc>
      </w:tr>
      <w:tr>
        <w:trPr>
          <w:trHeight w:val="270"/>
        </w:trPr>
        <w:tc>
          <w:tcPr>
            <w:tcW w:w="7100" w:type="dxa"/>
            <w:vAlign w:val="bottom"/>
          </w:tcPr>
          <w:p>
            <w:pPr>
              <w:ind w:left="20"/>
              <w:spacing w:after="0"/>
              <w:rPr>
                <w:sz w:val="20"/>
                <w:szCs w:val="20"/>
                <w:color w:val="auto"/>
              </w:rPr>
            </w:pPr>
            <w:r>
              <w:rPr>
                <w:rFonts w:ascii="Arial" w:cs="Arial" w:eastAsia="Arial" w:hAnsi="Arial"/>
                <w:sz w:val="16"/>
                <w:szCs w:val="16"/>
                <w:color w:val="auto"/>
              </w:rPr>
              <w:t xml:space="preserve">Leverage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13</w:t>
            </w:r>
          </w:p>
        </w:tc>
        <w:tc>
          <w:tcPr>
            <w:tcW w:w="2260" w:type="dxa"/>
            <w:vAlign w:val="bottom"/>
          </w:tcPr>
          <w:p>
            <w:pPr>
              <w:jc w:val="right"/>
              <w:ind w:right="599"/>
              <w:spacing w:after="0"/>
              <w:rPr>
                <w:sz w:val="20"/>
                <w:szCs w:val="20"/>
                <w:color w:val="auto"/>
              </w:rPr>
            </w:pPr>
            <w:r>
              <w:rPr>
                <w:rFonts w:ascii="Arial" w:cs="Arial" w:eastAsia="Arial" w:hAnsi="Arial"/>
                <w:sz w:val="16"/>
                <w:szCs w:val="16"/>
                <w:color w:val="auto"/>
              </w:rPr>
              <w:t>5.9:1</w:t>
            </w:r>
          </w:p>
        </w:tc>
        <w:tc>
          <w:tcPr>
            <w:tcW w:w="1080" w:type="dxa"/>
            <w:vAlign w:val="bottom"/>
          </w:tcPr>
          <w:p>
            <w:pPr>
              <w:jc w:val="right"/>
              <w:ind w:right="139"/>
              <w:spacing w:after="0"/>
              <w:rPr>
                <w:sz w:val="20"/>
                <w:szCs w:val="20"/>
                <w:color w:val="auto"/>
              </w:rPr>
            </w:pPr>
            <w:r>
              <w:rPr>
                <w:rFonts w:ascii="Arial" w:cs="Arial" w:eastAsia="Arial" w:hAnsi="Arial"/>
                <w:sz w:val="16"/>
                <w:szCs w:val="16"/>
                <w:color w:val="auto"/>
              </w:rPr>
              <w:t>5.7:1</w:t>
            </w:r>
          </w:p>
        </w:tc>
      </w:tr>
      <w:tr>
        <w:trPr>
          <w:trHeight w:val="270"/>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Leverage, including net TBA dollar roll position </w:t>
            </w:r>
            <w:r>
              <w:rPr>
                <w:rFonts w:ascii="Arial" w:cs="Arial" w:eastAsia="Arial" w:hAnsi="Arial"/>
                <w:sz w:val="16"/>
                <w:szCs w:val="16"/>
                <w:i w:val="1"/>
                <w:iCs w:val="1"/>
                <w:color w:val="auto"/>
              </w:rPr>
              <w:t>(as of period end)</w:t>
            </w:r>
            <w:r>
              <w:rPr>
                <w:rFonts w:ascii="Arial" w:cs="Arial" w:eastAsia="Arial" w:hAnsi="Arial"/>
                <w:sz w:val="16"/>
                <w:szCs w:val="16"/>
                <w:color w:val="auto"/>
              </w:rPr>
              <w:t xml:space="preserve"> </w:t>
            </w:r>
            <w:r>
              <w:rPr>
                <w:rFonts w:ascii="Arial" w:cs="Arial" w:eastAsia="Arial" w:hAnsi="Arial"/>
                <w:sz w:val="21"/>
                <w:szCs w:val="21"/>
                <w:color w:val="auto"/>
                <w:vertAlign w:val="superscript"/>
              </w:rPr>
              <w:t>14</w:t>
            </w:r>
          </w:p>
        </w:tc>
        <w:tc>
          <w:tcPr>
            <w:tcW w:w="22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7.6:1</w:t>
            </w:r>
          </w:p>
        </w:tc>
        <w:tc>
          <w:tcPr>
            <w:tcW w:w="10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8.1:1</w:t>
            </w:r>
          </w:p>
        </w:tc>
      </w:tr>
      <w:tr>
        <w:trPr>
          <w:trHeight w:val="237"/>
        </w:trPr>
        <w:tc>
          <w:tcPr>
            <w:tcW w:w="7100" w:type="dxa"/>
            <w:vAlign w:val="bottom"/>
          </w:tcPr>
          <w:p>
            <w:pPr>
              <w:ind w:left="20"/>
              <w:spacing w:after="0"/>
              <w:rPr>
                <w:sz w:val="20"/>
                <w:szCs w:val="20"/>
                <w:color w:val="auto"/>
              </w:rPr>
            </w:pPr>
            <w:r>
              <w:rPr>
                <w:rFonts w:ascii="Arial" w:cs="Arial" w:eastAsia="Arial" w:hAnsi="Arial"/>
                <w:sz w:val="16"/>
                <w:szCs w:val="16"/>
                <w:color w:val="auto"/>
              </w:rPr>
              <w:t>Expenses % of average total assets - annualized</w:t>
            </w:r>
          </w:p>
        </w:tc>
        <w:tc>
          <w:tcPr>
            <w:tcW w:w="2260" w:type="dxa"/>
            <w:vAlign w:val="bottom"/>
          </w:tcPr>
          <w:p>
            <w:pPr>
              <w:jc w:val="right"/>
              <w:ind w:right="439"/>
              <w:spacing w:after="0"/>
              <w:rPr>
                <w:sz w:val="20"/>
                <w:szCs w:val="20"/>
                <w:color w:val="auto"/>
              </w:rPr>
            </w:pPr>
            <w:r>
              <w:rPr>
                <w:rFonts w:ascii="Arial" w:cs="Arial" w:eastAsia="Arial" w:hAnsi="Arial"/>
                <w:sz w:val="16"/>
                <w:szCs w:val="16"/>
                <w:color w:val="auto"/>
              </w:rPr>
              <w:t>0.19 %</w:t>
            </w:r>
          </w:p>
        </w:tc>
        <w:tc>
          <w:tcPr>
            <w:tcW w:w="1080" w:type="dxa"/>
            <w:vAlign w:val="bottom"/>
          </w:tcPr>
          <w:p>
            <w:pPr>
              <w:jc w:val="right"/>
              <w:spacing w:after="0"/>
              <w:rPr>
                <w:sz w:val="20"/>
                <w:szCs w:val="20"/>
                <w:color w:val="auto"/>
              </w:rPr>
            </w:pPr>
            <w:r>
              <w:rPr>
                <w:rFonts w:ascii="Arial" w:cs="Arial" w:eastAsia="Arial" w:hAnsi="Arial"/>
                <w:sz w:val="16"/>
                <w:szCs w:val="16"/>
                <w:color w:val="auto"/>
              </w:rPr>
              <w:t>0.18 %</w:t>
            </w:r>
          </w:p>
        </w:tc>
      </w:tr>
      <w:tr>
        <w:trPr>
          <w:trHeight w:val="33"/>
        </w:trPr>
        <w:tc>
          <w:tcPr>
            <w:tcW w:w="71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Expenses % of average assets, including average net TBA dollar roll position - annualized</w:t>
            </w:r>
          </w:p>
        </w:tc>
        <w:tc>
          <w:tcPr>
            <w:tcW w:w="22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0.18 %</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0.15 %</w:t>
            </w:r>
          </w:p>
        </w:tc>
      </w:tr>
      <w:tr>
        <w:trPr>
          <w:trHeight w:val="237"/>
        </w:trPr>
        <w:tc>
          <w:tcPr>
            <w:tcW w:w="7100" w:type="dxa"/>
            <w:vAlign w:val="bottom"/>
          </w:tcPr>
          <w:p>
            <w:pPr>
              <w:ind w:left="20"/>
              <w:spacing w:after="0"/>
              <w:rPr>
                <w:sz w:val="20"/>
                <w:szCs w:val="20"/>
                <w:color w:val="auto"/>
              </w:rPr>
            </w:pPr>
            <w:r>
              <w:rPr>
                <w:rFonts w:ascii="Arial" w:cs="Arial" w:eastAsia="Arial" w:hAnsi="Arial"/>
                <w:sz w:val="16"/>
                <w:szCs w:val="16"/>
                <w:color w:val="auto"/>
              </w:rPr>
              <w:t>Expenses % of average stockholders' equity - annualized</w:t>
            </w:r>
          </w:p>
        </w:tc>
        <w:tc>
          <w:tcPr>
            <w:tcW w:w="2260" w:type="dxa"/>
            <w:vAlign w:val="bottom"/>
          </w:tcPr>
          <w:p>
            <w:pPr>
              <w:jc w:val="right"/>
              <w:ind w:right="439"/>
              <w:spacing w:after="0"/>
              <w:rPr>
                <w:sz w:val="20"/>
                <w:szCs w:val="20"/>
                <w:color w:val="auto"/>
              </w:rPr>
            </w:pPr>
            <w:r>
              <w:rPr>
                <w:rFonts w:ascii="Arial" w:cs="Arial" w:eastAsia="Arial" w:hAnsi="Arial"/>
                <w:sz w:val="16"/>
                <w:szCs w:val="16"/>
                <w:color w:val="auto"/>
              </w:rPr>
              <w:t>1.58 %</w:t>
            </w:r>
          </w:p>
        </w:tc>
        <w:tc>
          <w:tcPr>
            <w:tcW w:w="1080" w:type="dxa"/>
            <w:vAlign w:val="bottom"/>
          </w:tcPr>
          <w:p>
            <w:pPr>
              <w:jc w:val="right"/>
              <w:spacing w:after="0"/>
              <w:rPr>
                <w:sz w:val="20"/>
                <w:szCs w:val="20"/>
                <w:color w:val="auto"/>
              </w:rPr>
            </w:pPr>
            <w:r>
              <w:rPr>
                <w:rFonts w:ascii="Arial" w:cs="Arial" w:eastAsia="Arial" w:hAnsi="Arial"/>
                <w:sz w:val="16"/>
                <w:szCs w:val="16"/>
                <w:color w:val="auto"/>
              </w:rPr>
              <w:t>1.57 %</w:t>
            </w: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 Except as noted below, average numbers for each period are weighted based on days on our books and records. All percentages are annualized.</w:t>
      </w:r>
    </w:p>
    <w:p>
      <w:pPr>
        <w:spacing w:after="0" w:line="151" w:lineRule="exact"/>
        <w:rPr>
          <w:sz w:val="20"/>
          <w:szCs w:val="20"/>
          <w:color w:val="auto"/>
        </w:rPr>
      </w:pPr>
    </w:p>
    <w:p>
      <w:pPr>
        <w:ind w:left="420" w:right="20" w:hanging="412"/>
        <w:spacing w:after="0" w:line="250"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Net asset value per common share calculated as our total stockholders' equity, less our 8.000% Series A Cumulative Redeemable Preferred Stock liquidation preference of $25 per preferred share, divided by our number of common shares outstanding as of period end.</w:t>
      </w:r>
    </w:p>
    <w:p>
      <w:pPr>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We voluntarily discontinued hedge accounting for our interest rate swaps as of September 30, 2011. Please refer to our Interest Expense and Cost of Funds discussion further below and Notes 3 and 6 of our Consolidated Financial Statements in this Form 10-Q for additional information regarding our discontinuance of hedge accounting.</w:t>
      </w: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stockholders' equity calculated as our average month-end stockholders' equity during the period.</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coupon for the period was calculated by dividing our total coupon (or cash) interest income on agency securities by our average agency securities held at par.</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asset yield for the period was calculated by dividing our total cash interest income on agency securities, adjusted for amortization of premiums and discounts, by our average amortized cost of agency securities held.</w:t>
      </w:r>
    </w:p>
    <w:p>
      <w:pPr>
        <w:jc w:val="both"/>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cost of funds includes repurchase agreements, debt of consolidated variable interest entities ("VIEs") and interest rate swaps, but excludes interest rate swap termination fees and costs associated with other supplemental hedges such as interest rate swaptions and short U.S. Treasury or TBA positions. Average cost of funds for the period was calculated by dividing our total cost of funds by our average repurchase agreements and debt of consolidated VIEs outstanding for the period.</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Estimated TBA dollar roll income / (loss) is net of short TBAs used for hedging purposes. Dollar roll income excludes the impact of other supplemental hedges, and is recognized in gain (loss) on derivative instruments and other securities, net.</w:t>
      </w:r>
    </w:p>
    <w:p>
      <w:pPr>
        <w:jc w:val="both"/>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cost of funds as of period end includes repurchase agreements and debt of consolidated VIEs outstanding, plus the impact of interest rate swaps in effect as of each period end and forward starting swaps becoming effective, net of swaps expiring, within three months of each period end, but excludes costs associated with other supplemental hedges such as swaptions, U.S. Treasuries and TBA positions.</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Net comprehensive income (loss) return on average common equity for the period was calculated by dividing our comprehensive income/(loss) available /(attributable) to common shareholders by our average stockholders' equity, net of the 8.000% Series A Cumulative Redeemable Preferred Stock liquidation preference.</w:t>
      </w:r>
    </w:p>
    <w:p>
      <w:pPr>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Economic return (loss) on common equity represents the sum of the change in our net asset value per common share and our dividends declared on common stock during the period over our beginning net asset value per common share.</w:t>
      </w:r>
    </w:p>
    <w:p>
      <w:pPr>
        <w:ind w:left="420" w:right="20" w:hanging="412"/>
        <w:spacing w:after="0" w:line="260" w:lineRule="auto"/>
        <w:tabs>
          <w:tab w:leader="none" w:pos="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Average leverage during the period was calculated by dividing our daily weighted average agency MBS repurchase agreements and debt of consolidated VIEs outstanding for the period by the sum of our average stockholders' equity less our average investment in REIT equity securities for the period. Leverage excludes U.S. Treasury repurchase agreements.</w:t>
      </w:r>
    </w:p>
    <w:p>
      <w:pPr>
        <w:ind w:left="420" w:right="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leverage, including net TBA dollar roll position, during the period includes the components of "leverage (average during the period)", plus our daily weighted average net TBA dollar position (at cost) during the period.</w:t>
      </w:r>
    </w:p>
    <w:p>
      <w:pPr>
        <w:jc w:val="both"/>
        <w:ind w:left="420" w:hanging="412"/>
        <w:spacing w:after="0" w:line="241" w:lineRule="auto"/>
        <w:tabs>
          <w:tab w:leader="none" w:pos="4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Leverage at period end was calculated by dividing the sum of the amount outstanding under our agency MBS repurchase agreements, net receivable / payable for unsettled agency securities and debt of consolidated VIEs by the sum of our total stockholders' equity less the fair value of investments in REIT equity securities at period end. Leverage excludes U.S. Treasury repurchase agreements.</w:t>
      </w:r>
    </w:p>
    <w:p>
      <w:pPr>
        <w:spacing w:after="0" w:line="1" w:lineRule="exact"/>
        <w:rPr>
          <w:rFonts w:ascii="Arial" w:cs="Arial" w:eastAsia="Arial" w:hAnsi="Arial"/>
          <w:sz w:val="14"/>
          <w:szCs w:val="14"/>
          <w:color w:val="auto"/>
        </w:rPr>
      </w:pPr>
    </w:p>
    <w:p>
      <w:pPr>
        <w:ind w:left="420" w:hanging="412"/>
        <w:spacing w:after="0"/>
        <w:tabs>
          <w:tab w:leader="none" w:pos="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Leverage at period end, including net TBA dollar roll position, includes the components of "leverage (as of period end)" plus our net TBA position outstanding as of period end, at cost.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6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Interest Income and Asset Yield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interest income for the three months ended March 31, 2014 and 2013 (dollars in millions):</w:t>
      </w:r>
    </w:p>
    <w:p>
      <w:pPr>
        <w:spacing w:after="0" w:line="392"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jc w:val="right"/>
              <w:ind w:right="328"/>
              <w:spacing w:after="0"/>
              <w:rPr>
                <w:sz w:val="20"/>
                <w:szCs w:val="20"/>
                <w:color w:val="auto"/>
              </w:rPr>
            </w:pPr>
            <w:r>
              <w:rPr>
                <w:rFonts w:ascii="Arial" w:cs="Arial" w:eastAsia="Arial" w:hAnsi="Arial"/>
                <w:sz w:val="14"/>
                <w:szCs w:val="14"/>
                <w:b w:val="1"/>
                <w:bCs w:val="1"/>
                <w:color w:val="auto"/>
                <w:w w:val="98"/>
              </w:rPr>
              <w:t>Three Months Ended March 31,</w:t>
            </w:r>
          </w:p>
        </w:tc>
        <w:tc>
          <w:tcPr>
            <w:tcW w:w="780" w:type="dxa"/>
            <w:vAlign w:val="bottom"/>
            <w:tcBorders>
              <w:bottom w:val="single" w:sz="8" w:color="auto"/>
            </w:tcBorders>
          </w:tcPr>
          <w:p>
            <w:pPr>
              <w:spacing w:after="0"/>
              <w:rPr>
                <w:sz w:val="16"/>
                <w:szCs w:val="16"/>
                <w:color w:val="auto"/>
              </w:rPr>
            </w:pPr>
          </w:p>
        </w:tc>
      </w:tr>
      <w:tr>
        <w:trPr>
          <w:trHeight w:val="264"/>
        </w:trPr>
        <w:tc>
          <w:tcPr>
            <w:tcW w:w="4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2013</w:t>
            </w:r>
          </w:p>
        </w:tc>
        <w:tc>
          <w:tcPr>
            <w:tcW w:w="780" w:type="dxa"/>
            <w:vAlign w:val="bottom"/>
            <w:tcBorders>
              <w:bottom w:val="single" w:sz="8" w:color="auto"/>
            </w:tcBorders>
          </w:tcPr>
          <w:p>
            <w:pPr>
              <w:spacing w:after="0"/>
              <w:rPr>
                <w:sz w:val="22"/>
                <w:szCs w:val="22"/>
                <w:color w:val="auto"/>
              </w:rPr>
            </w:pPr>
          </w:p>
        </w:tc>
      </w:tr>
      <w:tr>
        <w:trPr>
          <w:trHeight w:val="264"/>
        </w:trPr>
        <w:tc>
          <w:tcPr>
            <w:tcW w:w="4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3"/>
          </w:tcPr>
          <w:p>
            <w:pPr>
              <w:jc w:val="right"/>
              <w:ind w:right="528"/>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Yield</w:t>
            </w:r>
          </w:p>
        </w:tc>
        <w:tc>
          <w:tcPr>
            <w:tcW w:w="160" w:type="dxa"/>
            <w:vAlign w:val="bottom"/>
          </w:tcPr>
          <w:p>
            <w:pPr>
              <w:spacing w:after="0"/>
              <w:rPr>
                <w:sz w:val="22"/>
                <w:szCs w:val="22"/>
                <w:color w:val="auto"/>
              </w:rPr>
            </w:pPr>
          </w:p>
        </w:tc>
        <w:tc>
          <w:tcPr>
            <w:tcW w:w="1180" w:type="dxa"/>
            <w:vAlign w:val="bottom"/>
          </w:tcPr>
          <w:p>
            <w:pPr>
              <w:jc w:val="right"/>
              <w:ind w:right="528"/>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Yield</w:t>
            </w:r>
          </w:p>
        </w:tc>
      </w:tr>
      <w:tr>
        <w:trPr>
          <w:trHeight w:val="27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Cash/coupon interest income</w:t>
            </w: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541</w:t>
            </w:r>
          </w:p>
        </w:tc>
        <w:tc>
          <w:tcPr>
            <w:tcW w:w="1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3.60 %</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681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3.68 %</w:t>
            </w: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Premium amortization</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(134)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(0.88)%</w:t>
            </w: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399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2.54 %</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547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2.80 %</w:t>
            </w: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45"/>
        </w:trPr>
        <w:tc>
          <w:tcPr>
            <w:tcW w:w="4240" w:type="dxa"/>
            <w:vAlign w:val="bottom"/>
          </w:tcPr>
          <w:p>
            <w:pPr>
              <w:ind w:left="20"/>
              <w:spacing w:after="0"/>
              <w:rPr>
                <w:sz w:val="20"/>
                <w:szCs w:val="20"/>
                <w:color w:val="auto"/>
              </w:rPr>
            </w:pPr>
            <w:r>
              <w:rPr>
                <w:rFonts w:ascii="Arial" w:cs="Arial" w:eastAsia="Arial" w:hAnsi="Arial"/>
                <w:sz w:val="14"/>
                <w:szCs w:val="14"/>
                <w:color w:val="auto"/>
              </w:rPr>
              <w:t>Actual portfolio CPR</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288"/>
              <w:spacing w:after="0"/>
              <w:rPr>
                <w:sz w:val="20"/>
                <w:szCs w:val="20"/>
                <w:color w:val="auto"/>
              </w:rPr>
            </w:pPr>
            <w:r>
              <w:rPr>
                <w:rFonts w:ascii="Arial" w:cs="Arial" w:eastAsia="Arial" w:hAnsi="Arial"/>
                <w:sz w:val="14"/>
                <w:szCs w:val="14"/>
                <w:color w:val="auto"/>
              </w:rPr>
              <w:t>10%</w:t>
            </w:r>
          </w:p>
        </w:tc>
        <w:tc>
          <w:tcPr>
            <w:tcW w:w="780" w:type="dxa"/>
            <w:vAlign w:val="bottom"/>
          </w:tcPr>
          <w:p>
            <w:pPr>
              <w:spacing w:after="0"/>
              <w:rPr>
                <w:sz w:val="21"/>
                <w:szCs w:val="21"/>
                <w:color w:val="auto"/>
              </w:rPr>
            </w:pPr>
          </w:p>
        </w:tc>
      </w:tr>
      <w:tr>
        <w:trPr>
          <w:trHeight w:val="27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Projected life CPR as of period end</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9%</w:t>
            </w:r>
          </w:p>
        </w:tc>
        <w:tc>
          <w:tcPr>
            <w:tcW w:w="780" w:type="dxa"/>
            <w:vAlign w:val="bottom"/>
            <w:shd w:val="clear" w:color="auto" w:fill="CCEEFF"/>
          </w:tcPr>
          <w:p>
            <w:pPr>
              <w:spacing w:after="0"/>
              <w:rPr>
                <w:sz w:val="24"/>
                <w:szCs w:val="24"/>
                <w:color w:val="auto"/>
              </w:rPr>
            </w:pPr>
          </w:p>
        </w:tc>
      </w:tr>
      <w:tr>
        <w:trPr>
          <w:trHeight w:val="264"/>
        </w:trPr>
        <w:tc>
          <w:tcPr>
            <w:tcW w:w="4240" w:type="dxa"/>
            <w:vAlign w:val="bottom"/>
          </w:tcPr>
          <w:p>
            <w:pPr>
              <w:ind w:left="20"/>
              <w:spacing w:after="0"/>
              <w:rPr>
                <w:sz w:val="20"/>
                <w:szCs w:val="20"/>
                <w:color w:val="auto"/>
              </w:rPr>
            </w:pPr>
            <w:r>
              <w:rPr>
                <w:rFonts w:ascii="Arial" w:cs="Arial" w:eastAsia="Arial" w:hAnsi="Arial"/>
                <w:sz w:val="14"/>
                <w:szCs w:val="14"/>
                <w:color w:val="auto"/>
              </w:rPr>
              <w:t xml:space="preserve">Average 30-year fixed rate mortgage rate as of period end </w:t>
            </w:r>
            <w:r>
              <w:rPr>
                <w:rFonts w:ascii="Arial" w:cs="Arial" w:eastAsia="Arial" w:hAnsi="Arial"/>
                <w:sz w:val="8"/>
                <w:szCs w:val="8"/>
                <w:color w:val="auto"/>
              </w:rPr>
              <w:t>1</w:t>
            </w:r>
          </w:p>
        </w:tc>
        <w:tc>
          <w:tcPr>
            <w:tcW w:w="1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8"/>
              <w:spacing w:after="0"/>
              <w:rPr>
                <w:sz w:val="20"/>
                <w:szCs w:val="20"/>
                <w:color w:val="auto"/>
              </w:rPr>
            </w:pPr>
            <w:r>
              <w:rPr>
                <w:rFonts w:ascii="Arial" w:cs="Arial" w:eastAsia="Arial" w:hAnsi="Arial"/>
                <w:sz w:val="14"/>
                <w:szCs w:val="14"/>
                <w:color w:val="auto"/>
              </w:rPr>
              <w:t>3.57%</w:t>
            </w:r>
          </w:p>
        </w:tc>
        <w:tc>
          <w:tcPr>
            <w:tcW w:w="780" w:type="dxa"/>
            <w:vAlign w:val="bottom"/>
          </w:tcPr>
          <w:p>
            <w:pPr>
              <w:spacing w:after="0"/>
              <w:rPr>
                <w:sz w:val="22"/>
                <w:szCs w:val="22"/>
                <w:color w:val="auto"/>
              </w:rPr>
            </w:pPr>
          </w:p>
        </w:tc>
      </w:tr>
      <w:tr>
        <w:trPr>
          <w:trHeight w:val="276"/>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10-year U.S. Treasury rate as of period end</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1.85%</w:t>
            </w:r>
          </w:p>
        </w:tc>
        <w:tc>
          <w:tcPr>
            <w:tcW w:w="780" w:type="dxa"/>
            <w:vAlign w:val="bottom"/>
            <w:shd w:val="clear" w:color="auto" w:fill="CCEEFF"/>
          </w:tcPr>
          <w:p>
            <w:pPr>
              <w:spacing w:after="0"/>
              <w:rPr>
                <w:sz w:val="24"/>
                <w:szCs w:val="24"/>
                <w:color w:val="auto"/>
              </w:rPr>
            </w:pP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Source: Freddie Mac Primary Fixed Mortgage Rate Mortgage Market Survey</w:t>
      </w:r>
    </w:p>
    <w:p>
      <w:pPr>
        <w:spacing w:after="0" w:line="372"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The principal elements impacting our interest income are our average agency MBS portfolio size and the yield on our investments. Our average portfolio size decreased 19% for the current three month period compared to the prior year period, reflective of a smaller capital base largely due to repurchasing 12% of our outstanding common stock during the 12 month period ended March 31, 2014. We also experienced lower asset yields primarily due to the recognition of premium "catch-up" amortization expense of approximately $25 million during the current three month period compared to a "catch-up" benefit of approximately $32 million during the prior year period due to changes in our projected portfolio CPR. The following is a summary of the estimated impact of each of these elements on the decline in interest income between the three months ended March 31, 2014 and 2013 (in millions):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March 31, 2014 vs.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13335</wp:posOffset>
            </wp:positionV>
            <wp:extent cx="46653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65345" cy="8890"/>
                    </a:xfrm>
                    <a:prstGeom prst="rect">
                      <a:avLst/>
                    </a:prstGeom>
                    <a:noFill/>
                  </pic:spPr>
                </pic:pic>
              </a:graphicData>
            </a:graphic>
          </wp:anchor>
        </w:drawing>
      </w:r>
    </w:p>
    <w:p>
      <w:pPr>
        <w:spacing w:after="0" w:line="87" w:lineRule="exact"/>
        <w:rPr>
          <w:sz w:val="20"/>
          <w:szCs w:val="20"/>
          <w:color w:val="auto"/>
        </w:rPr>
      </w:pPr>
    </w:p>
    <w:tbl>
      <w:tblPr>
        <w:tblLayout w:type="fixed"/>
        <w:tblInd w:w="204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 xml:space="preserve">Due to Change in Average </w:t>
            </w:r>
            <w:r>
              <w:rPr>
                <w:rFonts w:ascii="Arial" w:cs="Arial" w:eastAsia="Arial" w:hAnsi="Arial"/>
                <w:sz w:val="8"/>
                <w:szCs w:val="8"/>
                <w:b w:val="1"/>
                <w:bCs w:val="1"/>
                <w:color w:val="auto"/>
              </w:rPr>
              <w:t>1</w:t>
            </w:r>
          </w:p>
        </w:tc>
      </w:tr>
      <w:tr>
        <w:trPr>
          <w:trHeight w:val="153"/>
        </w:trPr>
        <w:tc>
          <w:tcPr>
            <w:tcW w:w="2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3"/>
                <w:szCs w:val="13"/>
                <w:color w:val="auto"/>
              </w:rPr>
            </w:pPr>
          </w:p>
        </w:tc>
        <w:tc>
          <w:tcPr>
            <w:tcW w:w="136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Portfolio</w:t>
            </w:r>
          </w:p>
        </w:tc>
        <w:tc>
          <w:tcPr>
            <w:tcW w:w="320" w:type="dxa"/>
            <w:vAlign w:val="bottom"/>
          </w:tcPr>
          <w:p>
            <w:pPr>
              <w:spacing w:after="0"/>
              <w:rPr>
                <w:sz w:val="13"/>
                <w:szCs w:val="13"/>
                <w:color w:val="auto"/>
              </w:rPr>
            </w:pPr>
          </w:p>
        </w:tc>
        <w:tc>
          <w:tcPr>
            <w:tcW w:w="110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Asset</w:t>
            </w:r>
          </w:p>
        </w:tc>
      </w:tr>
      <w:tr>
        <w:trPr>
          <w:trHeight w:val="192"/>
        </w:trPr>
        <w:tc>
          <w:tcPr>
            <w:tcW w:w="2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Decrease</w:t>
            </w:r>
          </w:p>
        </w:tc>
        <w:tc>
          <w:tcPr>
            <w:tcW w:w="280" w:type="dxa"/>
            <w:vAlign w:val="bottom"/>
          </w:tcPr>
          <w:p>
            <w:pPr>
              <w:spacing w:after="0"/>
              <w:rPr>
                <w:sz w:val="16"/>
                <w:szCs w:val="16"/>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Size</w:t>
            </w:r>
          </w:p>
        </w:tc>
        <w:tc>
          <w:tcPr>
            <w:tcW w:w="320" w:type="dxa"/>
            <w:vAlign w:val="bottom"/>
          </w:tcPr>
          <w:p>
            <w:pPr>
              <w:spacing w:after="0"/>
              <w:rPr>
                <w:sz w:val="16"/>
                <w:szCs w:val="16"/>
                <w:color w:val="auto"/>
              </w:rPr>
            </w:pPr>
          </w:p>
        </w:tc>
        <w:tc>
          <w:tcPr>
            <w:tcW w:w="1100" w:type="dxa"/>
            <w:vAlign w:val="bottom"/>
          </w:tcPr>
          <w:p>
            <w:pPr>
              <w:ind w:left="220"/>
              <w:spacing w:after="0"/>
              <w:rPr>
                <w:sz w:val="20"/>
                <w:szCs w:val="20"/>
                <w:color w:val="auto"/>
              </w:rPr>
            </w:pPr>
            <w:r>
              <w:rPr>
                <w:rFonts w:ascii="Arial" w:cs="Arial" w:eastAsia="Arial" w:hAnsi="Arial"/>
                <w:sz w:val="14"/>
                <w:szCs w:val="14"/>
                <w:b w:val="1"/>
                <w:bCs w:val="1"/>
                <w:color w:val="auto"/>
              </w:rPr>
              <w:t>Yield</w:t>
            </w:r>
          </w:p>
        </w:tc>
      </w:tr>
      <w:tr>
        <w:trPr>
          <w:trHeight w:val="25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4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113" w:lineRule="exact"/>
        <w:rPr>
          <w:sz w:val="20"/>
          <w:szCs w:val="20"/>
          <w:color w:val="auto"/>
        </w:rPr>
      </w:pPr>
    </w:p>
    <w:p>
      <w:pPr>
        <w:ind w:left="660" w:hanging="328"/>
        <w:spacing w:after="0" w:line="273" w:lineRule="auto"/>
        <w:tabs>
          <w:tab w:leader="none" w:pos="6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Variances that are the combined effect of changes in portfolio size and asset yield, but cannot be separately identified, are allocated to the portfolio size and asset yield variances based on their respective relative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Leverage</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Our leverage was 5.9 times and 7.3 times our stockholders' equity as of March 31, 2014 and December 31, 2013, respectively, measured as the sum of our agency MBS repurchase agreements, net receivable / payable for unsettled agency securities and debt of consolidated VIEs divided by the sum of our total stockholders' equity less the fair value of our investments in REIT equity securities as of period end. Since the individual agency mortgage REITs in which we invest employ similar leverage as within our agency portfolio, we acquire these securities on an unlevered basis and, therefore, exclude from our leverage measurements the portion of our stockholders' equity allocated to investments in other mortgage REITs. In addition, our measurement of leverage excludes repurchase agreements used to fund short-term investments in U.S. Treasury securities due to the highly liquid and temporary nature of these investments.</w:t>
      </w:r>
    </w:p>
    <w:p>
      <w:pPr>
        <w:spacing w:after="0" w:line="13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 xml:space="preserve">Inclusive of our net TBA position, our total "at risk" leverage was 7.6 times and 7.5 times our stockholders' equity as of March 31, 2014 and December 31, 2013, respectively. We recognize our TBA commitments as derivatives under GAAP and, thus, they are not included in our repurchase agreement ("repo") and other debt leverage calculations; however, a long TBA position carries similar risks as if we had purchased the underlying MBS assets and funded such purchases with on-balance sheet repurchase agreements. Similarly, a short TBA position has substantially the same effect as selling the underlying MBS assets and reducing our on-balance sheet repurchase commitments. (Refer to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xml:space="preserve"> for further discussion of TBA dollar roll positions). Therefore, we commonly refer to our leverage adjusted for TBA positions as our "at risk" leverage.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7" w:name="page38"/>
    <w:bookmarkEnd w:id="37"/>
    <w:p>
      <w:pPr>
        <w:ind w:left="440"/>
        <w:spacing w:after="0"/>
        <w:rPr>
          <w:sz w:val="20"/>
          <w:szCs w:val="20"/>
          <w:color w:val="auto"/>
        </w:rPr>
      </w:pPr>
      <w:r>
        <w:rPr>
          <w:rFonts w:ascii="Arial" w:cs="Arial" w:eastAsia="Arial" w:hAnsi="Arial"/>
          <w:sz w:val="16"/>
          <w:szCs w:val="16"/>
          <w:color w:val="auto"/>
        </w:rPr>
        <w:t>The table below presents our average and quarter-end repo and other debt balance, net TBA position and leverage ratios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2014 and December 31 and March 31, 2013 (dollars in millions):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40" w:type="dxa"/>
            <w:vAlign w:val="bottom"/>
            <w:gridSpan w:val="4"/>
          </w:tcPr>
          <w:p>
            <w:pPr>
              <w:jc w:val="right"/>
              <w:ind w:right="392"/>
              <w:spacing w:after="0"/>
              <w:rPr>
                <w:sz w:val="20"/>
                <w:szCs w:val="20"/>
                <w:color w:val="auto"/>
              </w:rPr>
            </w:pPr>
            <w:r>
              <w:rPr>
                <w:rFonts w:ascii="Arial" w:cs="Arial" w:eastAsia="Arial" w:hAnsi="Arial"/>
                <w:sz w:val="13"/>
                <w:szCs w:val="13"/>
                <w:b w:val="1"/>
                <w:bCs w:val="1"/>
                <w:color w:val="auto"/>
              </w:rPr>
              <w:t>Net TBA Position</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5"/>
              </w:rPr>
              <w:t>Average</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6"/>
              </w:rPr>
              <w:t>Average Total</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7"/>
              </w:rPr>
              <w:t>Leverage</w:t>
            </w: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"At Risk"</w:t>
            </w:r>
          </w:p>
        </w:tc>
        <w:tc>
          <w:tcPr>
            <w:tcW w:w="0" w:type="dxa"/>
            <w:vAlign w:val="bottom"/>
          </w:tcPr>
          <w:p>
            <w:pPr>
              <w:spacing w:after="0"/>
              <w:rPr>
                <w:sz w:val="1"/>
                <w:szCs w:val="1"/>
                <w:color w:val="auto"/>
              </w:rPr>
            </w:pPr>
          </w:p>
        </w:tc>
      </w:tr>
      <w:tr>
        <w:trPr>
          <w:trHeight w:val="126"/>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60" w:type="dxa"/>
            <w:vAlign w:val="bottom"/>
            <w:gridSpan w:val="8"/>
          </w:tcPr>
          <w:p>
            <w:pPr>
              <w:ind w:left="400"/>
              <w:spacing w:after="0" w:line="126" w:lineRule="exact"/>
              <w:rPr>
                <w:sz w:val="20"/>
                <w:szCs w:val="20"/>
                <w:color w:val="auto"/>
              </w:rPr>
            </w:pPr>
            <w:r>
              <w:rPr>
                <w:rFonts w:ascii="Arial" w:cs="Arial" w:eastAsia="Arial" w:hAnsi="Arial"/>
                <w:sz w:val="13"/>
                <w:szCs w:val="13"/>
                <w:b w:val="1"/>
                <w:bCs w:val="1"/>
                <w:color w:val="auto"/>
              </w:rPr>
              <w:t xml:space="preserve">Repurchase Agreements and Other Debt </w:t>
            </w:r>
            <w:r>
              <w:rPr>
                <w:rFonts w:ascii="Arial" w:cs="Arial" w:eastAsia="Arial" w:hAnsi="Arial"/>
                <w:sz w:val="8"/>
                <w:szCs w:val="8"/>
                <w:b w:val="1"/>
                <w:bCs w:val="1"/>
                <w:color w:val="auto"/>
              </w:rPr>
              <w:t>1</w:t>
            </w:r>
          </w:p>
        </w:tc>
        <w:tc>
          <w:tcPr>
            <w:tcW w:w="160" w:type="dxa"/>
            <w:vAlign w:val="bottom"/>
          </w:tcPr>
          <w:p>
            <w:pPr>
              <w:spacing w:after="0"/>
              <w:rPr>
                <w:sz w:val="10"/>
                <w:szCs w:val="10"/>
                <w:color w:val="auto"/>
              </w:rPr>
            </w:pPr>
          </w:p>
        </w:tc>
        <w:tc>
          <w:tcPr>
            <w:tcW w:w="1740" w:type="dxa"/>
            <w:vAlign w:val="bottom"/>
            <w:gridSpan w:val="4"/>
          </w:tcPr>
          <w:p>
            <w:pPr>
              <w:jc w:val="right"/>
              <w:ind w:right="472"/>
              <w:spacing w:after="0" w:line="126" w:lineRule="exact"/>
              <w:rPr>
                <w:sz w:val="20"/>
                <w:szCs w:val="20"/>
                <w:color w:val="auto"/>
              </w:rPr>
            </w:pPr>
            <w:r>
              <w:rPr>
                <w:rFonts w:ascii="Arial" w:cs="Arial" w:eastAsia="Arial" w:hAnsi="Arial"/>
                <w:sz w:val="13"/>
                <w:szCs w:val="13"/>
                <w:b w:val="1"/>
                <w:bCs w:val="1"/>
                <w:color w:val="auto"/>
              </w:rPr>
              <w:t xml:space="preserve">Long / (Short) </w:t>
            </w:r>
            <w:r>
              <w:rPr>
                <w:rFonts w:ascii="Arial" w:cs="Arial" w:eastAsia="Arial" w:hAnsi="Arial"/>
                <w:sz w:val="8"/>
                <w:szCs w:val="8"/>
                <w:b w:val="1"/>
                <w:bCs w:val="1"/>
                <w:color w:val="auto"/>
              </w:rPr>
              <w:t>2</w:t>
            </w: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8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020" w:type="dxa"/>
            <w:vAlign w:val="bottom"/>
            <w:gridSpan w:val="2"/>
          </w:tcPr>
          <w:p>
            <w:pPr>
              <w:jc w:val="center"/>
              <w:ind w:right="120"/>
              <w:spacing w:after="0" w:line="71" w:lineRule="exact"/>
              <w:rPr>
                <w:sz w:val="20"/>
                <w:szCs w:val="20"/>
                <w:color w:val="auto"/>
              </w:rPr>
            </w:pPr>
            <w:r>
              <w:rPr>
                <w:rFonts w:ascii="Arial" w:cs="Arial" w:eastAsia="Arial" w:hAnsi="Arial"/>
                <w:sz w:val="8"/>
                <w:szCs w:val="8"/>
                <w:b w:val="1"/>
                <w:bCs w:val="1"/>
                <w:color w:val="auto"/>
              </w:rPr>
              <w:t>Leverage</w:t>
            </w:r>
          </w:p>
        </w:tc>
        <w:tc>
          <w:tcPr>
            <w:tcW w:w="1140" w:type="dxa"/>
            <w:vAlign w:val="bottom"/>
            <w:gridSpan w:val="2"/>
          </w:tcPr>
          <w:p>
            <w:pPr>
              <w:jc w:val="center"/>
              <w:ind w:right="120"/>
              <w:spacing w:after="0" w:line="71" w:lineRule="exact"/>
              <w:rPr>
                <w:sz w:val="20"/>
                <w:szCs w:val="20"/>
                <w:color w:val="auto"/>
              </w:rPr>
            </w:pPr>
            <w:r>
              <w:rPr>
                <w:rFonts w:ascii="Arial" w:cs="Arial" w:eastAsia="Arial" w:hAnsi="Arial"/>
                <w:sz w:val="8"/>
                <w:szCs w:val="8"/>
                <w:b w:val="1"/>
                <w:bCs w:val="1"/>
                <w:color w:val="auto"/>
              </w:rPr>
              <w:t>"At Risk"</w:t>
            </w:r>
          </w:p>
        </w:tc>
        <w:tc>
          <w:tcPr>
            <w:tcW w:w="900" w:type="dxa"/>
            <w:vAlign w:val="bottom"/>
            <w:gridSpan w:val="2"/>
          </w:tcPr>
          <w:p>
            <w:pPr>
              <w:jc w:val="center"/>
              <w:ind w:right="120"/>
              <w:spacing w:after="0" w:line="71" w:lineRule="exact"/>
              <w:rPr>
                <w:sz w:val="20"/>
                <w:szCs w:val="20"/>
                <w:color w:val="auto"/>
              </w:rPr>
            </w:pPr>
            <w:r>
              <w:rPr>
                <w:rFonts w:ascii="Arial" w:cs="Arial" w:eastAsia="Arial" w:hAnsi="Arial"/>
                <w:sz w:val="8"/>
                <w:szCs w:val="8"/>
                <w:b w:val="1"/>
                <w:bCs w:val="1"/>
                <w:color w:val="auto"/>
              </w:rPr>
              <w:t>as of</w:t>
            </w:r>
          </w:p>
        </w:tc>
        <w:tc>
          <w:tcPr>
            <w:tcW w:w="900" w:type="dxa"/>
            <w:vAlign w:val="bottom"/>
          </w:tcPr>
          <w:p>
            <w:pPr>
              <w:jc w:val="center"/>
              <w:spacing w:after="0" w:line="71" w:lineRule="exact"/>
              <w:rPr>
                <w:sz w:val="20"/>
                <w:szCs w:val="20"/>
                <w:color w:val="auto"/>
              </w:rPr>
            </w:pPr>
            <w:r>
              <w:rPr>
                <w:rFonts w:ascii="Arial" w:cs="Arial" w:eastAsia="Arial" w:hAnsi="Arial"/>
                <w:sz w:val="8"/>
                <w:szCs w:val="8"/>
                <w:b w:val="1"/>
                <w:bCs w:val="1"/>
                <w:color w:val="auto"/>
              </w:rPr>
              <w:t>Leverage</w:t>
            </w:r>
          </w:p>
        </w:tc>
        <w:tc>
          <w:tcPr>
            <w:tcW w:w="0" w:type="dxa"/>
            <w:vAlign w:val="bottom"/>
          </w:tcPr>
          <w:p>
            <w:pPr>
              <w:spacing w:after="0"/>
              <w:rPr>
                <w:sz w:val="1"/>
                <w:szCs w:val="1"/>
                <w:color w:val="auto"/>
              </w:rPr>
            </w:pPr>
          </w:p>
        </w:tc>
      </w:tr>
      <w:tr>
        <w:trPr>
          <w:trHeight w:val="139"/>
        </w:trPr>
        <w:tc>
          <w:tcPr>
            <w:tcW w:w="20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Quarter Ended</w:t>
            </w:r>
          </w:p>
        </w:tc>
        <w:tc>
          <w:tcPr>
            <w:tcW w:w="120" w:type="dxa"/>
            <w:vAlign w:val="bottom"/>
          </w:tcPr>
          <w:p>
            <w:pPr>
              <w:spacing w:after="0"/>
              <w:rPr>
                <w:sz w:val="12"/>
                <w:szCs w:val="12"/>
                <w:color w:val="auto"/>
              </w:rPr>
            </w:pPr>
          </w:p>
        </w:tc>
        <w:tc>
          <w:tcPr>
            <w:tcW w:w="1040" w:type="dxa"/>
            <w:vAlign w:val="bottom"/>
            <w:gridSpan w:val="2"/>
          </w:tcPr>
          <w:p>
            <w:pPr>
              <w:ind w:left="20"/>
              <w:spacing w:after="0" w:line="139" w:lineRule="exact"/>
              <w:rPr>
                <w:sz w:val="20"/>
                <w:szCs w:val="20"/>
                <w:color w:val="auto"/>
              </w:rPr>
            </w:pPr>
            <w:r>
              <w:rPr>
                <w:rFonts w:ascii="Arial" w:cs="Arial" w:eastAsia="Arial" w:hAnsi="Arial"/>
                <w:sz w:val="13"/>
                <w:szCs w:val="13"/>
                <w:b w:val="1"/>
                <w:bCs w:val="1"/>
                <w:color w:val="auto"/>
              </w:rPr>
              <w:t>Average Daily</w:t>
            </w:r>
          </w:p>
        </w:tc>
        <w:tc>
          <w:tcPr>
            <w:tcW w:w="140" w:type="dxa"/>
            <w:vAlign w:val="bottom"/>
          </w:tcPr>
          <w:p>
            <w:pPr>
              <w:spacing w:after="0"/>
              <w:rPr>
                <w:sz w:val="12"/>
                <w:szCs w:val="12"/>
                <w:color w:val="auto"/>
              </w:rPr>
            </w:pPr>
          </w:p>
        </w:tc>
        <w:tc>
          <w:tcPr>
            <w:tcW w:w="1040" w:type="dxa"/>
            <w:vAlign w:val="bottom"/>
            <w:gridSpan w:val="2"/>
          </w:tcPr>
          <w:p>
            <w:pPr>
              <w:ind w:left="120"/>
              <w:spacing w:after="0" w:line="139" w:lineRule="exact"/>
              <w:rPr>
                <w:sz w:val="20"/>
                <w:szCs w:val="20"/>
                <w:color w:val="auto"/>
              </w:rPr>
            </w:pPr>
            <w:r>
              <w:rPr>
                <w:rFonts w:ascii="Arial" w:cs="Arial" w:eastAsia="Arial" w:hAnsi="Arial"/>
                <w:sz w:val="13"/>
                <w:szCs w:val="13"/>
                <w:b w:val="1"/>
                <w:bCs w:val="1"/>
                <w:color w:val="auto"/>
              </w:rPr>
              <w:t>Maximum</w:t>
            </w:r>
          </w:p>
        </w:tc>
        <w:tc>
          <w:tcPr>
            <w:tcW w:w="180" w:type="dxa"/>
            <w:vAlign w:val="bottom"/>
          </w:tcPr>
          <w:p>
            <w:pPr>
              <w:spacing w:after="0"/>
              <w:rPr>
                <w:sz w:val="12"/>
                <w:szCs w:val="12"/>
                <w:color w:val="auto"/>
              </w:rPr>
            </w:pPr>
          </w:p>
        </w:tc>
        <w:tc>
          <w:tcPr>
            <w:tcW w:w="860" w:type="dxa"/>
            <w:vAlign w:val="bottom"/>
            <w:gridSpan w:val="2"/>
          </w:tcPr>
          <w:p>
            <w:pPr>
              <w:ind w:left="100"/>
              <w:spacing w:after="0" w:line="139" w:lineRule="exact"/>
              <w:rPr>
                <w:sz w:val="20"/>
                <w:szCs w:val="20"/>
                <w:color w:val="auto"/>
              </w:rPr>
            </w:pPr>
            <w:r>
              <w:rPr>
                <w:rFonts w:ascii="Arial" w:cs="Arial" w:eastAsia="Arial" w:hAnsi="Arial"/>
                <w:sz w:val="13"/>
                <w:szCs w:val="13"/>
                <w:b w:val="1"/>
                <w:bCs w:val="1"/>
                <w:color w:val="auto"/>
              </w:rPr>
              <w:t>Ending</w:t>
            </w:r>
          </w:p>
        </w:tc>
        <w:tc>
          <w:tcPr>
            <w:tcW w:w="1000" w:type="dxa"/>
            <w:vAlign w:val="bottom"/>
            <w:gridSpan w:val="3"/>
          </w:tcPr>
          <w:p>
            <w:pPr>
              <w:ind w:left="80"/>
              <w:spacing w:after="0" w:line="139" w:lineRule="exact"/>
              <w:rPr>
                <w:sz w:val="20"/>
                <w:szCs w:val="20"/>
                <w:color w:val="auto"/>
              </w:rPr>
            </w:pPr>
            <w:r>
              <w:rPr>
                <w:rFonts w:ascii="Arial" w:cs="Arial" w:eastAsia="Arial" w:hAnsi="Arial"/>
                <w:sz w:val="13"/>
                <w:szCs w:val="13"/>
                <w:b w:val="1"/>
                <w:bCs w:val="1"/>
                <w:color w:val="auto"/>
              </w:rPr>
              <w:t>Average Daily</w:t>
            </w:r>
          </w:p>
        </w:tc>
        <w:tc>
          <w:tcPr>
            <w:tcW w:w="160" w:type="dxa"/>
            <w:vAlign w:val="bottom"/>
          </w:tcPr>
          <w:p>
            <w:pPr>
              <w:spacing w:after="0"/>
              <w:rPr>
                <w:sz w:val="12"/>
                <w:szCs w:val="12"/>
                <w:color w:val="auto"/>
              </w:rPr>
            </w:pPr>
          </w:p>
        </w:tc>
        <w:tc>
          <w:tcPr>
            <w:tcW w:w="740" w:type="dxa"/>
            <w:vAlign w:val="bottom"/>
          </w:tcPr>
          <w:p>
            <w:pPr>
              <w:jc w:val="right"/>
              <w:ind w:right="192"/>
              <w:spacing w:after="0" w:line="139" w:lineRule="exact"/>
              <w:rPr>
                <w:sz w:val="20"/>
                <w:szCs w:val="20"/>
                <w:color w:val="auto"/>
              </w:rPr>
            </w:pPr>
            <w:r>
              <w:rPr>
                <w:rFonts w:ascii="Arial" w:cs="Arial" w:eastAsia="Arial" w:hAnsi="Arial"/>
                <w:sz w:val="13"/>
                <w:szCs w:val="13"/>
                <w:b w:val="1"/>
                <w:bCs w:val="1"/>
                <w:color w:val="auto"/>
              </w:rPr>
              <w:t>Ending</w:t>
            </w:r>
          </w:p>
        </w:tc>
        <w:tc>
          <w:tcPr>
            <w:tcW w:w="100" w:type="dxa"/>
            <w:vAlign w:val="bottom"/>
          </w:tcPr>
          <w:p>
            <w:pPr>
              <w:spacing w:after="0"/>
              <w:rPr>
                <w:sz w:val="12"/>
                <w:szCs w:val="12"/>
                <w:color w:val="auto"/>
              </w:rPr>
            </w:pPr>
          </w:p>
        </w:tc>
        <w:tc>
          <w:tcPr>
            <w:tcW w:w="102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88"/>
              </w:rPr>
              <w:t>during the</w:t>
            </w:r>
          </w:p>
        </w:tc>
        <w:tc>
          <w:tcPr>
            <w:tcW w:w="114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88"/>
              </w:rPr>
              <w:t>Leverage during</w:t>
            </w:r>
          </w:p>
        </w:tc>
        <w:tc>
          <w:tcPr>
            <w:tcW w:w="900" w:type="dxa"/>
            <w:vAlign w:val="bottom"/>
            <w:gridSpan w:val="2"/>
          </w:tcPr>
          <w:p>
            <w:pPr>
              <w:jc w:val="center"/>
              <w:ind w:right="120"/>
              <w:spacing w:after="0" w:line="139" w:lineRule="exact"/>
              <w:rPr>
                <w:sz w:val="20"/>
                <w:szCs w:val="20"/>
                <w:color w:val="auto"/>
              </w:rPr>
            </w:pPr>
            <w:r>
              <w:rPr>
                <w:rFonts w:ascii="Arial" w:cs="Arial" w:eastAsia="Arial" w:hAnsi="Arial"/>
                <w:sz w:val="13"/>
                <w:szCs w:val="13"/>
                <w:b w:val="1"/>
                <w:bCs w:val="1"/>
                <w:color w:val="auto"/>
                <w:w w:val="90"/>
              </w:rPr>
              <w:t>Period End</w:t>
            </w:r>
          </w:p>
        </w:tc>
        <w:tc>
          <w:tcPr>
            <w:tcW w:w="9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5"/>
              </w:rPr>
              <w:t>as of</w:t>
            </w:r>
          </w:p>
        </w:tc>
        <w:tc>
          <w:tcPr>
            <w:tcW w:w="0" w:type="dxa"/>
            <w:vAlign w:val="bottom"/>
          </w:tcPr>
          <w:p>
            <w:pPr>
              <w:spacing w:after="0"/>
              <w:rPr>
                <w:sz w:val="1"/>
                <w:szCs w:val="1"/>
                <w:color w:val="auto"/>
              </w:rPr>
            </w:pPr>
          </w:p>
        </w:tc>
      </w:tr>
      <w:tr>
        <w:trPr>
          <w:trHeight w:val="162"/>
        </w:trPr>
        <w:tc>
          <w:tcPr>
            <w:tcW w:w="20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3"/>
                <w:szCs w:val="13"/>
                <w:b w:val="1"/>
                <w:bCs w:val="1"/>
                <w:color w:val="auto"/>
                <w:w w:val="90"/>
              </w:rPr>
              <w:t>Daily Amount</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 xml:space="preserve">Period </w:t>
            </w:r>
            <w:r>
              <w:rPr>
                <w:rFonts w:ascii="Arial" w:cs="Arial" w:eastAsia="Arial" w:hAnsi="Arial"/>
                <w:sz w:val="8"/>
                <w:szCs w:val="8"/>
                <w:b w:val="1"/>
                <w:bCs w:val="1"/>
                <w:color w:val="auto"/>
                <w:w w:val="90"/>
              </w:rPr>
              <w:t>1,3</w:t>
            </w:r>
          </w:p>
        </w:tc>
        <w:tc>
          <w:tcPr>
            <w:tcW w:w="1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 xml:space="preserve">the Period </w:t>
            </w:r>
            <w:r>
              <w:rPr>
                <w:rFonts w:ascii="Arial" w:cs="Arial" w:eastAsia="Arial" w:hAnsi="Arial"/>
                <w:sz w:val="8"/>
                <w:szCs w:val="8"/>
                <w:b w:val="1"/>
                <w:bCs w:val="1"/>
                <w:color w:val="auto"/>
                <w:w w:val="89"/>
              </w:rPr>
              <w:t>1,4</w:t>
            </w: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79"/>
              </w:rPr>
              <w:t>1,5</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Period End </w:t>
            </w:r>
            <w:r>
              <w:rPr>
                <w:rFonts w:ascii="Arial" w:cs="Arial" w:eastAsia="Arial" w:hAnsi="Arial"/>
                <w:sz w:val="8"/>
                <w:szCs w:val="8"/>
                <w:b w:val="1"/>
                <w:bCs w:val="1"/>
                <w:color w:val="auto"/>
                <w:w w:val="91"/>
              </w:rPr>
              <w:t>1,6</w:t>
            </w:r>
          </w:p>
        </w:tc>
        <w:tc>
          <w:tcPr>
            <w:tcW w:w="0" w:type="dxa"/>
            <w:vAlign w:val="bottom"/>
          </w:tcPr>
          <w:p>
            <w:pPr>
              <w:spacing w:after="0"/>
              <w:rPr>
                <w:sz w:val="1"/>
                <w:szCs w:val="1"/>
                <w:color w:val="auto"/>
              </w:rPr>
            </w:pPr>
          </w:p>
        </w:tc>
      </w:tr>
      <w:tr>
        <w:trPr>
          <w:trHeight w:val="250"/>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March 31, 2014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57,544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63,117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50,454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4,534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14,127</w:t>
            </w:r>
          </w:p>
        </w:tc>
        <w:tc>
          <w:tcPr>
            <w:tcW w:w="10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6.7:1</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7.2:1</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5.9:1</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7.6:1</w:t>
            </w:r>
          </w:p>
        </w:tc>
        <w:tc>
          <w:tcPr>
            <w:tcW w:w="0" w:type="dxa"/>
            <w:vAlign w:val="bottom"/>
          </w:tcPr>
          <w:p>
            <w:pPr>
              <w:spacing w:after="0"/>
              <w:rPr>
                <w:sz w:val="1"/>
                <w:szCs w:val="1"/>
                <w:color w:val="auto"/>
              </w:rPr>
            </w:pPr>
          </w:p>
        </w:tc>
      </w:tr>
      <w:tr>
        <w:trPr>
          <w:trHeight w:val="264"/>
        </w:trPr>
        <w:tc>
          <w:tcPr>
            <w:tcW w:w="2080" w:type="dxa"/>
            <w:vAlign w:val="bottom"/>
          </w:tcPr>
          <w:p>
            <w:pPr>
              <w:ind w:left="40"/>
              <w:spacing w:after="0"/>
              <w:rPr>
                <w:sz w:val="20"/>
                <w:szCs w:val="20"/>
                <w:color w:val="auto"/>
              </w:rPr>
            </w:pPr>
            <w:r>
              <w:rPr>
                <w:rFonts w:ascii="Arial" w:cs="Arial" w:eastAsia="Arial" w:hAnsi="Arial"/>
                <w:sz w:val="14"/>
                <w:szCs w:val="14"/>
                <w:color w:val="auto"/>
              </w:rPr>
              <w:t>December 31, 2013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ind w:left="420"/>
              <w:spacing w:after="0"/>
              <w:rPr>
                <w:sz w:val="20"/>
                <w:szCs w:val="20"/>
                <w:color w:val="auto"/>
              </w:rPr>
            </w:pPr>
            <w:r>
              <w:rPr>
                <w:rFonts w:ascii="Arial" w:cs="Arial" w:eastAsia="Arial" w:hAnsi="Arial"/>
                <w:sz w:val="14"/>
                <w:szCs w:val="14"/>
                <w:color w:val="auto"/>
              </w:rPr>
              <w:t>71,260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52"/>
              <w:spacing w:after="0"/>
              <w:rPr>
                <w:sz w:val="20"/>
                <w:szCs w:val="20"/>
                <w:color w:val="auto"/>
              </w:rPr>
            </w:pPr>
            <w:r>
              <w:rPr>
                <w:rFonts w:ascii="Arial" w:cs="Arial" w:eastAsia="Arial" w:hAnsi="Arial"/>
                <w:sz w:val="14"/>
                <w:szCs w:val="14"/>
                <w:color w:val="auto"/>
              </w:rPr>
              <w:t>80,706</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62,124</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52"/>
              <w:spacing w:after="0"/>
              <w:rPr>
                <w:sz w:val="20"/>
                <w:szCs w:val="20"/>
                <w:color w:val="auto"/>
              </w:rPr>
            </w:pPr>
            <w:r>
              <w:rPr>
                <w:rFonts w:ascii="Arial" w:cs="Arial" w:eastAsia="Arial" w:hAnsi="Arial"/>
                <w:sz w:val="14"/>
                <w:szCs w:val="14"/>
                <w:color w:val="auto"/>
              </w:rPr>
              <w:t>2,276</w:t>
            </w:r>
          </w:p>
        </w:tc>
        <w:tc>
          <w:tcPr>
            <w:tcW w:w="1000" w:type="dxa"/>
            <w:vAlign w:val="bottom"/>
            <w:gridSpan w:val="2"/>
          </w:tcPr>
          <w:p>
            <w:pPr>
              <w:jc w:val="center"/>
              <w:ind w:left="28"/>
              <w:spacing w:after="0"/>
              <w:rPr>
                <w:sz w:val="20"/>
                <w:szCs w:val="20"/>
                <w:color w:val="auto"/>
              </w:rPr>
            </w:pPr>
            <w:r>
              <w:rPr>
                <w:rFonts w:ascii="Arial" w:cs="Arial" w:eastAsia="Arial" w:hAnsi="Arial"/>
                <w:sz w:val="14"/>
                <w:szCs w:val="14"/>
                <w:color w:val="auto"/>
                <w:w w:val="96"/>
              </w:rPr>
              <w:t>7.6:1</w:t>
            </w:r>
          </w:p>
        </w:tc>
        <w:tc>
          <w:tcPr>
            <w:tcW w:w="1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7.5:1</w:t>
            </w:r>
          </w:p>
        </w:tc>
        <w:tc>
          <w:tcPr>
            <w:tcW w:w="12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7.3:1</w:t>
            </w:r>
          </w:p>
        </w:tc>
        <w:tc>
          <w:tcPr>
            <w:tcW w:w="12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6"/>
              </w:rPr>
              <w:t>7.5:1</w:t>
            </w:r>
          </w:p>
        </w:tc>
        <w:tc>
          <w:tcPr>
            <w:tcW w:w="0" w:type="dxa"/>
            <w:vAlign w:val="bottom"/>
          </w:tcPr>
          <w:p>
            <w:pPr>
              <w:spacing w:after="0"/>
              <w:rPr>
                <w:sz w:val="1"/>
                <w:szCs w:val="1"/>
                <w:color w:val="auto"/>
              </w:rPr>
            </w:pPr>
          </w:p>
        </w:tc>
      </w:tr>
      <w:tr>
        <w:trPr>
          <w:trHeight w:val="276"/>
        </w:trPr>
        <w:tc>
          <w:tcPr>
            <w:tcW w:w="2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March 31, 2013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70,591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75,580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67,122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17,892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27,294</w:t>
            </w:r>
          </w:p>
        </w:tc>
        <w:tc>
          <w:tcPr>
            <w:tcW w:w="100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6"/>
              </w:rPr>
              <w:t>6.5:1</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8.2:1</w:t>
            </w: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5.7:1</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8.1:1</w:t>
            </w:r>
          </w:p>
        </w:tc>
        <w:tc>
          <w:tcPr>
            <w:tcW w:w="0" w:type="dxa"/>
            <w:vAlign w:val="bottom"/>
          </w:tcPr>
          <w:p>
            <w:pPr>
              <w:spacing w:after="0"/>
              <w:rPr>
                <w:sz w:val="1"/>
                <w:szCs w:val="1"/>
                <w:color w:val="auto"/>
              </w:rPr>
            </w:pPr>
          </w:p>
        </w:tc>
      </w:tr>
      <w:tr>
        <w:trPr>
          <w:trHeight w:val="270"/>
        </w:trPr>
        <w:tc>
          <w:tcPr>
            <w:tcW w:w="2080" w:type="dxa"/>
            <w:vAlign w:val="bottom"/>
          </w:tcPr>
          <w:p>
            <w:pPr>
              <w:spacing w:after="0"/>
              <w:rPr>
                <w:sz w:val="20"/>
                <w:szCs w:val="20"/>
                <w:color w:val="auto"/>
              </w:rPr>
            </w:pPr>
            <w:r>
              <w:rPr>
                <w:rFonts w:ascii="Arial" w:cs="Arial" w:eastAsia="Arial" w:hAnsi="Arial"/>
                <w:sz w:val="18"/>
                <w:szCs w:val="18"/>
                <w:color w:val="auto"/>
                <w:w w:val="89"/>
              </w:rPr>
              <w:t>_______________________</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Excludes U.S. Treasury repo agreements.</w:t>
      </w:r>
    </w:p>
    <w:p>
      <w:pPr>
        <w:spacing w:after="0" w:line="13" w:lineRule="exact"/>
        <w:rPr>
          <w:rFonts w:ascii="Arial" w:cs="Arial" w:eastAsia="Arial" w:hAnsi="Arial"/>
          <w:sz w:val="14"/>
          <w:szCs w:val="14"/>
          <w:color w:val="auto"/>
        </w:rPr>
      </w:pP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Daily average and ending net TBA position outstanding measured at cost.</w:t>
      </w:r>
    </w:p>
    <w:p>
      <w:pPr>
        <w:spacing w:after="0" w:line="1" w:lineRule="exact"/>
        <w:rPr>
          <w:rFonts w:ascii="Arial" w:cs="Arial" w:eastAsia="Arial" w:hAnsi="Arial"/>
          <w:sz w:val="14"/>
          <w:szCs w:val="14"/>
          <w:color w:val="auto"/>
        </w:rPr>
      </w:pPr>
    </w:p>
    <w:p>
      <w:pPr>
        <w:ind w:left="420" w:hanging="412"/>
        <w:spacing w:after="0" w:line="241" w:lineRule="auto"/>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Average leverage during the period was calculated by dividing the sum of our daily weighted average agency repurchase agreements and debt of consolidated VIEs outstanding for the period by the sum of our average month-end stockholders' equity less our average investment in REIT equity securities for the period.</w:t>
      </w:r>
    </w:p>
    <w:p>
      <w:pPr>
        <w:ind w:left="420" w:hanging="412"/>
        <w:spacing w:after="0"/>
        <w:tabs>
          <w:tab w:leader="none" w:pos="4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Average "at risk" leverage during the period includes the components of "</w:t>
      </w:r>
      <w:r>
        <w:rPr>
          <w:rFonts w:ascii="Arial" w:cs="Arial" w:eastAsia="Arial" w:hAnsi="Arial"/>
          <w:sz w:val="13"/>
          <w:szCs w:val="13"/>
          <w:i w:val="1"/>
          <w:iCs w:val="1"/>
          <w:color w:val="auto"/>
        </w:rPr>
        <w:t>average leverage during the period</w:t>
      </w:r>
      <w:r>
        <w:rPr>
          <w:rFonts w:ascii="Arial" w:cs="Arial" w:eastAsia="Arial" w:hAnsi="Arial"/>
          <w:sz w:val="13"/>
          <w:szCs w:val="13"/>
          <w:color w:val="auto"/>
        </w:rPr>
        <w:t>", plus our daily weighted average net TBA position (at cost) during the period.</w:t>
      </w:r>
    </w:p>
    <w:p>
      <w:pPr>
        <w:spacing w:after="0" w:line="12" w:lineRule="exact"/>
        <w:rPr>
          <w:rFonts w:ascii="Arial" w:cs="Arial" w:eastAsia="Arial" w:hAnsi="Arial"/>
          <w:sz w:val="13"/>
          <w:szCs w:val="13"/>
          <w:color w:val="auto"/>
        </w:rPr>
      </w:pPr>
    </w:p>
    <w:p>
      <w:pPr>
        <w:ind w:left="420" w:hanging="412"/>
        <w:spacing w:after="0" w:line="260" w:lineRule="auto"/>
        <w:tabs>
          <w:tab w:leader="none" w:pos="4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Leverage as of period end was calculated by dividing the sum of the amount outstanding under our agency MBS repurchase agreements, net payables and receivables for unsettled agency MBS securities and debt of consolidated VIEs by the sum of our total stockholders' equity less the fair value of our investment in REIT equity securities at period end.</w:t>
      </w:r>
    </w:p>
    <w:p>
      <w:pPr>
        <w:ind w:left="420" w:hanging="412"/>
        <w:spacing w:after="0"/>
        <w:tabs>
          <w:tab w:leader="none" w:pos="42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"At risk" leverage as of period end includes the components of "</w:t>
      </w:r>
      <w:r>
        <w:rPr>
          <w:rFonts w:ascii="Arial" w:cs="Arial" w:eastAsia="Arial" w:hAnsi="Arial"/>
          <w:sz w:val="14"/>
          <w:szCs w:val="14"/>
          <w:i w:val="1"/>
          <w:iCs w:val="1"/>
          <w:color w:val="auto"/>
        </w:rPr>
        <w:t>leverage as of period end</w:t>
      </w:r>
      <w:r>
        <w:rPr>
          <w:rFonts w:ascii="Arial" w:cs="Arial" w:eastAsia="Arial" w:hAnsi="Arial"/>
          <w:sz w:val="14"/>
          <w:szCs w:val="14"/>
          <w:color w:val="auto"/>
        </w:rPr>
        <w:t>" plus the cost basis (or contract price) of our net TBA position.</w:t>
      </w:r>
    </w:p>
    <w:p>
      <w:pPr>
        <w:spacing w:after="0" w:line="210"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The decline in our repurchase agreement and other debt outstanding during the quarter ended March 31, 2014 was due to a decline in our average agency MBS position over the period and an increase in our net long TBA position, consequently our ending "at risk" leverage was largely unchanged over the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Cost of Funds</w:t>
      </w:r>
    </w:p>
    <w:p>
      <w:pPr>
        <w:spacing w:after="0" w:line="2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Our interest expense is primarily comprised of interest expense on our repurchase agreements and the reclassification of accumulated OCI into interest expense related to previously de-designated interest rate swaps. Upon our election to discontinue hedge accounting under GAAP as of September 30, 2011, the net deferred loss related to our de-designated interest rate swaps remained in accumulated OCI and is being reclassified from accumulated OCI into interest expense on a straight-line basis over the remaining term of each interest rate swap.</w:t>
      </w:r>
    </w:p>
    <w:p>
      <w:pPr>
        <w:spacing w:after="0" w:line="13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Our "adjusted net interest expense," also referred to as our "cost of funds" when stated as a percentage of our outstanding repurchase agreements and other debt balance, includes periodic interest costs on our interest rate swaps reported in gain (loss) on derivatives and other securities, net in our consolidated statements of comprehensive income. Our cost of funds does not include swap termination fees and costs associated with our other supplemental hedges, such as swaptions and short U.S. Treasury positions. Our cost of funds also does not include costs associated with TBAs, including the implied financing cost/benefit of our net TBA dollar roll position.</w:t>
      </w:r>
    </w:p>
    <w:p>
      <w:pPr>
        <w:spacing w:after="0" w:line="13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table below presents a reconciliation of our interest expense (the most comparable GAAP financial measure) to our adjusted net interest expense and cost of funds (non-GAAP financial measures) for the three months ended March 31, 2014 and 2013 (dollars in millions):</w:t>
      </w:r>
    </w:p>
    <w:p>
      <w:pPr>
        <w:spacing w:after="0" w:line="392" w:lineRule="exact"/>
        <w:rPr>
          <w:sz w:val="20"/>
          <w:szCs w:val="20"/>
          <w:color w:val="auto"/>
        </w:rPr>
      </w:pPr>
    </w:p>
    <w:tbl>
      <w:tblPr>
        <w:tblLayout w:type="fixed"/>
        <w:tblInd w:w="144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rPr>
              <w:t>Three Months Ended March 31,</w:t>
            </w:r>
          </w:p>
        </w:tc>
        <w:tc>
          <w:tcPr>
            <w:tcW w:w="420" w:type="dxa"/>
            <w:vAlign w:val="bottom"/>
            <w:tcBorders>
              <w:bottom w:val="single" w:sz="8" w:color="auto"/>
            </w:tcBorders>
          </w:tcPr>
          <w:p>
            <w:pPr>
              <w:spacing w:after="0"/>
              <w:rPr>
                <w:sz w:val="16"/>
                <w:szCs w:val="16"/>
                <w:color w:val="auto"/>
              </w:rPr>
            </w:pPr>
          </w:p>
        </w:tc>
      </w:tr>
      <w:tr>
        <w:trPr>
          <w:trHeight w:val="264"/>
        </w:trPr>
        <w:tc>
          <w:tcPr>
            <w:tcW w:w="5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22"/>
                <w:szCs w:val="22"/>
                <w:color w:val="auto"/>
              </w:rPr>
            </w:pPr>
          </w:p>
        </w:tc>
      </w:tr>
      <w:tr>
        <w:trPr>
          <w:trHeight w:val="264"/>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Adjusted Net Interest Expense and Cost of Funds</w:t>
            </w:r>
          </w:p>
        </w:tc>
        <w:tc>
          <w:tcPr>
            <w:tcW w:w="10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8"/>
                <w:szCs w:val="8"/>
                <w:b w:val="1"/>
                <w:bCs w:val="1"/>
                <w:color w:val="auto"/>
              </w:rPr>
              <w:t>1</w:t>
            </w:r>
          </w:p>
        </w:tc>
      </w:tr>
      <w:tr>
        <w:trPr>
          <w:trHeight w:val="270"/>
        </w:trPr>
        <w:tc>
          <w:tcPr>
            <w:tcW w:w="56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r>
      <w:tr>
        <w:trPr>
          <w:trHeight w:val="264"/>
        </w:trPr>
        <w:tc>
          <w:tcPr>
            <w:tcW w:w="5660" w:type="dxa"/>
            <w:vAlign w:val="bottom"/>
            <w:gridSpan w:val="2"/>
          </w:tcPr>
          <w:p>
            <w:pPr>
              <w:ind w:left="360"/>
              <w:spacing w:after="0"/>
              <w:rPr>
                <w:sz w:val="20"/>
                <w:szCs w:val="20"/>
                <w:color w:val="auto"/>
              </w:rPr>
            </w:pPr>
            <w:r>
              <w:rPr>
                <w:rFonts w:ascii="Arial" w:cs="Arial" w:eastAsia="Arial" w:hAnsi="Arial"/>
                <w:sz w:val="14"/>
                <w:szCs w:val="14"/>
                <w:color w:val="auto"/>
              </w:rPr>
              <w:t>Repurchase agreement and other debt interest expense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w w:val="95"/>
              </w:rPr>
              <w:t>0.46%</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w w:val="95"/>
              </w:rPr>
              <w:t>0.52%</w:t>
            </w:r>
          </w:p>
        </w:tc>
      </w:tr>
      <w:tr>
        <w:trPr>
          <w:trHeight w:val="163"/>
        </w:trPr>
        <w:tc>
          <w:tcPr>
            <w:tcW w:w="5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Periodic interest costs of interest rate swaps previously designated as hedges under</w:t>
            </w: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r>
      <w:tr>
        <w:trPr>
          <w:trHeight w:val="194"/>
        </w:trPr>
        <w:tc>
          <w:tcPr>
            <w:tcW w:w="566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GAAP, net</w:t>
            </w:r>
          </w:p>
        </w:tc>
        <w:tc>
          <w:tcPr>
            <w:tcW w:w="2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95"/>
              </w:rPr>
              <w:t>0.30%</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5"/>
              </w:rPr>
              <w:t>0.28%</w:t>
            </w:r>
          </w:p>
        </w:tc>
      </w:tr>
      <w:tr>
        <w:trPr>
          <w:trHeight w:val="244"/>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interest expense</w:t>
            </w: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ind w:left="60"/>
              <w:spacing w:after="0"/>
              <w:rPr>
                <w:sz w:val="20"/>
                <w:szCs w:val="20"/>
                <w:color w:val="auto"/>
              </w:rPr>
            </w:pPr>
            <w:r>
              <w:rPr>
                <w:rFonts w:ascii="Arial" w:cs="Arial" w:eastAsia="Arial" w:hAnsi="Arial"/>
                <w:sz w:val="14"/>
                <w:szCs w:val="14"/>
                <w:color w:val="auto"/>
                <w:w w:val="95"/>
              </w:rPr>
              <w:t>0.76%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4"/>
                <w:szCs w:val="14"/>
                <w:color w:val="auto"/>
                <w:w w:val="95"/>
              </w:rPr>
              <w:t>0.80%</w:t>
            </w:r>
          </w:p>
        </w:tc>
      </w:tr>
      <w:tr>
        <w:trPr>
          <w:trHeight w:val="270"/>
        </w:trPr>
        <w:tc>
          <w:tcPr>
            <w:tcW w:w="56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Other periodic interest costs of interest rate swaps, net</w:t>
            </w:r>
          </w:p>
        </w:tc>
        <w:tc>
          <w:tcPr>
            <w:tcW w:w="2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w w:val="95"/>
              </w:rPr>
              <w:t>0.59%</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95"/>
              </w:rPr>
              <w:t>0.48%</w:t>
            </w:r>
          </w:p>
        </w:tc>
      </w:tr>
      <w:tr>
        <w:trPr>
          <w:trHeight w:val="243"/>
        </w:trPr>
        <w:tc>
          <w:tcPr>
            <w:tcW w:w="56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adjusted net interest expense and cost of funds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w w:val="95"/>
              </w:rPr>
              <w:t>1.35%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95"/>
              </w:rPr>
              <w:t>1.28%</w:t>
            </w: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Percent of our average repurchase agreements and other debt outstanding for the period annualized.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6" w:right="239" w:bottom="1440" w:gutter="0" w:footer="0" w:header="0"/>
        </w:sectPr>
      </w:pPr>
    </w:p>
    <w:bookmarkStart w:id="38" w:name="page39"/>
    <w:bookmarkEnd w:id="38"/>
    <w:p>
      <w:pPr>
        <w:ind w:right="280" w:firstLine="432"/>
        <w:spacing w:after="0" w:line="264" w:lineRule="auto"/>
        <w:rPr>
          <w:sz w:val="20"/>
          <w:szCs w:val="20"/>
          <w:color w:val="auto"/>
        </w:rPr>
      </w:pPr>
      <w:r>
        <w:rPr>
          <w:rFonts w:ascii="Arial" w:cs="Arial" w:eastAsia="Arial" w:hAnsi="Arial"/>
          <w:sz w:val="18"/>
          <w:szCs w:val="18"/>
          <w:color w:val="auto"/>
        </w:rPr>
        <w:t>The principal elements impacting our adjusted net interest expense are the size of our repurchase agreements and interest rate swap portfolio and our cost of funds. The following is a summary of the estimated impact of these elements on changes in our adjusted net interest expense for the three months ended March 31, 2014 and 2013 (in millions):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March 31, 2014 vs.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13335</wp:posOffset>
            </wp:positionV>
            <wp:extent cx="57283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pacing w:after="0" w:line="87" w:lineRule="exact"/>
        <w:rPr>
          <w:sz w:val="20"/>
          <w:szCs w:val="20"/>
          <w:color w:val="auto"/>
        </w:rPr>
      </w:pPr>
    </w:p>
    <w:tbl>
      <w:tblPr>
        <w:tblLayout w:type="fixed"/>
        <w:tblInd w:w="122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 xml:space="preserve">Due to Change in Average </w:t>
            </w:r>
            <w:r>
              <w:rPr>
                <w:rFonts w:ascii="Arial" w:cs="Arial" w:eastAsia="Arial" w:hAnsi="Arial"/>
                <w:sz w:val="8"/>
                <w:szCs w:val="8"/>
                <w:b w:val="1"/>
                <w:bCs w:val="1"/>
                <w:color w:val="auto"/>
              </w:rPr>
              <w:t>1</w:t>
            </w:r>
          </w:p>
        </w:tc>
      </w:tr>
      <w:tr>
        <w:trPr>
          <w:trHeight w:val="264"/>
        </w:trPr>
        <w:tc>
          <w:tcPr>
            <w:tcW w:w="45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Decrease</w:t>
            </w:r>
          </w:p>
        </w:tc>
        <w:tc>
          <w:tcPr>
            <w:tcW w:w="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Repo / Swap Balance</w:t>
            </w:r>
          </w:p>
        </w:tc>
        <w:tc>
          <w:tcPr>
            <w:tcW w:w="100" w:type="dxa"/>
            <w:vAlign w:val="bottom"/>
          </w:tcPr>
          <w:p>
            <w:pPr>
              <w:spacing w:after="0"/>
              <w:rPr>
                <w:sz w:val="22"/>
                <w:szCs w:val="22"/>
                <w:color w:val="auto"/>
              </w:rPr>
            </w:pPr>
          </w:p>
        </w:tc>
        <w:tc>
          <w:tcPr>
            <w:tcW w:w="126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Repo / Swap Rate</w:t>
            </w:r>
          </w:p>
        </w:tc>
      </w:tr>
      <w:tr>
        <w:trPr>
          <w:trHeight w:val="256"/>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Repurchase agreements and other debt expense</w:t>
            </w:r>
          </w:p>
        </w:tc>
        <w:tc>
          <w:tcPr>
            <w:tcW w:w="1080" w:type="dxa"/>
            <w:vAlign w:val="bottom"/>
            <w:tcBorders>
              <w:top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8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45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Periodic interest rate swap costs </w:t>
            </w:r>
            <w:r>
              <w:rPr>
                <w:rFonts w:ascii="Arial" w:cs="Arial" w:eastAsia="Arial" w:hAnsi="Arial"/>
                <w:sz w:val="8"/>
                <w:szCs w:val="8"/>
                <w:color w:val="auto"/>
              </w:rPr>
              <w:t>2</w:t>
            </w:r>
          </w:p>
        </w:tc>
        <w:tc>
          <w:tcPr>
            <w:tcW w:w="10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8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change in adjusted net interest expense</w:t>
            </w:r>
          </w:p>
        </w:tc>
        <w:tc>
          <w:tcPr>
            <w:tcW w:w="1080" w:type="dxa"/>
            <w:vAlign w:val="bottom"/>
            <w:tcBorders>
              <w:bottom w:val="single" w:sz="8" w:color="auto"/>
            </w:tcBorders>
            <w:shd w:val="clear" w:color="auto" w:fill="CCEEFF"/>
          </w:tcPr>
          <w:p>
            <w:pPr>
              <w:jc w:val="right"/>
              <w:ind w:right="92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0"/>
        </w:trPr>
        <w:tc>
          <w:tcPr>
            <w:tcW w:w="4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line="241"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Variances that are the combined effect of changes in our repurchase agreement/interest rate swap balance and changes in repurchase agreement/swap interest rates, but cannot be separately identified, are allocated to each variance based on their respective relative amounts.</w:t>
      </w:r>
    </w:p>
    <w:p>
      <w:pPr>
        <w:ind w:left="660" w:hanging="328"/>
        <w:spacing w:after="0" w:line="255" w:lineRule="auto"/>
        <w:tabs>
          <w:tab w:leader="none" w:pos="6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amounts recognized in interest expense and in gain (loss) on derivatives and other securities, net in our consolidated statements of comprehensive income. The change due to interest rate reflects the net impact of the change in the weighted average fixed pay and variable receive rates.</w:t>
      </w:r>
    </w:p>
    <w:p>
      <w:pPr>
        <w:spacing w:after="0" w:line="13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current three month period decline in our adjusted net interest expense was largely a function of the decrease in our agency MBS portfolio and the corresponding decrease in our average repurchase agreements and other debt balances outstanding, which was partially offset by a higher average cost of funds of 1.35% for the current three month period compared to 1.28% for the prior year period. The increase in our costs of funds was reflective of higher average pay rates on our interest rate swaps and a modest increase in our interest rate swap balance relative to our repurchase agreements and other debt outstanding (excluding forward starting swaps), which was only partially offset by a decrease in our average repo rates. The table below presents a summary of our average repo and interest rates swaps outstanding for the three months ended March 31, 2014 and 2013 (dollars in millions):</w:t>
      </w:r>
    </w:p>
    <w:p>
      <w:pPr>
        <w:spacing w:after="0" w:line="252"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w w:val="94"/>
              </w:rPr>
              <w:t>Three Months Ended March</w:t>
            </w:r>
          </w:p>
        </w:tc>
      </w:tr>
      <w:tr>
        <w:trPr>
          <w:trHeight w:val="192"/>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81"/>
              </w:rPr>
              <w:t>31,</w:t>
            </w:r>
          </w:p>
        </w:tc>
        <w:tc>
          <w:tcPr>
            <w:tcW w:w="720" w:type="dxa"/>
            <w:vAlign w:val="bottom"/>
            <w:tcBorders>
              <w:bottom w:val="single" w:sz="8" w:color="auto"/>
            </w:tcBorders>
          </w:tcPr>
          <w:p>
            <w:pPr>
              <w:spacing w:after="0"/>
              <w:rPr>
                <w:sz w:val="16"/>
                <w:szCs w:val="16"/>
                <w:color w:val="auto"/>
              </w:rPr>
            </w:pP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Average Debt and Interest Rate Swaps Outstanding</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2013</w:t>
            </w:r>
          </w:p>
        </w:tc>
      </w:tr>
      <w:tr>
        <w:trPr>
          <w:trHeight w:val="256"/>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repurchase agreements and other debt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57,544</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70,591</w:t>
            </w:r>
          </w:p>
        </w:tc>
      </w:tr>
      <w:tr>
        <w:trPr>
          <w:trHeight w:val="264"/>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 xml:space="preserve">Average notional amount of interest rate swaps </w:t>
            </w:r>
            <w:r>
              <w:rPr>
                <w:rFonts w:ascii="Arial" w:cs="Arial" w:eastAsia="Arial" w:hAnsi="Arial"/>
                <w:sz w:val="8"/>
                <w:szCs w:val="8"/>
                <w:color w:val="auto"/>
              </w:rPr>
              <w:t>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37,201</w:t>
            </w:r>
          </w:p>
        </w:tc>
        <w:tc>
          <w:tcPr>
            <w:tcW w:w="3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68"/>
              <w:spacing w:after="0"/>
              <w:rPr>
                <w:sz w:val="20"/>
                <w:szCs w:val="20"/>
                <w:color w:val="auto"/>
              </w:rPr>
            </w:pPr>
            <w:r>
              <w:rPr>
                <w:rFonts w:ascii="Arial" w:cs="Arial" w:eastAsia="Arial" w:hAnsi="Arial"/>
                <w:sz w:val="14"/>
                <w:szCs w:val="14"/>
                <w:color w:val="auto"/>
              </w:rPr>
              <w:t>44,717</w:t>
            </w:r>
          </w:p>
        </w:tc>
      </w:tr>
      <w:tr>
        <w:trPr>
          <w:trHeight w:val="276"/>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Average notional amount of interest rate swaps as a percentage of repurchase agreements and other debt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r>
      <w:tr>
        <w:trPr>
          <w:trHeight w:val="258"/>
        </w:trPr>
        <w:tc>
          <w:tcPr>
            <w:tcW w:w="7780" w:type="dxa"/>
            <w:vAlign w:val="bottom"/>
            <w:gridSpan w:val="2"/>
          </w:tcPr>
          <w:p>
            <w:pPr>
              <w:ind w:left="40"/>
              <w:spacing w:after="0"/>
              <w:rPr>
                <w:sz w:val="20"/>
                <w:szCs w:val="20"/>
                <w:color w:val="auto"/>
              </w:rPr>
            </w:pPr>
            <w:r>
              <w:rPr>
                <w:rFonts w:ascii="Arial" w:cs="Arial" w:eastAsia="Arial" w:hAnsi="Arial"/>
                <w:sz w:val="14"/>
                <w:szCs w:val="14"/>
                <w:color w:val="auto"/>
              </w:rPr>
              <w:t>Weighted average pay rate on interest rate swaps</w:t>
            </w: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1.46%</w:t>
            </w: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1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Average notional amount of interest rate swaps excludes forward starting swaps not in effect during the periods presented.</w:t>
      </w:r>
    </w:p>
    <w:p>
      <w:pPr>
        <w:spacing w:after="0" w:line="318" w:lineRule="exact"/>
        <w:rPr>
          <w:sz w:val="20"/>
          <w:szCs w:val="20"/>
          <w:color w:val="auto"/>
        </w:rPr>
      </w:pPr>
    </w:p>
    <w:p>
      <w:pPr>
        <w:jc w:val="both"/>
        <w:ind w:left="60" w:firstLine="486"/>
        <w:spacing w:after="0" w:line="254" w:lineRule="auto"/>
        <w:rPr>
          <w:sz w:val="20"/>
          <w:szCs w:val="20"/>
          <w:color w:val="auto"/>
        </w:rPr>
      </w:pPr>
      <w:r>
        <w:rPr>
          <w:rFonts w:ascii="Arial" w:cs="Arial" w:eastAsia="Arial" w:hAnsi="Arial"/>
          <w:sz w:val="18"/>
          <w:szCs w:val="18"/>
          <w:color w:val="auto"/>
        </w:rPr>
        <w:t>Our average interest rate swaps outstanding in the table above exclude our forward starting swaps not in effect during the periods presented. Forward starting interest rate swaps do not impact our adjusted net interest expense and cost of funds until they commence accruing net interest settlements on their forward start dates. We enter into forward starting interest rate swaps based on a variety of factors, including our Manager's view of the forward yield curve and the timing of potential changes in short-term interest rates, time to deploy new capital, amount and timing of expirations of our existing interest swap portfolio, current and anticipated swap spreads and our desire to mitigate our exposure to specific sectors of the yield curve. As of March 31, 2014, we had $9.5 billion of forward starting interest rate swaps outstanding with a weighted average forward start date of 1.9 years through March 2019 and a weighted average fixed pay rate of 3.01%. As of March 31, 2013, we had $5.2 billion of forward starting interest rate swaps outstanding with forward start dates through September 2013.</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96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Net Spread Income and Dollar Roll Income</w:t>
      </w:r>
    </w:p>
    <w:p>
      <w:pPr>
        <w:spacing w:after="0" w:line="17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table below presents a reconciliation of our net interest income (the most comparable GAAP financial measure) to our net spread and dollar roll income and to our net spread and dollar roll income, excluding estimated "catch-up" premium amortization(non-GAAP financial measures) for the three months ended March 31, 2014 and 2013 (dollars in millions):</w:t>
      </w:r>
    </w:p>
    <w:p>
      <w:pPr>
        <w:spacing w:after="0" w:line="348" w:lineRule="exact"/>
        <w:rPr>
          <w:sz w:val="20"/>
          <w:szCs w:val="20"/>
          <w:color w:val="auto"/>
        </w:rPr>
      </w:pPr>
    </w:p>
    <w:tbl>
      <w:tblPr>
        <w:tblLayout w:type="fixed"/>
        <w:tblInd w:w="11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2500" w:type="dxa"/>
            <w:vAlign w:val="bottom"/>
            <w:tcBorders>
              <w:bottom w:val="single" w:sz="8" w:color="auto"/>
            </w:tcBorders>
            <w:gridSpan w:val="5"/>
          </w:tcPr>
          <w:p>
            <w:pPr>
              <w:jc w:val="right"/>
              <w:ind w:right="18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67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76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407</w:t>
            </w:r>
          </w:p>
        </w:tc>
        <w:tc>
          <w:tcPr>
            <w:tcW w:w="0" w:type="dxa"/>
            <w:vAlign w:val="bottom"/>
          </w:tcPr>
          <w:p>
            <w:pPr>
              <w:spacing w:after="0"/>
              <w:rPr>
                <w:sz w:val="1"/>
                <w:szCs w:val="1"/>
                <w:color w:val="auto"/>
              </w:rPr>
            </w:pPr>
          </w:p>
        </w:tc>
      </w:tr>
      <w:tr>
        <w:trPr>
          <w:trHeight w:val="264"/>
        </w:trPr>
        <w:tc>
          <w:tcPr>
            <w:tcW w:w="6700" w:type="dxa"/>
            <w:vAlign w:val="bottom"/>
          </w:tcPr>
          <w:p>
            <w:pPr>
              <w:ind w:left="160"/>
              <w:spacing w:after="0"/>
              <w:rPr>
                <w:sz w:val="20"/>
                <w:szCs w:val="20"/>
                <w:color w:val="auto"/>
              </w:rPr>
            </w:pPr>
            <w:r>
              <w:rPr>
                <w:rFonts w:ascii="Arial" w:cs="Arial" w:eastAsia="Arial" w:hAnsi="Arial"/>
                <w:sz w:val="14"/>
                <w:szCs w:val="14"/>
                <w:color w:val="auto"/>
              </w:rPr>
              <w:t xml:space="preserve">Other periodic interest costs of interest rate swaps, net </w:t>
            </w:r>
            <w:r>
              <w:rPr>
                <w:rFonts w:ascii="Arial" w:cs="Arial" w:eastAsia="Arial" w:hAnsi="Arial"/>
                <w:sz w:val="8"/>
                <w:szCs w:val="8"/>
                <w:color w:val="auto"/>
              </w:rPr>
              <w:t>1</w:t>
            </w:r>
          </w:p>
        </w:tc>
        <w:tc>
          <w:tcPr>
            <w:tcW w:w="760" w:type="dxa"/>
            <w:vAlign w:val="bottom"/>
          </w:tcPr>
          <w:p>
            <w:pPr>
              <w:spacing w:after="0"/>
              <w:rPr>
                <w:sz w:val="22"/>
                <w:szCs w:val="22"/>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6"/>
        </w:trPr>
        <w:tc>
          <w:tcPr>
            <w:tcW w:w="6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REIT equity securities</w:t>
            </w:r>
          </w:p>
        </w:tc>
        <w:tc>
          <w:tcPr>
            <w:tcW w:w="76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 xml:space="preserve">TBA dollar roll income </w:t>
            </w:r>
            <w:r>
              <w:rPr>
                <w:rFonts w:ascii="Arial" w:cs="Arial" w:eastAsia="Arial" w:hAnsi="Arial"/>
                <w:sz w:val="8"/>
                <w:szCs w:val="8"/>
                <w:color w:val="auto"/>
              </w:rPr>
              <w:t>1</w:t>
            </w:r>
          </w:p>
        </w:tc>
        <w:tc>
          <w:tcPr>
            <w:tcW w:w="7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5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interest income</w:t>
            </w:r>
          </w:p>
        </w:tc>
        <w:tc>
          <w:tcPr>
            <w:tcW w:w="76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64"/>
        </w:trPr>
        <w:tc>
          <w:tcPr>
            <w:tcW w:w="6700" w:type="dxa"/>
            <w:vAlign w:val="bottom"/>
            <w:tcBorders>
              <w:bottom w:val="single" w:sz="8" w:color="CCEEFF"/>
            </w:tcBorders>
          </w:tcPr>
          <w:p>
            <w:pPr>
              <w:ind w:left="320"/>
              <w:spacing w:after="0"/>
              <w:rPr>
                <w:sz w:val="20"/>
                <w:szCs w:val="20"/>
                <w:color w:val="auto"/>
              </w:rPr>
            </w:pPr>
            <w:r>
              <w:rPr>
                <w:rFonts w:ascii="Arial" w:cs="Arial" w:eastAsia="Arial" w:hAnsi="Arial"/>
                <w:sz w:val="14"/>
                <w:szCs w:val="14"/>
                <w:color w:val="auto"/>
              </w:rPr>
              <w:t>Operating expenses</w:t>
            </w:r>
          </w:p>
        </w:tc>
        <w:tc>
          <w:tcPr>
            <w:tcW w:w="7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5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w:t>
            </w:r>
          </w:p>
        </w:tc>
        <w:tc>
          <w:tcPr>
            <w:tcW w:w="76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64"/>
        </w:trPr>
        <w:tc>
          <w:tcPr>
            <w:tcW w:w="67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Dividend on preferred stock</w:t>
            </w:r>
          </w:p>
        </w:tc>
        <w:tc>
          <w:tcPr>
            <w:tcW w:w="7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6"/>
        </w:trPr>
        <w:tc>
          <w:tcPr>
            <w:tcW w:w="6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spread and dollar roll income available to common shareholders</w:t>
            </w:r>
          </w:p>
        </w:tc>
        <w:tc>
          <w:tcPr>
            <w:tcW w:w="76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64"/>
        </w:trPr>
        <w:tc>
          <w:tcPr>
            <w:tcW w:w="670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Estimated "catch-up" premium amortization cost (benefit) due to change in CPR forecast</w:t>
            </w:r>
          </w:p>
        </w:tc>
        <w:tc>
          <w:tcPr>
            <w:tcW w:w="76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43"/>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Net spread and dollar roll income, excluding "catch-up" premium amortization, available to common shareholders</w:t>
            </w:r>
          </w:p>
        </w:tc>
        <w:tc>
          <w:tcPr>
            <w:tcW w:w="760" w:type="dxa"/>
            <w:vAlign w:val="bottom"/>
            <w:tcBorders>
              <w:bottom w:val="single" w:sz="8" w:color="auto"/>
            </w:tcBorders>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388</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 average number of common shares outstanding - basic and diluted</w:t>
            </w:r>
          </w:p>
        </w:tc>
        <w:tc>
          <w:tcPr>
            <w:tcW w:w="760" w:type="dxa"/>
            <w:vAlign w:val="bottom"/>
            <w:tcBorders>
              <w:bottom w:val="single" w:sz="8" w:color="auto"/>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91"/>
              </w:rPr>
              <w:t>354.8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356.2</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spread and dollar roll income per common share - basic and diluted</w:t>
            </w:r>
          </w:p>
        </w:tc>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10"/>
        </w:trPr>
        <w:tc>
          <w:tcPr>
            <w:tcW w:w="670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Net spread and dollar roll income, excluding "catch-up" premium amortization, per common share - basic and</w:t>
            </w:r>
          </w:p>
        </w:tc>
        <w:tc>
          <w:tcPr>
            <w:tcW w:w="760" w:type="dxa"/>
            <w:vAlign w:val="bottom"/>
            <w:vMerge w:val="restart"/>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4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0.71</w:t>
            </w:r>
          </w:p>
        </w:tc>
        <w:tc>
          <w:tcPr>
            <w:tcW w:w="12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1"/>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4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Reported in gain (loss) on derivatives and other securities, net in our consolidated statements of comprehensive income.</w:t>
      </w:r>
    </w:p>
    <w:p>
      <w:pPr>
        <w:spacing w:after="0" w:line="31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decline in net spread and dollar roll income per common share for the three months ended March 31, 2014 was primarily a function of lower leverage, lower asset yields and higher swap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(Loss) on Sale of Agency Securities, Net</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is a summary of our net gain (loss) on sale of agency MBS for the three months ended March 31, 2014 and 2013 (in millions):</w:t>
      </w:r>
    </w:p>
    <w:p>
      <w:pPr>
        <w:spacing w:after="0" w:line="200" w:lineRule="exact"/>
        <w:rPr>
          <w:sz w:val="20"/>
          <w:szCs w:val="20"/>
          <w:color w:val="auto"/>
        </w:rPr>
      </w:pPr>
    </w:p>
    <w:p>
      <w:pPr>
        <w:spacing w:after="0" w:line="204" w:lineRule="exact"/>
        <w:rPr>
          <w:sz w:val="20"/>
          <w:szCs w:val="20"/>
          <w:color w:val="auto"/>
        </w:rPr>
      </w:pPr>
    </w:p>
    <w:tbl>
      <w:tblPr>
        <w:tblLayout w:type="fixed"/>
        <w:tblInd w:w="242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264"/>
        </w:trPr>
        <w:tc>
          <w:tcPr>
            <w:tcW w:w="43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2013</w:t>
            </w:r>
          </w:p>
        </w:tc>
      </w:tr>
      <w:tr>
        <w:trPr>
          <w:trHeight w:val="256"/>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Agency MBS sold, at cost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(20,328)</w:t>
            </w:r>
          </w:p>
        </w:tc>
      </w:tr>
      <w:tr>
        <w:trPr>
          <w:trHeight w:val="264"/>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Proceeds from agency MBS sold </w:t>
            </w:r>
            <w:r>
              <w:rPr>
                <w:rFonts w:ascii="Arial" w:cs="Arial" w:eastAsia="Arial" w:hAnsi="Arial"/>
                <w:sz w:val="8"/>
                <w:szCs w:val="8"/>
                <w:color w:val="auto"/>
              </w:rPr>
              <w:t>1</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9,692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20,302</w:t>
            </w: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on sale of agency MBS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64"/>
        </w:trPr>
        <w:tc>
          <w:tcPr>
            <w:tcW w:w="4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0"/>
        </w:trPr>
        <w:tc>
          <w:tcPr>
            <w:tcW w:w="4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gain on sale of agency MBS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w:t>
            </w:r>
          </w:p>
        </w:tc>
      </w:tr>
      <w:tr>
        <w:trPr>
          <w:trHeight w:val="264"/>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Gross loss on sale of agency MBS</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r>
      <w:tr>
        <w:trPr>
          <w:trHeight w:val="243"/>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on sale of agency MBS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4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Proceeds include cash received during the period, plus receivable for agency MBS sold during the period as of period end.</w:t>
      </w:r>
    </w:p>
    <w:p>
      <w:pPr>
        <w:spacing w:after="0" w:line="21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Asset sales were primarily a function of repositioning our investment portfolio towards other agency MBS and TBA securities, with attributes that our Manager believed would provide greater relative value and risk-adjusted returns in light of current and anticipated interest rates, federal government programs, general economic conditions and other factors.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Gain (Loss) on Derivative Instruments and Other Securities, Net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is a summary of our gain (loss) on derivative instruments and other securities, net for the three months ended March 31, 2014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 (in millions):</w:t>
      </w:r>
    </w:p>
    <w:p>
      <w:pPr>
        <w:spacing w:after="0" w:line="378" w:lineRule="exact"/>
        <w:rPr>
          <w:sz w:val="20"/>
          <w:szCs w:val="20"/>
          <w:color w:val="auto"/>
        </w:rPr>
      </w:pPr>
    </w:p>
    <w:tbl>
      <w:tblPr>
        <w:tblLayout w:type="fixed"/>
        <w:tblInd w:w="164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26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590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2013</w:t>
            </w:r>
          </w:p>
        </w:tc>
      </w:tr>
      <w:tr>
        <w:trPr>
          <w:trHeight w:val="256"/>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Periodic interest costs of interest rate swaps, net </w:t>
            </w:r>
            <w:r>
              <w:rPr>
                <w:rFonts w:ascii="Arial" w:cs="Arial" w:eastAsia="Arial" w:hAnsi="Arial"/>
                <w:sz w:val="8"/>
                <w:szCs w:val="8"/>
                <w:color w:val="auto"/>
              </w:rPr>
              <w:t>1</w:t>
            </w: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58"/>
        </w:trPr>
        <w:tc>
          <w:tcPr>
            <w:tcW w:w="5900" w:type="dxa"/>
            <w:vAlign w:val="bottom"/>
          </w:tcPr>
          <w:p>
            <w:pPr>
              <w:ind w:left="20"/>
              <w:spacing w:after="0"/>
              <w:rPr>
                <w:sz w:val="20"/>
                <w:szCs w:val="20"/>
                <w:color w:val="auto"/>
              </w:rPr>
            </w:pPr>
            <w:r>
              <w:rPr>
                <w:rFonts w:ascii="Arial" w:cs="Arial" w:eastAsia="Arial" w:hAnsi="Arial"/>
                <w:sz w:val="14"/>
                <w:szCs w:val="14"/>
                <w:color w:val="auto"/>
              </w:rPr>
              <w:t>Realized gain on derivative instruments and other securities, net:</w:t>
            </w: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59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 xml:space="preserve">TBA securities </w:t>
            </w:r>
            <w:r>
              <w:rPr>
                <w:rFonts w:ascii="Arial" w:cs="Arial" w:eastAsia="Arial" w:hAnsi="Arial"/>
                <w:sz w:val="8"/>
                <w:szCs w:val="8"/>
                <w:color w:val="auto"/>
              </w:rPr>
              <w:t>2</w:t>
            </w: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r>
      <w:tr>
        <w:trPr>
          <w:trHeight w:val="264"/>
        </w:trPr>
        <w:tc>
          <w:tcPr>
            <w:tcW w:w="5900" w:type="dxa"/>
            <w:vAlign w:val="bottom"/>
          </w:tcPr>
          <w:p>
            <w:pPr>
              <w:ind w:left="1100"/>
              <w:spacing w:after="0"/>
              <w:rPr>
                <w:sz w:val="20"/>
                <w:szCs w:val="20"/>
                <w:color w:val="auto"/>
              </w:rPr>
            </w:pPr>
            <w:r>
              <w:rPr>
                <w:rFonts w:ascii="Arial" w:cs="Arial" w:eastAsia="Arial" w:hAnsi="Arial"/>
                <w:sz w:val="14"/>
                <w:szCs w:val="14"/>
                <w:color w:val="auto"/>
              </w:rPr>
              <w:t>Payer swaptions</w:t>
            </w:r>
          </w:p>
        </w:tc>
        <w:tc>
          <w:tcPr>
            <w:tcW w:w="7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w:t>
            </w:r>
          </w:p>
        </w:tc>
      </w:tr>
      <w:tr>
        <w:trPr>
          <w:trHeight w:val="276"/>
        </w:trPr>
        <w:tc>
          <w:tcPr>
            <w:tcW w:w="59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5900" w:type="dxa"/>
            <w:vAlign w:val="bottom"/>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7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75</w:t>
            </w:r>
          </w:p>
        </w:tc>
      </w:tr>
      <w:tr>
        <w:trPr>
          <w:trHeight w:val="276"/>
        </w:trPr>
        <w:tc>
          <w:tcPr>
            <w:tcW w:w="59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futures - short position</w:t>
            </w: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5900" w:type="dxa"/>
            <w:vAlign w:val="bottom"/>
          </w:tcPr>
          <w:p>
            <w:pPr>
              <w:ind w:left="1100"/>
              <w:spacing w:after="0"/>
              <w:rPr>
                <w:sz w:val="20"/>
                <w:szCs w:val="20"/>
                <w:color w:val="auto"/>
              </w:rPr>
            </w:pPr>
            <w:r>
              <w:rPr>
                <w:rFonts w:ascii="Arial" w:cs="Arial" w:eastAsia="Arial" w:hAnsi="Arial"/>
                <w:sz w:val="14"/>
                <w:szCs w:val="14"/>
                <w:color w:val="auto"/>
              </w:rPr>
              <w:t>Interest rate swap termination fees</w:t>
            </w:r>
          </w:p>
        </w:tc>
        <w:tc>
          <w:tcPr>
            <w:tcW w:w="700" w:type="dxa"/>
            <w:vAlign w:val="bottom"/>
          </w:tcPr>
          <w:p>
            <w:pPr>
              <w:spacing w:after="0"/>
              <w:rPr>
                <w:sz w:val="22"/>
                <w:szCs w:val="22"/>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59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REIT equity securities</w:t>
            </w: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59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w:t>
            </w:r>
          </w:p>
        </w:tc>
        <w:tc>
          <w:tcPr>
            <w:tcW w:w="7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56"/>
        </w:trPr>
        <w:tc>
          <w:tcPr>
            <w:tcW w:w="5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realized gain on derivative instruments and other securities, net</w:t>
            </w:r>
          </w:p>
        </w:tc>
        <w:tc>
          <w:tcPr>
            <w:tcW w:w="7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r>
      <w:tr>
        <w:trPr>
          <w:trHeight w:val="258"/>
        </w:trPr>
        <w:tc>
          <w:tcPr>
            <w:tcW w:w="5900" w:type="dxa"/>
            <w:vAlign w:val="bottom"/>
          </w:tcPr>
          <w:p>
            <w:pPr>
              <w:ind w:left="20"/>
              <w:spacing w:after="0"/>
              <w:rPr>
                <w:sz w:val="20"/>
                <w:szCs w:val="20"/>
                <w:color w:val="auto"/>
              </w:rPr>
            </w:pPr>
            <w:r>
              <w:rPr>
                <w:rFonts w:ascii="Arial" w:cs="Arial" w:eastAsia="Arial" w:hAnsi="Arial"/>
                <w:sz w:val="14"/>
                <w:szCs w:val="14"/>
                <w:color w:val="auto"/>
              </w:rPr>
              <w:t xml:space="preserve">Unrealized loss on derivative instruments and other securities, net: </w:t>
            </w:r>
            <w:r>
              <w:rPr>
                <w:rFonts w:ascii="Arial" w:cs="Arial" w:eastAsia="Arial" w:hAnsi="Arial"/>
                <w:sz w:val="8"/>
                <w:szCs w:val="8"/>
                <w:color w:val="auto"/>
              </w:rPr>
              <w:t>3</w:t>
            </w:r>
          </w:p>
        </w:tc>
        <w:tc>
          <w:tcPr>
            <w:tcW w:w="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76"/>
        </w:trPr>
        <w:tc>
          <w:tcPr>
            <w:tcW w:w="59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 xml:space="preserve">TBA securities </w:t>
            </w:r>
            <w:r>
              <w:rPr>
                <w:rFonts w:ascii="Arial" w:cs="Arial" w:eastAsia="Arial" w:hAnsi="Arial"/>
                <w:sz w:val="8"/>
                <w:szCs w:val="8"/>
                <w:color w:val="auto"/>
              </w:rPr>
              <w:t>2</w:t>
            </w: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w:t>
            </w:r>
          </w:p>
        </w:tc>
      </w:tr>
      <w:tr>
        <w:trPr>
          <w:trHeight w:val="264"/>
        </w:trPr>
        <w:tc>
          <w:tcPr>
            <w:tcW w:w="5900" w:type="dxa"/>
            <w:vAlign w:val="bottom"/>
          </w:tcPr>
          <w:p>
            <w:pPr>
              <w:ind w:left="1100"/>
              <w:spacing w:after="0"/>
              <w:rPr>
                <w:sz w:val="20"/>
                <w:szCs w:val="20"/>
                <w:color w:val="auto"/>
              </w:rPr>
            </w:pPr>
            <w:r>
              <w:rPr>
                <w:rFonts w:ascii="Arial" w:cs="Arial" w:eastAsia="Arial" w:hAnsi="Arial"/>
                <w:sz w:val="14"/>
                <w:szCs w:val="14"/>
                <w:color w:val="auto"/>
              </w:rPr>
              <w:t>Interest rate swaps</w:t>
            </w:r>
          </w:p>
        </w:tc>
        <w:tc>
          <w:tcPr>
            <w:tcW w:w="7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7"/>
              </w:rPr>
              <w:t>(330)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162</w:t>
            </w:r>
          </w:p>
        </w:tc>
      </w:tr>
      <w:tr>
        <w:trPr>
          <w:trHeight w:val="276"/>
        </w:trPr>
        <w:tc>
          <w:tcPr>
            <w:tcW w:w="59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Payer swaptions</w:t>
            </w: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64"/>
        </w:trPr>
        <w:tc>
          <w:tcPr>
            <w:tcW w:w="5900" w:type="dxa"/>
            <w:vAlign w:val="bottom"/>
          </w:tcPr>
          <w:p>
            <w:pPr>
              <w:ind w:left="1100"/>
              <w:spacing w:after="0"/>
              <w:rPr>
                <w:sz w:val="20"/>
                <w:szCs w:val="20"/>
                <w:color w:val="auto"/>
              </w:rPr>
            </w:pPr>
            <w:r>
              <w:rPr>
                <w:rFonts w:ascii="Arial" w:cs="Arial" w:eastAsia="Arial" w:hAnsi="Arial"/>
                <w:sz w:val="14"/>
                <w:szCs w:val="14"/>
                <w:color w:val="auto"/>
              </w:rPr>
              <w:t>Interest and principal-only strips</w:t>
            </w:r>
          </w:p>
        </w:tc>
        <w:tc>
          <w:tcPr>
            <w:tcW w:w="700" w:type="dxa"/>
            <w:vAlign w:val="bottom"/>
          </w:tcPr>
          <w:p>
            <w:pPr>
              <w:spacing w:after="0"/>
              <w:rPr>
                <w:sz w:val="22"/>
                <w:szCs w:val="22"/>
                <w:color w:val="auto"/>
              </w:rPr>
            </w:pPr>
          </w:p>
        </w:tc>
        <w:tc>
          <w:tcPr>
            <w:tcW w:w="38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76"/>
        </w:trPr>
        <w:tc>
          <w:tcPr>
            <w:tcW w:w="59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securities - long position</w:t>
            </w: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64"/>
        </w:trPr>
        <w:tc>
          <w:tcPr>
            <w:tcW w:w="5900" w:type="dxa"/>
            <w:vAlign w:val="bottom"/>
          </w:tcPr>
          <w:p>
            <w:pPr>
              <w:ind w:left="1100"/>
              <w:spacing w:after="0"/>
              <w:rPr>
                <w:sz w:val="20"/>
                <w:szCs w:val="20"/>
                <w:color w:val="auto"/>
              </w:rPr>
            </w:pPr>
            <w:r>
              <w:rPr>
                <w:rFonts w:ascii="Arial" w:cs="Arial" w:eastAsia="Arial" w:hAnsi="Arial"/>
                <w:sz w:val="14"/>
                <w:szCs w:val="14"/>
                <w:color w:val="auto"/>
              </w:rPr>
              <w:t>U.S. Treasury securities - short position</w:t>
            </w:r>
          </w:p>
        </w:tc>
        <w:tc>
          <w:tcPr>
            <w:tcW w:w="7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76"/>
        </w:trPr>
        <w:tc>
          <w:tcPr>
            <w:tcW w:w="59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U.S. Treasury futures - short position</w:t>
            </w:r>
          </w:p>
        </w:tc>
        <w:tc>
          <w:tcPr>
            <w:tcW w:w="70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264"/>
        </w:trPr>
        <w:tc>
          <w:tcPr>
            <w:tcW w:w="5900" w:type="dxa"/>
            <w:vAlign w:val="bottom"/>
          </w:tcPr>
          <w:p>
            <w:pPr>
              <w:ind w:left="1100"/>
              <w:spacing w:after="0"/>
              <w:rPr>
                <w:sz w:val="20"/>
                <w:szCs w:val="20"/>
                <w:color w:val="auto"/>
              </w:rPr>
            </w:pPr>
            <w:r>
              <w:rPr>
                <w:rFonts w:ascii="Arial" w:cs="Arial" w:eastAsia="Arial" w:hAnsi="Arial"/>
                <w:sz w:val="14"/>
                <w:szCs w:val="14"/>
                <w:color w:val="auto"/>
              </w:rPr>
              <w:t>Debt of consolidated VIEs</w:t>
            </w:r>
          </w:p>
        </w:tc>
        <w:tc>
          <w:tcPr>
            <w:tcW w:w="70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w:t>
            </w:r>
          </w:p>
        </w:tc>
      </w:tr>
      <w:tr>
        <w:trPr>
          <w:trHeight w:val="270"/>
        </w:trPr>
        <w:tc>
          <w:tcPr>
            <w:tcW w:w="5900" w:type="dxa"/>
            <w:vAlign w:val="bottom"/>
            <w:shd w:val="clear" w:color="auto" w:fill="CCEEFF"/>
          </w:tcPr>
          <w:p>
            <w:pPr>
              <w:ind w:left="1100"/>
              <w:spacing w:after="0"/>
              <w:rPr>
                <w:sz w:val="20"/>
                <w:szCs w:val="20"/>
                <w:color w:val="auto"/>
              </w:rPr>
            </w:pPr>
            <w:r>
              <w:rPr>
                <w:rFonts w:ascii="Arial" w:cs="Arial" w:eastAsia="Arial" w:hAnsi="Arial"/>
                <w:sz w:val="14"/>
                <w:szCs w:val="14"/>
                <w:color w:val="auto"/>
              </w:rPr>
              <w:t>REIT equity securities</w:t>
            </w:r>
          </w:p>
        </w:tc>
        <w:tc>
          <w:tcPr>
            <w:tcW w:w="70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5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unrealized loss on derivative instruments and other securities, net</w:t>
            </w:r>
          </w:p>
        </w:tc>
        <w:tc>
          <w:tcPr>
            <w:tcW w:w="7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(348)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r>
      <w:tr>
        <w:trPr>
          <w:trHeight w:val="243"/>
        </w:trPr>
        <w:tc>
          <w:tcPr>
            <w:tcW w:w="5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loss on derivative instruments and other securities, net</w:t>
            </w: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r>
      <w:tr>
        <w:trPr>
          <w:trHeight w:val="20"/>
        </w:trPr>
        <w:tc>
          <w:tcPr>
            <w:tcW w:w="59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w:t>
      </w:r>
    </w:p>
    <w:p>
      <w:pPr>
        <w:spacing w:after="0" w:line="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 xml:space="preserve">Please refer to </w:t>
      </w:r>
      <w:r>
        <w:rPr>
          <w:rFonts w:ascii="Arial" w:cs="Arial" w:eastAsia="Arial" w:hAnsi="Arial"/>
          <w:sz w:val="14"/>
          <w:szCs w:val="14"/>
          <w:i w:val="1"/>
          <w:iCs w:val="1"/>
          <w:color w:val="auto"/>
        </w:rPr>
        <w:t>Interest Expense and Cost of Funds</w:t>
      </w:r>
      <w:r>
        <w:rPr>
          <w:rFonts w:ascii="Arial" w:cs="Arial" w:eastAsia="Arial" w:hAnsi="Arial"/>
          <w:sz w:val="14"/>
          <w:szCs w:val="14"/>
          <w:color w:val="auto"/>
        </w:rPr>
        <w:t xml:space="preserve"> discussion above for additional information regarding other periodic interest costs of interest rate swaps, net.</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6"/>
        </w:numPr>
        <w:rPr>
          <w:rFonts w:ascii="Arial" w:cs="Arial" w:eastAsia="Arial" w:hAnsi="Arial"/>
          <w:sz w:val="13"/>
          <w:szCs w:val="13"/>
          <w:color w:val="auto"/>
        </w:rPr>
      </w:pPr>
      <w:r>
        <w:rPr>
          <w:rFonts w:ascii="Arial" w:cs="Arial" w:eastAsia="Arial" w:hAnsi="Arial"/>
          <w:sz w:val="13"/>
          <w:szCs w:val="13"/>
          <w:color w:val="auto"/>
        </w:rPr>
        <w:t xml:space="preserve">Gain (loss) from purchases and sales of TBA securities includes TBA dollar roll income (see </w:t>
      </w:r>
      <w:r>
        <w:rPr>
          <w:rFonts w:ascii="Arial" w:cs="Arial" w:eastAsia="Arial" w:hAnsi="Arial"/>
          <w:sz w:val="13"/>
          <w:szCs w:val="13"/>
          <w:i w:val="1"/>
          <w:iCs w:val="1"/>
          <w:color w:val="auto"/>
        </w:rPr>
        <w:t>Net Spread Income</w:t>
      </w:r>
      <w:r>
        <w:rPr>
          <w:rFonts w:ascii="Arial" w:cs="Arial" w:eastAsia="Arial" w:hAnsi="Arial"/>
          <w:sz w:val="13"/>
          <w:szCs w:val="13"/>
          <w:color w:val="auto"/>
        </w:rPr>
        <w:t xml:space="preserve"> above) and net gains and losses due to changes in fair value.</w:t>
      </w:r>
    </w:p>
    <w:p>
      <w:pPr>
        <w:spacing w:after="0" w:line="12" w:lineRule="exact"/>
        <w:rPr>
          <w:rFonts w:ascii="Arial" w:cs="Arial" w:eastAsia="Arial" w:hAnsi="Arial"/>
          <w:sz w:val="13"/>
          <w:szCs w:val="13"/>
          <w:color w:val="auto"/>
        </w:rPr>
      </w:pPr>
    </w:p>
    <w:p>
      <w:pPr>
        <w:ind w:left="980" w:right="20" w:hanging="648"/>
        <w:spacing w:after="0" w:line="255" w:lineRule="auto"/>
        <w:tabs>
          <w:tab w:leader="none" w:pos="656" w:val="left"/>
        </w:tabs>
        <w:numPr>
          <w:ilvl w:val="0"/>
          <w:numId w:val="36"/>
        </w:numPr>
        <w:rPr>
          <w:rFonts w:ascii="Arial" w:cs="Arial" w:eastAsia="Arial" w:hAnsi="Arial"/>
          <w:sz w:val="14"/>
          <w:szCs w:val="14"/>
          <w:color w:val="auto"/>
        </w:rPr>
      </w:pPr>
      <w:r>
        <w:rPr>
          <w:rFonts w:ascii="Arial" w:cs="Arial" w:eastAsia="Arial" w:hAnsi="Arial"/>
          <w:sz w:val="14"/>
          <w:szCs w:val="14"/>
          <w:color w:val="auto"/>
        </w:rPr>
        <w:t>Unrealized gain (loss) from derivative instruments and other securities, net includes reversals of prior period amounts for settled, terminated or expired derivative instruments and other securities.</w:t>
      </w:r>
    </w:p>
    <w:p>
      <w:pPr>
        <w:spacing w:after="0" w:line="13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Gains and losses from purchases and sales of TBAs totaled a net gain of $60 million for the three months ended March 31, 2014, consisting of $48 million of net TBA dollar roll income and a net gain of $12 million due to change in fair value.</w:t>
      </w:r>
    </w:p>
    <w:p>
      <w:pPr>
        <w:spacing w:after="0" w:line="116"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For further details regarding our use of derivative instruments and related activity refer to Notes 3 and 6 of our consolidated financial statements in this Form 10-Q.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Fees and General and Administrative Expenses</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pay our Manager a base management fee payable monthly in arrears in an amount equal to one twelfth of 1.25% of our Equity. Our Equity is defined as our month-end stockholders' equity, adjusted to exclude the effect of any unrealized gains or losses included in either retained earnings or accumulated OCI, each as computed in accordance with GAAP. There is no incentive compensation payable to our Manager pursuant to the management agreement. We incurred management fees of $29 million for the current year three month period, which was a decrease of $4 million from $33 million for the prior year period due to a smaller equity capital base.</w:t>
      </w:r>
    </w:p>
    <w:p>
      <w:pPr>
        <w:spacing w:after="0" w:line="13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General and administrative expenses were $6 million and $9 million for the current and prior year three month period, respectively, and primarily consisted of prime broker fees, information technology costs, accounting fees, legal fees, Board of Director fees, insurance expense and general overhead expense. The year over year three month period decline was due to a smaller average portfolio size.</w:t>
      </w:r>
    </w:p>
    <w:p>
      <w:pPr>
        <w:sectPr>
          <w:pgSz w:w="11900" w:h="16838" w:orient="portrait"/>
          <w:cols w:equalWidth="0" w:num="1">
            <w:col w:w="11420"/>
          </w:cols>
          <w:pgMar w:left="240" w:top="584"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584" w:right="239" w:bottom="1440" w:gutter="0" w:footer="0" w:header="0"/>
          <w:type w:val="continuous"/>
        </w:sectPr>
      </w:pPr>
    </w:p>
    <w:bookmarkStart w:id="41" w:name="page42"/>
    <w:bookmarkEnd w:id="41"/>
    <w:p>
      <w:pPr>
        <w:jc w:val="both"/>
        <w:ind w:firstLine="432"/>
        <w:spacing w:after="0" w:line="277" w:lineRule="auto"/>
        <w:rPr>
          <w:sz w:val="20"/>
          <w:szCs w:val="20"/>
          <w:color w:val="auto"/>
        </w:rPr>
      </w:pPr>
      <w:r>
        <w:rPr>
          <w:rFonts w:ascii="Arial" w:cs="Arial" w:eastAsia="Arial" w:hAnsi="Arial"/>
          <w:sz w:val="18"/>
          <w:szCs w:val="18"/>
          <w:color w:val="auto"/>
        </w:rPr>
        <w:t>Our total operating expense as a percentage of our average stockholders' equity was 1.58% and 1.57% for the current and prior year three month period,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 and Income Taxes</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the three months ended March 31, 2014 and 2013, we had estimated taxable income available to common shareholders of $167 million and $177 million (or $0.47 and $0.50 per common share), respectively.</w:t>
      </w:r>
    </w:p>
    <w:p>
      <w:pPr>
        <w:spacing w:after="0" w:line="116"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a REIT, we are required to distribute annually 90% of our taxable income to maintain our status as a REIT and all of our taxable income to avoid Federal and state corporate income taxes. We can treat dividends declared by September 15 and paid by December 31 as having been a distribution of our taxable income for our prior tax year ("spill-back provision"). Income as determined under GAAP differs from income as determined under tax rules because of both temporary and permanent differences in income and expense recognition. The primary differences are (i) unrealized gains and losses associated with interest rate swaps and other derivatives and securities marked-to-market in current income for GAAP purposes, but excluded from taxable income until realized or settled, (ii) timing differences, both temporary and potentially permanent, in the recognition of certain realized gains and losses and (iii) temporary differences related to the amortization of net premiums paid on investments. Furthermore, our estimated taxable income is subject to potential adjustments up to the time of filing our appropriate tax returns, which occurs after the end of our fiscal year.</w:t>
      </w:r>
    </w:p>
    <w:p>
      <w:pPr>
        <w:spacing w:after="0" w:line="1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is a reconciliation of our GAAP net income to our estimated taxable income for the three months ended March 31, 2014 and 2013 (dollars in millions).</w:t>
      </w:r>
    </w:p>
    <w:p>
      <w:pPr>
        <w:spacing w:after="0" w:line="270"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Three Months Ended March</w:t>
      </w:r>
    </w:p>
    <w:p>
      <w:pPr>
        <w:spacing w:after="0" w:line="4" w:lineRule="exact"/>
        <w:rPr>
          <w:sz w:val="20"/>
          <w:szCs w:val="20"/>
          <w:color w:val="auto"/>
        </w:rPr>
      </w:pPr>
    </w:p>
    <w:p>
      <w:pPr>
        <w:jc w:val="center"/>
        <w:ind w:left="464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4472940</wp:posOffset>
            </wp:positionH>
            <wp:positionV relativeFrom="paragraph">
              <wp:posOffset>13335</wp:posOffset>
            </wp:positionV>
            <wp:extent cx="12350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87" w:lineRule="exact"/>
        <w:rPr>
          <w:sz w:val="20"/>
          <w:szCs w:val="20"/>
          <w:color w:val="auto"/>
        </w:rPr>
      </w:pPr>
    </w:p>
    <w:tbl>
      <w:tblPr>
        <w:tblLayout w:type="fixed"/>
        <w:tblInd w:w="2440" w:type="dxa"/>
        <w:tblCellMar>
          <w:top w:w="0" w:type="dxa"/>
          <w:left w:w="0" w:type="dxa"/>
          <w:bottom w:w="0" w:type="dxa"/>
          <w:right w:w="0" w:type="dxa"/>
        </w:tblCellMar>
      </w:tblPr>
      <w:tr>
        <w:trPr>
          <w:trHeight w:val="192"/>
        </w:trPr>
        <w:tc>
          <w:tcPr>
            <w:tcW w:w="4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2013</w:t>
            </w:r>
          </w:p>
        </w:tc>
      </w:tr>
      <w:tr>
        <w:trPr>
          <w:trHeight w:val="250"/>
        </w:trPr>
        <w:tc>
          <w:tcPr>
            <w:tcW w:w="4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1"/>
                <w:szCs w:val="21"/>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231</w:t>
            </w:r>
          </w:p>
        </w:tc>
      </w:tr>
      <w:tr>
        <w:trPr>
          <w:trHeight w:val="276"/>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Estimated book to tax differences:</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64"/>
        </w:trPr>
        <w:tc>
          <w:tcPr>
            <w:tcW w:w="4600" w:type="dxa"/>
            <w:vAlign w:val="bottom"/>
          </w:tcPr>
          <w:p>
            <w:pPr>
              <w:ind w:left="160"/>
              <w:spacing w:after="0"/>
              <w:rPr>
                <w:sz w:val="20"/>
                <w:szCs w:val="20"/>
                <w:color w:val="auto"/>
              </w:rPr>
            </w:pPr>
            <w:r>
              <w:rPr>
                <w:rFonts w:ascii="Arial" w:cs="Arial" w:eastAsia="Arial" w:hAnsi="Arial"/>
                <w:sz w:val="14"/>
                <w:szCs w:val="14"/>
                <w:color w:val="auto"/>
              </w:rPr>
              <w:t>Premium amortization, net</w:t>
            </w:r>
          </w:p>
        </w:tc>
        <w:tc>
          <w:tcPr>
            <w:tcW w:w="22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76"/>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Realized losses (gains), net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r>
      <w:tr>
        <w:trPr>
          <w:trHeight w:val="264"/>
        </w:trPr>
        <w:tc>
          <w:tcPr>
            <w:tcW w:w="4600" w:type="dxa"/>
            <w:vAlign w:val="bottom"/>
          </w:tcPr>
          <w:p>
            <w:pPr>
              <w:ind w:left="160"/>
              <w:spacing w:after="0"/>
              <w:rPr>
                <w:sz w:val="20"/>
                <w:szCs w:val="20"/>
                <w:color w:val="auto"/>
              </w:rPr>
            </w:pPr>
            <w:r>
              <w:rPr>
                <w:rFonts w:ascii="Arial" w:cs="Arial" w:eastAsia="Arial" w:hAnsi="Arial"/>
                <w:sz w:val="14"/>
                <w:szCs w:val="14"/>
                <w:color w:val="auto"/>
              </w:rPr>
              <w:t>Capital loss carryforward</w:t>
            </w: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Unrealized loss, net</w:t>
            </w: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r>
      <w:tr>
        <w:trPr>
          <w:trHeight w:val="264"/>
        </w:trPr>
        <w:tc>
          <w:tcPr>
            <w:tcW w:w="4600" w:type="dxa"/>
            <w:vAlign w:val="bottom"/>
          </w:tcPr>
          <w:p>
            <w:pPr>
              <w:ind w:left="16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w:t>
            </w:r>
          </w:p>
        </w:tc>
      </w:tr>
      <w:tr>
        <w:trPr>
          <w:trHeight w:val="250"/>
        </w:trPr>
        <w:tc>
          <w:tcPr>
            <w:tcW w:w="4600" w:type="dxa"/>
            <w:vAlign w:val="bottom"/>
            <w:tcBorders>
              <w:top w:val="single" w:sz="8" w:color="CCEEFF"/>
            </w:tcBorders>
            <w:shd w:val="clear" w:color="auto" w:fill="CCEEFF"/>
          </w:tcPr>
          <w:p>
            <w:pPr>
              <w:ind w:left="840"/>
              <w:spacing w:after="0"/>
              <w:rPr>
                <w:sz w:val="20"/>
                <w:szCs w:val="20"/>
                <w:color w:val="auto"/>
              </w:rPr>
            </w:pPr>
            <w:r>
              <w:rPr>
                <w:rFonts w:ascii="Arial" w:cs="Arial" w:eastAsia="Arial" w:hAnsi="Arial"/>
                <w:sz w:val="14"/>
                <w:szCs w:val="14"/>
                <w:color w:val="auto"/>
              </w:rPr>
              <w:t>Total book to tax differences</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311</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250"/>
        </w:trPr>
        <w:tc>
          <w:tcPr>
            <w:tcW w:w="4600" w:type="dxa"/>
            <w:vAlign w:val="bottom"/>
          </w:tcPr>
          <w:p>
            <w:pPr>
              <w:ind w:left="20"/>
              <w:spacing w:after="0"/>
              <w:rPr>
                <w:sz w:val="20"/>
                <w:szCs w:val="20"/>
                <w:color w:val="auto"/>
              </w:rPr>
            </w:pPr>
            <w:r>
              <w:rPr>
                <w:rFonts w:ascii="Arial" w:cs="Arial" w:eastAsia="Arial" w:hAnsi="Arial"/>
                <w:sz w:val="14"/>
                <w:szCs w:val="14"/>
                <w:color w:val="auto"/>
              </w:rPr>
              <w:t>Estimated REIT taxable income</w:t>
            </w:r>
          </w:p>
        </w:tc>
        <w:tc>
          <w:tcPr>
            <w:tcW w:w="22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180</w:t>
            </w:r>
          </w:p>
        </w:tc>
      </w:tr>
      <w:tr>
        <w:trPr>
          <w:trHeight w:val="270"/>
        </w:trPr>
        <w:tc>
          <w:tcPr>
            <w:tcW w:w="46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Dividend on preferred stock</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r>
      <w:tr>
        <w:trPr>
          <w:trHeight w:val="283"/>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Estimated REIT taxable income available to common shareholders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177</w:t>
            </w:r>
          </w:p>
        </w:tc>
      </w:tr>
      <w:tr>
        <w:trPr>
          <w:trHeight w:val="21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5"/>
              </w:rPr>
              <w:t>Weighted average number of common shares outstanding - basic and diluted</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354.8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356.2</w:t>
            </w: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5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Estimated REIT taxable income per common share - basic and diluted</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0.50</w:t>
            </w:r>
          </w:p>
        </w:tc>
      </w:tr>
      <w:tr>
        <w:trPr>
          <w:trHeight w:val="264"/>
        </w:trPr>
        <w:tc>
          <w:tcPr>
            <w:tcW w:w="46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64"/>
        </w:trPr>
        <w:tc>
          <w:tcPr>
            <w:tcW w:w="4600" w:type="dxa"/>
            <w:vAlign w:val="bottom"/>
          </w:tcPr>
          <w:p>
            <w:pPr>
              <w:ind w:left="20"/>
              <w:spacing w:after="0"/>
              <w:rPr>
                <w:sz w:val="20"/>
                <w:szCs w:val="20"/>
                <w:color w:val="auto"/>
              </w:rPr>
            </w:pPr>
            <w:r>
              <w:rPr>
                <w:rFonts w:ascii="Arial" w:cs="Arial" w:eastAsia="Arial" w:hAnsi="Arial"/>
                <w:sz w:val="14"/>
                <w:szCs w:val="14"/>
                <w:color w:val="auto"/>
              </w:rPr>
              <w:t>Beginning cumulative non-deductible capital losses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1,785</w:t>
            </w:r>
          </w:p>
        </w:tc>
        <w:tc>
          <w:tcPr>
            <w:tcW w:w="120" w:type="dxa"/>
            <w:vAlign w:val="bottom"/>
          </w:tcPr>
          <w:p>
            <w:pPr>
              <w:spacing w:after="0"/>
              <w:rPr>
                <w:sz w:val="22"/>
                <w:szCs w:val="22"/>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0"/>
        </w:trPr>
        <w:tc>
          <w:tcPr>
            <w:tcW w:w="4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loss carryforward</w:t>
            </w: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50"/>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Ending cumulative non-deductible capital losses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1,683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cumulative non-deductible capital losses per common share</w:t>
            </w: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20"/>
        </w:trPr>
        <w:tc>
          <w:tcPr>
            <w:tcW w:w="4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Taxable income for the three months ended March 31, 2014 excludes $102 million of estimated net capital gains, which were applied against our prior year net capital loss carryforward.</w:t>
      </w:r>
    </w:p>
    <w:p>
      <w:pPr>
        <w:spacing w:after="0" w:line="11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three months ended March 31, 2014 and 2013, we declared common dividends of $0.65 and $1.25 per common share, respectively, and Series A Preferred Stock dividends of $0.50 per preferred share, respectively.</w:t>
      </w:r>
    </w:p>
    <w:p>
      <w:pPr>
        <w:spacing w:after="0" w:line="11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We have distributed all of our 2013 taxable income within the allowable time frame, including the available spill-back provision, so that we will not be subject to federal or state corporate income tax. As of March 31, 2014, we had an estimated $146 million of current year undistributed taxable income, net of our March 31, 2014 common dividend payable of $229 million. Our undistributed taxable income excludes $1.7 billion, or $4.77 per common share, of remaining prior year non-deductible net capital losses, which may be applied against future capital gains through 2018.</w:t>
      </w:r>
    </w:p>
    <w:p>
      <w:pPr>
        <w:spacing w:after="0" w:line="11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TRS is subject to corporate federal and state income taxes at the combined federal and state corporate statutory tax rate of 39.5%. For the three months ended March 31, 2014, we recorded no provision for income taxes attributable to our TRS. For</w:t>
      </w:r>
    </w:p>
    <w:p>
      <w:pPr>
        <w:sectPr>
          <w:pgSz w:w="11900" w:h="16838" w:orient="portrait"/>
          <w:cols w:equalWidth="0" w:num="1">
            <w:col w:w="11420"/>
          </w:cols>
          <w:pgMar w:left="240" w:top="74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746" w:right="239" w:bottom="1440" w:gutter="0" w:footer="0" w:header="0"/>
          <w:type w:val="continuous"/>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the three months ended March 31, 2013, we recorded an income tax provision of $10 million attributable to our TRS, which is included in our net income tax provision on our accompanying consolidated statements of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17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The following table summarizes the components of our other comprehensive income for the three months ended March 31, 2014 and 2013 (in millions):</w:t>
      </w:r>
    </w:p>
    <w:p>
      <w:pPr>
        <w:spacing w:after="0" w:line="365" w:lineRule="exact"/>
        <w:rPr>
          <w:sz w:val="20"/>
          <w:szCs w:val="20"/>
          <w:color w:val="auto"/>
        </w:rPr>
      </w:pPr>
    </w:p>
    <w:tbl>
      <w:tblPr>
        <w:tblLayout w:type="fixed"/>
        <w:tblInd w:w="116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2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380" w:type="dxa"/>
            <w:vAlign w:val="bottom"/>
            <w:tcBorders>
              <w:bottom w:val="single" w:sz="8" w:color="auto"/>
            </w:tcBorders>
          </w:tcPr>
          <w:p>
            <w:pPr>
              <w:spacing w:after="0"/>
              <w:rPr>
                <w:sz w:val="16"/>
                <w:szCs w:val="16"/>
                <w:color w:val="auto"/>
              </w:rPr>
            </w:pPr>
          </w:p>
        </w:tc>
      </w:tr>
      <w:tr>
        <w:trPr>
          <w:trHeight w:val="264"/>
        </w:trPr>
        <w:tc>
          <w:tcPr>
            <w:tcW w:w="626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tcPr>
          <w:p>
            <w:pPr>
              <w:spacing w:after="0"/>
              <w:rPr>
                <w:sz w:val="22"/>
                <w:szCs w:val="22"/>
                <w:color w:val="auto"/>
              </w:rPr>
            </w:pPr>
          </w:p>
        </w:tc>
      </w:t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(loss) on AFS securities, net:</w:t>
            </w:r>
          </w:p>
        </w:tc>
        <w:tc>
          <w:tcPr>
            <w:tcW w:w="9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r>
      <w:tr>
        <w:trPr>
          <w:trHeight w:val="264"/>
        </w:trPr>
        <w:tc>
          <w:tcPr>
            <w:tcW w:w="6260" w:type="dxa"/>
            <w:vAlign w:val="bottom"/>
          </w:tcPr>
          <w:p>
            <w:pPr>
              <w:ind w:left="120"/>
              <w:spacing w:after="0"/>
              <w:rPr>
                <w:sz w:val="20"/>
                <w:szCs w:val="20"/>
                <w:color w:val="auto"/>
              </w:rPr>
            </w:pPr>
            <w:r>
              <w:rPr>
                <w:rFonts w:ascii="Arial" w:cs="Arial" w:eastAsia="Arial" w:hAnsi="Arial"/>
                <w:sz w:val="14"/>
                <w:szCs w:val="14"/>
                <w:color w:val="auto"/>
              </w:rPr>
              <w:t>Unrealized gain (loss), net</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502</w:t>
            </w:r>
          </w:p>
        </w:tc>
        <w:tc>
          <w:tcPr>
            <w:tcW w:w="120" w:type="dxa"/>
            <w:vAlign w:val="bottom"/>
          </w:tcPr>
          <w:p>
            <w:pPr>
              <w:spacing w:after="0"/>
              <w:rPr>
                <w:sz w:val="22"/>
                <w:szCs w:val="22"/>
                <w:color w:val="auto"/>
              </w:rPr>
            </w:pP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97"/>
              </w:rPr>
              <w:t>(863)</w:t>
            </w:r>
          </w:p>
        </w:tc>
      </w:tr>
      <w:tr>
        <w:trPr>
          <w:trHeight w:val="270"/>
        </w:trPr>
        <w:tc>
          <w:tcPr>
            <w:tcW w:w="6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Reversal of prior period unrealized loss, net, upon realization</w:t>
            </w:r>
          </w:p>
        </w:tc>
        <w:tc>
          <w:tcPr>
            <w:tcW w:w="94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r>
      <w:tr>
        <w:trPr>
          <w:trHeight w:val="250"/>
        </w:trPr>
        <w:tc>
          <w:tcPr>
            <w:tcW w:w="62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Unrealized gain (loss) on AFS securities, net:</w:t>
            </w:r>
          </w:p>
        </w:tc>
        <w:tc>
          <w:tcPr>
            <w:tcW w:w="9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521</w:t>
            </w:r>
          </w:p>
        </w:tc>
        <w:tc>
          <w:tcPr>
            <w:tcW w:w="1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(837)</w:t>
            </w:r>
          </w:p>
        </w:tc>
      </w:tr>
      <w:tr>
        <w:trPr>
          <w:trHeight w:val="270"/>
        </w:trPr>
        <w:tc>
          <w:tcPr>
            <w:tcW w:w="62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Unrealized gain on interest rate swaps designated as cash flow hedges:</w:t>
            </w:r>
          </w:p>
        </w:tc>
        <w:tc>
          <w:tcPr>
            <w:tcW w:w="94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r>
      <w:tr>
        <w:trPr>
          <w:trHeight w:val="157"/>
        </w:trPr>
        <w:tc>
          <w:tcPr>
            <w:tcW w:w="6260" w:type="dxa"/>
            <w:vAlign w:val="bottom"/>
          </w:tcPr>
          <w:p>
            <w:pPr>
              <w:ind w:left="120"/>
              <w:spacing w:after="0" w:line="157" w:lineRule="exact"/>
              <w:rPr>
                <w:sz w:val="20"/>
                <w:szCs w:val="20"/>
                <w:color w:val="auto"/>
              </w:rPr>
            </w:pPr>
            <w:r>
              <w:rPr>
                <w:rFonts w:ascii="Arial" w:cs="Arial" w:eastAsia="Arial" w:hAnsi="Arial"/>
                <w:sz w:val="14"/>
                <w:szCs w:val="14"/>
                <w:color w:val="auto"/>
              </w:rPr>
              <w:t>Reversal of prior period unrealized loss on interest rate swaps, net, upon reclassification to interest</w:t>
            </w: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r>
      <w:tr>
        <w:trPr>
          <w:trHeight w:val="188"/>
        </w:trPr>
        <w:tc>
          <w:tcPr>
            <w:tcW w:w="62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expense</w:t>
            </w:r>
          </w:p>
        </w:tc>
        <w:tc>
          <w:tcPr>
            <w:tcW w:w="9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w:t>
            </w:r>
          </w:p>
        </w:tc>
      </w:tr>
      <w:tr>
        <w:trPr>
          <w:trHeight w:val="243"/>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other comprehensive income (loss)</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7"/>
              </w:rPr>
              <w:t>(788)</w:t>
            </w:r>
          </w:p>
        </w:tc>
      </w:tr>
      <w:tr>
        <w:trPr>
          <w:trHeight w:val="20"/>
        </w:trPr>
        <w:tc>
          <w:tcPr>
            <w:tcW w:w="6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Our primary sources of funds are borrowings under master repurchase agreements, equity offerings, asset sales and monthly principal and interest payments on our investment portfolio. Because the level of our borrowings can be adjusted on a daily basis, the level of cash and cash equivalents carried on our balance sheet is significantly less important than the potential liquidity available under our borrowing arrangements. We currently believe that we have sufficient liquidity and capital resources available for the acquisition of additional investments, repayments on borrowings, maintenance of any margin requirements and the payment of cash dividends as required for our continued qualification as a REIT. To qualify as a REIT, we must distribute annually at least 90% of our net taxable income. To the extent that we annually distribute all of our net taxable income in a timely manner, we will generally not be subject to federal and state income taxes. We currently expect to distribute all of our taxable income in a timely manner so that we are not subject to federal and state income taxes. This distribution requirement limits our ability to retain earnings and thereby replenish or increase capital from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Capital</w:t>
      </w:r>
    </w:p>
    <w:p>
      <w:pPr>
        <w:spacing w:after="0" w:line="17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To the extent we raise additional equity capital through follow-on equity offerings, through our at-the-market offering program or under our dividend reinvestment and direct stock purchase plan, we currently anticipate using cash proceeds from such transactions to purchase additional investment securities, to make scheduled payments of principal and interest on our repurchase agreements and for other general corporate purposes. There can be no assurance, however, that we will be able to raise additional equity capital at any particular time or on any particular terms.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Common Stock Repurchase Program</w:t>
      </w:r>
    </w:p>
    <w:p>
      <w:pPr>
        <w:spacing w:after="0" w:line="171"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In October 2012, our Board of Directors adopted a program that provides for stock repurchases of up to $500 million of our outstanding shares of common stock through December 31, 2013. In September 2013, our Board of Directors increased the authorized amount to $1 billion of our outstanding shares of common stock and extended its authorization through December 31, 2014. In January 2014, our Board of Directors increased the authorized amount by an additional $1 billion of our outstanding shares of common stock through December 31, 2014. Shares of our common stock may be purchased in the open market, including through block purchases, or through privately negotiated transactions, or pursuant to any trading plan that may be adopted in accordance with Rule 10b5-1 of the Securities Exchange Act of 1934, as amended. The timing, manner, price and amount of any repurchases will be determined at our discretion and the program may be suspended, terminated or modified at any time for any reason. We intend to repurchase shares only when the purchase price is less than our estimate of our current net asset value per share of our common stock. Generally, when we repurchase our common stock at a discount to our net asset value, the net asset value of our remaining shares of common stock outstanding increases. In addition, we do not intend to repurchase any shares from directors, officers or other affiliates. The program does not obligate us to acquire any specific number of shares, and all repurchases will be made in accordance with Rule 10b-18, which sets certain restrictions on the method, timing, price and volume of stock repurchases.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746" w:right="239" w:bottom="1440" w:gutter="0" w:footer="0" w:header="0"/>
        </w:sectPr>
      </w:pPr>
    </w:p>
    <w:bookmarkStart w:id="43" w:name="page44"/>
    <w:bookmarkEnd w:id="43"/>
    <w:p>
      <w:pPr>
        <w:jc w:val="both"/>
        <w:ind w:firstLine="405"/>
        <w:spacing w:after="0" w:line="264" w:lineRule="auto"/>
        <w:rPr>
          <w:sz w:val="20"/>
          <w:szCs w:val="20"/>
          <w:color w:val="auto"/>
        </w:rPr>
      </w:pPr>
      <w:r>
        <w:rPr>
          <w:rFonts w:ascii="Arial" w:cs="Arial" w:eastAsia="Arial" w:hAnsi="Arial"/>
          <w:sz w:val="18"/>
          <w:szCs w:val="18"/>
          <w:color w:val="auto"/>
        </w:rPr>
        <w:t>During the three months ended March 31, 2014, we repurchased approximately 3.4 million shares of our common stock at an average repurchase price of $22.10 per share, including expenses, totaling $74 million. As of March 31, 2014, the total remaining amount authorized for repurchases of our common stock was $992 million.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Capital</w:t>
      </w:r>
    </w:p>
    <w:p>
      <w:pPr>
        <w:spacing w:after="0" w:line="171"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As part of our investment strategy, we borrow against our investment portfolio pursuant to master repurchase agreements. We expect that our borrowings under such master repurchase agreements will generally have maturities ranging up to one year, but may have maturities up to five years or longer. Our leverage may vary periodically depending on market conditions and our Manager's assessment of risks and returns. We generally would expect our leverage to be within six to eleven times the amount of our stockholders' equity. However, under certain market conditions, we may operate at leverage levels outside of this range for extended periods of time. Our leverage as of March 31, 2014 was 5.9 times our stockholders' equity, measured as the sum of our agency MBS repurchase agreements, net receivable / payable for unsettled agency securities and debt of consolidated VIEs divided by the sum of our total stockholders' equity less the fair value of our investment in REIT equity securities as of period end. Since the individual agency mortgage REITs in which we invest employ similar leverage as within our agency portfolio, we acquire these securities on an unlevered basis and, therefore, exclude from our leverage measurements the portion of our stockholders' equity allocated to investments in other mortgage REITs. In addition, our measurement of leverage excludes repurchase agreements used to fund short-term investments in U.S. Treasury securities due to the highly liquid and temporary nature of these investments.</w:t>
      </w:r>
    </w:p>
    <w:p>
      <w:pPr>
        <w:spacing w:after="0" w:line="13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31, 2014, our agency MBS repurchase agreements had a weighted average cost of funds of 0.43% and a weighted average remaining days-to-maturity of 162 days, excluding amounts borrowed under U.S. Treasury repurchase agreements.</w:t>
      </w:r>
    </w:p>
    <w:p>
      <w:pPr>
        <w:spacing w:after="0" w:line="11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To limit our exposure to counterparty credit risk, we diversify our funding across multiple counterparties and by counterparty region. As of March 31, 2014, we had master repurchase agreements with 34 financial institutions, subject to certain conditions, located throughout North America, Europe and Asia. As of March 31, 2014, less than 4% of our stockholders' equity was at risk with any one repo counterparty, with the top five repo counterparties representing approximately 12% of our stockholders' equity. The table below includes a summary of our repurchase agreement funding by number of repo counterparties and counterparty region as of March 31, 2014. For further details regarding our borrowings under repurchase agreements and other debt as of March 31, 2014, please refer to Note 5 to our consolidated financial statements in this Form 10-Q.</w:t>
      </w:r>
    </w:p>
    <w:p>
      <w:pPr>
        <w:spacing w:after="0" w:line="346" w:lineRule="exact"/>
        <w:rPr>
          <w:sz w:val="20"/>
          <w:szCs w:val="20"/>
          <w:color w:val="auto"/>
        </w:rPr>
      </w:pPr>
    </w:p>
    <w:tbl>
      <w:tblPr>
        <w:tblLayout w:type="fixed"/>
        <w:tblInd w:w="2520" w:type="dxa"/>
        <w:tblCellMar>
          <w:top w:w="0" w:type="dxa"/>
          <w:left w:w="0" w:type="dxa"/>
          <w:bottom w:w="0" w:type="dxa"/>
          <w:right w:w="0" w:type="dxa"/>
        </w:tblCellMar>
      </w:tblPr>
      <w:tr>
        <w:trPr>
          <w:trHeight w:val="192"/>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40" w:type="dxa"/>
            <w:vAlign w:val="bottom"/>
            <w:tcBorders>
              <w:bottom w:val="single" w:sz="8" w:color="auto"/>
            </w:tcBorders>
            <w:gridSpan w:val="3"/>
          </w:tcPr>
          <w:p>
            <w:pPr>
              <w:ind w:left="1240"/>
              <w:spacing w:after="0"/>
              <w:rPr>
                <w:sz w:val="20"/>
                <w:szCs w:val="20"/>
                <w:color w:val="auto"/>
              </w:rPr>
            </w:pPr>
            <w:r>
              <w:rPr>
                <w:rFonts w:ascii="Arial" w:cs="Arial" w:eastAsia="Arial" w:hAnsi="Arial"/>
                <w:sz w:val="14"/>
                <w:szCs w:val="14"/>
                <w:b w:val="1"/>
                <w:bCs w:val="1"/>
                <w:color w:val="auto"/>
              </w:rPr>
              <w:t>March 31, 2014</w:t>
            </w:r>
          </w:p>
        </w:tc>
        <w:tc>
          <w:tcPr>
            <w:tcW w:w="0" w:type="dxa"/>
            <w:vAlign w:val="bottom"/>
          </w:tcPr>
          <w:p>
            <w:pPr>
              <w:spacing w:after="0"/>
              <w:rPr>
                <w:sz w:val="1"/>
                <w:szCs w:val="1"/>
                <w:color w:val="auto"/>
              </w:rPr>
            </w:pPr>
          </w:p>
        </w:tc>
      </w:tr>
      <w:tr>
        <w:trPr>
          <w:trHeight w:val="152"/>
        </w:trPr>
        <w:tc>
          <w:tcPr>
            <w:tcW w:w="2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 Region</w:t>
            </w:r>
          </w:p>
        </w:tc>
        <w:tc>
          <w:tcPr>
            <w:tcW w:w="200" w:type="dxa"/>
            <w:vAlign w:val="bottom"/>
            <w:vMerge w:val="restart"/>
          </w:tcPr>
          <w:p>
            <w:pPr>
              <w:spacing w:after="0"/>
              <w:rPr>
                <w:sz w:val="13"/>
                <w:szCs w:val="13"/>
                <w:color w:val="auto"/>
              </w:rPr>
            </w:pPr>
          </w:p>
        </w:tc>
        <w:tc>
          <w:tcPr>
            <w:tcW w:w="17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5"/>
              </w:rPr>
              <w:t>Number of Counter-</w:t>
            </w:r>
          </w:p>
        </w:tc>
        <w:tc>
          <w:tcPr>
            <w:tcW w:w="16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 Repurchase</w:t>
            </w:r>
          </w:p>
        </w:tc>
        <w:tc>
          <w:tcPr>
            <w:tcW w:w="0" w:type="dxa"/>
            <w:vAlign w:val="bottom"/>
          </w:tcPr>
          <w:p>
            <w:pPr>
              <w:spacing w:after="0"/>
              <w:rPr>
                <w:sz w:val="1"/>
                <w:szCs w:val="1"/>
                <w:color w:val="auto"/>
              </w:rPr>
            </w:pPr>
          </w:p>
        </w:tc>
      </w:tr>
      <w:tr>
        <w:trPr>
          <w:trHeight w:val="192"/>
        </w:trPr>
        <w:tc>
          <w:tcPr>
            <w:tcW w:w="27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Parties</w:t>
            </w:r>
          </w:p>
        </w:tc>
        <w:tc>
          <w:tcPr>
            <w:tcW w:w="1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Agreement Funding</w:t>
            </w:r>
          </w:p>
        </w:tc>
        <w:tc>
          <w:tcPr>
            <w:tcW w:w="0" w:type="dxa"/>
            <w:vAlign w:val="bottom"/>
          </w:tcPr>
          <w:p>
            <w:pPr>
              <w:spacing w:after="0"/>
              <w:rPr>
                <w:sz w:val="1"/>
                <w:szCs w:val="1"/>
                <w:color w:val="auto"/>
              </w:rPr>
            </w:pPr>
          </w:p>
        </w:tc>
      </w:tr>
      <w:tr>
        <w:trPr>
          <w:trHeight w:val="256"/>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18</w:t>
            </w:r>
          </w:p>
        </w:tc>
        <w:tc>
          <w:tcPr>
            <w:tcW w:w="180" w:type="dxa"/>
            <w:vAlign w:val="bottom"/>
            <w:shd w:val="clear" w:color="auto" w:fill="CCEEFF"/>
          </w:tcPr>
          <w:p>
            <w:pPr>
              <w:spacing w:after="0"/>
              <w:rPr>
                <w:sz w:val="22"/>
                <w:szCs w:val="22"/>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0" w:type="dxa"/>
            <w:vAlign w:val="bottom"/>
          </w:tcPr>
          <w:p>
            <w:pPr>
              <w:spacing w:after="0"/>
              <w:rPr>
                <w:sz w:val="1"/>
                <w:szCs w:val="1"/>
                <w:color w:val="auto"/>
              </w:rPr>
            </w:pPr>
          </w:p>
        </w:tc>
      </w:tr>
      <w:tr>
        <w:trPr>
          <w:trHeight w:val="264"/>
        </w:trPr>
        <w:tc>
          <w:tcPr>
            <w:tcW w:w="2960" w:type="dxa"/>
            <w:vAlign w:val="bottom"/>
            <w:gridSpan w:val="2"/>
          </w:tcPr>
          <w:p>
            <w:pPr>
              <w:ind w:left="20"/>
              <w:spacing w:after="0"/>
              <w:rPr>
                <w:sz w:val="20"/>
                <w:szCs w:val="20"/>
                <w:color w:val="auto"/>
              </w:rPr>
            </w:pPr>
            <w:r>
              <w:rPr>
                <w:rFonts w:ascii="Arial" w:cs="Arial" w:eastAsia="Arial" w:hAnsi="Arial"/>
                <w:sz w:val="14"/>
                <w:szCs w:val="14"/>
                <w:color w:val="auto"/>
              </w:rPr>
              <w:t>Asia</w:t>
            </w:r>
          </w:p>
        </w:tc>
        <w:tc>
          <w:tcPr>
            <w:tcW w:w="1600" w:type="dxa"/>
            <w:vAlign w:val="bottom"/>
          </w:tcPr>
          <w:p>
            <w:pPr>
              <w:jc w:val="center"/>
              <w:spacing w:after="0"/>
              <w:rPr>
                <w:sz w:val="20"/>
                <w:szCs w:val="20"/>
                <w:color w:val="auto"/>
              </w:rPr>
            </w:pPr>
            <w:r>
              <w:rPr>
                <w:rFonts w:ascii="Arial" w:cs="Arial" w:eastAsia="Arial" w:hAnsi="Arial"/>
                <w:sz w:val="14"/>
                <w:szCs w:val="14"/>
                <w:color w:val="auto"/>
                <w:w w:val="76"/>
              </w:rPr>
              <w:t>5</w:t>
            </w:r>
          </w:p>
        </w:tc>
        <w:tc>
          <w:tcPr>
            <w:tcW w:w="18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2"/>
              </w:rPr>
              <w:t>13%</w:t>
            </w:r>
          </w:p>
        </w:tc>
        <w:tc>
          <w:tcPr>
            <w:tcW w:w="0" w:type="dxa"/>
            <w:vAlign w:val="bottom"/>
          </w:tcPr>
          <w:p>
            <w:pPr>
              <w:spacing w:after="0"/>
              <w:rPr>
                <w:sz w:val="1"/>
                <w:szCs w:val="1"/>
                <w:color w:val="auto"/>
              </w:rPr>
            </w:pPr>
          </w:p>
        </w:tc>
      </w:tr>
      <w:tr>
        <w:trPr>
          <w:trHeight w:val="270"/>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Europe</w:t>
            </w: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9"/>
              </w:rPr>
              <w:t>11</w:t>
            </w:r>
          </w:p>
        </w:tc>
        <w:tc>
          <w:tcPr>
            <w:tcW w:w="180" w:type="dxa"/>
            <w:vAlign w:val="bottom"/>
            <w:shd w:val="clear" w:color="auto" w:fill="CCEEFF"/>
          </w:tcPr>
          <w:p>
            <w:pPr>
              <w:spacing w:after="0"/>
              <w:rPr>
                <w:sz w:val="23"/>
                <w:szCs w:val="23"/>
                <w:color w:val="auto"/>
              </w:rPr>
            </w:pPr>
          </w:p>
        </w:tc>
        <w:tc>
          <w:tcPr>
            <w:tcW w:w="1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23%</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34</w:t>
            </w:r>
          </w:p>
        </w:tc>
        <w:tc>
          <w:tcPr>
            <w:tcW w:w="18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100%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Amounts available to be borrowed under our repurchase agreements are dependent upon lender collateral requirements and the lender's determination of the fair value of the securities pledged as collateral, which fluctuates with changes in interest rates, credit quality and liquidity conditions within the investment banking, mortgage finance and real estate industries. In addition, our counterparties apply a "haircut" to our pledged collateral, which means our collateral is valued at slightly less than market value. This haircut reflects the underlying risk of the specific collateral and protects our counterparty against a change in its value, but conversely subjects us to counterparty risk and limits the amount we can borrow against our investment securities. Our master repurchase agreements do not specify the haircut; rather haircuts are determined on an individual repurchase transaction basis. Throughout the three months ended March 31, 2014, haircuts on our pledged collateral remained stable and as of March 31, 2014, our weighted average haircut was approximately 5% of the value of our collateral.</w:t>
      </w:r>
    </w:p>
    <w:p>
      <w:pPr>
        <w:spacing w:after="0" w:line="138"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Under our repurchase agreements, we may be required to pledge additional assets to the repurchase agreement counterparties in the event the estimated fair value of the existing pledged collateral under such agreements declines and such counterparties demand additional collateral (a "margin call"), which may take the form of additional securities or cash. Specifically, margin calls would result from a decline in the value of our agency securities securing our repurchase agreements and prepayments on the mortgages securing such agency securities. Similarly, if the estimated fair value of our investment securities increases due to changes in interest rates or other factors, counterparties may release collateral back to us. Our repurchase agreements generally provide that the valuations for the agency MBS securing our repurchase agreements are to be obtained from a generally recognized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746" w:right="239" w:bottom="1440" w:gutter="0" w:footer="0" w:header="0"/>
        </w:sectPr>
      </w:pPr>
    </w:p>
    <w:bookmarkStart w:id="44" w:name="page45"/>
    <w:bookmarkEnd w:id="44"/>
    <w:p>
      <w:pPr>
        <w:jc w:val="both"/>
        <w:spacing w:after="0" w:line="279" w:lineRule="auto"/>
        <w:rPr>
          <w:sz w:val="20"/>
          <w:szCs w:val="20"/>
          <w:color w:val="auto"/>
        </w:rPr>
      </w:pPr>
      <w:r>
        <w:rPr>
          <w:rFonts w:ascii="Arial" w:cs="Arial" w:eastAsia="Arial" w:hAnsi="Arial"/>
          <w:sz w:val="17"/>
          <w:szCs w:val="17"/>
          <w:color w:val="auto"/>
        </w:rPr>
        <w:t>source agreed to by the parties. However, in certain circumstances under certain of our repurchase agreements our lenders have the sole discretion to determine the value of the agency MBS securing our repurchase agreements. In such instances, our lenders are required to act in good faith in making determinations of value. Our repurchase agreements generally provide that in the event of a margin call, we must provide additional securities or cash on the same business day that a margin call is made if the lender provides us notice prior to the margin notice deadline on such day.</w:t>
      </w:r>
    </w:p>
    <w:p>
      <w:pPr>
        <w:spacing w:after="0" w:line="11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March 31, 2014, we had met all of our margin requirements and we had unrestricted cash and cash equivalents of $1.7 billion and unpledged securities of approximately $2.1 billion, including securities pledged to us, available to meet margin calls on our repurchase agreements and derivative instruments and for other corporate purposes.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Although we believe we will have adequate sources of liquidity available to us through repurchase agreement financing to execute our business strategy, there can be no assurances that repurchase agreement financing will be available to us upon the maturity of our current repurchase agreements to allow us to renew or replace our repurchase agreement financing on favorable terms or at all. If our repurchase agreement lenders default on their obligations to resell the underlying collateral back to us at the end of the term, we could incur a loss equal to the difference between the value of the collateral and the cash we originally received.</w:t>
      </w:r>
    </w:p>
    <w:p>
      <w:pPr>
        <w:spacing w:after="0" w:line="13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To help manage the adverse impact of interest rate changes on the value of our investment portfolio as well as our cash flows, we utilize an interest rate risk management strategy under which we use derivative financial instruments. In particular, we attempt to mitigate the risk of the cost of our variable rate liabilities increasing at a faster rate than the earnings of our long-term fixed rate assets during a period of rising interest rates. The principal derivative instruments that we use are interest rate swaps, supplemented with the use of interest rate swaptions, TBA securities, U.S. Treasury securities, U.S. Treasury futures contracts and other instruments. Please refer to Notes 3 and 6 to our consolidated financial statements in this Form 10-Q for further details regarding our use of derivative instruments.</w:t>
      </w:r>
    </w:p>
    <w:p>
      <w:pPr>
        <w:spacing w:after="0" w:line="13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Our derivative agreements typically require that we pledge/receive collateral on such agreements to/from our counterparties in a similar manner as we are required to under our repurchase agreements. Our counterparties, or the clearing agency in the case of centrally cleared interest rate swaps, typically have the sole discretion to determine the value of the derivative instruments and the value of the collateral securing such instruments. In the event of a margin call, we must generally provide additional collateral on the same business day.</w:t>
      </w:r>
    </w:p>
    <w:p>
      <w:pPr>
        <w:spacing w:after="0" w:line="133" w:lineRule="exact"/>
        <w:rPr>
          <w:sz w:val="20"/>
          <w:szCs w:val="20"/>
          <w:color w:val="auto"/>
        </w:rPr>
      </w:pPr>
    </w:p>
    <w:p>
      <w:pPr>
        <w:jc w:val="both"/>
        <w:ind w:right="20" w:firstLine="432"/>
        <w:spacing w:after="0" w:line="286" w:lineRule="auto"/>
        <w:rPr>
          <w:sz w:val="20"/>
          <w:szCs w:val="20"/>
          <w:color w:val="auto"/>
        </w:rPr>
      </w:pPr>
      <w:r>
        <w:rPr>
          <w:rFonts w:ascii="Arial" w:cs="Arial" w:eastAsia="Arial" w:hAnsi="Arial"/>
          <w:sz w:val="17"/>
          <w:szCs w:val="17"/>
          <w:color w:val="auto"/>
        </w:rPr>
        <w:t>Similar to repurchase agreements, our use of derivatives exposes us to counterparty credit risk relating to potential losses that could be recognized in the event that the counterparties to these instruments fail to perform their obligations under the contracts. We minimize this risk by limiting our counterparties to major financial institutions with acceptable credit ratings and by monitoring positions with individual counterparties.</w:t>
      </w:r>
    </w:p>
    <w:p>
      <w:pPr>
        <w:spacing w:after="0" w:line="11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Excluding centrally cleared interest rate swaps, as of March 31, 2014, our amount at risk with any counterparty related to our interest rate swap and swaption agreements was less than 1% of our stockholders' equity.</w:t>
      </w:r>
    </w:p>
    <w:p>
      <w:pPr>
        <w:spacing w:after="0" w:line="116"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 the case of centrally cleared interest rate swap contracts, we could be exposed to credit risk if the central clearing agency or a clearing member defaults on its respective obligation to perform under the contract. However, we believe that the risk is minimal due to the exchange's initial and daily mark to market margin requirements and a clearinghouse guarantee fund and other resources that are available in the event of a clearing member default.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TBA Dollar Roll Transactions</w:t>
      </w:r>
    </w:p>
    <w:p>
      <w:pPr>
        <w:spacing w:after="0" w:line="17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We may also enter into TBA dollar roll transactions as a means of leveraging (long TBAs) or deleveraging (short TBAs) our investment portfolio. TBA dollar roll transactions represent a form of off-balance sheet financing and are accounted for as derivative instruments in our accompanying consolidated financial statements in this Form 10-Q. Inclusive of our net TBA position, as of March 31, 2014, our total "at risk" leverage was 7.6 times our stockholders' equity.</w:t>
      </w:r>
    </w:p>
    <w:p>
      <w:pPr>
        <w:spacing w:after="0" w:line="1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Under certain market conditions, it may be uneconomical for us to roll our TBA contracts into future months and we may need to take or make physical delivery of the underlying securities. If we were required to take physical delivery to settle a long TBA contract, we would have to fund our total purchase commitment with cash or other financing sources and our liquidity position could be negatively impacted. As of March 31, 2014, we had a net long TBA position with a market value and a total contract price of $14.1 billion and a total carrying value of $(25) million recognized in derivative assets/(liabilities), at fair value on our consolidated balance sheets in this Form 10-Q.</w:t>
      </w:r>
    </w:p>
    <w:p>
      <w:pPr>
        <w:spacing w:after="0" w:line="18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TBA dollar roll contracts are also subject to margin requirements governed by the Mortgage-Backed Securities Division ("MBSD") of the Fixed Income Clearing Corporation and by our prime brokerage agreements, which may establish margin levels in excess of the MBSD. Such provisions require that we establish an initial margin based on the notional value of the TBA contract, which is subject to increase if the estimated fair value of our TBA contract or the estimated fair value of our pledged collateral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746"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declines. The MBSD has the sole discretion to determine the value of our TBA contracts and of the pledged collateral securing such contracts. In the event of a margin call, we must generally provide additional collateral on the same business day.</w:t>
      </w:r>
    </w:p>
    <w:p>
      <w:pPr>
        <w:spacing w:after="0" w:line="17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Settlement of our TBA obligations by taking delivery of the underlying securities as well as satisfying margin requirements could negatively impact our liquidity position. However, since we do not use TBA dollar roll transactions as our primary source of financing, we believe that we will have adequate sources of liquidity to meet such obligations.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Sales and TBA Eligible Securities</w:t>
      </w:r>
    </w:p>
    <w:p>
      <w:pPr>
        <w:spacing w:after="0" w:line="17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maintain a portfolio of highly liquid agency MBS securities. We may sell our agency MBS securities through the TBA market by delivering securities into TBA contracts for the sale of agency securities, subject to "good delivery" provisions promulgated by the Securities Industry and Financial Markets Association ("SIFMA"). We may alternatively sell agency MBS securities that have more unique attributes on a specified basis when such securities trade at a premium over generic TBA securities or if the securities are not otherwise eligible for TBA delivery. Since the TBA market is the second most liquid market (second to the U.S. Treasury market), maintaining a significant level of agency MBS securities eligible for TBA delivery enhances our liquidity profile and provides price support for our TBA eligible securities in a rising interest rate scenario at or above generic TBA prices. As of March 31, 2014, approximately 94% of our fixed rate agency MBS portfolio was eligible for TBA delivery.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of March 31, 2014, we did not maintain any relationships with unconsolidated entities or financial partnerships, such as entities often referred to as structured finance, or special purpose or variable interest entities, established for the purpose of facilitating off-balance sheet arrangements or other contractually narrow or limited purposes. Further, as of March 31, 2014, we had not guaranteed any obligations of unconsolidated entities or entered into any commitment or intent to provide funding to any such entities.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This document contains "forward-looking statements" (within the meaning of the Private Securities Litigation Reform Act of 1995) that inherently involve risks and uncertainties. Our actual results and liquidity can differ materially from those anticipated in these forward-looking statements because of changes in the level and composition of our investments and other factors. These factors may include, but are not limited to, changes in general economic conditions, the availability of suitable investments from both an investment return and regulatory perspective, the availability of new investment capital, fluctuations in interest rates and levels of mortgage prepayments, deterioration in credit quality and ratings, the effectiveness of risk management strategies, the impact of leverage, liquidity of secondary markets and credit markets, increases in costs and other general competitive factors.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7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Market risk is the exposure to loss resulting from changes in market factors such as interest rates, foreign currency exchange rates, commodity prices and equity prices. The primary market risks that we are exposed to are interest rate risk, prepayment risk, spread risk, liquidity risk, extension risk and counterparty credit risk.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Interest rate risk is highly sensitive to many factors, including governmental monetary and tax policies, domestic and international economic and political considerations and other factors beyond our control.</w:t>
      </w:r>
    </w:p>
    <w:p>
      <w:pPr>
        <w:spacing w:after="0" w:line="116"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Changes in the general level of interest rates can affect our net interest income, which is the difference between the interest income earned on interest-earning assets and the interest expense incurred in connection with our interest-bearing liabilities, by affecting the spread between our interest-earning assets and interest-bearing liabilities. Changes in the level of interest rates can also affect the rate of prepayments of our securities and the value of the agency securities that constitute our investment portfolio, which affects our net income and ability to realize gains from the sale of these assets and impacts our ability and the amount that we can borrow against these securities.</w:t>
      </w:r>
    </w:p>
    <w:p>
      <w:pPr>
        <w:spacing w:after="0" w:line="13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We may utilize a variety of financial instruments in order to limit the effects of changes in interest rates on our operations. The principal instruments that we use are interest rate swaps and options to enter into interest rate swaps. We also utilize forward contracts for the purchase or sale of agency MBS securities on a generic pool basis, or a TBA contract, and on a non-generic, specified pool basis, and we utilize U.S. Treasury securities and U.S. Treasury futures contracts, primarily through short sales. We may also purchase or write put or call options on TBA securities and we may invest in other types of mortgage derivatives,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46" w:name="page47"/>
    <w:bookmarkEnd w:id="46"/>
    <w:p>
      <w:pPr>
        <w:jc w:val="both"/>
        <w:spacing w:after="0" w:line="342" w:lineRule="auto"/>
        <w:rPr>
          <w:sz w:val="20"/>
          <w:szCs w:val="20"/>
          <w:color w:val="auto"/>
        </w:rPr>
      </w:pPr>
      <w:r>
        <w:rPr>
          <w:rFonts w:ascii="Arial" w:cs="Arial" w:eastAsia="Arial" w:hAnsi="Arial"/>
          <w:sz w:val="16"/>
          <w:szCs w:val="16"/>
          <w:color w:val="auto"/>
        </w:rPr>
        <w:t>such as interest and principal-only securities. Derivative instruments may expose us to certain risks, including the risk that losses on a hedge position will reduce the funds available for payments to holders of our common stock and that the losses may exceed the amount we invested in the instruments.</w:t>
      </w:r>
    </w:p>
    <w:p>
      <w:pPr>
        <w:spacing w:after="0" w:line="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Our profitability and the value of our investment portfolio (including derivatives used for hedging purposes) may be adversely affected during any period as a result of changing interest rates including changes in the forward yield curve.</w:t>
      </w:r>
    </w:p>
    <w:p>
      <w:pPr>
        <w:spacing w:after="0" w:line="11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Primary measures of an instrument's price sensitivity to interest rate fluctuations are its duration and convexity. The duration of our investment portfolio changes with interest rates and tends to increase when rates rise and decrease when rates fall. This "negative convexity" generally increases the interest rate exposure of our investment portfolio in excess of what is measured by duration alone.</w:t>
      </w:r>
    </w:p>
    <w:p>
      <w:pPr>
        <w:spacing w:after="0" w:line="12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estimate the duration and convexity of our portfolio using both a third-party risk management system and market data. We review the duration estimates from the third-party model and may make adjustments based on our Manager's judgment. These adjustments are intended to, in our Manager's opinion, better reflect the unique characteristics and market trading conventions associated with certain types of securities.</w:t>
      </w:r>
    </w:p>
    <w:p>
      <w:pPr>
        <w:spacing w:after="0" w:line="12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Further, since we do not control the other agency mortgage REITs in which we invest in, we have limited transparency into their underlying investment and hedge portfolios. Therefore, our Manager must make certain assumptions to estimate the duration and convexity of the underlying portfolios and their sensitivity to changes in interest rates. Such estimates do not include the potential impact of other factors which may affect the fair value of our investments in other REITs, such as stock market volatility. Accordingly, actual results could differ from our estimates.</w:t>
      </w:r>
    </w:p>
    <w:p>
      <w:pPr>
        <w:spacing w:after="0" w:line="11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table below quantifies the estimated changes in net interest income (including periodic interest costs on our interest rate swaps) and the estimated changes in the fair value of our investment portfolio (including derivatives and other securities used for hedging purposes) and in our net asset value as of March 31, 2014 and December 31, 2013 should interest rates go up or down by 50 and 100 basis points, assuming instantaneous parallel shifts in the yield curve and including the impact of both duration and convexity.</w:t>
      </w:r>
    </w:p>
    <w:p>
      <w:pPr>
        <w:spacing w:after="0" w:line="13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All changes in income and value in the table below are measured as percentage changes from the projected net interest income, investment portfolio value and net asset value at the base interest rate scenario. The base interest rate scenario assumes interest rates and prepayment projections as of March 31, 2014 and December 31, 2013. We apply a floor of 0% for the down rate scenarios on our interest bearing liabilities and the variable leg of our interest rate swaps, such that any hypothetical interest rate decrease would have a limited positive impact on our funding costs beyond a certain level.</w:t>
      </w:r>
    </w:p>
    <w:p>
      <w:pPr>
        <w:spacing w:after="0" w:line="10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Actual results could differ materially from estimates, especially in the current market environment. To the extent that these estimates or other assumptions do not hold true, which is likely in a period of high price volatility, actual results will likely differ materially from projections and could be larger or smaller than the estimates in the table below. Moreover, if different models were employed in the analysis, materially different projections could result. Lastly, while the table below reflects the estimated impact of interest rate increases and decreases on a static portfolio, we may from time to time sell any of our agency securities as a part of our overall management of our investment portfolio.</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xml:space="preserve">Interest Rate Sensitivity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23495</wp:posOffset>
            </wp:positionV>
            <wp:extent cx="4073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73525" cy="8890"/>
                    </a:xfrm>
                    <a:prstGeom prst="rect">
                      <a:avLst/>
                    </a:prstGeom>
                    <a:noFill/>
                  </pic:spPr>
                </pic:pic>
              </a:graphicData>
            </a:graphic>
          </wp:anchor>
        </w:drawing>
      </w:r>
    </w:p>
    <w:p>
      <w:pPr>
        <w:spacing w:after="0" w:line="103" w:lineRule="exact"/>
        <w:rPr>
          <w:sz w:val="20"/>
          <w:szCs w:val="20"/>
          <w:color w:val="auto"/>
        </w:rPr>
      </w:pPr>
    </w:p>
    <w:tbl>
      <w:tblPr>
        <w:tblLayout w:type="fixed"/>
        <w:tblInd w:w="2500" w:type="dxa"/>
        <w:tblCellMar>
          <w:top w:w="0" w:type="dxa"/>
          <w:left w:w="0" w:type="dxa"/>
          <w:bottom w:w="0" w:type="dxa"/>
          <w:right w:w="0" w:type="dxa"/>
        </w:tblCellMar>
      </w:tblPr>
      <w:tr>
        <w:trPr>
          <w:trHeight w:val="192"/>
        </w:trPr>
        <w:tc>
          <w:tcPr>
            <w:tcW w:w="2300" w:type="dxa"/>
            <w:vAlign w:val="bottom"/>
          </w:tcPr>
          <w:p>
            <w:pPr>
              <w:spacing w:after="0"/>
              <w:rPr>
                <w:sz w:val="16"/>
                <w:szCs w:val="16"/>
                <w:color w:val="auto"/>
              </w:rPr>
            </w:pPr>
          </w:p>
        </w:tc>
        <w:tc>
          <w:tcPr>
            <w:tcW w:w="412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89"/>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 in Interest Rate</w:t>
            </w:r>
          </w:p>
        </w:tc>
        <w:tc>
          <w:tcPr>
            <w:tcW w:w="1500" w:type="dxa"/>
            <w:vAlign w:val="bottom"/>
          </w:tcPr>
          <w:p>
            <w:pPr>
              <w:ind w:left="160"/>
              <w:spacing w:after="0"/>
              <w:rPr>
                <w:sz w:val="20"/>
                <w:szCs w:val="20"/>
                <w:color w:val="auto"/>
              </w:rPr>
            </w:pPr>
            <w:r>
              <w:rPr>
                <w:rFonts w:ascii="Arial" w:cs="Arial" w:eastAsia="Arial" w:hAnsi="Arial"/>
                <w:sz w:val="14"/>
                <w:szCs w:val="14"/>
                <w:b w:val="1"/>
                <w:bCs w:val="1"/>
                <w:color w:val="auto"/>
              </w:rPr>
              <w:t>Net Interest Income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Portfolio Market</w:t>
            </w:r>
          </w:p>
        </w:tc>
        <w:tc>
          <w:tcPr>
            <w:tcW w:w="132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5"/>
              </w:rPr>
              <w:t xml:space="preserve">Net Asset Value </w:t>
            </w:r>
            <w:r>
              <w:rPr>
                <w:rFonts w:ascii="Arial" w:cs="Arial" w:eastAsia="Arial" w:hAnsi="Arial"/>
                <w:sz w:val="8"/>
                <w:szCs w:val="8"/>
                <w:b w:val="1"/>
                <w:bCs w:val="1"/>
                <w:color w:val="auto"/>
                <w:w w:val="95"/>
              </w:rPr>
              <w:t>3,5</w:t>
            </w:r>
          </w:p>
        </w:tc>
        <w:tc>
          <w:tcPr>
            <w:tcW w:w="0" w:type="dxa"/>
            <w:vAlign w:val="bottom"/>
          </w:tcPr>
          <w:p>
            <w:pPr>
              <w:spacing w:after="0"/>
              <w:rPr>
                <w:sz w:val="1"/>
                <w:szCs w:val="1"/>
                <w:color w:val="auto"/>
              </w:rPr>
            </w:pPr>
          </w:p>
        </w:tc>
      </w:tr>
      <w:tr>
        <w:trPr>
          <w:trHeight w:val="162"/>
        </w:trPr>
        <w:tc>
          <w:tcPr>
            <w:tcW w:w="2300" w:type="dxa"/>
            <w:vAlign w:val="bottom"/>
            <w:tcBorders>
              <w:bottom w:val="single" w:sz="8" w:color="auto"/>
            </w:tcBorders>
            <w:vMerge w:val="continue"/>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2</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8"/>
                <w:szCs w:val="8"/>
                <w:b w:val="1"/>
                <w:bCs w:val="1"/>
                <w:color w:val="auto"/>
                <w:w w:val="91"/>
              </w:rPr>
              <w:t>3,4</w:t>
            </w:r>
          </w:p>
        </w:tc>
        <w:tc>
          <w:tcPr>
            <w:tcW w:w="1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March 31, 2014</w:t>
            </w:r>
          </w:p>
        </w:tc>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-2.6%</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+0.4%</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+3.2%</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-50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4"/>
              </w:rPr>
              <w:t>+3.2%</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+3.9%</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+50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-0.7%</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-5.8%</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+100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4"/>
              </w:rPr>
              <w:t>+1.9%</w:t>
            </w:r>
          </w:p>
        </w:tc>
        <w:tc>
          <w:tcPr>
            <w:tcW w:w="1300" w:type="dxa"/>
            <w:vAlign w:val="bottom"/>
          </w:tcPr>
          <w:p>
            <w:pPr>
              <w:jc w:val="center"/>
              <w:spacing w:after="0"/>
              <w:rPr>
                <w:sz w:val="20"/>
                <w:szCs w:val="20"/>
                <w:color w:val="auto"/>
              </w:rPr>
            </w:pPr>
            <w:r>
              <w:rPr>
                <w:rFonts w:ascii="Arial" w:cs="Arial" w:eastAsia="Arial" w:hAnsi="Arial"/>
                <w:sz w:val="14"/>
                <w:szCs w:val="14"/>
                <w:color w:val="auto"/>
                <w:w w:val="98"/>
              </w:rPr>
              <w:t>-1.5%</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-12.2%</w:t>
            </w:r>
          </w:p>
        </w:tc>
        <w:tc>
          <w:tcPr>
            <w:tcW w:w="0" w:type="dxa"/>
            <w:vAlign w:val="bottom"/>
          </w:tcPr>
          <w:p>
            <w:pPr>
              <w:spacing w:after="0"/>
              <w:rPr>
                <w:sz w:val="1"/>
                <w:szCs w:val="1"/>
                <w:color w:val="auto"/>
              </w:rPr>
            </w:pPr>
          </w:p>
        </w:tc>
      </w:tr>
      <w:tr>
        <w:trPr>
          <w:trHeight w:val="330"/>
        </w:trPr>
        <w:tc>
          <w:tcPr>
            <w:tcW w:w="23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15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-100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+1.8%</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+9.0%</w:t>
            </w:r>
          </w:p>
        </w:tc>
        <w:tc>
          <w:tcPr>
            <w:tcW w:w="0" w:type="dxa"/>
            <w:vAlign w:val="bottom"/>
          </w:tcPr>
          <w:p>
            <w:pPr>
              <w:spacing w:after="0"/>
              <w:rPr>
                <w:sz w:val="1"/>
                <w:szCs w:val="1"/>
                <w:color w:val="auto"/>
              </w:rPr>
            </w:pPr>
          </w:p>
        </w:tc>
      </w:tr>
      <w:tr>
        <w:trPr>
          <w:trHeight w:val="264"/>
        </w:trPr>
        <w:tc>
          <w:tcPr>
            <w:tcW w:w="2300" w:type="dxa"/>
            <w:vAlign w:val="bottom"/>
          </w:tcPr>
          <w:p>
            <w:pPr>
              <w:ind w:left="40"/>
              <w:spacing w:after="0"/>
              <w:rPr>
                <w:sz w:val="20"/>
                <w:szCs w:val="20"/>
                <w:color w:val="auto"/>
              </w:rPr>
            </w:pPr>
            <w:r>
              <w:rPr>
                <w:rFonts w:ascii="Arial" w:cs="Arial" w:eastAsia="Arial" w:hAnsi="Arial"/>
                <w:sz w:val="14"/>
                <w:szCs w:val="14"/>
                <w:color w:val="auto"/>
              </w:rPr>
              <w:t>-50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4"/>
              </w:rPr>
              <w:t>+6.8%</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+0.8%</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+6.1%</w:t>
            </w:r>
          </w:p>
        </w:tc>
        <w:tc>
          <w:tcPr>
            <w:tcW w:w="0" w:type="dxa"/>
            <w:vAlign w:val="bottom"/>
          </w:tcPr>
          <w:p>
            <w:pPr>
              <w:spacing w:after="0"/>
              <w:rPr>
                <w:sz w:val="1"/>
                <w:szCs w:val="1"/>
                <w:color w:val="auto"/>
              </w:rPr>
            </w:pPr>
          </w:p>
        </w:tc>
      </w:tr>
      <w:tr>
        <w:trPr>
          <w:trHeight w:val="276"/>
        </w:trPr>
        <w:tc>
          <w:tcPr>
            <w:tcW w:w="2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+50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-3.6%</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-0.8%</w:t>
            </w:r>
          </w:p>
        </w:tc>
        <w:tc>
          <w:tcPr>
            <w:tcW w:w="13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-6.4%</w:t>
            </w:r>
          </w:p>
        </w:tc>
        <w:tc>
          <w:tcPr>
            <w:tcW w:w="0" w:type="dxa"/>
            <w:vAlign w:val="bottom"/>
          </w:tcPr>
          <w:p>
            <w:pPr>
              <w:spacing w:after="0"/>
              <w:rPr>
                <w:sz w:val="1"/>
                <w:szCs w:val="1"/>
                <w:color w:val="auto"/>
              </w:rPr>
            </w:pPr>
          </w:p>
        </w:tc>
      </w:tr>
      <w:tr>
        <w:trPr>
          <w:trHeight w:val="258"/>
        </w:trPr>
        <w:tc>
          <w:tcPr>
            <w:tcW w:w="2300" w:type="dxa"/>
            <w:vAlign w:val="bottom"/>
          </w:tcPr>
          <w:p>
            <w:pPr>
              <w:ind w:left="40"/>
              <w:spacing w:after="0"/>
              <w:rPr>
                <w:sz w:val="20"/>
                <w:szCs w:val="20"/>
                <w:color w:val="auto"/>
              </w:rPr>
            </w:pPr>
            <w:r>
              <w:rPr>
                <w:rFonts w:ascii="Arial" w:cs="Arial" w:eastAsia="Arial" w:hAnsi="Arial"/>
                <w:sz w:val="14"/>
                <w:szCs w:val="14"/>
                <w:color w:val="auto"/>
              </w:rPr>
              <w:t>+100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2"/>
              </w:rPr>
              <w:t>-7.2%</w:t>
            </w:r>
          </w:p>
        </w:tc>
        <w:tc>
          <w:tcPr>
            <w:tcW w:w="1300" w:type="dxa"/>
            <w:vAlign w:val="bottom"/>
          </w:tcPr>
          <w:p>
            <w:pPr>
              <w:jc w:val="center"/>
              <w:spacing w:after="0"/>
              <w:rPr>
                <w:sz w:val="20"/>
                <w:szCs w:val="20"/>
                <w:color w:val="auto"/>
              </w:rPr>
            </w:pPr>
            <w:r>
              <w:rPr>
                <w:rFonts w:ascii="Arial" w:cs="Arial" w:eastAsia="Arial" w:hAnsi="Arial"/>
                <w:sz w:val="14"/>
                <w:szCs w:val="14"/>
                <w:color w:val="auto"/>
                <w:w w:val="98"/>
              </w:rPr>
              <w:t>-1.7%</w:t>
            </w:r>
          </w:p>
        </w:tc>
        <w:tc>
          <w:tcPr>
            <w:tcW w:w="1320" w:type="dxa"/>
            <w:vAlign w:val="bottom"/>
          </w:tcPr>
          <w:p>
            <w:pPr>
              <w:jc w:val="center"/>
              <w:spacing w:after="0"/>
              <w:rPr>
                <w:sz w:val="20"/>
                <w:szCs w:val="20"/>
                <w:color w:val="auto"/>
              </w:rPr>
            </w:pPr>
            <w:r>
              <w:rPr>
                <w:rFonts w:ascii="Arial" w:cs="Arial" w:eastAsia="Arial" w:hAnsi="Arial"/>
                <w:sz w:val="14"/>
                <w:szCs w:val="14"/>
                <w:color w:val="auto"/>
                <w:w w:val="94"/>
              </w:rPr>
              <w:t>-13.1%</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74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________________</w:t>
      </w:r>
    </w:p>
    <w:p>
      <w:pPr>
        <w:spacing w:after="0" w:line="17" w:lineRule="exact"/>
        <w:rPr>
          <w:sz w:val="20"/>
          <w:szCs w:val="20"/>
          <w:color w:val="auto"/>
        </w:rPr>
      </w:pPr>
    </w:p>
    <w:p>
      <w:pPr>
        <w:ind w:left="660" w:hanging="328"/>
        <w:spacing w:after="0" w:line="241" w:lineRule="auto"/>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Interest rate sensitivity is derived from models that are dependent on inputs and assumptions provided by third parties as well as by our Manager, assumes there are no changes in mortgage spreads and assumes a static portfolio. Actual results could differ materially from these estimates.</w:t>
      </w:r>
    </w:p>
    <w:p>
      <w:pPr>
        <w:jc w:val="both"/>
        <w:ind w:left="660" w:hanging="328"/>
        <w:spacing w:after="0" w:line="260" w:lineRule="auto"/>
        <w:tabs>
          <w:tab w:leader="none" w:pos="6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Represents the estimated dollar change in net interest income expressed as a percent of net interest income based on asset yields and cost of funds as of such date. It includes the effect of periodic interest costs on our interest rate swaps, but excludes costs associated with our other supplemental hedges, such as swaptions and U.S. Treasury securities. Also excludes costs associated with our TBA position and TBA dollar roll income/loss. Base case scenario assumes interest rates and forecasted CPR of 8% and 7% as of March 31, 2014 and December 31, 2013, respectively. As of March 31, 2014, rate shock scenarios assume a forecasted CPR of 11%, 9%, 7% and 7% for the -100, -50, +50 and +100 basis points scenarios, respectively. As of December 31, 2013, rate shock scenarios assume a forecasted CPR of 10%, 8%, 7% and 6% for such scenarios, respectively. Estimated dollar change in net interest income does not include the one time impact of retroactive "catch-up" premium amortization benefit/cost due to a decrease/increase in the forecasted CPR and does not include dividend income from investments in other REITs. Down rate scenarios assume a floor of 0% for anticipated interest rates.</w:t>
      </w: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7"/>
        </w:numPr>
        <w:rPr>
          <w:rFonts w:ascii="Arial" w:cs="Arial" w:eastAsia="Arial" w:hAnsi="Arial"/>
          <w:sz w:val="14"/>
          <w:szCs w:val="14"/>
          <w:color w:val="auto"/>
        </w:rPr>
      </w:pPr>
      <w:r>
        <w:rPr>
          <w:rFonts w:ascii="Arial" w:cs="Arial" w:eastAsia="Arial" w:hAnsi="Arial"/>
          <w:sz w:val="14"/>
          <w:szCs w:val="14"/>
          <w:color w:val="auto"/>
        </w:rPr>
        <w:t>Estimated dollar change in portfolio value expressed as a percent of stockholders' equity, net of the Series A Preferred Stock liquidation preference, as of such date.</w:t>
      </w:r>
    </w:p>
    <w:p>
      <w:pPr>
        <w:spacing w:after="0" w:line="1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change in our interest rate sensitivity as of March 31, 2014 compared to December 31, 2013 was a function of a flatter yield curve, partially mitigated by changes in the size and composition of our asset and hedge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 Risk</w:t>
      </w:r>
    </w:p>
    <w:p>
      <w:pPr>
        <w:spacing w:after="0" w:line="171"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Because residential borrowers have the option to prepay their mortgage loans at par at any time, we face the risk that we will experience a return of principal on our investments faster than anticipated. Various factors affect the rate at which mortgage prepayments occur, including changes in the level of and directional trends in housing prices, interest rates, general economic conditions, loan age and size, loan-to-value ratio, the location of the property and social and demographic conditions. Additionally, changes to GSE underwriting practices or other governmental programs could also significantly impact prepayment rates or expectations. Also, the pace at which the loans underlying our securities become seriously delinquent or are modified and the timing of GSE repurchases of such loans from our securities can materially impact the rate of prepayments. Generally, prepayments on agency MBS increase during periods of falling mortgage interest rates and decrease during periods of rising mortgage interest rates. However, this may not always be the case.</w:t>
      </w:r>
    </w:p>
    <w:p>
      <w:pPr>
        <w:spacing w:after="0" w:line="113"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We may reinvest principal repayments at a yield that is lower or higher than the yield on the repaid investment, thus affecting our net interest income by altering the average yield on our assets. We also amortize or accrete premiums and discounts associated with the purchase of agency MBS into interest income over the projected lives of the securities, including contractual payments and estimated prepayments using the interest method. Our policy for estimating prepayment speeds for calculating the effective yield is to evaluate published prepayment data for similar agency securities, market consensus and current market conditions. If the actual prepayment experienced differs from our estimate of prepayments, we will be required to make an adjustment to the amortization or accretion of premiums and discounts that would have an impact on future income.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Spread Risk</w:t>
      </w:r>
    </w:p>
    <w:p>
      <w:pPr>
        <w:spacing w:after="0" w:line="239"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When the market spread widens between the yield on our agency securities and benchmark interest rates, our net book value could decline if the value of our agency securities fall by more than the offsetting fair value increases on our hedging instruments tied to the underlying benchmark interest rates. We refer to this as "spread risk" or "basis risk." The spread risk associated with our mortgage assets and the resulting fluctuations in fair value of these securities can occur independent of changes in benchmark interest rates and may relate to other factors impacting the mortgage and fixed income markets, such as actual or anticipated monetary policy actions by the Federal Reserve, market liquidity, or changes in required rates of return on different assets. Consequently, while we use interest rate swaps and other supplemental hedges to attempt to protect against moves in interest rates, such instruments typically will not protect our net book value against spread risk.</w:t>
      </w:r>
    </w:p>
    <w:p>
      <w:pPr>
        <w:spacing w:after="0" w:line="12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 table below quantifies the estimated changes in the fair value of our investment portfolio (including derivatives and other securities used for hedging purposes) and in our net asset value as of March 31, 2014 and December 31, 2013 should spreads between our mortgage assets and benchmark interest rates go up or down by 10 and 25 basis points. These estimated impacts of spread changes are in addition to our sensitivity to interest rate shocks included in the interest rate shock table above. The table below assumes a spread duration of 5.0 years and 5.5 years based on interest rates and MBS prices as of March 31, 2014 and December 31, 2013, respectively. However, our portfolio's sensitivity of mortgage spread changes will vary with changes in interest rates and will generally increase as interest rates rise and prepayments slow. Additionally, we have limited transparency into the underlying investment and hedge portfolios of the other agency mortgage REITs in which we invest. Therefore, actual results could differ materially from our estimates.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t xml:space="preserve">Spread Sensitivity of Agency MBS Portfolio </w:t>
      </w:r>
      <w:r>
        <w:rPr>
          <w:rFonts w:ascii="Arial" w:cs="Arial" w:eastAsia="Arial" w:hAnsi="Arial"/>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23495</wp:posOffset>
            </wp:positionV>
            <wp:extent cx="38163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16350" cy="8890"/>
                    </a:xfrm>
                    <a:prstGeom prst="rect">
                      <a:avLst/>
                    </a:prstGeom>
                    <a:noFill/>
                  </pic:spPr>
                </pic:pic>
              </a:graphicData>
            </a:graphic>
          </wp:anchor>
        </w:drawing>
      </w:r>
    </w:p>
    <w:p>
      <w:pPr>
        <w:spacing w:after="0" w:line="103" w:lineRule="exact"/>
        <w:rPr>
          <w:sz w:val="20"/>
          <w:szCs w:val="20"/>
          <w:color w:val="auto"/>
        </w:rPr>
      </w:pPr>
    </w:p>
    <w:tbl>
      <w:tblPr>
        <w:tblLayout w:type="fixed"/>
        <w:tblInd w:w="2700" w:type="dxa"/>
        <w:tblCellMar>
          <w:top w:w="0" w:type="dxa"/>
          <w:left w:w="0" w:type="dxa"/>
          <w:bottom w:w="0" w:type="dxa"/>
          <w:right w:w="0" w:type="dxa"/>
        </w:tblCellMar>
      </w:tblPr>
      <w:tr>
        <w:trPr>
          <w:trHeight w:val="192"/>
        </w:trPr>
        <w:tc>
          <w:tcPr>
            <w:tcW w:w="3020" w:type="dxa"/>
            <w:vAlign w:val="bottom"/>
          </w:tcPr>
          <w:p>
            <w:pPr>
              <w:spacing w:after="0"/>
              <w:rPr>
                <w:sz w:val="16"/>
                <w:szCs w:val="16"/>
                <w:color w:val="auto"/>
              </w:rPr>
            </w:pPr>
          </w:p>
        </w:tc>
        <w:tc>
          <w:tcPr>
            <w:tcW w:w="300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Percentage Change in Projected</w:t>
            </w:r>
          </w:p>
        </w:tc>
        <w:tc>
          <w:tcPr>
            <w:tcW w:w="0" w:type="dxa"/>
            <w:vAlign w:val="bottom"/>
          </w:tcPr>
          <w:p>
            <w:pPr>
              <w:spacing w:after="0"/>
              <w:rPr>
                <w:sz w:val="1"/>
                <w:szCs w:val="1"/>
                <w:color w:val="auto"/>
              </w:rPr>
            </w:pPr>
          </w:p>
        </w:tc>
      </w:tr>
      <w:tr>
        <w:trPr>
          <w:trHeight w:val="152"/>
        </w:trPr>
        <w:tc>
          <w:tcPr>
            <w:tcW w:w="3020" w:type="dxa"/>
            <w:vAlign w:val="bottom"/>
          </w:tcPr>
          <w:p>
            <w:pPr>
              <w:spacing w:after="0"/>
              <w:rPr>
                <w:sz w:val="13"/>
                <w:szCs w:val="13"/>
                <w:color w:val="auto"/>
              </w:rPr>
            </w:pPr>
          </w:p>
        </w:tc>
        <w:tc>
          <w:tcPr>
            <w:tcW w:w="15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Portfolio</w:t>
            </w:r>
          </w:p>
        </w:tc>
        <w:tc>
          <w:tcPr>
            <w:tcW w:w="150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89"/>
              </w:rPr>
              <w:t>Net Asset</w:t>
            </w:r>
          </w:p>
        </w:tc>
        <w:tc>
          <w:tcPr>
            <w:tcW w:w="0" w:type="dxa"/>
            <w:vAlign w:val="bottom"/>
          </w:tcPr>
          <w:p>
            <w:pPr>
              <w:spacing w:after="0"/>
              <w:rPr>
                <w:sz w:val="1"/>
                <w:szCs w:val="1"/>
                <w:color w:val="auto"/>
              </w:rPr>
            </w:pPr>
          </w:p>
        </w:tc>
      </w:tr>
      <w:tr>
        <w:trPr>
          <w:trHeight w:val="149"/>
        </w:trPr>
        <w:tc>
          <w:tcPr>
            <w:tcW w:w="3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 in MBS Spread</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w:t>
            </w: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02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2,3</w:t>
            </w:r>
          </w:p>
        </w:tc>
        <w:tc>
          <w:tcPr>
            <w:tcW w:w="150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5"/>
              </w:rPr>
              <w:t xml:space="preserve">Value </w:t>
            </w:r>
            <w:r>
              <w:rPr>
                <w:rFonts w:ascii="Arial" w:cs="Arial" w:eastAsia="Arial" w:hAnsi="Arial"/>
                <w:sz w:val="8"/>
                <w:szCs w:val="8"/>
                <w:b w:val="1"/>
                <w:bCs w:val="1"/>
                <w:color w:val="auto"/>
                <w:w w:val="95"/>
              </w:rPr>
              <w:t>2,4</w:t>
            </w:r>
          </w:p>
        </w:tc>
        <w:tc>
          <w:tcPr>
            <w:tcW w:w="0" w:type="dxa"/>
            <w:vAlign w:val="bottom"/>
          </w:tcPr>
          <w:p>
            <w:pPr>
              <w:spacing w:after="0"/>
              <w:rPr>
                <w:sz w:val="1"/>
                <w:szCs w:val="1"/>
                <w:color w:val="auto"/>
              </w:rPr>
            </w:pPr>
          </w:p>
        </w:tc>
      </w:tr>
      <w:tr>
        <w:trPr>
          <w:trHeight w:val="264"/>
        </w:trPr>
        <w:tc>
          <w:tcPr>
            <w:tcW w:w="3020" w:type="dxa"/>
            <w:vAlign w:val="bottom"/>
          </w:tcPr>
          <w:p>
            <w:pPr>
              <w:ind w:left="40"/>
              <w:spacing w:after="0"/>
              <w:rPr>
                <w:sz w:val="20"/>
                <w:szCs w:val="20"/>
                <w:color w:val="auto"/>
              </w:rPr>
            </w:pPr>
            <w:r>
              <w:rPr>
                <w:rFonts w:ascii="Arial" w:cs="Arial" w:eastAsia="Arial" w:hAnsi="Arial"/>
                <w:sz w:val="14"/>
                <w:szCs w:val="14"/>
                <w:b w:val="1"/>
                <w:bCs w:val="1"/>
                <w:color w:val="auto"/>
              </w:rPr>
              <w:t>As of March 31, 2014</w:t>
            </w:r>
          </w:p>
        </w:tc>
        <w:tc>
          <w:tcPr>
            <w:tcW w:w="1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+10.2%</w:t>
            </w:r>
          </w:p>
        </w:tc>
        <w:tc>
          <w:tcPr>
            <w:tcW w:w="0" w:type="dxa"/>
            <w:vAlign w:val="bottom"/>
          </w:tcPr>
          <w:p>
            <w:pPr>
              <w:spacing w:after="0"/>
              <w:rPr>
                <w:sz w:val="1"/>
                <w:szCs w:val="1"/>
                <w:color w:val="auto"/>
              </w:rPr>
            </w:pPr>
          </w:p>
        </w:tc>
      </w:tr>
      <w:tr>
        <w:trPr>
          <w:trHeight w:val="264"/>
        </w:trPr>
        <w:tc>
          <w:tcPr>
            <w:tcW w:w="3020" w:type="dxa"/>
            <w:vAlign w:val="bottom"/>
          </w:tcPr>
          <w:p>
            <w:pPr>
              <w:ind w:left="40"/>
              <w:spacing w:after="0"/>
              <w:rPr>
                <w:sz w:val="20"/>
                <w:szCs w:val="20"/>
                <w:color w:val="auto"/>
              </w:rPr>
            </w:pPr>
            <w:r>
              <w:rPr>
                <w:rFonts w:ascii="Arial" w:cs="Arial" w:eastAsia="Arial" w:hAnsi="Arial"/>
                <w:sz w:val="14"/>
                <w:szCs w:val="14"/>
                <w:color w:val="auto"/>
              </w:rPr>
              <w:t>-10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1500" w:type="dxa"/>
            <w:vAlign w:val="bottom"/>
          </w:tcPr>
          <w:p>
            <w:pPr>
              <w:jc w:val="center"/>
              <w:ind w:left="8"/>
              <w:spacing w:after="0"/>
              <w:rPr>
                <w:sz w:val="20"/>
                <w:szCs w:val="20"/>
                <w:color w:val="auto"/>
              </w:rPr>
            </w:pPr>
            <w:r>
              <w:rPr>
                <w:rFonts w:ascii="Arial" w:cs="Arial" w:eastAsia="Arial" w:hAnsi="Arial"/>
                <w:sz w:val="14"/>
                <w:szCs w:val="14"/>
                <w:color w:val="auto"/>
                <w:w w:val="94"/>
              </w:rPr>
              <w:t>+4.1%</w:t>
            </w:r>
          </w:p>
        </w:tc>
        <w:tc>
          <w:tcPr>
            <w:tcW w:w="0" w:type="dxa"/>
            <w:vAlign w:val="bottom"/>
          </w:tcPr>
          <w:p>
            <w:pPr>
              <w:spacing w:after="0"/>
              <w:rPr>
                <w:sz w:val="1"/>
                <w:szCs w:val="1"/>
                <w:color w:val="auto"/>
              </w:rPr>
            </w:pPr>
          </w:p>
        </w:tc>
      </w:tr>
      <w:tr>
        <w:trPr>
          <w:trHeight w:val="276"/>
        </w:trPr>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-4.1%</w:t>
            </w:r>
          </w:p>
        </w:tc>
        <w:tc>
          <w:tcPr>
            <w:tcW w:w="0" w:type="dxa"/>
            <w:vAlign w:val="bottom"/>
          </w:tcPr>
          <w:p>
            <w:pPr>
              <w:spacing w:after="0"/>
              <w:rPr>
                <w:sz w:val="1"/>
                <w:szCs w:val="1"/>
                <w:color w:val="auto"/>
              </w:rPr>
            </w:pPr>
          </w:p>
        </w:tc>
      </w:tr>
      <w:tr>
        <w:trPr>
          <w:trHeight w:val="264"/>
        </w:trPr>
        <w:tc>
          <w:tcPr>
            <w:tcW w:w="3020" w:type="dxa"/>
            <w:vAlign w:val="bottom"/>
          </w:tcPr>
          <w:p>
            <w:pPr>
              <w:ind w:left="40"/>
              <w:spacing w:after="0"/>
              <w:rPr>
                <w:sz w:val="20"/>
                <w:szCs w:val="20"/>
                <w:color w:val="auto"/>
              </w:rPr>
            </w:pPr>
            <w:r>
              <w:rPr>
                <w:rFonts w:ascii="Arial" w:cs="Arial" w:eastAsia="Arial" w:hAnsi="Arial"/>
                <w:sz w:val="14"/>
                <w:szCs w:val="14"/>
                <w:color w:val="auto"/>
              </w:rPr>
              <w:t>+25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8"/>
              </w:rPr>
              <w:t>-1.3%</w:t>
            </w:r>
          </w:p>
        </w:tc>
        <w:tc>
          <w:tcPr>
            <w:tcW w:w="1500" w:type="dxa"/>
            <w:vAlign w:val="bottom"/>
          </w:tcPr>
          <w:p>
            <w:pPr>
              <w:jc w:val="center"/>
              <w:ind w:left="8"/>
              <w:spacing w:after="0"/>
              <w:rPr>
                <w:sz w:val="20"/>
                <w:szCs w:val="20"/>
                <w:color w:val="auto"/>
              </w:rPr>
            </w:pPr>
            <w:r>
              <w:rPr>
                <w:rFonts w:ascii="Arial" w:cs="Arial" w:eastAsia="Arial" w:hAnsi="Arial"/>
                <w:sz w:val="14"/>
                <w:szCs w:val="14"/>
                <w:color w:val="auto"/>
                <w:w w:val="94"/>
              </w:rPr>
              <w:t>-10.2%</w:t>
            </w:r>
          </w:p>
        </w:tc>
        <w:tc>
          <w:tcPr>
            <w:tcW w:w="0" w:type="dxa"/>
            <w:vAlign w:val="bottom"/>
          </w:tcPr>
          <w:p>
            <w:pPr>
              <w:spacing w:after="0"/>
              <w:rPr>
                <w:sz w:val="1"/>
                <w:szCs w:val="1"/>
                <w:color w:val="auto"/>
              </w:rPr>
            </w:pPr>
          </w:p>
        </w:tc>
      </w:tr>
      <w:tr>
        <w:trPr>
          <w:trHeight w:val="330"/>
        </w:trPr>
        <w:tc>
          <w:tcPr>
            <w:tcW w:w="30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02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2013</w:t>
            </w:r>
          </w:p>
        </w:tc>
        <w:tc>
          <w:tcPr>
            <w:tcW w:w="15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-25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+1.3%</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+10.1%</w:t>
            </w:r>
          </w:p>
        </w:tc>
        <w:tc>
          <w:tcPr>
            <w:tcW w:w="0" w:type="dxa"/>
            <w:vAlign w:val="bottom"/>
          </w:tcPr>
          <w:p>
            <w:pPr>
              <w:spacing w:after="0"/>
              <w:rPr>
                <w:sz w:val="1"/>
                <w:szCs w:val="1"/>
                <w:color w:val="auto"/>
              </w:rPr>
            </w:pPr>
          </w:p>
        </w:tc>
      </w:tr>
      <w:tr>
        <w:trPr>
          <w:trHeight w:val="264"/>
        </w:trPr>
        <w:tc>
          <w:tcPr>
            <w:tcW w:w="3020" w:type="dxa"/>
            <w:vAlign w:val="bottom"/>
          </w:tcPr>
          <w:p>
            <w:pPr>
              <w:ind w:left="40"/>
              <w:spacing w:after="0"/>
              <w:rPr>
                <w:sz w:val="20"/>
                <w:szCs w:val="20"/>
                <w:color w:val="auto"/>
              </w:rPr>
            </w:pPr>
            <w:r>
              <w:rPr>
                <w:rFonts w:ascii="Arial" w:cs="Arial" w:eastAsia="Arial" w:hAnsi="Arial"/>
                <w:sz w:val="14"/>
                <w:szCs w:val="14"/>
                <w:color w:val="auto"/>
              </w:rPr>
              <w:t>-10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4"/>
              </w:rPr>
              <w:t>+0.5%</w:t>
            </w:r>
          </w:p>
        </w:tc>
        <w:tc>
          <w:tcPr>
            <w:tcW w:w="1500" w:type="dxa"/>
            <w:vAlign w:val="bottom"/>
          </w:tcPr>
          <w:p>
            <w:pPr>
              <w:jc w:val="center"/>
              <w:ind w:left="8"/>
              <w:spacing w:after="0"/>
              <w:rPr>
                <w:sz w:val="20"/>
                <w:szCs w:val="20"/>
                <w:color w:val="auto"/>
              </w:rPr>
            </w:pPr>
            <w:r>
              <w:rPr>
                <w:rFonts w:ascii="Arial" w:cs="Arial" w:eastAsia="Arial" w:hAnsi="Arial"/>
                <w:sz w:val="14"/>
                <w:szCs w:val="14"/>
                <w:color w:val="auto"/>
                <w:w w:val="94"/>
              </w:rPr>
              <w:t>+4.1%</w:t>
            </w:r>
          </w:p>
        </w:tc>
        <w:tc>
          <w:tcPr>
            <w:tcW w:w="0" w:type="dxa"/>
            <w:vAlign w:val="bottom"/>
          </w:tcPr>
          <w:p>
            <w:pPr>
              <w:spacing w:after="0"/>
              <w:rPr>
                <w:sz w:val="1"/>
                <w:szCs w:val="1"/>
                <w:color w:val="auto"/>
              </w:rPr>
            </w:pPr>
          </w:p>
        </w:tc>
      </w:tr>
      <w:tr>
        <w:trPr>
          <w:trHeight w:val="276"/>
        </w:trPr>
        <w:tc>
          <w:tcPr>
            <w:tcW w:w="302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 Basis Points</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-0.5%</w:t>
            </w:r>
          </w:p>
        </w:tc>
        <w:tc>
          <w:tcPr>
            <w:tcW w:w="15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-4.1%</w:t>
            </w:r>
          </w:p>
        </w:tc>
        <w:tc>
          <w:tcPr>
            <w:tcW w:w="0" w:type="dxa"/>
            <w:vAlign w:val="bottom"/>
          </w:tcPr>
          <w:p>
            <w:pPr>
              <w:spacing w:after="0"/>
              <w:rPr>
                <w:sz w:val="1"/>
                <w:szCs w:val="1"/>
                <w:color w:val="auto"/>
              </w:rPr>
            </w:pPr>
          </w:p>
        </w:tc>
      </w:tr>
      <w:tr>
        <w:trPr>
          <w:trHeight w:val="258"/>
        </w:trPr>
        <w:tc>
          <w:tcPr>
            <w:tcW w:w="3020" w:type="dxa"/>
            <w:vAlign w:val="bottom"/>
          </w:tcPr>
          <w:p>
            <w:pPr>
              <w:ind w:left="40"/>
              <w:spacing w:after="0"/>
              <w:rPr>
                <w:sz w:val="20"/>
                <w:szCs w:val="20"/>
                <w:color w:val="auto"/>
              </w:rPr>
            </w:pPr>
            <w:r>
              <w:rPr>
                <w:rFonts w:ascii="Arial" w:cs="Arial" w:eastAsia="Arial" w:hAnsi="Arial"/>
                <w:sz w:val="14"/>
                <w:szCs w:val="14"/>
                <w:color w:val="auto"/>
              </w:rPr>
              <w:t>+25 Basis Points</w:t>
            </w:r>
          </w:p>
        </w:tc>
        <w:tc>
          <w:tcPr>
            <w:tcW w:w="1500" w:type="dxa"/>
            <w:vAlign w:val="bottom"/>
          </w:tcPr>
          <w:p>
            <w:pPr>
              <w:jc w:val="center"/>
              <w:spacing w:after="0"/>
              <w:rPr>
                <w:sz w:val="20"/>
                <w:szCs w:val="20"/>
                <w:color w:val="auto"/>
              </w:rPr>
            </w:pPr>
            <w:r>
              <w:rPr>
                <w:rFonts w:ascii="Arial" w:cs="Arial" w:eastAsia="Arial" w:hAnsi="Arial"/>
                <w:sz w:val="14"/>
                <w:szCs w:val="14"/>
                <w:color w:val="auto"/>
                <w:w w:val="98"/>
              </w:rPr>
              <w:t>-1.3%</w:t>
            </w:r>
          </w:p>
        </w:tc>
        <w:tc>
          <w:tcPr>
            <w:tcW w:w="1500" w:type="dxa"/>
            <w:vAlign w:val="bottom"/>
          </w:tcPr>
          <w:p>
            <w:pPr>
              <w:jc w:val="center"/>
              <w:ind w:left="8"/>
              <w:spacing w:after="0"/>
              <w:rPr>
                <w:sz w:val="20"/>
                <w:szCs w:val="20"/>
                <w:color w:val="auto"/>
              </w:rPr>
            </w:pPr>
            <w:r>
              <w:rPr>
                <w:rFonts w:ascii="Arial" w:cs="Arial" w:eastAsia="Arial" w:hAnsi="Arial"/>
                <w:sz w:val="14"/>
                <w:szCs w:val="14"/>
                <w:color w:val="auto"/>
                <w:w w:val="94"/>
              </w:rPr>
              <w:t>-10.1%</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14" w:lineRule="exact"/>
        <w:rPr>
          <w:sz w:val="20"/>
          <w:szCs w:val="20"/>
          <w:color w:val="auto"/>
        </w:rPr>
      </w:pPr>
    </w:p>
    <w:p>
      <w:pPr>
        <w:ind w:left="660" w:right="20" w:hanging="328"/>
        <w:spacing w:after="0" w:line="241" w:lineRule="auto"/>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Spread sensitivity is derived from models that are dependent on inputs and assumptions provided by third parties as well as by our Manager, assumes there are no changes in interest rates and assumes a static portfolio. Actual results could differ materially from these estimates.</w:t>
      </w: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the effect of derivatives and other securities used for hedging purposes.</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Estimated dollar change in investment portfolio value expressed as a percent of the total fair value of our investment portfolio as of such date.</w:t>
      </w:r>
    </w:p>
    <w:p>
      <w:pPr>
        <w:spacing w:after="0" w:line="1" w:lineRule="exact"/>
        <w:rPr>
          <w:rFonts w:ascii="Arial" w:cs="Arial" w:eastAsia="Arial" w:hAnsi="Arial"/>
          <w:sz w:val="14"/>
          <w:szCs w:val="14"/>
          <w:color w:val="auto"/>
        </w:rPr>
      </w:pPr>
    </w:p>
    <w:p>
      <w:pPr>
        <w:ind w:left="660" w:hanging="328"/>
        <w:spacing w:after="0"/>
        <w:tabs>
          <w:tab w:leader="none" w:pos="6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Estimated dollar change in portfolio value expressed as a percent of stockholders' equity, net of the Series A Preferred Stock liquidation preference, as of such date.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Risk</w:t>
      </w:r>
    </w:p>
    <w:p>
      <w:pPr>
        <w:spacing w:after="0" w:line="171" w:lineRule="exact"/>
        <w:rPr>
          <w:sz w:val="20"/>
          <w:szCs w:val="20"/>
          <w:color w:val="auto"/>
        </w:rPr>
      </w:pPr>
    </w:p>
    <w:p>
      <w:pPr>
        <w:jc w:val="both"/>
        <w:ind w:firstLine="432"/>
        <w:spacing w:after="0" w:line="289" w:lineRule="auto"/>
        <w:rPr>
          <w:sz w:val="20"/>
          <w:szCs w:val="20"/>
          <w:color w:val="auto"/>
        </w:rPr>
      </w:pPr>
      <w:r>
        <w:rPr>
          <w:rFonts w:ascii="Arial" w:cs="Arial" w:eastAsia="Arial" w:hAnsi="Arial"/>
          <w:sz w:val="16"/>
          <w:szCs w:val="16"/>
          <w:color w:val="auto"/>
        </w:rPr>
        <w:t>The primary liquidity risk for us arises from financing long-term assets with shorter-term borrowings through repurchase agreements. Our assets that are pledged to secure repurchase agreements are agency securities, U.S. Treasury securities and cash. As of March 31, 2014, we had unrestricted cash and cash equivalents of $1.7 billion and unpledged securities of approximately $2.1 billion, including securities pledged to us, available to meet margin calls on our repurchase agreements and derivative contracts and for other corporate purposes. However, should the value of our collateral or the value of our derivative instruments suddenly decrease, margin calls relating to our repurchase and derivative agreements could increase, causing an adverse change in our liquidity position. Further, there is no assurance that we will always be able to renew (or roll) our repurchase agreements. In addition, our counterparties have the option to increase our haircuts (margin requirements) on the assets we pledge, against repurchase agreements thereby reducing the amount that can be borrowed against an asset even if they agree to renew or roll the repurchase agreement. Significantly higher haircuts can reduce our ability to leverage our portfolio or even force us to sell assets, especially if correlated with asset price declines or faster prepayment rates on our assets.</w:t>
      </w:r>
    </w:p>
    <w:p>
      <w:pPr>
        <w:spacing w:after="0" w:line="1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addition, we may utilize TBA dollar roll transactions as a means of investing in and financing agency mortgage-backed securities. Under certain economic conditions it may be uneconomical to roll our TBA dollar roll transactions prior to the settlement date and we could have to take physical delivery of the underlying securities and settle our obligations for cash, which could negatively impact our liquidity position, result in defaults or force us to sell assets under adverse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Extension Risk</w:t>
      </w:r>
    </w:p>
    <w:p>
      <w:pPr>
        <w:spacing w:after="0" w:line="17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The projected weighted-average life and the duration (or interest rate sensitivity) of our investments is based on our Manager's assumptions regarding the rate at which the borrowers will prepay the underlying mortgage loans. In general, we use interest rate swaps and swaptions to help manage our funding cost on our investments in the event that interest rates rise. These swaps (or swaptions) allow us to reduce our funding exposure on the notional amount of the swap for a specified period of time by establishing a fixed rate to pay in exchange for receiving a floating rate that generally tracks our financing costs under our repurchase agreements.</w:t>
      </w:r>
    </w:p>
    <w:p>
      <w:pPr>
        <w:spacing w:after="0" w:line="134"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However, if prepayment rates decrease in a rising interest rate environment, the average life or duration of our fixed rate assets or the fixed rate portion of the ARMs or other assets generally extends. This could have a negative impact on our results from operations, as our interest rate swap maturities are fixed and will, therefore, cover a smaller percentage of our funding exposure on our mortgage assets to the extent that their average lives increase due to slower prepayments. This situation may also cause the market value of our agency securities collateralized by fixed rate mortgages or hybrid ARMs to decline by more than otherwise would be the case while most of our hedging instruments (with the exception of short TBA mortgage positions, interest-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900" w:right="239" w:bottom="1440" w:gutter="0" w:footer="0" w:header="0"/>
        </w:sectPr>
      </w:pPr>
    </w:p>
    <w:bookmarkStart w:id="49" w:name="page50"/>
    <w:bookmarkEnd w:id="49"/>
    <w:p>
      <w:pPr>
        <w:jc w:val="both"/>
        <w:spacing w:after="0" w:line="277" w:lineRule="auto"/>
        <w:rPr>
          <w:sz w:val="20"/>
          <w:szCs w:val="20"/>
          <w:color w:val="auto"/>
        </w:rPr>
      </w:pPr>
      <w:r>
        <w:rPr>
          <w:rFonts w:ascii="Arial" w:cs="Arial" w:eastAsia="Arial" w:hAnsi="Arial"/>
          <w:sz w:val="18"/>
          <w:szCs w:val="18"/>
          <w:color w:val="auto"/>
        </w:rPr>
        <w:t>only securities and certain other supplemental hedging instruments) would not receive any incremental offsetting gains. In extreme situations, we may be forced to sell assets to maintain adequate liquidity, which could cause us to incur realized losses.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are exposed to counterparty credit risk relating to potential losses that could be recognized in the event that the counterparties to our repurchase agreements and derivative contracts fail to perform their obligations under such agreements. The amount of assets we pledge as collateral in accordance with our agreements varies over time based on the market value and notional amount of such assets as well as the value of our derivative contracts. In the event of a default by a counterparty, we may not receive payments provided for under the terms of our agreements and may have difficulty obtaining our assets pledged as collateral under such agreements. Our credit risk related to certain derivative transactions is largely mitigated through daily adjustments to collateral pledged based on changes in market value and we limit our counterparties to major financial institutions with acceptable credit ratings. However, there is no guarantee our efforts to manage counterparty credit risk will be successful and we could suffer significant losses if unsuccessful.</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94"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in our Securities Exchange Act of 1934, as amended (the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2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including our Chief Executive Officer and Chief Financial Officer, evaluated the effectiveness of the design and operation of our disclosure controls and procedures as of March 31, 2014. Based on the foregoing, our Chief Executive Officer and Chief Financial Officer concluded that our disclosure controls and procedures were effective.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9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46"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08" w:lineRule="exact"/>
        <w:rPr>
          <w:sz w:val="20"/>
          <w:szCs w:val="20"/>
          <w:color w:val="auto"/>
        </w:rPr>
      </w:pPr>
    </w:p>
    <w:p>
      <w:pPr>
        <w:ind w:right="600" w:firstLine="432"/>
        <w:spacing w:after="0" w:line="264" w:lineRule="auto"/>
        <w:rPr>
          <w:sz w:val="20"/>
          <w:szCs w:val="20"/>
          <w:color w:val="auto"/>
        </w:rPr>
      </w:pPr>
      <w:r>
        <w:rPr>
          <w:rFonts w:ascii="Arial" w:cs="Arial" w:eastAsia="Arial" w:hAnsi="Arial"/>
          <w:sz w:val="18"/>
          <w:szCs w:val="18"/>
          <w:color w:val="auto"/>
        </w:rPr>
        <w:t>From time to time, we may be involved in various claims and legal actions arising in the ordinary course of business. Neither we, nor any of our consolidated subsidiaries, are currently subject to any material litigation nor, to our knowledge, is any material litigation threatened against us or any consolidated subsidiary.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There have been no material changes to the risk factors previously disclosed in our Annual Report on Form 10-K for the year ended December 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58" w:lineRule="exact"/>
        <w:rPr>
          <w:sz w:val="20"/>
          <w:szCs w:val="20"/>
          <w:color w:val="auto"/>
        </w:rPr>
      </w:pPr>
    </w:p>
    <w:p>
      <w:pPr>
        <w:ind w:firstLine="513"/>
        <w:spacing w:after="0" w:line="277" w:lineRule="auto"/>
        <w:rPr>
          <w:sz w:val="20"/>
          <w:szCs w:val="20"/>
          <w:color w:val="auto"/>
        </w:rPr>
      </w:pPr>
      <w:r>
        <w:rPr>
          <w:rFonts w:ascii="Arial" w:cs="Arial" w:eastAsia="Arial" w:hAnsi="Arial"/>
          <w:sz w:val="18"/>
          <w:szCs w:val="18"/>
          <w:color w:val="auto"/>
        </w:rPr>
        <w:t>The following table presents information with respect to purchases of our common stock made during the first quarter ended March 31, 2014 by us or any "affiliated purchaser" of us, as defined in Rule 10b-18(a)(3) under the Exchange Act (in millions, except per share amounts):</w:t>
      </w:r>
    </w:p>
    <w:p>
      <w:pPr>
        <w:spacing w:after="0" w:line="9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Average Net</w:t>
            </w:r>
          </w:p>
        </w:tc>
        <w:tc>
          <w:tcPr>
            <w:tcW w:w="1780" w:type="dxa"/>
            <w:vAlign w:val="bottom"/>
            <w:gridSpan w:val="2"/>
            <w:vMerge w:val="continue"/>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1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Total Number of Shares</w:t>
            </w:r>
          </w:p>
        </w:tc>
        <w:tc>
          <w:tcPr>
            <w:tcW w:w="1260" w:type="dxa"/>
            <w:vAlign w:val="bottom"/>
            <w:gridSpan w:val="2"/>
            <w:vMerge w:val="continue"/>
          </w:tcPr>
          <w:p>
            <w:pPr>
              <w:spacing w:after="0"/>
              <w:rPr>
                <w:sz w:val="12"/>
                <w:szCs w:val="12"/>
                <w:color w:val="auto"/>
              </w:rPr>
            </w:pPr>
          </w:p>
        </w:tc>
        <w:tc>
          <w:tcPr>
            <w:tcW w:w="1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44"/>
        </w:trPr>
        <w:tc>
          <w:tcPr>
            <w:tcW w:w="2540" w:type="dxa"/>
            <w:vAlign w:val="bottom"/>
            <w:vMerge w:val="restart"/>
          </w:tcPr>
          <w:p>
            <w:pPr>
              <w:ind w:left="780"/>
              <w:spacing w:after="0"/>
              <w:rPr>
                <w:sz w:val="20"/>
                <w:szCs w:val="20"/>
                <w:color w:val="auto"/>
              </w:rPr>
            </w:pPr>
            <w:r>
              <w:rPr>
                <w:rFonts w:ascii="Arial" w:cs="Arial" w:eastAsia="Arial" w:hAnsi="Arial"/>
                <w:sz w:val="14"/>
                <w:szCs w:val="14"/>
                <w:b w:val="1"/>
                <w:bCs w:val="1"/>
                <w:color w:val="auto"/>
              </w:rPr>
              <w:t>Settlement Date</w:t>
            </w:r>
          </w:p>
        </w:tc>
        <w:tc>
          <w:tcPr>
            <w:tcW w:w="1680" w:type="dxa"/>
            <w:vAlign w:val="bottom"/>
            <w:gridSpan w:val="2"/>
            <w:vMerge w:val="continue"/>
          </w:tcPr>
          <w:p>
            <w:pPr>
              <w:spacing w:after="0"/>
              <w:rPr>
                <w:sz w:val="12"/>
                <w:szCs w:val="12"/>
                <w:color w:val="auto"/>
              </w:rPr>
            </w:pPr>
          </w:p>
        </w:tc>
        <w:tc>
          <w:tcPr>
            <w:tcW w:w="12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5"/>
              </w:rPr>
              <w:t>Price Paid Per</w:t>
            </w:r>
          </w:p>
        </w:tc>
        <w:tc>
          <w:tcPr>
            <w:tcW w:w="178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2"/>
              </w:rPr>
              <w:t>Publicly Announced Plans</w:t>
            </w: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97"/>
        </w:trPr>
        <w:tc>
          <w:tcPr>
            <w:tcW w:w="2540" w:type="dxa"/>
            <w:vAlign w:val="bottom"/>
            <w:tcBorders>
              <w:bottom w:val="single" w:sz="8" w:color="auto"/>
            </w:tcBorders>
            <w:vMerge w:val="continue"/>
          </w:tcPr>
          <w:p>
            <w:pPr>
              <w:spacing w:after="0"/>
              <w:rPr>
                <w:sz w:val="17"/>
                <w:szCs w:val="17"/>
                <w:color w:val="auto"/>
              </w:rPr>
            </w:pPr>
          </w:p>
        </w:tc>
        <w:tc>
          <w:tcPr>
            <w:tcW w:w="16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Purchased</w:t>
            </w:r>
          </w:p>
        </w:tc>
        <w:tc>
          <w:tcPr>
            <w:tcW w:w="12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Share</w:t>
            </w:r>
          </w:p>
        </w:tc>
        <w:tc>
          <w:tcPr>
            <w:tcW w:w="17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or Programs </w:t>
            </w:r>
            <w:r>
              <w:rPr>
                <w:rFonts w:ascii="Arial" w:cs="Arial" w:eastAsia="Arial" w:hAnsi="Arial"/>
                <w:sz w:val="8"/>
                <w:szCs w:val="8"/>
                <w:b w:val="1"/>
                <w:bCs w:val="1"/>
                <w:color w:val="auto"/>
                <w:w w:val="93"/>
              </w:rPr>
              <w:t>1</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February 10 - 26, 2014</w:t>
            </w:r>
          </w:p>
        </w:tc>
        <w:tc>
          <w:tcPr>
            <w:tcW w:w="15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$21.98</w:t>
            </w:r>
          </w:p>
        </w:tc>
        <w:tc>
          <w:tcPr>
            <w:tcW w:w="120" w:type="dxa"/>
            <w:vAlign w:val="bottom"/>
            <w:shd w:val="clear" w:color="auto" w:fill="CCEEFF"/>
          </w:tcPr>
          <w:p>
            <w:pPr>
              <w:spacing w:after="0"/>
              <w:rPr>
                <w:sz w:val="23"/>
                <w:szCs w:val="23"/>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1.9</w:t>
            </w: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64"/>
        </w:trPr>
        <w:tc>
          <w:tcPr>
            <w:tcW w:w="25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March 3 - 17, 2014</w:t>
            </w:r>
          </w:p>
        </w:tc>
        <w:tc>
          <w:tcPr>
            <w:tcW w:w="15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color w:val="auto"/>
              </w:rPr>
              <w:t>1.5</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$22.24</w:t>
            </w:r>
          </w:p>
        </w:tc>
        <w:tc>
          <w:tcPr>
            <w:tcW w:w="120" w:type="dxa"/>
            <w:vAlign w:val="bottom"/>
            <w:tcBorders>
              <w:bottom w:val="single" w:sz="8" w:color="CCEEFF"/>
            </w:tcBorders>
          </w:tcPr>
          <w:p>
            <w:pPr>
              <w:spacing w:after="0"/>
              <w:rPr>
                <w:sz w:val="22"/>
                <w:szCs w:val="22"/>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1.5</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43"/>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First Quarter 2014</w:t>
            </w:r>
          </w:p>
        </w:tc>
        <w:tc>
          <w:tcPr>
            <w:tcW w:w="1580" w:type="dxa"/>
            <w:vAlign w:val="bottom"/>
            <w:tcBorders>
              <w:bottom w:val="single" w:sz="8" w:color="auto"/>
            </w:tcBorders>
            <w:shd w:val="clear" w:color="auto" w:fill="CCEEFF"/>
          </w:tcPr>
          <w:p>
            <w:pPr>
              <w:jc w:val="right"/>
              <w:ind w:right="628"/>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$22.10</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2432050</wp:posOffset>
            </wp:positionH>
            <wp:positionV relativeFrom="paragraph">
              <wp:posOffset>8890</wp:posOffset>
            </wp:positionV>
            <wp:extent cx="40049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___________________________</w:t>
      </w:r>
    </w:p>
    <w:p>
      <w:pPr>
        <w:ind w:left="660" w:hanging="328"/>
        <w:spacing w:after="0"/>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All shares were purchased by us pursuant to the stock repurchase program described in Note 9 of our accompanying Consolidated Financial Statements in this Form 10-Q.</w:t>
      </w:r>
    </w:p>
    <w:p>
      <w:pPr>
        <w:spacing w:after="0" w:line="1" w:lineRule="exact"/>
        <w:rPr>
          <w:rFonts w:ascii="Arial" w:cs="Arial" w:eastAsia="Arial" w:hAnsi="Arial"/>
          <w:sz w:val="14"/>
          <w:szCs w:val="14"/>
          <w:color w:val="auto"/>
        </w:rPr>
      </w:pPr>
    </w:p>
    <w:p>
      <w:pPr>
        <w:ind w:left="660" w:right="180" w:hanging="328"/>
        <w:spacing w:after="0" w:line="246" w:lineRule="auto"/>
        <w:tabs>
          <w:tab w:leader="none" w:pos="6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 October 2012, our Board of Directors adopted a program that provides for stock repurchases of up to $500 million of our outstanding shares of common stock through December 31, 2013. In September 2013, our Board of Directors increased the authorized amount to $1 billion of our outstanding shares of common stock and extended its authorization through December 31, 2014. In January 2014, our Board of Directors increased the authorized amount by an additional $1 billion of our outstanding shares of common stock through December 31, 2014. As of March 31, 2014, the total remaining amount authorized for repurchases of our common stock was $992 million.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 and Financial Statement Tables</w:t>
      </w:r>
    </w:p>
    <w:p>
      <w:pPr>
        <w:spacing w:after="0" w:line="17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Exhibit Index</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0" w:right="239" w:bottom="1440" w:gutter="0" w:footer="0" w:header="0"/>
        </w:sectPr>
      </w:pPr>
    </w:p>
    <w:bookmarkStart w:id="51" w:name="page52"/>
    <w:bookmarkEnd w:id="51"/>
    <w:p>
      <w:pPr>
        <w:ind w:left="40"/>
        <w:spacing w:after="0"/>
        <w:tabs>
          <w:tab w:leader="none" w:pos="1280" w:val="left"/>
        </w:tabs>
        <w:rPr>
          <w:sz w:val="20"/>
          <w:szCs w:val="20"/>
          <w:color w:val="auto"/>
        </w:rPr>
      </w:pPr>
      <w:r>
        <w:rPr>
          <w:rFonts w:ascii="Arial" w:cs="Arial" w:eastAsia="Arial" w:hAnsi="Arial"/>
          <w:sz w:val="14"/>
          <w:szCs w:val="14"/>
          <w:b w:val="1"/>
          <w:bCs w:val="1"/>
          <w:u w:val="single" w:color="auto"/>
          <w:color w:val="auto"/>
        </w:rPr>
        <w:t>Exhibit No.</w:t>
      </w:r>
      <w:r>
        <w:rPr>
          <w:sz w:val="20"/>
          <w:szCs w:val="20"/>
          <w:color w:val="auto"/>
        </w:rPr>
        <w:tab/>
      </w:r>
      <w:r>
        <w:rPr>
          <w:rFonts w:ascii="Arial" w:cs="Arial" w:eastAsia="Arial" w:hAnsi="Arial"/>
          <w:sz w:val="12"/>
          <w:szCs w:val="12"/>
          <w:b w:val="1"/>
          <w:bCs w:val="1"/>
          <w:u w:val="single" w:color="auto"/>
          <w:color w:val="auto"/>
        </w:rPr>
        <w:t>Description</w:t>
      </w:r>
    </w:p>
    <w:p>
      <w:pPr>
        <w:spacing w:after="0" w:line="172" w:lineRule="exact"/>
        <w:rPr>
          <w:sz w:val="20"/>
          <w:szCs w:val="20"/>
          <w:color w:val="auto"/>
        </w:rPr>
      </w:pPr>
    </w:p>
    <w:p>
      <w:pPr>
        <w:ind w:left="1300" w:right="420" w:hanging="449"/>
        <w:spacing w:after="0" w:line="277" w:lineRule="auto"/>
        <w:rPr>
          <w:sz w:val="20"/>
          <w:szCs w:val="20"/>
          <w:color w:val="auto"/>
        </w:rPr>
      </w:pPr>
      <w:r>
        <w:rPr>
          <w:rFonts w:ascii="Arial" w:cs="Arial" w:eastAsia="Arial" w:hAnsi="Arial"/>
          <w:sz w:val="18"/>
          <w:szCs w:val="18"/>
          <w:color w:val="auto"/>
        </w:rPr>
        <w:t>*3.1 American Capital Agency Corp. Amended and Restated Certificate of Incorporation, as amended, incorporated herein by reference to Exhibit 3.1 of Form 10-Q for the quarter ended March 31, 2012 (File No. 001-34057), filed May 9, 2012.</w:t>
      </w:r>
    </w:p>
    <w:p>
      <w:pPr>
        <w:spacing w:after="0" w:line="130" w:lineRule="exact"/>
        <w:rPr>
          <w:sz w:val="20"/>
          <w:szCs w:val="20"/>
          <w:color w:val="auto"/>
        </w:rPr>
      </w:pPr>
    </w:p>
    <w:p>
      <w:pPr>
        <w:ind w:left="1300" w:right="260" w:hanging="449"/>
        <w:spacing w:after="0" w:line="277" w:lineRule="auto"/>
        <w:rPr>
          <w:sz w:val="20"/>
          <w:szCs w:val="20"/>
          <w:color w:val="auto"/>
        </w:rPr>
      </w:pPr>
      <w:r>
        <w:rPr>
          <w:rFonts w:ascii="Arial" w:cs="Arial" w:eastAsia="Arial" w:hAnsi="Arial"/>
          <w:sz w:val="18"/>
          <w:szCs w:val="18"/>
          <w:color w:val="auto"/>
        </w:rPr>
        <w:t>*3.2 American Capital Agency Corp. Second Amended and Restated Bylaws, as amended, incorporated herein by reference to Exhibit 3.2 of Form 10-K for the year ended December 31, 2011 (File No. 001-34057), filed February 23, 2012.</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*3.3 Certificate of Designations of 8.000% Series A Cumulative Redeemable Preferred Stock, incorporated herein by reference to Exhibit 3.1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*3.4 Certificate of Designations of 7.750% Series B Cumulative Redeemable Preferred Stock, incorporated herein by reference to Exhibit 3.3 to Form 8-A (File No. 001-34057), filed May 7, 2014.</w:t>
      </w:r>
    </w:p>
    <w:p>
      <w:pPr>
        <w:spacing w:after="0" w:line="130" w:lineRule="exact"/>
        <w:rPr>
          <w:sz w:val="20"/>
          <w:szCs w:val="20"/>
          <w:color w:val="auto"/>
        </w:rPr>
      </w:pPr>
    </w:p>
    <w:p>
      <w:pPr>
        <w:ind w:left="1300" w:right="160" w:hanging="449"/>
        <w:spacing w:after="0" w:line="264" w:lineRule="auto"/>
        <w:rPr>
          <w:sz w:val="20"/>
          <w:szCs w:val="20"/>
          <w:color w:val="auto"/>
        </w:rPr>
      </w:pPr>
      <w:r>
        <w:rPr>
          <w:rFonts w:ascii="Arial" w:cs="Arial" w:eastAsia="Arial" w:hAnsi="Arial"/>
          <w:sz w:val="18"/>
          <w:szCs w:val="18"/>
          <w:color w:val="auto"/>
        </w:rPr>
        <w:t>*4.1 Instruments defining the rights of holders of securities: See Article IV of our Amended and Restated Certificate of Incorporation, as amended, incorporated herein by reference to Exhibit 3.1 of Form 10-Q for the quarter ended March 31, 2012 (File No. 001-34057), filed May 9, 2012.</w:t>
      </w:r>
    </w:p>
    <w:p>
      <w:pPr>
        <w:spacing w:after="0" w:line="141" w:lineRule="exact"/>
        <w:rPr>
          <w:sz w:val="20"/>
          <w:szCs w:val="20"/>
          <w:color w:val="auto"/>
        </w:rPr>
      </w:pPr>
    </w:p>
    <w:p>
      <w:pPr>
        <w:ind w:left="1300" w:right="140" w:hanging="449"/>
        <w:spacing w:after="0" w:line="264" w:lineRule="auto"/>
        <w:rPr>
          <w:sz w:val="20"/>
          <w:szCs w:val="20"/>
          <w:color w:val="auto"/>
        </w:rPr>
      </w:pPr>
      <w:r>
        <w:rPr>
          <w:rFonts w:ascii="Arial" w:cs="Arial" w:eastAsia="Arial" w:hAnsi="Arial"/>
          <w:sz w:val="18"/>
          <w:szCs w:val="18"/>
          <w:color w:val="auto"/>
        </w:rPr>
        <w:t>*4.2 Instruments defining the rights of holders of securities: See Article VI of our Second Amended and Restated Bylaws, as amended, incorporated herein by reference to Exhibit 3.2 of Form 10-K for the year ended December 31, 2011 (File No. 001-34057), filed February 23, 2012.</w:t>
      </w:r>
    </w:p>
    <w:p>
      <w:pPr>
        <w:spacing w:after="0" w:line="141" w:lineRule="exact"/>
        <w:rPr>
          <w:sz w:val="20"/>
          <w:szCs w:val="20"/>
          <w:color w:val="auto"/>
        </w:rPr>
      </w:pPr>
    </w:p>
    <w:p>
      <w:pPr>
        <w:ind w:left="1300" w:right="60" w:hanging="449"/>
        <w:spacing w:after="0" w:line="277" w:lineRule="auto"/>
        <w:rPr>
          <w:sz w:val="20"/>
          <w:szCs w:val="20"/>
          <w:color w:val="auto"/>
        </w:rPr>
      </w:pPr>
      <w:r>
        <w:rPr>
          <w:rFonts w:ascii="Arial" w:cs="Arial" w:eastAsia="Arial" w:hAnsi="Arial"/>
          <w:sz w:val="18"/>
          <w:szCs w:val="18"/>
          <w:color w:val="auto"/>
        </w:rPr>
        <w:t>*4.3 Form of Certificate for Common Stock, incorporated herein by reference to Exhibit 4.1 to Amendment No. 4 to the Registration Statement on Form S-11 (Registration No. 333-149167), filed May 9, 2008.</w:t>
      </w:r>
    </w:p>
    <w:p>
      <w:pPr>
        <w:spacing w:after="0" w:line="130" w:lineRule="exact"/>
        <w:rPr>
          <w:sz w:val="20"/>
          <w:szCs w:val="20"/>
          <w:color w:val="auto"/>
        </w:rPr>
      </w:pPr>
    </w:p>
    <w:p>
      <w:pPr>
        <w:ind w:left="1300" w:hanging="449"/>
        <w:spacing w:after="0" w:line="277" w:lineRule="auto"/>
        <w:rPr>
          <w:sz w:val="20"/>
          <w:szCs w:val="20"/>
          <w:color w:val="auto"/>
        </w:rPr>
      </w:pPr>
      <w:r>
        <w:rPr>
          <w:rFonts w:ascii="Arial" w:cs="Arial" w:eastAsia="Arial" w:hAnsi="Arial"/>
          <w:sz w:val="18"/>
          <w:szCs w:val="18"/>
          <w:color w:val="auto"/>
        </w:rPr>
        <w:t>*4.4 Specimen 8.000% Series A Cumulative Redeemable Preferred Stock Certificate, incorporated herein by reference to Exhibit 4.1 of Form 8-K (File No. 001-34057), filed April 3, 2012.</w:t>
      </w:r>
    </w:p>
    <w:p>
      <w:pPr>
        <w:spacing w:after="0" w:line="130" w:lineRule="exact"/>
        <w:rPr>
          <w:sz w:val="20"/>
          <w:szCs w:val="20"/>
          <w:color w:val="auto"/>
        </w:rPr>
      </w:pPr>
    </w:p>
    <w:p>
      <w:pPr>
        <w:ind w:left="1300" w:right="20" w:hanging="449"/>
        <w:spacing w:after="0" w:line="277" w:lineRule="auto"/>
        <w:rPr>
          <w:sz w:val="20"/>
          <w:szCs w:val="20"/>
          <w:color w:val="auto"/>
        </w:rPr>
      </w:pPr>
      <w:r>
        <w:rPr>
          <w:rFonts w:ascii="Arial" w:cs="Arial" w:eastAsia="Arial" w:hAnsi="Arial"/>
          <w:sz w:val="18"/>
          <w:szCs w:val="18"/>
          <w:color w:val="auto"/>
        </w:rPr>
        <w:t>*4.5 Specimen 7.750% Series B Cumulative Redeemable Preferred Stock Certificate, incorporated herein by reference to Exhibit 4.1 to Form 8-A (File No. 001-34057), filed May 7, 2014.</w:t>
      </w:r>
    </w:p>
    <w:p>
      <w:pPr>
        <w:spacing w:after="0" w:line="130" w:lineRule="exact"/>
        <w:rPr>
          <w:sz w:val="20"/>
          <w:szCs w:val="20"/>
          <w:color w:val="auto"/>
        </w:rPr>
      </w:pPr>
    </w:p>
    <w:p>
      <w:pPr>
        <w:ind w:left="1300" w:right="100" w:hanging="449"/>
        <w:spacing w:after="0" w:line="342" w:lineRule="auto"/>
        <w:rPr>
          <w:sz w:val="20"/>
          <w:szCs w:val="20"/>
          <w:color w:val="auto"/>
        </w:rPr>
      </w:pPr>
      <w:r>
        <w:rPr>
          <w:rFonts w:ascii="Arial" w:cs="Arial" w:eastAsia="Arial" w:hAnsi="Arial"/>
          <w:sz w:val="16"/>
          <w:szCs w:val="16"/>
          <w:color w:val="auto"/>
        </w:rPr>
        <w:t>*4.6 Deposit Agreement, dated May 8, 2014, among American Capital Agency Corp., Computershare Inc. and Computershare Trust Company, N.A., jointly as depositary, incorporated herein by reference to Exhibit 4.2 to Form 8-K (File No. 001-34067), filed May 8, 2014.</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*4.7  Form of Depositary Receipt, incorporated herein by reference to Exhibit 4.3 to Form 8-K (File No. 001-34067), filed May 8, 2014.</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31.1  Certification of CEO Pursuant to Section 302(a) of the Sarbanes-Oxley Act of 2002.</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31.2  Certification of CFO Pursuant to Section 302(a) of the Sarbanes-Oxley Act of 2002.</w:t>
      </w:r>
    </w:p>
    <w:p>
      <w:pPr>
        <w:spacing w:after="0" w:line="185" w:lineRule="exact"/>
        <w:rPr>
          <w:sz w:val="20"/>
          <w:szCs w:val="20"/>
          <w:color w:val="auto"/>
        </w:rPr>
      </w:pPr>
    </w:p>
    <w:p>
      <w:pPr>
        <w:ind w:left="380" w:right="3480" w:firstLine="596"/>
        <w:spacing w:after="0" w:line="454"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Certification of CEO and CFO Pursuant to Section 906 of the Sarbanes-Oxley Act of 2002. 101.INS** XBRL Instance Document</w:t>
      </w:r>
    </w:p>
    <w:p>
      <w:pPr>
        <w:ind w:left="320"/>
        <w:spacing w:after="0"/>
        <w:rPr>
          <w:sz w:val="20"/>
          <w:szCs w:val="20"/>
          <w:color w:val="auto"/>
        </w:rPr>
      </w:pPr>
      <w:r>
        <w:rPr>
          <w:rFonts w:ascii="Arial" w:cs="Arial" w:eastAsia="Arial" w:hAnsi="Arial"/>
          <w:sz w:val="18"/>
          <w:szCs w:val="18"/>
          <w:color w:val="auto"/>
        </w:rPr>
        <w:t>101.SCH**  XBRL Taxonomy Extension Schema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101.LAB**  XBRL Taxonomy Extension Labels Linkbase Document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Previously filed</w:t>
      </w:r>
    </w:p>
    <w:p>
      <w:pPr>
        <w:spacing w:after="0" w:line="9" w:lineRule="exact"/>
        <w:rPr>
          <w:sz w:val="20"/>
          <w:szCs w:val="20"/>
          <w:color w:val="auto"/>
        </w:rPr>
      </w:pPr>
    </w:p>
    <w:p>
      <w:pPr>
        <w:ind w:left="660" w:right="160" w:hanging="652"/>
        <w:spacing w:after="0" w:line="261"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exhibit is being furnished rather than filed, and shall not be deemed incorporated by reference into any filing, in accordance with Item 601 of Regulation S-K</w:t>
      </w:r>
    </w:p>
    <w:p>
      <w:pPr>
        <w:spacing w:after="0" w:line="399" w:lineRule="exact"/>
        <w:rPr>
          <w:rFonts w:ascii="Arial" w:cs="Arial" w:eastAsia="Arial" w:hAnsi="Arial"/>
          <w:sz w:val="18"/>
          <w:szCs w:val="18"/>
          <w:color w:val="auto"/>
        </w:rPr>
      </w:pPr>
    </w:p>
    <w:p>
      <w:pPr>
        <w:ind w:left="880" w:hanging="467"/>
        <w:spacing w:after="0"/>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Exhibits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See the exhibits filed herewith.</w:t>
      </w:r>
    </w:p>
    <w:p>
      <w:pPr>
        <w:spacing w:after="0" w:line="210" w:lineRule="exact"/>
        <w:rPr>
          <w:rFonts w:ascii="Arial" w:cs="Arial" w:eastAsia="Arial" w:hAnsi="Arial"/>
          <w:sz w:val="18"/>
          <w:szCs w:val="18"/>
          <w:color w:val="auto"/>
        </w:rPr>
      </w:pPr>
    </w:p>
    <w:p>
      <w:pPr>
        <w:ind w:left="880" w:hanging="467"/>
        <w:spacing w:after="0"/>
        <w:tabs>
          <w:tab w:leader="none" w:pos="8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Additional financial statement schedules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887" w:right="319" w:bottom="1440" w:gutter="0" w:footer="0" w:header="0"/>
        </w:sectPr>
      </w:pPr>
    </w:p>
    <w:bookmarkStart w:id="52" w:name="page53"/>
    <w:bookmarkEnd w:id="5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MERICAN</w:t>
      </w:r>
      <w:r>
        <w:rPr>
          <w:rFonts w:ascii="Arial" w:cs="Arial" w:eastAsia="Arial" w:hAnsi="Arial"/>
          <w:sz w:val="18"/>
          <w:szCs w:val="18"/>
          <w:color w:val="auto"/>
        </w:rPr>
        <w:t xml:space="preserve"> C</w:t>
      </w:r>
      <w:r>
        <w:rPr>
          <w:rFonts w:ascii="Arial" w:cs="Arial" w:eastAsia="Arial" w:hAnsi="Arial"/>
          <w:sz w:val="14"/>
          <w:szCs w:val="14"/>
          <w:color w:val="auto"/>
        </w:rPr>
        <w:t>APITAL</w:t>
      </w:r>
      <w:r>
        <w:rPr>
          <w:rFonts w:ascii="Arial" w:cs="Arial" w:eastAsia="Arial" w:hAnsi="Arial"/>
          <w:sz w:val="18"/>
          <w:szCs w:val="18"/>
          <w:color w:val="auto"/>
        </w:rPr>
        <w:t xml:space="preserve"> A</w:t>
      </w:r>
      <w:r>
        <w:rPr>
          <w:rFonts w:ascii="Arial" w:cs="Arial" w:eastAsia="Arial" w:hAnsi="Arial"/>
          <w:sz w:val="14"/>
          <w:szCs w:val="14"/>
          <w:color w:val="auto"/>
        </w:rPr>
        <w:t>GENCY</w:t>
      </w:r>
      <w:r>
        <w:rPr>
          <w:rFonts w:ascii="Arial" w:cs="Arial" w:eastAsia="Arial" w:hAnsi="Arial"/>
          <w:sz w:val="18"/>
          <w:szCs w:val="18"/>
          <w:color w:val="auto"/>
        </w:rPr>
        <w:t xml:space="preserve"> C</w:t>
      </w:r>
      <w:r>
        <w:rPr>
          <w:rFonts w:ascii="Arial" w:cs="Arial" w:eastAsia="Arial" w:hAnsi="Arial"/>
          <w:sz w:val="14"/>
          <w:szCs w:val="14"/>
          <w:color w:val="auto"/>
        </w:rPr>
        <w:t>ORP</w:t>
      </w:r>
      <w:r>
        <w:rPr>
          <w:rFonts w:ascii="Arial" w:cs="Arial" w:eastAsia="Arial" w:hAnsi="Arial"/>
          <w:sz w:val="18"/>
          <w:szCs w:val="18"/>
          <w:color w:val="auto"/>
        </w:rPr>
        <w:t>.</w:t>
      </w:r>
    </w:p>
    <w:p>
      <w:pPr>
        <w:spacing w:after="0" w:line="185" w:lineRule="exact"/>
        <w:rPr>
          <w:sz w:val="20"/>
          <w:szCs w:val="20"/>
          <w:color w:val="auto"/>
        </w:rPr>
      </w:pPr>
    </w:p>
    <w:p>
      <w:pPr>
        <w:ind w:left="5640"/>
        <w:spacing w:after="0"/>
        <w:tabs>
          <w:tab w:leader="none" w:pos="7860" w:val="left"/>
          <w:tab w:leader="none" w:pos="8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3327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8"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Malon Wilkus</w:t>
      </w:r>
    </w:p>
    <w:p>
      <w:pPr>
        <w:jc w:val="center"/>
        <w:ind w:left="6180"/>
        <w:spacing w:after="0" w:line="226" w:lineRule="auto"/>
        <w:rPr>
          <w:sz w:val="20"/>
          <w:szCs w:val="20"/>
          <w:color w:val="auto"/>
        </w:rPr>
      </w:pPr>
      <w:r>
        <w:rPr>
          <w:rFonts w:ascii="Arial" w:cs="Arial" w:eastAsia="Arial" w:hAnsi="Arial"/>
          <w:sz w:val="14"/>
          <w:szCs w:val="14"/>
          <w:b w:val="1"/>
          <w:bCs w:val="1"/>
          <w:color w:val="auto"/>
        </w:rPr>
        <w:t>Chair of the Board of Directors and</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Chief Executive Officer</w:t>
      </w:r>
    </w:p>
    <w:p>
      <w:pPr>
        <w:spacing w:after="0" w:line="4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9, 2014</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580" w:right="279" w:bottom="1440" w:gutter="0" w:footer="0" w:header="0"/>
        </w:sectPr>
      </w:pPr>
    </w:p>
    <w:bookmarkStart w:id="53" w:name="page54"/>
    <w:bookmarkEnd w:id="53"/>
    <w:p>
      <w:pPr>
        <w:ind w:left="10460"/>
        <w:spacing w:after="0"/>
        <w:rPr>
          <w:sz w:val="20"/>
          <w:szCs w:val="20"/>
          <w:color w:val="auto"/>
        </w:rPr>
      </w:pPr>
      <w:r>
        <w:rPr>
          <w:rFonts w:ascii="Arial" w:cs="Arial" w:eastAsia="Arial" w:hAnsi="Arial"/>
          <w:sz w:val="16"/>
          <w:szCs w:val="16"/>
          <w:b w:val="1"/>
          <w:bCs w:val="1"/>
          <w:color w:val="auto"/>
        </w:rPr>
        <w:t>Exhibit 31.1</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 Malon Wilkus, certify that:</w:t>
      </w:r>
    </w:p>
    <w:p>
      <w:pPr>
        <w:spacing w:after="0" w:line="158" w:lineRule="exact"/>
        <w:rPr>
          <w:sz w:val="20"/>
          <w:szCs w:val="20"/>
          <w:color w:val="auto"/>
        </w:rPr>
      </w:pPr>
    </w:p>
    <w:p>
      <w:pPr>
        <w:ind w:left="860" w:hanging="467"/>
        <w:spacing w:after="0"/>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2014</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tab/>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Malon Wilkus</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Chair of the Board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Chief Executive Officer</w:t>
      </w:r>
    </w:p>
    <w:p>
      <w:pPr>
        <w:sectPr>
          <w:pgSz w:w="11900" w:h="16838" w:orient="portrait"/>
          <w:cols w:equalWidth="0" w:num="1">
            <w:col w:w="11400"/>
          </w:cols>
          <w:pgMar w:left="260" w:top="580" w:right="239" w:bottom="1440" w:gutter="0" w:footer="0" w:header="0"/>
        </w:sectPr>
      </w:pPr>
    </w:p>
    <w:bookmarkStart w:id="54" w:name="page55"/>
    <w:bookmarkEnd w:id="54"/>
    <w:p>
      <w:pPr>
        <w:ind w:left="10460"/>
        <w:spacing w:after="0"/>
        <w:rPr>
          <w:sz w:val="20"/>
          <w:szCs w:val="20"/>
          <w:color w:val="auto"/>
        </w:rPr>
      </w:pPr>
      <w:r>
        <w:rPr>
          <w:rFonts w:ascii="Arial" w:cs="Arial" w:eastAsia="Arial" w:hAnsi="Arial"/>
          <w:sz w:val="16"/>
          <w:szCs w:val="16"/>
          <w:b w:val="1"/>
          <w:bCs w:val="1"/>
          <w:color w:val="auto"/>
        </w:rPr>
        <w:t>Exhibit 31.2</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Capital Agency Corp.</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John R. Erickson, certify that:</w:t>
      </w:r>
    </w:p>
    <w:p>
      <w:pPr>
        <w:spacing w:after="0" w:line="158" w:lineRule="exact"/>
        <w:rPr>
          <w:sz w:val="20"/>
          <w:szCs w:val="20"/>
          <w:color w:val="auto"/>
        </w:rPr>
      </w:pPr>
    </w:p>
    <w:p>
      <w:pPr>
        <w:ind w:left="860" w:hanging="467"/>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American Capital Agency Corp;</w:t>
      </w:r>
    </w:p>
    <w:p>
      <w:pPr>
        <w:spacing w:after="0" w:line="157" w:lineRule="exact"/>
        <w:rPr>
          <w:rFonts w:ascii="Arial" w:cs="Arial" w:eastAsia="Arial" w:hAnsi="Arial"/>
          <w:sz w:val="18"/>
          <w:szCs w:val="18"/>
          <w:color w:val="auto"/>
        </w:rPr>
      </w:pPr>
    </w:p>
    <w:p>
      <w:pPr>
        <w:jc w:val="both"/>
        <w:ind w:left="860" w:hanging="467"/>
        <w:spacing w:after="0" w:line="264"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860" w:hanging="467"/>
        <w:spacing w:after="0" w:line="308" w:lineRule="auto"/>
        <w:tabs>
          <w:tab w:leader="none" w:pos="8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9" w:lineRule="exact"/>
        <w:rPr>
          <w:rFonts w:ascii="Arial" w:cs="Arial" w:eastAsia="Arial" w:hAnsi="Arial"/>
          <w:sz w:val="17"/>
          <w:szCs w:val="17"/>
          <w:color w:val="auto"/>
        </w:rPr>
      </w:pPr>
    </w:p>
    <w:p>
      <w:pPr>
        <w:jc w:val="both"/>
        <w:ind w:left="860" w:hanging="467"/>
        <w:spacing w:after="0" w:line="264"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3" w:lineRule="exact"/>
        <w:rPr>
          <w:rFonts w:ascii="Arial" w:cs="Arial" w:eastAsia="Arial" w:hAnsi="Arial"/>
          <w:sz w:val="18"/>
          <w:szCs w:val="18"/>
          <w:color w:val="auto"/>
        </w:rPr>
      </w:pPr>
    </w:p>
    <w:p>
      <w:pPr>
        <w:jc w:val="both"/>
        <w:ind w:left="1400" w:hanging="440"/>
        <w:spacing w:after="0" w:line="264" w:lineRule="auto"/>
        <w:tabs>
          <w:tab w:leader="none" w:pos="14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Arial" w:cs="Arial" w:eastAsia="Arial" w:hAnsi="Arial"/>
          <w:sz w:val="18"/>
          <w:szCs w:val="18"/>
          <w:color w:val="auto"/>
        </w:rPr>
      </w:pPr>
    </w:p>
    <w:p>
      <w:pPr>
        <w:ind w:left="1400" w:right="20" w:hanging="440"/>
        <w:spacing w:after="0" w:line="342" w:lineRule="auto"/>
        <w:tabs>
          <w:tab w:leader="none" w:pos="14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jc w:val="both"/>
        <w:ind w:left="1400" w:hanging="440"/>
        <w:spacing w:after="0" w:line="264" w:lineRule="auto"/>
        <w:tabs>
          <w:tab w:leader="none" w:pos="14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Arial" w:cs="Arial" w:eastAsia="Arial" w:hAnsi="Arial"/>
          <w:sz w:val="18"/>
          <w:szCs w:val="18"/>
          <w:color w:val="auto"/>
        </w:rPr>
      </w:pPr>
    </w:p>
    <w:p>
      <w:pPr>
        <w:ind w:left="860" w:hanging="467"/>
        <w:spacing w:after="0" w:line="277"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2" w:lineRule="exact"/>
        <w:rPr>
          <w:rFonts w:ascii="Arial" w:cs="Arial" w:eastAsia="Arial" w:hAnsi="Arial"/>
          <w:sz w:val="18"/>
          <w:szCs w:val="18"/>
          <w:color w:val="auto"/>
        </w:rPr>
      </w:pPr>
    </w:p>
    <w:p>
      <w:pPr>
        <w:ind w:left="1400" w:hanging="440"/>
        <w:spacing w:after="0" w:line="308" w:lineRule="auto"/>
        <w:tabs>
          <w:tab w:leader="none" w:pos="1400" w:val="left"/>
        </w:tabs>
        <w:numPr>
          <w:ilvl w:val="1"/>
          <w:numId w:val="4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79" w:lineRule="exact"/>
        <w:rPr>
          <w:rFonts w:ascii="Arial" w:cs="Arial" w:eastAsia="Arial" w:hAnsi="Arial"/>
          <w:sz w:val="17"/>
          <w:szCs w:val="17"/>
          <w:color w:val="auto"/>
        </w:rPr>
      </w:pPr>
    </w:p>
    <w:p>
      <w:pPr>
        <w:ind w:left="1400" w:right="20" w:hanging="440"/>
        <w:spacing w:after="0" w:line="277" w:lineRule="auto"/>
        <w:tabs>
          <w:tab w:leader="none" w:pos="14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9, 2014</w:t>
      </w:r>
    </w:p>
    <w:p>
      <w:pPr>
        <w:spacing w:after="0" w:line="333" w:lineRule="exact"/>
        <w:rPr>
          <w:sz w:val="20"/>
          <w:szCs w:val="20"/>
          <w:color w:val="auto"/>
        </w:rPr>
      </w:pPr>
    </w:p>
    <w:p>
      <w:pPr>
        <w:ind w:left="700"/>
        <w:spacing w:after="0"/>
        <w:tabs>
          <w:tab w:leader="none" w:pos="10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JOHN R. ERICKSON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31750</wp:posOffset>
            </wp:positionV>
            <wp:extent cx="23755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John R. Erickson</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Chief Financial Officer and Executive Vice</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President</w:t>
      </w:r>
    </w:p>
    <w:p>
      <w:pPr>
        <w:sectPr>
          <w:pgSz w:w="11900" w:h="16838" w:orient="portrait"/>
          <w:cols w:equalWidth="0" w:num="1">
            <w:col w:w="11400"/>
          </w:cols>
          <w:pgMar w:left="260" w:top="5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American Capital Agency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We, Malon Wilkus, Chief Executive Officer and Chair of the Board of Directors, and John R. Erickson, Executive Vice President and Chief Financial</w:t>
      </w:r>
    </w:p>
    <w:p>
      <w:pPr>
        <w:spacing w:after="0" w:line="3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Officer of American Capital Agency Corp. (the “Company”), certify pursuant to Section 906 of the Sarbanes-Oxley Act of 2002, 18 U.S.C. Section 1350 that:</w:t>
      </w:r>
    </w:p>
    <w:p>
      <w:pPr>
        <w:spacing w:after="0" w:line="180" w:lineRule="exact"/>
        <w:rPr>
          <w:sz w:val="20"/>
          <w:szCs w:val="20"/>
          <w:color w:val="auto"/>
        </w:rPr>
      </w:pPr>
    </w:p>
    <w:p>
      <w:pPr>
        <w:ind w:left="660" w:right="220" w:hanging="328"/>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2014 (the “Report”) fully complies with the requirements of Section 13(a) of the Securities Exchange Act of 1934 (15 U.S.C. 78m);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4520" w:type="dxa"/>
            <w:vAlign w:val="bottom"/>
          </w:tcPr>
          <w:p>
            <w:pPr>
              <w:ind w:left="1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ALON</w:t>
            </w:r>
            <w:r>
              <w:rPr>
                <w:rFonts w:ascii="Arial" w:cs="Arial" w:eastAsia="Arial" w:hAnsi="Arial"/>
                <w:sz w:val="18"/>
                <w:szCs w:val="18"/>
                <w:color w:val="auto"/>
              </w:rPr>
              <w:t xml:space="preserve"> W</w:t>
            </w:r>
            <w:r>
              <w:rPr>
                <w:rFonts w:ascii="Arial" w:cs="Arial" w:eastAsia="Arial" w:hAnsi="Arial"/>
                <w:sz w:val="14"/>
                <w:szCs w:val="14"/>
                <w:color w:val="auto"/>
              </w:rPr>
              <w:t>ILKUS</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Malon Wilkus</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Chair of the Board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and Chief Executive Officer</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May 9, 2014</w:t>
            </w:r>
          </w:p>
        </w:tc>
        <w:tc>
          <w:tcPr>
            <w:tcW w:w="0" w:type="dxa"/>
            <w:vAlign w:val="bottom"/>
          </w:tcPr>
          <w:p>
            <w:pPr>
              <w:spacing w:after="0"/>
              <w:rPr>
                <w:sz w:val="1"/>
                <w:szCs w:val="1"/>
                <w:color w:val="auto"/>
              </w:rPr>
            </w:pPr>
          </w:p>
        </w:tc>
      </w:tr>
      <w:tr>
        <w:trPr>
          <w:trHeight w:val="567"/>
        </w:trPr>
        <w:tc>
          <w:tcPr>
            <w:tcW w:w="660" w:type="dxa"/>
            <w:vAlign w:val="bottom"/>
          </w:tcPr>
          <w:p>
            <w:pPr>
              <w:spacing w:after="0"/>
              <w:rPr>
                <w:sz w:val="24"/>
                <w:szCs w:val="24"/>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4520" w:type="dxa"/>
            <w:vAlign w:val="bottom"/>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w:t>
            </w:r>
            <w:r>
              <w:rPr>
                <w:rFonts w:ascii="Arial" w:cs="Arial" w:eastAsia="Arial" w:hAnsi="Arial"/>
                <w:sz w:val="18"/>
                <w:szCs w:val="18"/>
                <w:color w:val="auto"/>
              </w:rPr>
              <w:t xml:space="preserve"> R. E</w:t>
            </w:r>
            <w:r>
              <w:rPr>
                <w:rFonts w:ascii="Arial" w:cs="Arial" w:eastAsia="Arial" w:hAnsi="Arial"/>
                <w:sz w:val="14"/>
                <w:szCs w:val="14"/>
                <w:color w:val="auto"/>
              </w:rPr>
              <w:t>RICKSON</w:t>
            </w:r>
          </w:p>
        </w:tc>
        <w:tc>
          <w:tcPr>
            <w:tcW w:w="0" w:type="dxa"/>
            <w:vAlign w:val="bottom"/>
          </w:tcPr>
          <w:p>
            <w:pPr>
              <w:spacing w:after="0"/>
              <w:rPr>
                <w:sz w:val="1"/>
                <w:szCs w:val="1"/>
                <w:color w:val="auto"/>
              </w:rPr>
            </w:pPr>
          </w:p>
        </w:tc>
      </w:tr>
      <w:tr>
        <w:trPr>
          <w:trHeight w:val="27"/>
        </w:trPr>
        <w:tc>
          <w:tcPr>
            <w:tcW w:w="6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0" w:type="dxa"/>
            <w:vAlign w:val="bottom"/>
            <w:vMerge w:val="continue"/>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John R. Erickson</w:t>
            </w:r>
          </w:p>
        </w:tc>
        <w:tc>
          <w:tcPr>
            <w:tcW w:w="0" w:type="dxa"/>
            <w:vAlign w:val="bottom"/>
          </w:tcPr>
          <w:p>
            <w:pPr>
              <w:spacing w:after="0"/>
              <w:rPr>
                <w:sz w:val="1"/>
                <w:szCs w:val="1"/>
                <w:color w:val="auto"/>
              </w:rPr>
            </w:pP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84"/>
        </w:trPr>
        <w:tc>
          <w:tcPr>
            <w:tcW w:w="660" w:type="dxa"/>
            <w:vAlign w:val="bottom"/>
          </w:tcPr>
          <w:p>
            <w:pPr>
              <w:spacing w:after="0"/>
              <w:rPr>
                <w:sz w:val="20"/>
                <w:szCs w:val="20"/>
                <w:color w:val="auto"/>
              </w:rPr>
            </w:pPr>
            <w:r>
              <w:rPr>
                <w:rFonts w:ascii="Arial" w:cs="Arial" w:eastAsia="Arial" w:hAnsi="Arial"/>
                <w:sz w:val="18"/>
                <w:szCs w:val="18"/>
                <w:color w:val="auto"/>
              </w:rPr>
              <w:t>Date:</w:t>
            </w:r>
          </w:p>
        </w:tc>
        <w:tc>
          <w:tcPr>
            <w:tcW w:w="4800" w:type="dxa"/>
            <w:vAlign w:val="bottom"/>
            <w:gridSpan w:val="2"/>
          </w:tcPr>
          <w:p>
            <w:pPr>
              <w:ind w:left="20"/>
              <w:spacing w:after="0"/>
              <w:rPr>
                <w:sz w:val="20"/>
                <w:szCs w:val="20"/>
                <w:color w:val="auto"/>
              </w:rPr>
            </w:pPr>
            <w:r>
              <w:rPr>
                <w:rFonts w:ascii="Arial" w:cs="Arial" w:eastAsia="Arial" w:hAnsi="Arial"/>
                <w:sz w:val="18"/>
                <w:szCs w:val="18"/>
                <w:color w:val="auto"/>
              </w:rPr>
              <w:t>May 9, 2014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decimal"/>
      <w:start w:val="815"/>
    </w:lvl>
  </w:abstractNum>
  <w:abstractNum w:abstractNumId="3">
    <w:nsid w:val="75A2A8D4"/>
    <w:multiLevelType w:val="hybridMultilevel"/>
    <w:lvl w:ilvl="0">
      <w:lvlJc w:val="left"/>
      <w:lvlText w:val="%1."/>
      <w:numFmt w:val="decimal"/>
      <w:start w:val="1"/>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1."/>
      <w:numFmt w:val="decimal"/>
      <w:start w:val="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decimal"/>
      <w:start w:val="1"/>
    </w:lvl>
  </w:abstractNum>
  <w:abstractNum w:abstractNumId="10">
    <w:nsid w:val="71F32454"/>
    <w:multiLevelType w:val="hybridMultilevel"/>
    <w:lvl w:ilvl="0">
      <w:lvlJc w:val="left"/>
      <w:lvlText w:val="%1."/>
      <w:numFmt w:val="decimal"/>
      <w:start w:val="1"/>
    </w:lvl>
  </w:abstractNum>
  <w:abstractNum w:abstractNumId="11">
    <w:nsid w:val="2CA88611"/>
    <w:multiLevelType w:val="hybridMultilevel"/>
    <w:lvl w:ilvl="0">
      <w:lvlJc w:val="left"/>
      <w:lvlText w:val="%1."/>
      <w:numFmt w:val="decimal"/>
      <w:start w:val="1"/>
    </w:lvl>
  </w:abstractNum>
  <w:abstractNum w:abstractNumId="12">
    <w:nsid w:val="836C40E"/>
    <w:multiLevelType w:val="hybridMultilevel"/>
    <w:lvl w:ilvl="0">
      <w:lvlJc w:val="left"/>
      <w:lvlText w:val="%1."/>
      <w:numFmt w:val="decimal"/>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1."/>
      <w:numFmt w:val="decimal"/>
      <w:start w:val="1"/>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1"/>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decimal"/>
      <w:start w:val="1"/>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32"/>
    </w:lvl>
  </w:abstractNum>
  <w:abstractNum w:abstractNumId="40">
    <w:nsid w:val="6A2342EC"/>
    <w:multiLevelType w:val="hybridMultilevel"/>
    <w:lvl w:ilvl="0">
      <w:lvlJc w:val="left"/>
      <w:lvlText w:val="**"/>
      <w:numFmt w:val="bullet"/>
      <w:start w:val="1"/>
    </w:lvl>
    <w:lvl w:ilvl="1">
      <w:lvlJc w:val="left"/>
      <w:lvlText w:val="(%2)"/>
      <w:numFmt w:val="lowerLetter"/>
      <w:start w:val="2"/>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2019-12-07T17:37:13Z</dcterms:created>
  <dcterms:modified xsi:type="dcterms:W3CDTF">2019-12-07T17:37:13Z</dcterms:modified>
</cp:coreProperties>
</file>