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234950</wp:posOffset>
            </wp:positionH>
            <wp:positionV relativeFrom="page">
              <wp:posOffset>243205</wp:posOffset>
            </wp:positionV>
            <wp:extent cx="71005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0057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82550</wp:posOffset>
            </wp:positionH>
            <wp:positionV relativeFrom="paragraph">
              <wp:posOffset>-224155</wp:posOffset>
            </wp:positionV>
            <wp:extent cx="71005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00570" cy="8890"/>
                    </a:xfrm>
                    <a:prstGeom prst="rect">
                      <a:avLst/>
                    </a:prstGeom>
                    <a:noFill/>
                  </pic:spPr>
                </pic:pic>
              </a:graphicData>
            </a:graphic>
          </wp:anchor>
        </w:drawing>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ind w:left="3440"/>
        <w:spacing w:after="0"/>
        <w:rPr>
          <w:sz w:val="20"/>
          <w:szCs w:val="20"/>
          <w:color w:val="auto"/>
        </w:rPr>
      </w:pPr>
      <w:r>
        <w:rPr>
          <w:rFonts w:ascii="Arial" w:cs="Arial" w:eastAsia="Arial" w:hAnsi="Arial"/>
          <w:sz w:val="18"/>
          <w:szCs w:val="18"/>
          <w:color w:val="auto"/>
        </w:rPr>
        <w:t>__________________________________________________</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2" w:lineRule="exact"/>
        <w:rPr>
          <w:sz w:val="24"/>
          <w:szCs w:val="24"/>
          <w:color w:val="auto"/>
        </w:rPr>
      </w:pPr>
    </w:p>
    <w:p>
      <w:pPr>
        <w:ind w:left="3480"/>
        <w:spacing w:after="0"/>
        <w:rPr>
          <w:sz w:val="20"/>
          <w:szCs w:val="20"/>
          <w:color w:val="auto"/>
        </w:rPr>
      </w:pPr>
      <w:r>
        <w:rPr>
          <w:rFonts w:ascii="Arial" w:cs="Arial" w:eastAsia="Arial" w:hAnsi="Arial"/>
          <w:sz w:val="18"/>
          <w:szCs w:val="18"/>
          <w:color w:val="auto"/>
        </w:rPr>
        <w:t>__________________________________________________</w:t>
      </w:r>
    </w:p>
    <w:p>
      <w:pPr>
        <w:spacing w:after="0" w:line="142" w:lineRule="exact"/>
        <w:rPr>
          <w:sz w:val="24"/>
          <w:szCs w:val="24"/>
          <w:color w:val="auto"/>
        </w:rPr>
      </w:pPr>
    </w:p>
    <w:p>
      <w:pPr>
        <w:ind w:left="800" w:hanging="765"/>
        <w:spacing w:after="0"/>
        <w:tabs>
          <w:tab w:leader="none" w:pos="80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QUARTERLY REPORT PURSUANT TO SECTION 13 OR 15(D) OF THE SECURITIES EXCHANGE ACT OF</w:t>
      </w:r>
    </w:p>
    <w:p>
      <w:pPr>
        <w:spacing w:after="0" w:line="25" w:lineRule="exact"/>
        <w:rPr>
          <w:rFonts w:ascii="MS PGothic" w:cs="MS PGothic" w:eastAsia="MS PGothic" w:hAnsi="MS PGothic"/>
          <w:sz w:val="21"/>
          <w:szCs w:val="21"/>
          <w:color w:val="auto"/>
        </w:rPr>
      </w:pPr>
    </w:p>
    <w:p>
      <w:pPr>
        <w:ind w:left="5840"/>
        <w:spacing w:after="0"/>
        <w:rPr>
          <w:rFonts w:ascii="MS PGothic" w:cs="MS PGothic" w:eastAsia="MS PGothic" w:hAnsi="MS PGothic"/>
          <w:sz w:val="21"/>
          <w:szCs w:val="21"/>
          <w:color w:val="auto"/>
        </w:rPr>
      </w:pPr>
      <w:r>
        <w:rPr>
          <w:rFonts w:ascii="Arial" w:cs="Arial" w:eastAsia="Arial" w:hAnsi="Arial"/>
          <w:sz w:val="22"/>
          <w:szCs w:val="22"/>
          <w:b w:val="1"/>
          <w:bCs w:val="1"/>
          <w:color w:val="auto"/>
        </w:rPr>
        <w:t>1934</w:t>
      </w:r>
    </w:p>
    <w:p>
      <w:pPr>
        <w:spacing w:after="0" w:line="5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2016</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780" w:hanging="745"/>
        <w:spacing w:after="0"/>
        <w:tabs>
          <w:tab w:leader="none" w:pos="78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13 OR 15(D) OF THE SECURITIES EXCHANGE ACT OF</w:t>
      </w:r>
    </w:p>
    <w:p>
      <w:pPr>
        <w:spacing w:after="0" w:line="25" w:lineRule="exact"/>
        <w:rPr>
          <w:rFonts w:ascii="MS PGothic" w:cs="MS PGothic" w:eastAsia="MS PGothic" w:hAnsi="MS PGothic"/>
          <w:sz w:val="21"/>
          <w:szCs w:val="21"/>
          <w:color w:val="auto"/>
        </w:rPr>
      </w:pPr>
    </w:p>
    <w:p>
      <w:pPr>
        <w:ind w:left="5840"/>
        <w:spacing w:after="0"/>
        <w:rPr>
          <w:rFonts w:ascii="MS PGothic" w:cs="MS PGothic" w:eastAsia="MS PGothic" w:hAnsi="MS PGothic"/>
          <w:sz w:val="21"/>
          <w:szCs w:val="21"/>
          <w:color w:val="auto"/>
        </w:rPr>
      </w:pPr>
      <w:r>
        <w:rPr>
          <w:rFonts w:ascii="Arial" w:cs="Arial" w:eastAsia="Arial" w:hAnsi="Arial"/>
          <w:sz w:val="22"/>
          <w:szCs w:val="22"/>
          <w:b w:val="1"/>
          <w:bCs w:val="1"/>
          <w:color w:val="auto"/>
        </w:rPr>
        <w:t>1934</w:t>
      </w:r>
    </w:p>
    <w:p>
      <w:pPr>
        <w:spacing w:after="0" w:line="11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001-34057</w:t>
      </w:r>
    </w:p>
    <w:p>
      <w:pPr>
        <w:spacing w:after="0" w:line="27" w:lineRule="exact"/>
        <w:rPr>
          <w:sz w:val="24"/>
          <w:szCs w:val="24"/>
          <w:color w:val="auto"/>
        </w:rPr>
      </w:pPr>
    </w:p>
    <w:p>
      <w:pPr>
        <w:ind w:left="3460"/>
        <w:spacing w:after="0"/>
        <w:rPr>
          <w:sz w:val="20"/>
          <w:szCs w:val="20"/>
          <w:color w:val="auto"/>
        </w:rPr>
      </w:pPr>
      <w:r>
        <w:rPr>
          <w:rFonts w:ascii="Arial" w:cs="Arial" w:eastAsia="Arial" w:hAnsi="Arial"/>
          <w:sz w:val="18"/>
          <w:szCs w:val="18"/>
          <w:color w:val="auto"/>
        </w:rPr>
        <w:t>__________________________________________________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2852420</wp:posOffset>
            </wp:positionH>
            <wp:positionV relativeFrom="paragraph">
              <wp:posOffset>108585</wp:posOffset>
            </wp:positionV>
            <wp:extent cx="1551940" cy="8578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51940" cy="8578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AMERICAN CAPITAL AGENCY CORP.</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3460"/>
        <w:spacing w:after="0"/>
        <w:rPr>
          <w:sz w:val="20"/>
          <w:szCs w:val="20"/>
          <w:color w:val="auto"/>
        </w:rPr>
      </w:pPr>
      <w:r>
        <w:rPr>
          <w:rFonts w:ascii="Arial" w:cs="Arial" w:eastAsia="Arial" w:hAnsi="Arial"/>
          <w:sz w:val="18"/>
          <w:szCs w:val="18"/>
          <w:color w:val="auto"/>
        </w:rPr>
        <w:t>__________________________________________________</w:t>
      </w:r>
    </w:p>
    <w:p>
      <w:pPr>
        <w:spacing w:after="0" w:line="153" w:lineRule="exact"/>
        <w:rPr>
          <w:sz w:val="24"/>
          <w:szCs w:val="24"/>
          <w:color w:val="auto"/>
        </w:rPr>
      </w:pPr>
    </w:p>
    <w:tbl>
      <w:tblPr>
        <w:tblLayout w:type="fixed"/>
        <w:tblInd w:w="1780" w:type="dxa"/>
        <w:tblCellMar>
          <w:top w:w="0" w:type="dxa"/>
          <w:left w:w="0" w:type="dxa"/>
          <w:bottom w:w="0" w:type="dxa"/>
          <w:right w:w="0" w:type="dxa"/>
        </w:tblCellMar>
      </w:tblPr>
      <w:tr>
        <w:trPr>
          <w:trHeight w:val="234"/>
        </w:trPr>
        <w:tc>
          <w:tcPr>
            <w:tcW w:w="4200" w:type="dxa"/>
            <w:vAlign w:val="bottom"/>
          </w:tcPr>
          <w:p>
            <w:pPr>
              <w:jc w:val="center"/>
              <w:ind w:right="2182"/>
              <w:spacing w:after="0"/>
              <w:rPr>
                <w:sz w:val="20"/>
                <w:szCs w:val="20"/>
                <w:color w:val="auto"/>
              </w:rPr>
            </w:pPr>
            <w:r>
              <w:rPr>
                <w:rFonts w:ascii="Arial" w:cs="Arial" w:eastAsia="Arial" w:hAnsi="Arial"/>
                <w:sz w:val="18"/>
                <w:szCs w:val="18"/>
                <w:b w:val="1"/>
                <w:bCs w:val="1"/>
                <w:color w:val="auto"/>
                <w:w w:val="93"/>
              </w:rPr>
              <w:t>Delaware</w:t>
            </w:r>
          </w:p>
        </w:tc>
        <w:tc>
          <w:tcPr>
            <w:tcW w:w="3380" w:type="dxa"/>
            <w:vAlign w:val="bottom"/>
          </w:tcPr>
          <w:p>
            <w:pPr>
              <w:jc w:val="center"/>
              <w:ind w:left="2182"/>
              <w:spacing w:after="0"/>
              <w:rPr>
                <w:sz w:val="20"/>
                <w:szCs w:val="20"/>
                <w:color w:val="auto"/>
              </w:rPr>
            </w:pPr>
            <w:r>
              <w:rPr>
                <w:rFonts w:ascii="Arial" w:cs="Arial" w:eastAsia="Arial" w:hAnsi="Arial"/>
                <w:sz w:val="18"/>
                <w:szCs w:val="18"/>
                <w:b w:val="1"/>
                <w:bCs w:val="1"/>
                <w:color w:val="auto"/>
                <w:w w:val="91"/>
              </w:rPr>
              <w:t>26-1701984</w:t>
            </w:r>
          </w:p>
        </w:tc>
      </w:tr>
      <w:tr>
        <w:trPr>
          <w:trHeight w:val="180"/>
        </w:trPr>
        <w:tc>
          <w:tcPr>
            <w:tcW w:w="4200" w:type="dxa"/>
            <w:vAlign w:val="bottom"/>
          </w:tcPr>
          <w:p>
            <w:pPr>
              <w:jc w:val="center"/>
              <w:ind w:right="2182"/>
              <w:spacing w:after="0"/>
              <w:rPr>
                <w:sz w:val="20"/>
                <w:szCs w:val="20"/>
                <w:color w:val="auto"/>
              </w:rPr>
            </w:pPr>
            <w:r>
              <w:rPr>
                <w:rFonts w:ascii="Arial" w:cs="Arial" w:eastAsia="Arial" w:hAnsi="Arial"/>
                <w:sz w:val="14"/>
                <w:szCs w:val="14"/>
                <w:b w:val="1"/>
                <w:bCs w:val="1"/>
                <w:color w:val="auto"/>
                <w:w w:val="93"/>
              </w:rPr>
              <w:t>(State or Other Jurisdiction of</w:t>
            </w:r>
          </w:p>
        </w:tc>
        <w:tc>
          <w:tcPr>
            <w:tcW w:w="3380" w:type="dxa"/>
            <w:vAlign w:val="bottom"/>
          </w:tcPr>
          <w:p>
            <w:pPr>
              <w:jc w:val="center"/>
              <w:ind w:left="2182"/>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4200" w:type="dxa"/>
            <w:vAlign w:val="bottom"/>
          </w:tcPr>
          <w:p>
            <w:pPr>
              <w:jc w:val="center"/>
              <w:ind w:right="2182"/>
              <w:spacing w:after="0"/>
              <w:rPr>
                <w:sz w:val="20"/>
                <w:szCs w:val="20"/>
                <w:color w:val="auto"/>
              </w:rPr>
            </w:pPr>
            <w:r>
              <w:rPr>
                <w:rFonts w:ascii="Arial" w:cs="Arial" w:eastAsia="Arial" w:hAnsi="Arial"/>
                <w:sz w:val="14"/>
                <w:szCs w:val="14"/>
                <w:b w:val="1"/>
                <w:bCs w:val="1"/>
                <w:color w:val="auto"/>
                <w:w w:val="95"/>
              </w:rPr>
              <w:t>Incorporation or Organization)</w:t>
            </w:r>
          </w:p>
        </w:tc>
        <w:tc>
          <w:tcPr>
            <w:tcW w:w="3380" w:type="dxa"/>
            <w:vAlign w:val="bottom"/>
          </w:tcPr>
          <w:p>
            <w:pPr>
              <w:jc w:val="center"/>
              <w:ind w:left="2182"/>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 Bethesda Metro Center, 12th Floor</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Bethesda, Maryland 20814</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(Address of principal executive offices)</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(301) 968-9315</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9" w:lineRule="exact"/>
        <w:rPr>
          <w:sz w:val="24"/>
          <w:szCs w:val="24"/>
          <w:color w:val="auto"/>
        </w:rPr>
      </w:pPr>
    </w:p>
    <w:p>
      <w:pPr>
        <w:ind w:left="3480"/>
        <w:spacing w:after="0"/>
        <w:rPr>
          <w:sz w:val="20"/>
          <w:szCs w:val="20"/>
          <w:color w:val="auto"/>
        </w:rPr>
      </w:pPr>
      <w:r>
        <w:rPr>
          <w:rFonts w:ascii="Arial" w:cs="Arial" w:eastAsia="Arial" w:hAnsi="Arial"/>
          <w:sz w:val="18"/>
          <w:szCs w:val="18"/>
          <w:color w:val="auto"/>
        </w:rPr>
        <w:t>__________________________________________________</w:t>
      </w:r>
    </w:p>
    <w:p>
      <w:pPr>
        <w:spacing w:after="0" w:line="47" w:lineRule="exact"/>
        <w:rPr>
          <w:sz w:val="24"/>
          <w:szCs w:val="24"/>
          <w:color w:val="auto"/>
        </w:rPr>
      </w:pPr>
    </w:p>
    <w:p>
      <w:pPr>
        <w:ind w:right="160"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to be filed by Section 13 or 15(d) of the Securities Exchange Act of 1934 during the preceding 12 months (or for such shorter earlier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ind w:right="260"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ind w:firstLine="432"/>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w:t>
      </w:r>
    </w:p>
    <w:p>
      <w:pPr>
        <w:spacing w:after="0" w:line="138" w:lineRule="exact"/>
        <w:rPr>
          <w:sz w:val="24"/>
          <w:szCs w:val="24"/>
          <w:color w:val="auto"/>
        </w:rPr>
      </w:pPr>
    </w:p>
    <w:tbl>
      <w:tblPr>
        <w:tblLayout w:type="fixed"/>
        <w:tblInd w:w="40" w:type="dxa"/>
        <w:tblCellMar>
          <w:top w:w="0" w:type="dxa"/>
          <w:left w:w="0" w:type="dxa"/>
          <w:bottom w:w="0" w:type="dxa"/>
          <w:right w:w="0" w:type="dxa"/>
        </w:tblCellMar>
      </w:tblPr>
      <w:tr>
        <w:trPr>
          <w:trHeight w:val="283"/>
        </w:trPr>
        <w:tc>
          <w:tcPr>
            <w:tcW w:w="2140" w:type="dxa"/>
            <w:vAlign w:val="bottom"/>
            <w:gridSpan w:val="2"/>
          </w:tcPr>
          <w:p>
            <w:pPr>
              <w:spacing w:after="0"/>
              <w:rPr>
                <w:sz w:val="20"/>
                <w:szCs w:val="20"/>
                <w:color w:val="auto"/>
              </w:rPr>
            </w:pPr>
            <w:r>
              <w:rPr>
                <w:rFonts w:ascii="Arial" w:cs="Arial" w:eastAsia="Arial" w:hAnsi="Arial"/>
                <w:sz w:val="18"/>
                <w:szCs w:val="18"/>
                <w:color w:val="auto"/>
              </w:rPr>
              <w:t>Large accelerated filer</w:t>
            </w:r>
          </w:p>
        </w:tc>
        <w:tc>
          <w:tcPr>
            <w:tcW w:w="8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4040" w:type="dxa"/>
            <w:vAlign w:val="bottom"/>
          </w:tcPr>
          <w:p>
            <w:pPr>
              <w:spacing w:after="0"/>
              <w:rPr>
                <w:sz w:val="24"/>
                <w:szCs w:val="24"/>
                <w:color w:val="auto"/>
              </w:rPr>
            </w:pPr>
          </w:p>
        </w:tc>
        <w:tc>
          <w:tcPr>
            <w:tcW w:w="2740" w:type="dxa"/>
            <w:vAlign w:val="bottom"/>
          </w:tcPr>
          <w:p>
            <w:pPr>
              <w:ind w:left="640"/>
              <w:spacing w:after="0"/>
              <w:rPr>
                <w:sz w:val="20"/>
                <w:szCs w:val="20"/>
                <w:color w:val="auto"/>
              </w:rPr>
            </w:pPr>
            <w:r>
              <w:rPr>
                <w:rFonts w:ascii="Arial" w:cs="Arial" w:eastAsia="Arial" w:hAnsi="Arial"/>
                <w:sz w:val="18"/>
                <w:szCs w:val="18"/>
                <w:color w:val="auto"/>
              </w:rPr>
              <w:t>Accelerated filer</w:t>
            </w:r>
          </w:p>
        </w:tc>
        <w:tc>
          <w:tcPr>
            <w:tcW w:w="1560" w:type="dxa"/>
            <w:vAlign w:val="bottom"/>
          </w:tcPr>
          <w:p>
            <w:pPr>
              <w:ind w:left="1140"/>
              <w:spacing w:after="0" w:line="181" w:lineRule="exact"/>
              <w:rPr>
                <w:sz w:val="20"/>
                <w:szCs w:val="20"/>
                <w:color w:val="auto"/>
              </w:rPr>
            </w:pPr>
            <w:r>
              <w:rPr>
                <w:rFonts w:ascii="MS PGothic" w:cs="MS PGothic" w:eastAsia="MS PGothic" w:hAnsi="MS PGothic"/>
                <w:sz w:val="18"/>
                <w:szCs w:val="18"/>
                <w:color w:val="auto"/>
              </w:rPr>
              <w:t>☐</w:t>
            </w:r>
          </w:p>
        </w:tc>
      </w:tr>
      <w:tr>
        <w:trPr>
          <w:trHeight w:val="446"/>
        </w:trPr>
        <w:tc>
          <w:tcPr>
            <w:tcW w:w="2140" w:type="dxa"/>
            <w:vAlign w:val="bottom"/>
            <w:gridSpan w:val="2"/>
          </w:tcPr>
          <w:p>
            <w:pPr>
              <w:spacing w:after="0"/>
              <w:rPr>
                <w:sz w:val="20"/>
                <w:szCs w:val="20"/>
                <w:color w:val="auto"/>
              </w:rPr>
            </w:pPr>
            <w:r>
              <w:rPr>
                <w:rFonts w:ascii="Arial" w:cs="Arial" w:eastAsia="Arial" w:hAnsi="Arial"/>
                <w:sz w:val="18"/>
                <w:szCs w:val="18"/>
                <w:color w:val="auto"/>
              </w:rPr>
              <w:t>Non-accelerated filer</w:t>
            </w:r>
          </w:p>
        </w:tc>
        <w:tc>
          <w:tcPr>
            <w:tcW w:w="8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4040" w:type="dxa"/>
            <w:vAlign w:val="bottom"/>
          </w:tcPr>
          <w:p>
            <w:pPr>
              <w:ind w:left="80"/>
              <w:spacing w:after="0"/>
              <w:rPr>
                <w:sz w:val="20"/>
                <w:szCs w:val="20"/>
                <w:color w:val="auto"/>
              </w:rPr>
            </w:pPr>
            <w:r>
              <w:rPr>
                <w:rFonts w:ascii="Arial" w:cs="Arial" w:eastAsia="Arial" w:hAnsi="Arial"/>
                <w:sz w:val="18"/>
                <w:szCs w:val="18"/>
                <w:color w:val="auto"/>
              </w:rPr>
              <w:t>(Do not check if a smaller reporting company)</w:t>
            </w:r>
          </w:p>
        </w:tc>
        <w:tc>
          <w:tcPr>
            <w:tcW w:w="2740" w:type="dxa"/>
            <w:vAlign w:val="bottom"/>
          </w:tcPr>
          <w:p>
            <w:pPr>
              <w:ind w:left="640"/>
              <w:spacing w:after="0"/>
              <w:rPr>
                <w:sz w:val="20"/>
                <w:szCs w:val="20"/>
                <w:color w:val="auto"/>
              </w:rPr>
            </w:pPr>
            <w:r>
              <w:rPr>
                <w:rFonts w:ascii="Arial" w:cs="Arial" w:eastAsia="Arial" w:hAnsi="Arial"/>
                <w:sz w:val="18"/>
                <w:szCs w:val="18"/>
                <w:color w:val="auto"/>
                <w:w w:val="91"/>
              </w:rPr>
              <w:t>Smaller Reporting Company</w:t>
            </w:r>
          </w:p>
        </w:tc>
        <w:tc>
          <w:tcPr>
            <w:tcW w:w="1560" w:type="dxa"/>
            <w:vAlign w:val="bottom"/>
          </w:tcPr>
          <w:p>
            <w:pPr>
              <w:ind w:left="1140"/>
              <w:spacing w:after="0" w:line="181" w:lineRule="exact"/>
              <w:rPr>
                <w:sz w:val="20"/>
                <w:szCs w:val="20"/>
                <w:color w:val="auto"/>
              </w:rPr>
            </w:pPr>
            <w:r>
              <w:rPr>
                <w:rFonts w:ascii="MS PGothic" w:cs="MS PGothic" w:eastAsia="MS PGothic" w:hAnsi="MS PGothic"/>
                <w:sz w:val="18"/>
                <w:szCs w:val="18"/>
                <w:color w:val="auto"/>
              </w:rPr>
              <w:t>☐</w:t>
            </w:r>
          </w:p>
        </w:tc>
      </w:tr>
      <w:tr>
        <w:trPr>
          <w:trHeight w:val="276"/>
        </w:trPr>
        <w:tc>
          <w:tcPr>
            <w:tcW w:w="80" w:type="dxa"/>
            <w:vAlign w:val="bottom"/>
          </w:tcPr>
          <w:p>
            <w:pPr>
              <w:spacing w:after="0"/>
              <w:rPr>
                <w:sz w:val="24"/>
                <w:szCs w:val="24"/>
                <w:color w:val="auto"/>
              </w:rPr>
            </w:pPr>
          </w:p>
        </w:tc>
        <w:tc>
          <w:tcPr>
            <w:tcW w:w="9640" w:type="dxa"/>
            <w:vAlign w:val="bottom"/>
            <w:gridSpan w:val="4"/>
          </w:tcPr>
          <w:p>
            <w:pPr>
              <w:ind w:left="320"/>
              <w:spacing w:after="0" w:line="207" w:lineRule="exact"/>
              <w:rPr>
                <w:sz w:val="20"/>
                <w:szCs w:val="20"/>
                <w:color w:val="auto"/>
              </w:rPr>
            </w:pPr>
            <w:r>
              <w:rPr>
                <w:rFonts w:ascii="Arial" w:cs="Arial" w:eastAsia="Arial" w:hAnsi="Arial"/>
                <w:sz w:val="18"/>
                <w:szCs w:val="18"/>
                <w:color w:val="auto"/>
                <w:w w:val="93"/>
              </w:rPr>
              <w:t xml:space="preserve">Indicate by check mark whether the registrant is a shell company (as defined in Rule 12b-2 of the Exchange Act).  Yes </w:t>
            </w:r>
            <w:r>
              <w:rPr>
                <w:rFonts w:ascii="MS PGothic" w:cs="MS PGothic" w:eastAsia="MS PGothic" w:hAnsi="MS PGothic"/>
                <w:sz w:val="18"/>
                <w:szCs w:val="18"/>
                <w:color w:val="auto"/>
                <w:w w:val="93"/>
              </w:rPr>
              <w:t>☐</w:t>
            </w:r>
            <w:r>
              <w:rPr>
                <w:rFonts w:ascii="Arial" w:cs="Arial" w:eastAsia="Arial" w:hAnsi="Arial"/>
                <w:sz w:val="18"/>
                <w:szCs w:val="18"/>
                <w:color w:val="auto"/>
                <w:w w:val="93"/>
              </w:rPr>
              <w:t xml:space="preserve"> No</w:t>
            </w:r>
          </w:p>
        </w:tc>
        <w:tc>
          <w:tcPr>
            <w:tcW w:w="156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80" w:type="dxa"/>
            <w:vAlign w:val="bottom"/>
          </w:tcPr>
          <w:p>
            <w:pPr>
              <w:spacing w:after="0"/>
              <w:rPr>
                <w:sz w:val="20"/>
                <w:szCs w:val="20"/>
                <w:color w:val="auto"/>
              </w:rPr>
            </w:pPr>
          </w:p>
        </w:tc>
        <w:tc>
          <w:tcPr>
            <w:tcW w:w="9640" w:type="dxa"/>
            <w:vAlign w:val="bottom"/>
            <w:gridSpan w:val="4"/>
          </w:tcPr>
          <w:p>
            <w:pPr>
              <w:ind w:left="220"/>
              <w:spacing w:after="0"/>
              <w:rPr>
                <w:sz w:val="20"/>
                <w:szCs w:val="20"/>
                <w:color w:val="auto"/>
              </w:rPr>
            </w:pPr>
            <w:r>
              <w:rPr>
                <w:rFonts w:ascii="Arial" w:cs="Arial" w:eastAsia="Arial" w:hAnsi="Arial"/>
                <w:sz w:val="18"/>
                <w:szCs w:val="18"/>
                <w:color w:val="auto"/>
                <w:w w:val="98"/>
              </w:rPr>
              <w:t>The number of shares of the issuer's common stock, $0.01 par value, outstanding as of July 31, 2016 was 331,046,077.</w:t>
            </w:r>
          </w:p>
        </w:tc>
        <w:tc>
          <w:tcPr>
            <w:tcW w:w="1560" w:type="dxa"/>
            <w:vAlign w:val="bottom"/>
          </w:tcPr>
          <w:p>
            <w:pPr>
              <w:spacing w:after="0"/>
              <w:rPr>
                <w:sz w:val="20"/>
                <w:szCs w:val="20"/>
                <w:color w:val="auto"/>
              </w:rPr>
            </w:pPr>
          </w:p>
        </w:tc>
      </w:tr>
      <w:tr>
        <w:trPr>
          <w:trHeight w:val="135"/>
        </w:trPr>
        <w:tc>
          <w:tcPr>
            <w:tcW w:w="80" w:type="dxa"/>
            <w:vAlign w:val="bottom"/>
          </w:tcPr>
          <w:p>
            <w:pPr>
              <w:spacing w:after="0"/>
              <w:rPr>
                <w:sz w:val="11"/>
                <w:szCs w:val="11"/>
                <w:color w:val="auto"/>
              </w:rPr>
            </w:pPr>
          </w:p>
        </w:tc>
        <w:tc>
          <w:tcPr>
            <w:tcW w:w="20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4040" w:type="dxa"/>
            <w:vAlign w:val="bottom"/>
            <w:tcBorders>
              <w:bottom w:val="single" w:sz="8" w:color="auto"/>
            </w:tcBorders>
          </w:tcPr>
          <w:p>
            <w:pPr>
              <w:spacing w:after="0"/>
              <w:rPr>
                <w:sz w:val="11"/>
                <w:szCs w:val="11"/>
                <w:color w:val="auto"/>
              </w:rPr>
            </w:pPr>
          </w:p>
        </w:tc>
        <w:tc>
          <w:tcPr>
            <w:tcW w:w="274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tcPr>
          <w:p>
            <w:pPr>
              <w:spacing w:after="0"/>
              <w:rPr>
                <w:sz w:val="11"/>
                <w:szCs w:val="11"/>
                <w:color w:val="auto"/>
              </w:rPr>
            </w:pPr>
          </w:p>
        </w:tc>
      </w:tr>
      <w:tr>
        <w:trPr>
          <w:trHeight w:val="115"/>
        </w:trPr>
        <w:tc>
          <w:tcPr>
            <w:tcW w:w="80" w:type="dxa"/>
            <w:vAlign w:val="bottom"/>
          </w:tcPr>
          <w:p>
            <w:pPr>
              <w:spacing w:after="0"/>
              <w:rPr>
                <w:sz w:val="10"/>
                <w:szCs w:val="10"/>
                <w:color w:val="auto"/>
              </w:rPr>
            </w:pPr>
          </w:p>
        </w:tc>
        <w:tc>
          <w:tcPr>
            <w:tcW w:w="206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4040" w:type="dxa"/>
            <w:vAlign w:val="bottom"/>
            <w:tcBorders>
              <w:bottom w:val="single" w:sz="8" w:color="auto"/>
            </w:tcBorders>
          </w:tcPr>
          <w:p>
            <w:pPr>
              <w:spacing w:after="0"/>
              <w:rPr>
                <w:sz w:val="10"/>
                <w:szCs w:val="10"/>
                <w:color w:val="auto"/>
              </w:rPr>
            </w:pPr>
          </w:p>
        </w:tc>
        <w:tc>
          <w:tcPr>
            <w:tcW w:w="274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503" w:right="239" w:bottom="1440" w:gutter="0" w:footer="0" w:header="0"/>
        </w:sectPr>
      </w:pPr>
    </w:p>
    <w:bookmarkStart w:id="1" w:name="page2"/>
    <w:bookmarkEnd w:id="1"/>
    <w:p>
      <w:pPr>
        <w:jc w:val="center"/>
        <w:ind w:right="-619"/>
        <w:spacing w:after="0"/>
        <w:rPr>
          <w:sz w:val="20"/>
          <w:szCs w:val="20"/>
          <w:color w:val="auto"/>
        </w:rPr>
      </w:pPr>
      <w:r>
        <w:rPr>
          <w:rFonts w:ascii="Arial" w:cs="Arial" w:eastAsia="Arial" w:hAnsi="Arial"/>
          <w:sz w:val="18"/>
          <w:szCs w:val="18"/>
          <w:b w:val="1"/>
          <w:bCs w:val="1"/>
          <w:color w:val="auto"/>
        </w:rPr>
        <w:t>AMERICAN CAPITAL AGENCY CORP.</w:t>
      </w:r>
    </w:p>
    <w:p>
      <w:pPr>
        <w:spacing w:after="0" w:line="90"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TABLE OF CONTENTS</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040" w:type="dxa"/>
            <w:vAlign w:val="bottom"/>
            <w:gridSpan w:val="3"/>
          </w:tcPr>
          <w:p>
            <w:pPr>
              <w:spacing w:after="0"/>
              <w:rPr>
                <w:rFonts w:ascii="Arial" w:cs="Arial" w:eastAsia="Arial" w:hAnsi="Arial"/>
                <w:sz w:val="16"/>
                <w:szCs w:val="16"/>
                <w:b w:val="1"/>
                <w:bCs w:val="1"/>
                <w:color w:val="0000EE"/>
              </w:rPr>
            </w:pPr>
            <w:hyperlink w:anchor="page3">
              <w:r>
                <w:rPr>
                  <w:rFonts w:ascii="Arial" w:cs="Arial" w:eastAsia="Arial" w:hAnsi="Arial"/>
                  <w:sz w:val="16"/>
                  <w:szCs w:val="16"/>
                  <w:b w:val="1"/>
                  <w:bCs w:val="1"/>
                  <w:color w:val="0000EE"/>
                </w:rPr>
                <w:t>PART I.</w:t>
              </w:r>
            </w:hyperlink>
          </w:p>
        </w:tc>
        <w:tc>
          <w:tcPr>
            <w:tcW w:w="7660" w:type="dxa"/>
            <w:vAlign w:val="bottom"/>
            <w:gridSpan w:val="6"/>
          </w:tcPr>
          <w:p>
            <w:pPr>
              <w:spacing w:after="0"/>
              <w:rPr>
                <w:rFonts w:ascii="Arial" w:cs="Arial" w:eastAsia="Arial" w:hAnsi="Arial"/>
                <w:sz w:val="16"/>
                <w:szCs w:val="16"/>
                <w:b w:val="1"/>
                <w:bCs w:val="1"/>
                <w:color w:val="0000EE"/>
              </w:rPr>
            </w:pPr>
            <w:hyperlink w:anchor="page3">
              <w:r>
                <w:rPr>
                  <w:rFonts w:ascii="Arial" w:cs="Arial" w:eastAsia="Arial" w:hAnsi="Arial"/>
                  <w:sz w:val="16"/>
                  <w:szCs w:val="16"/>
                  <w:b w:val="1"/>
                  <w:bCs w:val="1"/>
                  <w:color w:val="0000EE"/>
                </w:rPr>
                <w:t>FINANCIAL INFORMATION</w:t>
              </w:r>
            </w:hyperlink>
          </w:p>
        </w:tc>
        <w:tc>
          <w:tcPr>
            <w:tcW w:w="1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540"/>
        </w:trPr>
        <w:tc>
          <w:tcPr>
            <w:tcW w:w="460" w:type="dxa"/>
            <w:vAlign w:val="bottom"/>
            <w:tcBorders>
              <w:top w:val="single" w:sz="8" w:color="0000EE"/>
            </w:tcBorders>
          </w:tcPr>
          <w:p>
            <w:pPr>
              <w:spacing w:after="0"/>
              <w:rPr>
                <w:rFonts w:ascii="Arial" w:cs="Arial" w:eastAsia="Arial" w:hAnsi="Arial"/>
                <w:sz w:val="16"/>
                <w:szCs w:val="16"/>
                <w:color w:val="0000EE"/>
                <w:w w:val="89"/>
              </w:rPr>
            </w:pPr>
            <w:hyperlink w:anchor="page3">
              <w:r>
                <w:rPr>
                  <w:rFonts w:ascii="Arial" w:cs="Arial" w:eastAsia="Arial" w:hAnsi="Arial"/>
                  <w:sz w:val="16"/>
                  <w:szCs w:val="16"/>
                  <w:color w:val="0000EE"/>
                  <w:w w:val="89"/>
                </w:rPr>
                <w:t>Item 1.</w:t>
              </w:r>
            </w:hyperlink>
          </w:p>
        </w:tc>
        <w:tc>
          <w:tcPr>
            <w:tcW w:w="580" w:type="dxa"/>
            <w:vAlign w:val="bottom"/>
            <w:tcBorders>
              <w:top w:val="single" w:sz="8" w:color="0000EE"/>
            </w:tcBorders>
            <w:gridSpan w:val="2"/>
          </w:tcPr>
          <w:p>
            <w:pPr>
              <w:spacing w:after="0"/>
              <w:rPr>
                <w:sz w:val="24"/>
                <w:szCs w:val="24"/>
                <w:color w:val="auto"/>
              </w:rPr>
            </w:pPr>
          </w:p>
        </w:tc>
        <w:tc>
          <w:tcPr>
            <w:tcW w:w="2140" w:type="dxa"/>
            <w:vAlign w:val="bottom"/>
            <w:tcBorders>
              <w:top w:val="single" w:sz="8" w:color="0000EE"/>
            </w:tcBorders>
            <w:gridSpan w:val="3"/>
          </w:tcPr>
          <w:p>
            <w:pPr>
              <w:spacing w:after="0"/>
              <w:rPr>
                <w:rFonts w:ascii="Arial" w:cs="Arial" w:eastAsia="Arial" w:hAnsi="Arial"/>
                <w:sz w:val="16"/>
                <w:szCs w:val="16"/>
                <w:color w:val="0000EE"/>
              </w:rPr>
            </w:pPr>
            <w:hyperlink w:anchor="page3">
              <w:r>
                <w:rPr>
                  <w:rFonts w:ascii="Arial" w:cs="Arial" w:eastAsia="Arial" w:hAnsi="Arial"/>
                  <w:sz w:val="16"/>
                  <w:szCs w:val="16"/>
                  <w:color w:val="0000EE"/>
                </w:rPr>
                <w:t>Financial Statements</w:t>
              </w:r>
            </w:hyperlink>
          </w:p>
        </w:tc>
        <w:tc>
          <w:tcPr>
            <w:tcW w:w="5520" w:type="dxa"/>
            <w:vAlign w:val="bottom"/>
            <w:gridSpan w:val="3"/>
          </w:tcPr>
          <w:p>
            <w:pPr>
              <w:spacing w:after="0"/>
              <w:rPr>
                <w:sz w:val="24"/>
                <w:szCs w:val="24"/>
                <w:color w:val="auto"/>
              </w:rPr>
            </w:pPr>
          </w:p>
        </w:tc>
        <w:tc>
          <w:tcPr>
            <w:tcW w:w="1980" w:type="dxa"/>
            <w:vAlign w:val="bottom"/>
            <w:gridSpan w:val="2"/>
          </w:tcPr>
          <w:p>
            <w:pPr>
              <w:jc w:val="center"/>
              <w:ind w:left="1819"/>
              <w:spacing w:after="0"/>
              <w:rPr>
                <w:rFonts w:ascii="Arial" w:cs="Arial" w:eastAsia="Arial" w:hAnsi="Arial"/>
                <w:sz w:val="16"/>
                <w:szCs w:val="16"/>
                <w:color w:val="0000EE"/>
                <w:w w:val="89"/>
              </w:rPr>
            </w:pPr>
            <w:hyperlink w:anchor="page3">
              <w:r>
                <w:rPr>
                  <w:rFonts w:ascii="Arial" w:cs="Arial" w:eastAsia="Arial" w:hAnsi="Arial"/>
                  <w:sz w:val="16"/>
                  <w:szCs w:val="16"/>
                  <w:color w:val="0000EE"/>
                  <w:w w:val="89"/>
                </w:rPr>
                <w:t>2</w:t>
              </w:r>
            </w:hyperlink>
          </w:p>
        </w:tc>
        <w:tc>
          <w:tcPr>
            <w:tcW w:w="40" w:type="dxa"/>
            <w:vAlign w:val="bottom"/>
          </w:tcPr>
          <w:p>
            <w:pPr>
              <w:spacing w:after="0"/>
              <w:rPr>
                <w:sz w:val="24"/>
                <w:szCs w:val="24"/>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460" w:type="dxa"/>
            <w:vAlign w:val="bottom"/>
            <w:tcBorders>
              <w:bottom w:val="single" w:sz="8" w:color="0000EE"/>
            </w:tcBorders>
          </w:tcPr>
          <w:p>
            <w:pPr>
              <w:spacing w:after="0"/>
              <w:rPr>
                <w:rFonts w:ascii="Arial" w:cs="Arial" w:eastAsia="Arial" w:hAnsi="Arial"/>
                <w:sz w:val="16"/>
                <w:szCs w:val="16"/>
                <w:color w:val="0000EE"/>
                <w:w w:val="89"/>
              </w:rPr>
            </w:pPr>
            <w:hyperlink w:anchor="page30">
              <w:r>
                <w:rPr>
                  <w:rFonts w:ascii="Arial" w:cs="Arial" w:eastAsia="Arial" w:hAnsi="Arial"/>
                  <w:sz w:val="16"/>
                  <w:szCs w:val="16"/>
                  <w:color w:val="0000EE"/>
                  <w:w w:val="89"/>
                </w:rPr>
                <w:t>Item 2.</w:t>
              </w:r>
            </w:hyperlink>
          </w:p>
        </w:tc>
        <w:tc>
          <w:tcPr>
            <w:tcW w:w="580" w:type="dxa"/>
            <w:vAlign w:val="bottom"/>
            <w:gridSpan w:val="2"/>
          </w:tcPr>
          <w:p>
            <w:pPr>
              <w:spacing w:after="0"/>
              <w:rPr>
                <w:sz w:val="20"/>
                <w:szCs w:val="20"/>
                <w:color w:val="auto"/>
              </w:rPr>
            </w:pPr>
          </w:p>
        </w:tc>
        <w:tc>
          <w:tcPr>
            <w:tcW w:w="5800" w:type="dxa"/>
            <w:vAlign w:val="bottom"/>
            <w:tcBorders>
              <w:bottom w:val="single" w:sz="8" w:color="0000EE"/>
            </w:tcBorders>
            <w:gridSpan w:val="5"/>
          </w:tcPr>
          <w:p>
            <w:pPr>
              <w:spacing w:after="0"/>
              <w:rPr>
                <w:rFonts w:ascii="Arial" w:cs="Arial" w:eastAsia="Arial" w:hAnsi="Arial"/>
                <w:sz w:val="16"/>
                <w:szCs w:val="16"/>
                <w:color w:val="0000EE"/>
                <w:w w:val="91"/>
              </w:rPr>
            </w:pPr>
            <w:hyperlink w:anchor="page30">
              <w:r>
                <w:rPr>
                  <w:rFonts w:ascii="Arial" w:cs="Arial" w:eastAsia="Arial" w:hAnsi="Arial"/>
                  <w:sz w:val="16"/>
                  <w:szCs w:val="16"/>
                  <w:color w:val="0000EE"/>
                  <w:w w:val="91"/>
                </w:rPr>
                <w:t>Management's Discussion and Analysis of Financial Condition and Results of Operations</w:t>
              </w:r>
            </w:hyperlink>
          </w:p>
        </w:tc>
        <w:tc>
          <w:tcPr>
            <w:tcW w:w="18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0" w:type="dxa"/>
            <w:vAlign w:val="bottom"/>
            <w:tcBorders>
              <w:bottom w:val="single" w:sz="8" w:color="0000EE"/>
            </w:tcBorders>
            <w:gridSpan w:val="2"/>
          </w:tcPr>
          <w:p>
            <w:pPr>
              <w:jc w:val="center"/>
              <w:spacing w:after="0"/>
              <w:rPr>
                <w:rFonts w:ascii="Arial" w:cs="Arial" w:eastAsia="Arial" w:hAnsi="Arial"/>
                <w:sz w:val="15"/>
                <w:szCs w:val="15"/>
                <w:color w:val="0000EE"/>
                <w:w w:val="71"/>
              </w:rPr>
            </w:pPr>
            <w:hyperlink w:anchor="page30">
              <w:r>
                <w:rPr>
                  <w:rFonts w:ascii="Arial" w:cs="Arial" w:eastAsia="Arial" w:hAnsi="Arial"/>
                  <w:sz w:val="15"/>
                  <w:szCs w:val="15"/>
                  <w:color w:val="0000EE"/>
                  <w:w w:val="71"/>
                </w:rPr>
                <w:t>29</w:t>
              </w:r>
            </w:hyperlink>
          </w:p>
        </w:tc>
      </w:tr>
      <w:tr>
        <w:trPr>
          <w:trHeight w:val="237"/>
        </w:trPr>
        <w:tc>
          <w:tcPr>
            <w:tcW w:w="460" w:type="dxa"/>
            <w:vAlign w:val="bottom"/>
          </w:tcPr>
          <w:p>
            <w:pPr>
              <w:spacing w:after="0"/>
              <w:rPr>
                <w:rFonts w:ascii="Arial" w:cs="Arial" w:eastAsia="Arial" w:hAnsi="Arial"/>
                <w:sz w:val="16"/>
                <w:szCs w:val="16"/>
                <w:color w:val="0000EE"/>
                <w:w w:val="89"/>
              </w:rPr>
            </w:pPr>
            <w:hyperlink w:anchor="page51">
              <w:r>
                <w:rPr>
                  <w:rFonts w:ascii="Arial" w:cs="Arial" w:eastAsia="Arial" w:hAnsi="Arial"/>
                  <w:sz w:val="16"/>
                  <w:szCs w:val="16"/>
                  <w:color w:val="0000EE"/>
                  <w:w w:val="89"/>
                </w:rPr>
                <w:t>Item 3.</w:t>
              </w:r>
            </w:hyperlink>
          </w:p>
        </w:tc>
        <w:tc>
          <w:tcPr>
            <w:tcW w:w="580" w:type="dxa"/>
            <w:vAlign w:val="bottom"/>
            <w:gridSpan w:val="2"/>
          </w:tcPr>
          <w:p>
            <w:pPr>
              <w:spacing w:after="0"/>
              <w:rPr>
                <w:sz w:val="20"/>
                <w:szCs w:val="20"/>
                <w:color w:val="auto"/>
              </w:rPr>
            </w:pPr>
          </w:p>
        </w:tc>
        <w:tc>
          <w:tcPr>
            <w:tcW w:w="7660" w:type="dxa"/>
            <w:vAlign w:val="bottom"/>
            <w:gridSpan w:val="6"/>
          </w:tcPr>
          <w:p>
            <w:pPr>
              <w:spacing w:after="0"/>
              <w:rPr>
                <w:rFonts w:ascii="Arial" w:cs="Arial" w:eastAsia="Arial" w:hAnsi="Arial"/>
                <w:sz w:val="16"/>
                <w:szCs w:val="16"/>
                <w:color w:val="0000EE"/>
              </w:rPr>
            </w:pPr>
            <w:hyperlink w:anchor="page51">
              <w:r>
                <w:rPr>
                  <w:rFonts w:ascii="Arial" w:cs="Arial" w:eastAsia="Arial" w:hAnsi="Arial"/>
                  <w:sz w:val="16"/>
                  <w:szCs w:val="16"/>
                  <w:color w:val="0000EE"/>
                </w:rPr>
                <w:t>Quantitative and Qualitative Disclosures About Market Risk</w:t>
              </w:r>
            </w:hyperlink>
          </w:p>
        </w:tc>
        <w:tc>
          <w:tcPr>
            <w:tcW w:w="2020" w:type="dxa"/>
            <w:vAlign w:val="bottom"/>
            <w:gridSpan w:val="3"/>
          </w:tcPr>
          <w:p>
            <w:pPr>
              <w:jc w:val="center"/>
              <w:ind w:left="1779"/>
              <w:spacing w:after="0"/>
              <w:rPr>
                <w:rFonts w:ascii="Arial" w:cs="Arial" w:eastAsia="Arial" w:hAnsi="Arial"/>
                <w:sz w:val="16"/>
                <w:szCs w:val="16"/>
                <w:color w:val="0000EE"/>
                <w:w w:val="89"/>
              </w:rPr>
            </w:pPr>
            <w:hyperlink w:anchor="page51">
              <w:r>
                <w:rPr>
                  <w:rFonts w:ascii="Arial" w:cs="Arial" w:eastAsia="Arial" w:hAnsi="Arial"/>
                  <w:sz w:val="16"/>
                  <w:szCs w:val="16"/>
                  <w:color w:val="0000EE"/>
                  <w:w w:val="89"/>
                </w:rPr>
                <w:t>50</w:t>
              </w:r>
            </w:hyperlink>
          </w:p>
        </w:tc>
      </w:tr>
      <w:tr>
        <w:trPr>
          <w:trHeight w:val="237"/>
        </w:trPr>
        <w:tc>
          <w:tcPr>
            <w:tcW w:w="460" w:type="dxa"/>
            <w:vAlign w:val="bottom"/>
            <w:tcBorders>
              <w:top w:val="single" w:sz="8" w:color="0000EE"/>
            </w:tcBorders>
          </w:tcPr>
          <w:p>
            <w:pPr>
              <w:spacing w:after="0"/>
              <w:rPr>
                <w:rFonts w:ascii="Arial" w:cs="Arial" w:eastAsia="Arial" w:hAnsi="Arial"/>
                <w:sz w:val="16"/>
                <w:szCs w:val="16"/>
                <w:color w:val="0000EE"/>
                <w:w w:val="89"/>
              </w:rPr>
            </w:pPr>
            <w:hyperlink w:anchor="page54">
              <w:r>
                <w:rPr>
                  <w:rFonts w:ascii="Arial" w:cs="Arial" w:eastAsia="Arial" w:hAnsi="Arial"/>
                  <w:sz w:val="16"/>
                  <w:szCs w:val="16"/>
                  <w:color w:val="0000EE"/>
                  <w:w w:val="89"/>
                </w:rPr>
                <w:t>Item 4.</w:t>
              </w:r>
            </w:hyperlink>
          </w:p>
        </w:tc>
        <w:tc>
          <w:tcPr>
            <w:tcW w:w="580" w:type="dxa"/>
            <w:vAlign w:val="bottom"/>
            <w:gridSpan w:val="2"/>
          </w:tcPr>
          <w:p>
            <w:pPr>
              <w:spacing w:after="0"/>
              <w:rPr>
                <w:sz w:val="20"/>
                <w:szCs w:val="20"/>
                <w:color w:val="auto"/>
              </w:rPr>
            </w:pPr>
          </w:p>
        </w:tc>
        <w:tc>
          <w:tcPr>
            <w:tcW w:w="3920" w:type="dxa"/>
            <w:vAlign w:val="bottom"/>
            <w:tcBorders>
              <w:top w:val="single" w:sz="8" w:color="0000EE"/>
            </w:tcBorders>
            <w:gridSpan w:val="4"/>
          </w:tcPr>
          <w:p>
            <w:pPr>
              <w:spacing w:after="0"/>
              <w:rPr>
                <w:rFonts w:ascii="Arial" w:cs="Arial" w:eastAsia="Arial" w:hAnsi="Arial"/>
                <w:sz w:val="16"/>
                <w:szCs w:val="16"/>
                <w:color w:val="0000EE"/>
              </w:rPr>
            </w:pPr>
            <w:hyperlink w:anchor="page54">
              <w:r>
                <w:rPr>
                  <w:rFonts w:ascii="Arial" w:cs="Arial" w:eastAsia="Arial" w:hAnsi="Arial"/>
                  <w:sz w:val="16"/>
                  <w:szCs w:val="16"/>
                  <w:color w:val="0000EE"/>
                </w:rPr>
                <w:t>Controls and Procedures</w:t>
              </w:r>
            </w:hyperlink>
          </w:p>
        </w:tc>
        <w:tc>
          <w:tcPr>
            <w:tcW w:w="3740" w:type="dxa"/>
            <w:vAlign w:val="bottom"/>
            <w:gridSpan w:val="2"/>
          </w:tcPr>
          <w:p>
            <w:pPr>
              <w:spacing w:after="0"/>
              <w:rPr>
                <w:sz w:val="20"/>
                <w:szCs w:val="20"/>
                <w:color w:val="auto"/>
              </w:rPr>
            </w:pPr>
          </w:p>
        </w:tc>
        <w:tc>
          <w:tcPr>
            <w:tcW w:w="1900" w:type="dxa"/>
            <w:vAlign w:val="bottom"/>
          </w:tcPr>
          <w:p>
            <w:pPr>
              <w:spacing w:after="0"/>
              <w:rPr>
                <w:sz w:val="20"/>
                <w:szCs w:val="20"/>
                <w:color w:val="auto"/>
              </w:rPr>
            </w:pPr>
          </w:p>
        </w:tc>
        <w:tc>
          <w:tcPr>
            <w:tcW w:w="120" w:type="dxa"/>
            <w:vAlign w:val="bottom"/>
            <w:tcBorders>
              <w:top w:val="single" w:sz="8" w:color="0000EE"/>
            </w:tcBorders>
            <w:gridSpan w:val="2"/>
          </w:tcPr>
          <w:p>
            <w:pPr>
              <w:jc w:val="center"/>
              <w:spacing w:after="0"/>
              <w:rPr>
                <w:rFonts w:ascii="Arial" w:cs="Arial" w:eastAsia="Arial" w:hAnsi="Arial"/>
                <w:sz w:val="15"/>
                <w:szCs w:val="15"/>
                <w:color w:val="0000EE"/>
                <w:w w:val="71"/>
              </w:rPr>
            </w:pPr>
            <w:hyperlink w:anchor="page54">
              <w:r>
                <w:rPr>
                  <w:rFonts w:ascii="Arial" w:cs="Arial" w:eastAsia="Arial" w:hAnsi="Arial"/>
                  <w:sz w:val="15"/>
                  <w:szCs w:val="15"/>
                  <w:color w:val="0000EE"/>
                  <w:w w:val="71"/>
                </w:rPr>
                <w:t>53</w:t>
              </w:r>
            </w:hyperlink>
          </w:p>
        </w:tc>
      </w:tr>
      <w:tr>
        <w:trPr>
          <w:trHeight w:val="20"/>
        </w:trPr>
        <w:tc>
          <w:tcPr>
            <w:tcW w:w="4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9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r>
    </w:tbl>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40" w:type="dxa"/>
            <w:vAlign w:val="bottom"/>
            <w:gridSpan w:val="5"/>
          </w:tcPr>
          <w:p>
            <w:pPr>
              <w:spacing w:after="0"/>
              <w:rPr>
                <w:rFonts w:ascii="Arial" w:cs="Arial" w:eastAsia="Arial" w:hAnsi="Arial"/>
                <w:sz w:val="16"/>
                <w:szCs w:val="16"/>
                <w:b w:val="1"/>
                <w:bCs w:val="1"/>
                <w:color w:val="0000EE"/>
              </w:rPr>
            </w:pPr>
            <w:hyperlink w:anchor="page55">
              <w:r>
                <w:rPr>
                  <w:rFonts w:ascii="Arial" w:cs="Arial" w:eastAsia="Arial" w:hAnsi="Arial"/>
                  <w:sz w:val="16"/>
                  <w:szCs w:val="16"/>
                  <w:b w:val="1"/>
                  <w:bCs w:val="1"/>
                  <w:color w:val="0000EE"/>
                </w:rPr>
                <w:t>PART II.</w:t>
              </w:r>
            </w:hyperlink>
          </w:p>
        </w:tc>
        <w:tc>
          <w:tcPr>
            <w:tcW w:w="6720" w:type="dxa"/>
            <w:vAlign w:val="bottom"/>
            <w:gridSpan w:val="9"/>
          </w:tcPr>
          <w:p>
            <w:pPr>
              <w:spacing w:after="0"/>
              <w:rPr>
                <w:rFonts w:ascii="Arial" w:cs="Arial" w:eastAsia="Arial" w:hAnsi="Arial"/>
                <w:sz w:val="16"/>
                <w:szCs w:val="16"/>
                <w:b w:val="1"/>
                <w:bCs w:val="1"/>
                <w:color w:val="0000EE"/>
              </w:rPr>
            </w:pPr>
            <w:hyperlink w:anchor="page55">
              <w:r>
                <w:rPr>
                  <w:rFonts w:ascii="Arial" w:cs="Arial" w:eastAsia="Arial" w:hAnsi="Arial"/>
                  <w:sz w:val="16"/>
                  <w:szCs w:val="16"/>
                  <w:b w:val="1"/>
                  <w:bCs w:val="1"/>
                  <w:color w:val="0000EE"/>
                </w:rPr>
                <w:t>OTHER INFORMATION</w:t>
              </w:r>
            </w:hyperlink>
          </w:p>
        </w:tc>
        <w:tc>
          <w:tcPr>
            <w:tcW w:w="28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534"/>
        </w:trPr>
        <w:tc>
          <w:tcPr>
            <w:tcW w:w="460" w:type="dxa"/>
            <w:vAlign w:val="bottom"/>
            <w:tcBorders>
              <w:top w:val="single" w:sz="8" w:color="0000EE"/>
              <w:bottom w:val="single" w:sz="8" w:color="0000EE"/>
            </w:tcBorders>
          </w:tcPr>
          <w:p>
            <w:pPr>
              <w:spacing w:after="0"/>
              <w:rPr>
                <w:rFonts w:ascii="Arial" w:cs="Arial" w:eastAsia="Arial" w:hAnsi="Arial"/>
                <w:sz w:val="16"/>
                <w:szCs w:val="16"/>
                <w:color w:val="0000EE"/>
                <w:w w:val="89"/>
              </w:rPr>
            </w:pPr>
            <w:hyperlink w:anchor="page55">
              <w:r>
                <w:rPr>
                  <w:rFonts w:ascii="Arial" w:cs="Arial" w:eastAsia="Arial" w:hAnsi="Arial"/>
                  <w:sz w:val="16"/>
                  <w:szCs w:val="16"/>
                  <w:color w:val="0000EE"/>
                  <w:w w:val="89"/>
                </w:rPr>
                <w:t>Item 1.</w:t>
              </w:r>
            </w:hyperlink>
          </w:p>
        </w:tc>
        <w:tc>
          <w:tcPr>
            <w:tcW w:w="160" w:type="dxa"/>
            <w:vAlign w:val="bottom"/>
            <w:tcBorders>
              <w:top w:val="single" w:sz="8" w:color="0000EE"/>
            </w:tcBorders>
            <w:gridSpan w:val="2"/>
          </w:tcPr>
          <w:p>
            <w:pPr>
              <w:spacing w:after="0"/>
              <w:rPr>
                <w:sz w:val="24"/>
                <w:szCs w:val="24"/>
                <w:color w:val="auto"/>
              </w:rPr>
            </w:pPr>
          </w:p>
        </w:tc>
        <w:tc>
          <w:tcPr>
            <w:tcW w:w="420" w:type="dxa"/>
            <w:vAlign w:val="bottom"/>
            <w:gridSpan w:val="2"/>
          </w:tcPr>
          <w:p>
            <w:pPr>
              <w:spacing w:after="0"/>
              <w:rPr>
                <w:sz w:val="24"/>
                <w:szCs w:val="24"/>
                <w:color w:val="auto"/>
              </w:rPr>
            </w:pPr>
          </w:p>
        </w:tc>
        <w:tc>
          <w:tcPr>
            <w:tcW w:w="1200" w:type="dxa"/>
            <w:vAlign w:val="bottom"/>
            <w:tcBorders>
              <w:top w:val="single" w:sz="8" w:color="0000EE"/>
              <w:bottom w:val="single" w:sz="8" w:color="0000EE"/>
            </w:tcBorders>
            <w:gridSpan w:val="4"/>
          </w:tcPr>
          <w:p>
            <w:pPr>
              <w:spacing w:after="0"/>
              <w:rPr>
                <w:rFonts w:ascii="Arial" w:cs="Arial" w:eastAsia="Arial" w:hAnsi="Arial"/>
                <w:sz w:val="16"/>
                <w:szCs w:val="16"/>
                <w:color w:val="0000EE"/>
                <w:w w:val="89"/>
              </w:rPr>
            </w:pPr>
            <w:hyperlink w:anchor="page55">
              <w:r>
                <w:rPr>
                  <w:rFonts w:ascii="Arial" w:cs="Arial" w:eastAsia="Arial" w:hAnsi="Arial"/>
                  <w:sz w:val="16"/>
                  <w:szCs w:val="16"/>
                  <w:color w:val="0000EE"/>
                  <w:w w:val="89"/>
                </w:rPr>
                <w:t>Legal Proceedings</w:t>
              </w:r>
            </w:hyperlink>
          </w:p>
        </w:tc>
        <w:tc>
          <w:tcPr>
            <w:tcW w:w="620" w:type="dxa"/>
            <w:vAlign w:val="bottom"/>
            <w:tcBorders>
              <w:top w:val="single" w:sz="8" w:color="0000EE"/>
            </w:tcBorders>
            <w:gridSpan w:val="2"/>
          </w:tcPr>
          <w:p>
            <w:pPr>
              <w:spacing w:after="0"/>
              <w:rPr>
                <w:sz w:val="24"/>
                <w:szCs w:val="24"/>
                <w:color w:val="auto"/>
              </w:rPr>
            </w:pPr>
          </w:p>
        </w:tc>
        <w:tc>
          <w:tcPr>
            <w:tcW w:w="4900" w:type="dxa"/>
            <w:vAlign w:val="bottom"/>
            <w:gridSpan w:val="3"/>
          </w:tcPr>
          <w:p>
            <w:pPr>
              <w:spacing w:after="0"/>
              <w:rPr>
                <w:sz w:val="24"/>
                <w:szCs w:val="24"/>
                <w:color w:val="auto"/>
              </w:rPr>
            </w:pPr>
          </w:p>
        </w:tc>
        <w:tc>
          <w:tcPr>
            <w:tcW w:w="2800" w:type="dxa"/>
            <w:vAlign w:val="bottom"/>
          </w:tcPr>
          <w:p>
            <w:pPr>
              <w:spacing w:after="0"/>
              <w:rPr>
                <w:sz w:val="24"/>
                <w:szCs w:val="24"/>
                <w:color w:val="auto"/>
              </w:rPr>
            </w:pPr>
          </w:p>
        </w:tc>
        <w:tc>
          <w:tcPr>
            <w:tcW w:w="160" w:type="dxa"/>
            <w:vAlign w:val="bottom"/>
            <w:tcBorders>
              <w:bottom w:val="single" w:sz="8" w:color="0000EE"/>
            </w:tcBorders>
          </w:tcPr>
          <w:p>
            <w:pPr>
              <w:jc w:val="right"/>
              <w:spacing w:after="0"/>
              <w:rPr>
                <w:rFonts w:ascii="Arial" w:cs="Arial" w:eastAsia="Arial" w:hAnsi="Arial"/>
                <w:sz w:val="16"/>
                <w:szCs w:val="16"/>
                <w:color w:val="0000EE"/>
                <w:w w:val="78"/>
              </w:rPr>
            </w:pPr>
            <w:hyperlink w:anchor="page55">
              <w:r>
                <w:rPr>
                  <w:rFonts w:ascii="Arial" w:cs="Arial" w:eastAsia="Arial" w:hAnsi="Arial"/>
                  <w:sz w:val="16"/>
                  <w:szCs w:val="16"/>
                  <w:color w:val="0000EE"/>
                  <w:w w:val="78"/>
                </w:rPr>
                <w:t>54</w:t>
              </w:r>
            </w:hyperlink>
          </w:p>
        </w:tc>
      </w:tr>
      <w:tr>
        <w:trPr>
          <w:trHeight w:val="237"/>
        </w:trPr>
        <w:tc>
          <w:tcPr>
            <w:tcW w:w="580" w:type="dxa"/>
            <w:vAlign w:val="bottom"/>
            <w:gridSpan w:val="2"/>
          </w:tcPr>
          <w:p>
            <w:pPr>
              <w:spacing w:after="0"/>
              <w:rPr>
                <w:rFonts w:ascii="Arial" w:cs="Arial" w:eastAsia="Arial" w:hAnsi="Arial"/>
                <w:sz w:val="16"/>
                <w:szCs w:val="16"/>
                <w:color w:val="0000EE"/>
                <w:w w:val="93"/>
              </w:rPr>
            </w:pPr>
            <w:hyperlink w:anchor="page55">
              <w:r>
                <w:rPr>
                  <w:rFonts w:ascii="Arial" w:cs="Arial" w:eastAsia="Arial" w:hAnsi="Arial"/>
                  <w:sz w:val="16"/>
                  <w:szCs w:val="16"/>
                  <w:color w:val="0000EE"/>
                  <w:w w:val="93"/>
                </w:rPr>
                <w:t>Item 1A.</w:t>
              </w:r>
            </w:hyperlink>
          </w:p>
        </w:tc>
        <w:tc>
          <w:tcPr>
            <w:tcW w:w="460" w:type="dxa"/>
            <w:vAlign w:val="bottom"/>
            <w:gridSpan w:val="3"/>
          </w:tcPr>
          <w:p>
            <w:pPr>
              <w:spacing w:after="0"/>
              <w:rPr>
                <w:sz w:val="20"/>
                <w:szCs w:val="20"/>
                <w:color w:val="auto"/>
              </w:rPr>
            </w:pPr>
          </w:p>
        </w:tc>
        <w:tc>
          <w:tcPr>
            <w:tcW w:w="6720" w:type="dxa"/>
            <w:vAlign w:val="bottom"/>
            <w:gridSpan w:val="9"/>
          </w:tcPr>
          <w:p>
            <w:pPr>
              <w:spacing w:after="0"/>
              <w:rPr>
                <w:rFonts w:ascii="Arial" w:cs="Arial" w:eastAsia="Arial" w:hAnsi="Arial"/>
                <w:sz w:val="16"/>
                <w:szCs w:val="16"/>
                <w:color w:val="0000EE"/>
              </w:rPr>
            </w:pPr>
            <w:hyperlink w:anchor="page55">
              <w:r>
                <w:rPr>
                  <w:rFonts w:ascii="Arial" w:cs="Arial" w:eastAsia="Arial" w:hAnsi="Arial"/>
                  <w:sz w:val="16"/>
                  <w:szCs w:val="16"/>
                  <w:color w:val="0000EE"/>
                </w:rPr>
                <w:t>Risk Factors</w:t>
              </w:r>
            </w:hyperlink>
          </w:p>
        </w:tc>
        <w:tc>
          <w:tcPr>
            <w:tcW w:w="2960" w:type="dxa"/>
            <w:vAlign w:val="bottom"/>
            <w:gridSpan w:val="2"/>
          </w:tcPr>
          <w:p>
            <w:pPr>
              <w:jc w:val="right"/>
              <w:spacing w:after="0"/>
              <w:rPr>
                <w:rFonts w:ascii="Arial" w:cs="Arial" w:eastAsia="Arial" w:hAnsi="Arial"/>
                <w:sz w:val="16"/>
                <w:szCs w:val="16"/>
                <w:color w:val="0000EE"/>
              </w:rPr>
            </w:pPr>
            <w:hyperlink w:anchor="page55">
              <w:r>
                <w:rPr>
                  <w:rFonts w:ascii="Arial" w:cs="Arial" w:eastAsia="Arial" w:hAnsi="Arial"/>
                  <w:sz w:val="16"/>
                  <w:szCs w:val="16"/>
                  <w:color w:val="0000EE"/>
                </w:rPr>
                <w:t>54</w:t>
              </w:r>
            </w:hyperlink>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r>
      <w:tr>
        <w:trPr>
          <w:trHeight w:val="237"/>
        </w:trPr>
        <w:tc>
          <w:tcPr>
            <w:tcW w:w="460" w:type="dxa"/>
            <w:vAlign w:val="bottom"/>
            <w:tcBorders>
              <w:bottom w:val="single" w:sz="8" w:color="0000EE"/>
            </w:tcBorders>
          </w:tcPr>
          <w:p>
            <w:pPr>
              <w:spacing w:after="0"/>
              <w:rPr>
                <w:rFonts w:ascii="Arial" w:cs="Arial" w:eastAsia="Arial" w:hAnsi="Arial"/>
                <w:sz w:val="16"/>
                <w:szCs w:val="16"/>
                <w:color w:val="0000EE"/>
                <w:w w:val="89"/>
              </w:rPr>
            </w:pPr>
            <w:hyperlink w:anchor="page55">
              <w:r>
                <w:rPr>
                  <w:rFonts w:ascii="Arial" w:cs="Arial" w:eastAsia="Arial" w:hAnsi="Arial"/>
                  <w:sz w:val="16"/>
                  <w:szCs w:val="16"/>
                  <w:color w:val="0000EE"/>
                  <w:w w:val="89"/>
                </w:rPr>
                <w:t>Item 2.</w:t>
              </w:r>
            </w:hyperlink>
          </w:p>
        </w:tc>
        <w:tc>
          <w:tcPr>
            <w:tcW w:w="120" w:type="dxa"/>
            <w:vAlign w:val="bottom"/>
          </w:tcPr>
          <w:p>
            <w:pPr>
              <w:spacing w:after="0"/>
              <w:rPr>
                <w:sz w:val="20"/>
                <w:szCs w:val="20"/>
                <w:color w:val="auto"/>
              </w:rPr>
            </w:pPr>
          </w:p>
        </w:tc>
        <w:tc>
          <w:tcPr>
            <w:tcW w:w="460" w:type="dxa"/>
            <w:vAlign w:val="bottom"/>
            <w:gridSpan w:val="3"/>
          </w:tcPr>
          <w:p>
            <w:pPr>
              <w:spacing w:after="0"/>
              <w:rPr>
                <w:sz w:val="20"/>
                <w:szCs w:val="20"/>
                <w:color w:val="auto"/>
              </w:rPr>
            </w:pPr>
          </w:p>
        </w:tc>
        <w:tc>
          <w:tcPr>
            <w:tcW w:w="3920" w:type="dxa"/>
            <w:vAlign w:val="bottom"/>
            <w:tcBorders>
              <w:bottom w:val="single" w:sz="8" w:color="0000EE"/>
            </w:tcBorders>
            <w:gridSpan w:val="8"/>
          </w:tcPr>
          <w:p>
            <w:pPr>
              <w:spacing w:after="0"/>
              <w:rPr>
                <w:rFonts w:ascii="Arial" w:cs="Arial" w:eastAsia="Arial" w:hAnsi="Arial"/>
                <w:sz w:val="16"/>
                <w:szCs w:val="16"/>
                <w:color w:val="0000EE"/>
                <w:w w:val="90"/>
              </w:rPr>
            </w:pPr>
            <w:hyperlink w:anchor="page55">
              <w:r>
                <w:rPr>
                  <w:rFonts w:ascii="Arial" w:cs="Arial" w:eastAsia="Arial" w:hAnsi="Arial"/>
                  <w:sz w:val="16"/>
                  <w:szCs w:val="16"/>
                  <w:color w:val="0000EE"/>
                  <w:w w:val="90"/>
                </w:rPr>
                <w:t>Unregistered Sales of Equity Securities and Use of Proceeds</w:t>
              </w:r>
            </w:hyperlink>
          </w:p>
        </w:tc>
        <w:tc>
          <w:tcPr>
            <w:tcW w:w="28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60" w:type="dxa"/>
            <w:vAlign w:val="bottom"/>
            <w:tcBorders>
              <w:bottom w:val="single" w:sz="8" w:color="0000EE"/>
            </w:tcBorders>
          </w:tcPr>
          <w:p>
            <w:pPr>
              <w:jc w:val="right"/>
              <w:spacing w:after="0"/>
              <w:rPr>
                <w:rFonts w:ascii="Arial" w:cs="Arial" w:eastAsia="Arial" w:hAnsi="Arial"/>
                <w:sz w:val="16"/>
                <w:szCs w:val="16"/>
                <w:color w:val="0000EE"/>
                <w:w w:val="78"/>
              </w:rPr>
            </w:pPr>
            <w:hyperlink w:anchor="page55">
              <w:r>
                <w:rPr>
                  <w:rFonts w:ascii="Arial" w:cs="Arial" w:eastAsia="Arial" w:hAnsi="Arial"/>
                  <w:sz w:val="16"/>
                  <w:szCs w:val="16"/>
                  <w:color w:val="0000EE"/>
                  <w:w w:val="78"/>
                </w:rPr>
                <w:t>54</w:t>
              </w:r>
            </w:hyperlink>
          </w:p>
        </w:tc>
      </w:tr>
      <w:tr>
        <w:trPr>
          <w:trHeight w:val="237"/>
        </w:trPr>
        <w:tc>
          <w:tcPr>
            <w:tcW w:w="460" w:type="dxa"/>
            <w:vAlign w:val="bottom"/>
            <w:tcBorders>
              <w:bottom w:val="single" w:sz="8" w:color="0000EE"/>
            </w:tcBorders>
          </w:tcPr>
          <w:p>
            <w:pPr>
              <w:spacing w:after="0"/>
              <w:rPr>
                <w:rFonts w:ascii="Arial" w:cs="Arial" w:eastAsia="Arial" w:hAnsi="Arial"/>
                <w:sz w:val="16"/>
                <w:szCs w:val="16"/>
                <w:color w:val="0000EE"/>
                <w:w w:val="89"/>
              </w:rPr>
            </w:pPr>
            <w:hyperlink w:anchor="page55">
              <w:r>
                <w:rPr>
                  <w:rFonts w:ascii="Arial" w:cs="Arial" w:eastAsia="Arial" w:hAnsi="Arial"/>
                  <w:sz w:val="16"/>
                  <w:szCs w:val="16"/>
                  <w:color w:val="0000EE"/>
                  <w:w w:val="89"/>
                </w:rPr>
                <w:t>Item 3.</w:t>
              </w:r>
            </w:hyperlink>
          </w:p>
        </w:tc>
        <w:tc>
          <w:tcPr>
            <w:tcW w:w="580" w:type="dxa"/>
            <w:vAlign w:val="bottom"/>
            <w:gridSpan w:val="4"/>
          </w:tcPr>
          <w:p>
            <w:pPr>
              <w:spacing w:after="0"/>
              <w:rPr>
                <w:sz w:val="20"/>
                <w:szCs w:val="20"/>
                <w:color w:val="auto"/>
              </w:rPr>
            </w:pPr>
          </w:p>
        </w:tc>
        <w:tc>
          <w:tcPr>
            <w:tcW w:w="2060" w:type="dxa"/>
            <w:vAlign w:val="bottom"/>
            <w:tcBorders>
              <w:bottom w:val="single" w:sz="8" w:color="0000EE"/>
            </w:tcBorders>
            <w:gridSpan w:val="7"/>
          </w:tcPr>
          <w:p>
            <w:pPr>
              <w:spacing w:after="0"/>
              <w:rPr>
                <w:rFonts w:ascii="Arial" w:cs="Arial" w:eastAsia="Arial" w:hAnsi="Arial"/>
                <w:sz w:val="16"/>
                <w:szCs w:val="16"/>
                <w:color w:val="0000EE"/>
                <w:w w:val="91"/>
              </w:rPr>
            </w:pPr>
            <w:hyperlink w:anchor="page55">
              <w:r>
                <w:rPr>
                  <w:rFonts w:ascii="Arial" w:cs="Arial" w:eastAsia="Arial" w:hAnsi="Arial"/>
                  <w:sz w:val="16"/>
                  <w:szCs w:val="16"/>
                  <w:color w:val="0000EE"/>
                  <w:w w:val="91"/>
                </w:rPr>
                <w:t>Defaults upon Senior Securities</w:t>
              </w:r>
            </w:hyperlink>
          </w:p>
        </w:tc>
        <w:tc>
          <w:tcPr>
            <w:tcW w:w="4660" w:type="dxa"/>
            <w:vAlign w:val="bottom"/>
            <w:gridSpan w:val="2"/>
          </w:tcPr>
          <w:p>
            <w:pPr>
              <w:spacing w:after="0"/>
              <w:rPr>
                <w:sz w:val="20"/>
                <w:szCs w:val="20"/>
                <w:color w:val="auto"/>
              </w:rPr>
            </w:pPr>
          </w:p>
        </w:tc>
        <w:tc>
          <w:tcPr>
            <w:tcW w:w="2800" w:type="dxa"/>
            <w:vAlign w:val="bottom"/>
          </w:tcPr>
          <w:p>
            <w:pPr>
              <w:spacing w:after="0"/>
              <w:rPr>
                <w:sz w:val="20"/>
                <w:szCs w:val="20"/>
                <w:color w:val="auto"/>
              </w:rPr>
            </w:pPr>
          </w:p>
        </w:tc>
        <w:tc>
          <w:tcPr>
            <w:tcW w:w="160" w:type="dxa"/>
            <w:vAlign w:val="bottom"/>
            <w:tcBorders>
              <w:bottom w:val="single" w:sz="8" w:color="0000EE"/>
            </w:tcBorders>
          </w:tcPr>
          <w:p>
            <w:pPr>
              <w:jc w:val="right"/>
              <w:spacing w:after="0"/>
              <w:rPr>
                <w:rFonts w:ascii="Arial" w:cs="Arial" w:eastAsia="Arial" w:hAnsi="Arial"/>
                <w:sz w:val="16"/>
                <w:szCs w:val="16"/>
                <w:color w:val="0000EE"/>
                <w:w w:val="78"/>
              </w:rPr>
            </w:pPr>
            <w:hyperlink w:anchor="page55">
              <w:r>
                <w:rPr>
                  <w:rFonts w:ascii="Arial" w:cs="Arial" w:eastAsia="Arial" w:hAnsi="Arial"/>
                  <w:sz w:val="16"/>
                  <w:szCs w:val="16"/>
                  <w:color w:val="0000EE"/>
                  <w:w w:val="78"/>
                </w:rPr>
                <w:t>54</w:t>
              </w:r>
            </w:hyperlink>
          </w:p>
        </w:tc>
      </w:tr>
      <w:tr>
        <w:trPr>
          <w:trHeight w:val="237"/>
        </w:trPr>
        <w:tc>
          <w:tcPr>
            <w:tcW w:w="460" w:type="dxa"/>
            <w:vAlign w:val="bottom"/>
          </w:tcPr>
          <w:p>
            <w:pPr>
              <w:spacing w:after="0"/>
              <w:rPr>
                <w:rFonts w:ascii="Arial" w:cs="Arial" w:eastAsia="Arial" w:hAnsi="Arial"/>
                <w:sz w:val="16"/>
                <w:szCs w:val="16"/>
                <w:color w:val="0000EE"/>
                <w:w w:val="89"/>
              </w:rPr>
            </w:pPr>
            <w:hyperlink w:anchor="page55">
              <w:r>
                <w:rPr>
                  <w:rFonts w:ascii="Arial" w:cs="Arial" w:eastAsia="Arial" w:hAnsi="Arial"/>
                  <w:sz w:val="16"/>
                  <w:szCs w:val="16"/>
                  <w:color w:val="0000EE"/>
                  <w:w w:val="89"/>
                </w:rPr>
                <w:t>Item 4.</w:t>
              </w:r>
            </w:hyperlink>
          </w:p>
        </w:tc>
        <w:tc>
          <w:tcPr>
            <w:tcW w:w="580" w:type="dxa"/>
            <w:vAlign w:val="bottom"/>
            <w:gridSpan w:val="4"/>
          </w:tcPr>
          <w:p>
            <w:pPr>
              <w:spacing w:after="0"/>
              <w:rPr>
                <w:sz w:val="20"/>
                <w:szCs w:val="20"/>
                <w:color w:val="auto"/>
              </w:rPr>
            </w:pPr>
          </w:p>
        </w:tc>
        <w:tc>
          <w:tcPr>
            <w:tcW w:w="6720" w:type="dxa"/>
            <w:vAlign w:val="bottom"/>
            <w:gridSpan w:val="9"/>
          </w:tcPr>
          <w:p>
            <w:pPr>
              <w:spacing w:after="0"/>
              <w:rPr>
                <w:rFonts w:ascii="Arial" w:cs="Arial" w:eastAsia="Arial" w:hAnsi="Arial"/>
                <w:sz w:val="16"/>
                <w:szCs w:val="16"/>
                <w:color w:val="0000EE"/>
              </w:rPr>
            </w:pPr>
            <w:hyperlink w:anchor="page55">
              <w:r>
                <w:rPr>
                  <w:rFonts w:ascii="Arial" w:cs="Arial" w:eastAsia="Arial" w:hAnsi="Arial"/>
                  <w:sz w:val="16"/>
                  <w:szCs w:val="16"/>
                  <w:color w:val="0000EE"/>
                </w:rPr>
                <w:t>Mine Safety Disclosures</w:t>
              </w:r>
            </w:hyperlink>
          </w:p>
        </w:tc>
        <w:tc>
          <w:tcPr>
            <w:tcW w:w="2960" w:type="dxa"/>
            <w:vAlign w:val="bottom"/>
            <w:gridSpan w:val="2"/>
          </w:tcPr>
          <w:p>
            <w:pPr>
              <w:jc w:val="right"/>
              <w:spacing w:after="0"/>
              <w:rPr>
                <w:rFonts w:ascii="Arial" w:cs="Arial" w:eastAsia="Arial" w:hAnsi="Arial"/>
                <w:sz w:val="16"/>
                <w:szCs w:val="16"/>
                <w:color w:val="0000EE"/>
              </w:rPr>
            </w:pPr>
            <w:hyperlink w:anchor="page55">
              <w:r>
                <w:rPr>
                  <w:rFonts w:ascii="Arial" w:cs="Arial" w:eastAsia="Arial" w:hAnsi="Arial"/>
                  <w:sz w:val="16"/>
                  <w:szCs w:val="16"/>
                  <w:color w:val="0000EE"/>
                </w:rPr>
                <w:t>54</w:t>
              </w:r>
            </w:hyperlink>
          </w:p>
        </w:tc>
      </w:tr>
      <w:tr>
        <w:trPr>
          <w:trHeight w:val="237"/>
        </w:trPr>
        <w:tc>
          <w:tcPr>
            <w:tcW w:w="460" w:type="dxa"/>
            <w:vAlign w:val="bottom"/>
            <w:tcBorders>
              <w:top w:val="single" w:sz="8" w:color="0000EE"/>
              <w:bottom w:val="single" w:sz="8" w:color="0000EE"/>
            </w:tcBorders>
          </w:tcPr>
          <w:p>
            <w:pPr>
              <w:spacing w:after="0"/>
              <w:rPr>
                <w:rFonts w:ascii="Arial" w:cs="Arial" w:eastAsia="Arial" w:hAnsi="Arial"/>
                <w:sz w:val="16"/>
                <w:szCs w:val="16"/>
                <w:color w:val="0000EE"/>
                <w:w w:val="89"/>
              </w:rPr>
            </w:pPr>
            <w:hyperlink w:anchor="page55">
              <w:r>
                <w:rPr>
                  <w:rFonts w:ascii="Arial" w:cs="Arial" w:eastAsia="Arial" w:hAnsi="Arial"/>
                  <w:sz w:val="16"/>
                  <w:szCs w:val="16"/>
                  <w:color w:val="0000EE"/>
                  <w:w w:val="89"/>
                </w:rPr>
                <w:t>Item 5.</w:t>
              </w:r>
            </w:hyperlink>
          </w:p>
        </w:tc>
        <w:tc>
          <w:tcPr>
            <w:tcW w:w="580" w:type="dxa"/>
            <w:vAlign w:val="bottom"/>
            <w:gridSpan w:val="4"/>
          </w:tcPr>
          <w:p>
            <w:pPr>
              <w:spacing w:after="0"/>
              <w:rPr>
                <w:sz w:val="20"/>
                <w:szCs w:val="20"/>
                <w:color w:val="auto"/>
              </w:rPr>
            </w:pPr>
          </w:p>
        </w:tc>
        <w:tc>
          <w:tcPr>
            <w:tcW w:w="1180" w:type="dxa"/>
            <w:vAlign w:val="bottom"/>
            <w:tcBorders>
              <w:top w:val="single" w:sz="8" w:color="0000EE"/>
              <w:bottom w:val="single" w:sz="8" w:color="0000EE"/>
            </w:tcBorders>
            <w:gridSpan w:val="3"/>
          </w:tcPr>
          <w:p>
            <w:pPr>
              <w:spacing w:after="0"/>
              <w:rPr>
                <w:rFonts w:ascii="Arial" w:cs="Arial" w:eastAsia="Arial" w:hAnsi="Arial"/>
                <w:sz w:val="16"/>
                <w:szCs w:val="16"/>
                <w:color w:val="0000EE"/>
                <w:w w:val="93"/>
              </w:rPr>
            </w:pPr>
            <w:hyperlink w:anchor="page55">
              <w:r>
                <w:rPr>
                  <w:rFonts w:ascii="Arial" w:cs="Arial" w:eastAsia="Arial" w:hAnsi="Arial"/>
                  <w:sz w:val="16"/>
                  <w:szCs w:val="16"/>
                  <w:color w:val="0000EE"/>
                  <w:w w:val="93"/>
                </w:rPr>
                <w:t>Other Information</w:t>
              </w:r>
            </w:hyperlink>
          </w:p>
        </w:tc>
        <w:tc>
          <w:tcPr>
            <w:tcW w:w="400" w:type="dxa"/>
            <w:vAlign w:val="bottom"/>
            <w:tcBorders>
              <w:top w:val="single" w:sz="8" w:color="0000EE"/>
            </w:tcBorders>
            <w:gridSpan w:val="2"/>
          </w:tcPr>
          <w:p>
            <w:pPr>
              <w:spacing w:after="0"/>
              <w:rPr>
                <w:sz w:val="20"/>
                <w:szCs w:val="20"/>
                <w:color w:val="auto"/>
              </w:rPr>
            </w:pPr>
          </w:p>
        </w:tc>
        <w:tc>
          <w:tcPr>
            <w:tcW w:w="5140" w:type="dxa"/>
            <w:vAlign w:val="bottom"/>
            <w:gridSpan w:val="4"/>
          </w:tcPr>
          <w:p>
            <w:pPr>
              <w:spacing w:after="0"/>
              <w:rPr>
                <w:sz w:val="20"/>
                <w:szCs w:val="20"/>
                <w:color w:val="auto"/>
              </w:rPr>
            </w:pPr>
          </w:p>
        </w:tc>
        <w:tc>
          <w:tcPr>
            <w:tcW w:w="2800" w:type="dxa"/>
            <w:vAlign w:val="bottom"/>
          </w:tcPr>
          <w:p>
            <w:pPr>
              <w:spacing w:after="0"/>
              <w:rPr>
                <w:sz w:val="20"/>
                <w:szCs w:val="20"/>
                <w:color w:val="auto"/>
              </w:rPr>
            </w:pPr>
          </w:p>
        </w:tc>
        <w:tc>
          <w:tcPr>
            <w:tcW w:w="160" w:type="dxa"/>
            <w:vAlign w:val="bottom"/>
            <w:tcBorders>
              <w:top w:val="single" w:sz="8" w:color="0000EE"/>
              <w:bottom w:val="single" w:sz="8" w:color="0000EE"/>
            </w:tcBorders>
          </w:tcPr>
          <w:p>
            <w:pPr>
              <w:jc w:val="right"/>
              <w:spacing w:after="0"/>
              <w:rPr>
                <w:rFonts w:ascii="Arial" w:cs="Arial" w:eastAsia="Arial" w:hAnsi="Arial"/>
                <w:sz w:val="16"/>
                <w:szCs w:val="16"/>
                <w:color w:val="0000EE"/>
                <w:w w:val="78"/>
              </w:rPr>
            </w:pPr>
            <w:hyperlink w:anchor="page55">
              <w:r>
                <w:rPr>
                  <w:rFonts w:ascii="Arial" w:cs="Arial" w:eastAsia="Arial" w:hAnsi="Arial"/>
                  <w:sz w:val="16"/>
                  <w:szCs w:val="16"/>
                  <w:color w:val="0000EE"/>
                  <w:w w:val="78"/>
                </w:rPr>
                <w:t>54</w:t>
              </w:r>
            </w:hyperlink>
          </w:p>
        </w:tc>
      </w:tr>
      <w:tr>
        <w:trPr>
          <w:trHeight w:val="237"/>
        </w:trPr>
        <w:tc>
          <w:tcPr>
            <w:tcW w:w="460" w:type="dxa"/>
            <w:vAlign w:val="bottom"/>
            <w:tcBorders>
              <w:bottom w:val="single" w:sz="8" w:color="0000EE"/>
            </w:tcBorders>
          </w:tcPr>
          <w:p>
            <w:pPr>
              <w:spacing w:after="0"/>
              <w:rPr>
                <w:rFonts w:ascii="Arial" w:cs="Arial" w:eastAsia="Arial" w:hAnsi="Arial"/>
                <w:sz w:val="16"/>
                <w:szCs w:val="16"/>
                <w:color w:val="0000EE"/>
                <w:w w:val="89"/>
              </w:rPr>
            </w:pPr>
            <w:hyperlink w:anchor="page55">
              <w:r>
                <w:rPr>
                  <w:rFonts w:ascii="Arial" w:cs="Arial" w:eastAsia="Arial" w:hAnsi="Arial"/>
                  <w:sz w:val="16"/>
                  <w:szCs w:val="16"/>
                  <w:color w:val="0000EE"/>
                  <w:w w:val="89"/>
                </w:rPr>
                <w:t>Item 6.</w:t>
              </w:r>
            </w:hyperlink>
          </w:p>
        </w:tc>
        <w:tc>
          <w:tcPr>
            <w:tcW w:w="580" w:type="dxa"/>
            <w:vAlign w:val="bottom"/>
            <w:gridSpan w:val="4"/>
          </w:tcPr>
          <w:p>
            <w:pPr>
              <w:spacing w:after="0"/>
              <w:rPr>
                <w:sz w:val="20"/>
                <w:szCs w:val="20"/>
                <w:color w:val="auto"/>
              </w:rPr>
            </w:pPr>
          </w:p>
        </w:tc>
        <w:tc>
          <w:tcPr>
            <w:tcW w:w="540" w:type="dxa"/>
            <w:vAlign w:val="bottom"/>
            <w:tcBorders>
              <w:bottom w:val="single" w:sz="8" w:color="0000EE"/>
            </w:tcBorders>
          </w:tcPr>
          <w:p>
            <w:pPr>
              <w:spacing w:after="0"/>
              <w:rPr>
                <w:rFonts w:ascii="Arial" w:cs="Arial" w:eastAsia="Arial" w:hAnsi="Arial"/>
                <w:sz w:val="16"/>
                <w:szCs w:val="16"/>
                <w:color w:val="0000EE"/>
                <w:w w:val="92"/>
              </w:rPr>
            </w:pPr>
            <w:hyperlink w:anchor="page55">
              <w:r>
                <w:rPr>
                  <w:rFonts w:ascii="Arial" w:cs="Arial" w:eastAsia="Arial" w:hAnsi="Arial"/>
                  <w:sz w:val="16"/>
                  <w:szCs w:val="16"/>
                  <w:color w:val="0000EE"/>
                  <w:w w:val="92"/>
                </w:rPr>
                <w:t>Exhibits</w:t>
              </w:r>
            </w:hyperlink>
          </w:p>
        </w:tc>
        <w:tc>
          <w:tcPr>
            <w:tcW w:w="6180" w:type="dxa"/>
            <w:vAlign w:val="bottom"/>
            <w:gridSpan w:val="8"/>
          </w:tcPr>
          <w:p>
            <w:pPr>
              <w:spacing w:after="0"/>
              <w:rPr>
                <w:sz w:val="20"/>
                <w:szCs w:val="20"/>
                <w:color w:val="auto"/>
              </w:rPr>
            </w:pPr>
          </w:p>
        </w:tc>
        <w:tc>
          <w:tcPr>
            <w:tcW w:w="2800" w:type="dxa"/>
            <w:vAlign w:val="bottom"/>
          </w:tcPr>
          <w:p>
            <w:pPr>
              <w:spacing w:after="0"/>
              <w:rPr>
                <w:sz w:val="20"/>
                <w:szCs w:val="20"/>
                <w:color w:val="auto"/>
              </w:rPr>
            </w:pPr>
          </w:p>
        </w:tc>
        <w:tc>
          <w:tcPr>
            <w:tcW w:w="160" w:type="dxa"/>
            <w:vAlign w:val="bottom"/>
            <w:tcBorders>
              <w:bottom w:val="single" w:sz="8" w:color="0000EE"/>
            </w:tcBorders>
          </w:tcPr>
          <w:p>
            <w:pPr>
              <w:jc w:val="right"/>
              <w:spacing w:after="0"/>
              <w:rPr>
                <w:rFonts w:ascii="Arial" w:cs="Arial" w:eastAsia="Arial" w:hAnsi="Arial"/>
                <w:sz w:val="16"/>
                <w:szCs w:val="16"/>
                <w:color w:val="0000EE"/>
                <w:w w:val="78"/>
              </w:rPr>
            </w:pPr>
            <w:hyperlink w:anchor="page55">
              <w:r>
                <w:rPr>
                  <w:rFonts w:ascii="Arial" w:cs="Arial" w:eastAsia="Arial" w:hAnsi="Arial"/>
                  <w:sz w:val="16"/>
                  <w:szCs w:val="16"/>
                  <w:color w:val="0000EE"/>
                  <w:w w:val="78"/>
                </w:rPr>
                <w:t>54</w:t>
              </w:r>
            </w:hyperlink>
          </w:p>
        </w:tc>
      </w:tr>
      <w:tr>
        <w:trPr>
          <w:trHeight w:val="534"/>
        </w:trPr>
        <w:tc>
          <w:tcPr>
            <w:tcW w:w="680" w:type="dxa"/>
            <w:vAlign w:val="bottom"/>
            <w:tcBorders>
              <w:bottom w:val="single" w:sz="8" w:color="0000EE"/>
            </w:tcBorders>
            <w:gridSpan w:val="4"/>
          </w:tcPr>
          <w:p>
            <w:pPr>
              <w:spacing w:after="0"/>
              <w:rPr>
                <w:sz w:val="20"/>
                <w:szCs w:val="20"/>
                <w:color w:val="auto"/>
              </w:rPr>
            </w:pPr>
            <w:r>
              <w:rPr>
                <w:rFonts w:ascii="Arial" w:cs="Arial" w:eastAsia="Arial" w:hAnsi="Arial"/>
                <w:sz w:val="16"/>
                <w:szCs w:val="16"/>
                <w:color w:val="0000EE"/>
                <w:w w:val="86"/>
              </w:rPr>
              <w:t>Signatures</w:t>
            </w: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60" w:type="dxa"/>
            <w:vAlign w:val="bottom"/>
            <w:tcBorders>
              <w:bottom w:val="single" w:sz="8" w:color="0000EE"/>
            </w:tcBorders>
          </w:tcPr>
          <w:p>
            <w:pPr>
              <w:jc w:val="right"/>
              <w:spacing w:after="0"/>
              <w:rPr>
                <w:rFonts w:ascii="Arial" w:cs="Arial" w:eastAsia="Arial" w:hAnsi="Arial"/>
                <w:sz w:val="16"/>
                <w:szCs w:val="16"/>
                <w:color w:val="0000EE"/>
                <w:w w:val="78"/>
              </w:rPr>
            </w:pPr>
            <w:hyperlink w:anchor="page57">
              <w:r>
                <w:rPr>
                  <w:rFonts w:ascii="Arial" w:cs="Arial" w:eastAsia="Arial" w:hAnsi="Arial"/>
                  <w:sz w:val="16"/>
                  <w:szCs w:val="16"/>
                  <w:color w:val="0000EE"/>
                  <w:w w:val="78"/>
                </w:rPr>
                <w:t>56</w:t>
              </w:r>
            </w:hyperlink>
          </w:p>
        </w:tc>
      </w:tr>
    </w:tbl>
    <w:p>
      <w:pPr>
        <w:spacing w:after="0" w:line="200" w:lineRule="exact"/>
        <w:rPr>
          <w:sz w:val="20"/>
          <w:szCs w:val="20"/>
          <w:color w:val="auto"/>
        </w:rPr>
      </w:pPr>
    </w:p>
    <w:p>
      <w:pPr>
        <w:spacing w:after="0" w:line="29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720"/>
          </w:cols>
          <w:pgMar w:left="280" w:top="580" w:right="8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CAPITAL AGENCY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191"/>
              <w:spacing w:after="0"/>
              <w:rPr>
                <w:sz w:val="20"/>
                <w:szCs w:val="20"/>
                <w:color w:val="auto"/>
              </w:rPr>
            </w:pPr>
            <w:r>
              <w:rPr>
                <w:rFonts w:ascii="Arial" w:cs="Arial" w:eastAsia="Arial" w:hAnsi="Arial"/>
                <w:sz w:val="14"/>
                <w:szCs w:val="14"/>
                <w:b w:val="1"/>
                <w:bCs w:val="1"/>
                <w:color w:val="auto"/>
                <w:w w:val="92"/>
              </w:rPr>
              <w:t>June 30, 2016</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w w:val="95"/>
              </w:rPr>
              <w:t>December 31, 2015</w:t>
            </w:r>
          </w:p>
        </w:tc>
      </w:tr>
      <w:tr>
        <w:trPr>
          <w:trHeight w:val="264"/>
        </w:trPr>
        <w:tc>
          <w:tcPr>
            <w:tcW w:w="79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(Unaudited)</w:t>
            </w:r>
          </w:p>
        </w:tc>
        <w:tc>
          <w:tcPr>
            <w:tcW w:w="20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w w:val="95"/>
              </w:rPr>
              <w:t>Agency securities, at fair value (including pledged securities of $48,344 and $48,380, respectively)</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53,418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51,331</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1"/>
              </w:rPr>
              <w:t>Agency securities transferred to consolidated variable interest entities, at fair value (pledged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1,029</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Non-agency securities, at fair value (pledged securities)</w:t>
            </w:r>
          </w:p>
        </w:tc>
        <w:tc>
          <w:tcPr>
            <w:tcW w:w="28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113</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Treasury securities, at fair value (pledged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REIT equity securities, at fair value</w:t>
            </w:r>
          </w:p>
        </w:tc>
        <w:tc>
          <w:tcPr>
            <w:tcW w:w="28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33</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1,110</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Restricted cash and cash equivalents</w:t>
            </w:r>
          </w:p>
        </w:tc>
        <w:tc>
          <w:tcPr>
            <w:tcW w:w="28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1,399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1,281</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Derivative assets, at fair value</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Receivable under reverse repurchase agreements</w:t>
            </w:r>
          </w:p>
        </w:tc>
        <w:tc>
          <w:tcPr>
            <w:tcW w:w="28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2,982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1,713</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assets</w:t>
            </w: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305</w:t>
            </w:r>
          </w:p>
        </w:tc>
      </w:tr>
      <w:tr>
        <w:trPr>
          <w:trHeight w:val="297"/>
        </w:trPr>
        <w:tc>
          <w:tcPr>
            <w:tcW w:w="790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Total assets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60,475</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57,021</w:t>
            </w:r>
          </w:p>
        </w:tc>
      </w:tr>
      <w:tr>
        <w:trPr>
          <w:trHeight w:val="23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2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Repurchase agreements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41,947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41,754</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Federal Home Loan Bank advances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3,037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3,753</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Debt of consolidated variable interest entities, at fair value</w:t>
            </w:r>
          </w:p>
        </w:tc>
        <w:tc>
          <w:tcPr>
            <w:tcW w:w="28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528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595</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Payable for securities purchased</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2,581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182</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Derivative liabilities, at fair value</w:t>
            </w:r>
          </w:p>
        </w:tc>
        <w:tc>
          <w:tcPr>
            <w:tcW w:w="28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1,519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935</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Dividends payable</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w:t>
            </w:r>
          </w:p>
        </w:tc>
      </w:tr>
      <w:tr>
        <w:trPr>
          <w:trHeight w:val="229"/>
        </w:trPr>
        <w:tc>
          <w:tcPr>
            <w:tcW w:w="7900" w:type="dxa"/>
            <w:vAlign w:val="bottom"/>
          </w:tcPr>
          <w:p>
            <w:pPr>
              <w:ind w:left="380"/>
              <w:spacing w:after="0"/>
              <w:rPr>
                <w:sz w:val="20"/>
                <w:szCs w:val="20"/>
                <w:color w:val="auto"/>
              </w:rPr>
            </w:pPr>
            <w:r>
              <w:rPr>
                <w:rFonts w:ascii="Arial" w:cs="Arial" w:eastAsia="Arial" w:hAnsi="Arial"/>
                <w:sz w:val="18"/>
                <w:szCs w:val="18"/>
                <w:color w:val="auto"/>
              </w:rPr>
              <w:t>Obligation to return securities borrowed under reverse repurchase agreements, at</w:t>
            </w:r>
          </w:p>
        </w:tc>
        <w:tc>
          <w:tcPr>
            <w:tcW w:w="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0"/>
        </w:trPr>
        <w:tc>
          <w:tcPr>
            <w:tcW w:w="7900" w:type="dxa"/>
            <w:vAlign w:val="bottom"/>
          </w:tcPr>
          <w:p>
            <w:pPr>
              <w:ind w:left="380"/>
              <w:spacing w:after="0"/>
              <w:rPr>
                <w:sz w:val="20"/>
                <w:szCs w:val="20"/>
                <w:color w:val="auto"/>
              </w:rPr>
            </w:pPr>
            <w:r>
              <w:rPr>
                <w:rFonts w:ascii="Arial" w:cs="Arial" w:eastAsia="Arial" w:hAnsi="Arial"/>
                <w:sz w:val="18"/>
                <w:szCs w:val="18"/>
                <w:color w:val="auto"/>
              </w:rPr>
              <w:t>fair value</w:t>
            </w:r>
          </w:p>
        </w:tc>
        <w:tc>
          <w:tcPr>
            <w:tcW w:w="280" w:type="dxa"/>
            <w:vAlign w:val="bottom"/>
          </w:tcPr>
          <w:p>
            <w:pPr>
              <w:spacing w:after="0"/>
              <w:rPr>
                <w:sz w:val="20"/>
                <w:szCs w:val="20"/>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3,017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1,696</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 and other accrued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w:t>
            </w:r>
          </w:p>
        </w:tc>
      </w:tr>
      <w:tr>
        <w:trPr>
          <w:trHeight w:val="237"/>
        </w:trPr>
        <w:tc>
          <w:tcPr>
            <w:tcW w:w="790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2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52,773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49,050</w:t>
            </w:r>
          </w:p>
        </w:tc>
      </w:tr>
      <w:tr>
        <w:trPr>
          <w:trHeight w:val="27"/>
        </w:trPr>
        <w:tc>
          <w:tcPr>
            <w:tcW w:w="7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Stockholders' equity:</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Preferred stock - $0.01 par value; 10.0 shares authorized:</w:t>
            </w:r>
          </w:p>
        </w:tc>
        <w:tc>
          <w:tcPr>
            <w:tcW w:w="2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29"/>
        </w:trPr>
        <w:tc>
          <w:tcPr>
            <w:tcW w:w="7900" w:type="dxa"/>
            <w:vAlign w:val="bottom"/>
            <w:shd w:val="clear" w:color="auto" w:fill="CCEEFF"/>
          </w:tcPr>
          <w:p>
            <w:pPr>
              <w:ind w:left="620"/>
              <w:spacing w:after="0"/>
              <w:rPr>
                <w:sz w:val="20"/>
                <w:szCs w:val="20"/>
                <w:color w:val="auto"/>
              </w:rPr>
            </w:pPr>
            <w:r>
              <w:rPr>
                <w:rFonts w:ascii="Arial" w:cs="Arial" w:eastAsia="Arial" w:hAnsi="Arial"/>
                <w:sz w:val="18"/>
                <w:szCs w:val="18"/>
                <w:color w:val="auto"/>
                <w:w w:val="97"/>
              </w:rPr>
              <w:t>Redeemable Preferred Stock; $0.01 par value; 6.9 shares issued and outstanding (aggregate</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37"/>
        </w:trPr>
        <w:tc>
          <w:tcPr>
            <w:tcW w:w="79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liquidation preference of $348)</w:t>
            </w:r>
          </w:p>
        </w:tc>
        <w:tc>
          <w:tcPr>
            <w:tcW w:w="2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336</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Common stock - $0.01 par value; 600.0 shares authorized;</w:t>
            </w:r>
          </w:p>
        </w:tc>
        <w:tc>
          <w:tcPr>
            <w:tcW w:w="2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331.0 and 337.5 shares issued and outstanding, respectively</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Additional paid-in capital</w:t>
            </w:r>
          </w:p>
        </w:tc>
        <w:tc>
          <w:tcPr>
            <w:tcW w:w="28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9,932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10,048</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Retained deficit</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(2,350)</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Accumulated other comprehensive income (loss)</w:t>
            </w:r>
          </w:p>
        </w:tc>
        <w:tc>
          <w:tcPr>
            <w:tcW w:w="28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1,100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7"/>
        </w:trPr>
        <w:tc>
          <w:tcPr>
            <w:tcW w:w="7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stockholders' equity</w:t>
            </w:r>
          </w:p>
        </w:tc>
        <w:tc>
          <w:tcPr>
            <w:tcW w:w="2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7,702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7,971</w:t>
            </w:r>
          </w:p>
        </w:tc>
      </w:tr>
      <w:tr>
        <w:trPr>
          <w:trHeight w:val="257"/>
        </w:trPr>
        <w:tc>
          <w:tcPr>
            <w:tcW w:w="7900" w:type="dxa"/>
            <w:vAlign w:val="bottom"/>
          </w:tcPr>
          <w:p>
            <w:pPr>
              <w:ind w:left="720"/>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60,475</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57,021</w:t>
            </w:r>
          </w:p>
        </w:tc>
      </w:tr>
      <w:tr>
        <w:trPr>
          <w:trHeight w:val="20"/>
        </w:trPr>
        <w:tc>
          <w:tcPr>
            <w:tcW w:w="7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0" w:right="23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8"/>
          <w:szCs w:val="18"/>
          <w:b w:val="1"/>
          <w:bCs w:val="1"/>
          <w:color w:val="auto"/>
        </w:rPr>
        <w:t>AMERICAN CAPITAL AGENCY CORP.</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millions, except per share data)</w:t>
      </w: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80" w:type="dxa"/>
            <w:vAlign w:val="bottom"/>
          </w:tcPr>
          <w:p>
            <w:pPr>
              <w:spacing w:after="0"/>
              <w:rPr>
                <w:sz w:val="17"/>
                <w:szCs w:val="17"/>
                <w:color w:val="auto"/>
              </w:rPr>
            </w:pPr>
          </w:p>
        </w:tc>
        <w:tc>
          <w:tcPr>
            <w:tcW w:w="2140" w:type="dxa"/>
            <w:vAlign w:val="bottom"/>
            <w:gridSpan w:val="7"/>
          </w:tcPr>
          <w:p>
            <w:pPr>
              <w:ind w:left="100"/>
              <w:spacing w:after="0"/>
              <w:rPr>
                <w:sz w:val="20"/>
                <w:szCs w:val="20"/>
                <w:color w:val="auto"/>
              </w:rPr>
            </w:pPr>
            <w:r>
              <w:rPr>
                <w:rFonts w:ascii="Arial" w:cs="Arial" w:eastAsia="Arial" w:hAnsi="Arial"/>
                <w:sz w:val="16"/>
                <w:szCs w:val="16"/>
                <w:b w:val="1"/>
                <w:bCs w:val="1"/>
                <w:color w:val="auto"/>
              </w:rPr>
              <w:t>Three Months Ended June</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10"/>
        </w:trPr>
        <w:tc>
          <w:tcPr>
            <w:tcW w:w="6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gridSpan w:val="3"/>
          </w:tcPr>
          <w:p>
            <w:pPr>
              <w:jc w:val="right"/>
              <w:ind w:right="70"/>
              <w:spacing w:after="0"/>
              <w:rPr>
                <w:sz w:val="20"/>
                <w:szCs w:val="20"/>
                <w:color w:val="auto"/>
              </w:rPr>
            </w:pPr>
            <w:r>
              <w:rPr>
                <w:rFonts w:ascii="Arial" w:cs="Arial" w:eastAsia="Arial" w:hAnsi="Arial"/>
                <w:sz w:val="16"/>
                <w:szCs w:val="16"/>
                <w:b w:val="1"/>
                <w:bCs w:val="1"/>
                <w:color w:val="auto"/>
                <w:w w:val="80"/>
              </w:rPr>
              <w:t>30,</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5"/>
          </w:tcPr>
          <w:p>
            <w:pPr>
              <w:jc w:val="right"/>
              <w:spacing w:after="0"/>
              <w:rPr>
                <w:sz w:val="20"/>
                <w:szCs w:val="20"/>
                <w:color w:val="auto"/>
              </w:rPr>
            </w:pPr>
            <w:r>
              <w:rPr>
                <w:rFonts w:ascii="Arial" w:cs="Arial" w:eastAsia="Arial" w:hAnsi="Arial"/>
                <w:sz w:val="16"/>
                <w:szCs w:val="16"/>
                <w:b w:val="1"/>
                <w:bCs w:val="1"/>
                <w:color w:val="auto"/>
                <w:w w:val="93"/>
              </w:rPr>
              <w:t>Six Months Ended June 30,</w:t>
            </w:r>
          </w:p>
        </w:tc>
      </w:tr>
      <w:tr>
        <w:trPr>
          <w:trHeight w:val="33"/>
        </w:trPr>
        <w:tc>
          <w:tcPr>
            <w:tcW w:w="64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1"/>
        </w:trPr>
        <w:tc>
          <w:tcPr>
            <w:tcW w:w="6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190"/>
              <w:spacing w:after="0"/>
              <w:rPr>
                <w:sz w:val="20"/>
                <w:szCs w:val="20"/>
                <w:color w:val="auto"/>
              </w:rPr>
            </w:pPr>
            <w:r>
              <w:rPr>
                <w:rFonts w:ascii="Arial" w:cs="Arial" w:eastAsia="Arial" w:hAnsi="Arial"/>
                <w:sz w:val="16"/>
                <w:szCs w:val="16"/>
                <w:b w:val="1"/>
                <w:bCs w:val="1"/>
                <w:color w:val="auto"/>
              </w:rPr>
              <w:t>2016</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ind w:right="230"/>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ind w:right="230"/>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ind w:right="230"/>
              <w:spacing w:after="0"/>
              <w:rPr>
                <w:sz w:val="20"/>
                <w:szCs w:val="20"/>
                <w:color w:val="auto"/>
              </w:rPr>
            </w:pPr>
            <w:r>
              <w:rPr>
                <w:rFonts w:ascii="Arial" w:cs="Arial" w:eastAsia="Arial" w:hAnsi="Arial"/>
                <w:sz w:val="16"/>
                <w:szCs w:val="16"/>
                <w:b w:val="1"/>
                <w:bCs w:val="1"/>
                <w:color w:val="auto"/>
              </w:rPr>
              <w:t>2015</w:t>
            </w:r>
          </w:p>
        </w:tc>
      </w:tr>
      <w:tr>
        <w:trPr>
          <w:trHeight w:val="33"/>
        </w:trPr>
        <w:tc>
          <w:tcPr>
            <w:tcW w:w="64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4"/>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Interest income:</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43"/>
        </w:trPr>
        <w:tc>
          <w:tcPr>
            <w:tcW w:w="6480" w:type="dxa"/>
            <w:vAlign w:val="bottom"/>
          </w:tcPr>
          <w:p>
            <w:pPr>
              <w:ind w:left="380"/>
              <w:spacing w:after="0"/>
              <w:rPr>
                <w:sz w:val="20"/>
                <w:szCs w:val="20"/>
                <w:color w:val="auto"/>
              </w:rPr>
            </w:pPr>
            <w:r>
              <w:rPr>
                <w:rFonts w:ascii="Arial" w:cs="Arial" w:eastAsia="Arial" w:hAnsi="Arial"/>
                <w:sz w:val="18"/>
                <w:szCs w:val="18"/>
                <w:color w:val="auto"/>
              </w:rPr>
              <w:t>Interest income</w:t>
            </w:r>
          </w:p>
        </w:tc>
        <w:tc>
          <w:tcPr>
            <w:tcW w:w="220" w:type="dxa"/>
            <w:vAlign w:val="bottom"/>
          </w:tcPr>
          <w:p>
            <w:pPr>
              <w:jc w:val="right"/>
              <w:ind w:right="11"/>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318</w:t>
            </w:r>
          </w:p>
        </w:tc>
        <w:tc>
          <w:tcPr>
            <w:tcW w:w="36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414</w:t>
            </w:r>
          </w:p>
        </w:tc>
        <w:tc>
          <w:tcPr>
            <w:tcW w:w="120" w:type="dxa"/>
            <w:vAlign w:val="bottom"/>
          </w:tcPr>
          <w:p>
            <w:pPr>
              <w:spacing w:after="0"/>
              <w:rPr>
                <w:sz w:val="21"/>
                <w:szCs w:val="21"/>
                <w:color w:val="auto"/>
              </w:rPr>
            </w:pP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613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797</w:t>
            </w:r>
          </w:p>
        </w:tc>
      </w:tr>
      <w:tr>
        <w:trPr>
          <w:trHeight w:val="27"/>
        </w:trPr>
        <w:tc>
          <w:tcPr>
            <w:tcW w:w="6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6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w:t>
            </w:r>
          </w:p>
        </w:tc>
      </w:tr>
      <w:tr>
        <w:trPr>
          <w:trHeight w:val="237"/>
        </w:trPr>
        <w:tc>
          <w:tcPr>
            <w:tcW w:w="6480" w:type="dxa"/>
            <w:vAlign w:val="bottom"/>
          </w:tcPr>
          <w:p>
            <w:pPr>
              <w:ind w:left="700"/>
              <w:spacing w:after="0"/>
              <w:rPr>
                <w:sz w:val="20"/>
                <w:szCs w:val="20"/>
                <w:color w:val="auto"/>
              </w:rPr>
            </w:pPr>
            <w:r>
              <w:rPr>
                <w:rFonts w:ascii="Arial" w:cs="Arial" w:eastAsia="Arial" w:hAnsi="Arial"/>
                <w:sz w:val="18"/>
                <w:szCs w:val="18"/>
                <w:color w:val="auto"/>
              </w:rPr>
              <w:t>Net interest income</w:t>
            </w:r>
          </w:p>
        </w:tc>
        <w:tc>
          <w:tcPr>
            <w:tcW w:w="2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217</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333</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413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630</w:t>
            </w:r>
          </w:p>
        </w:tc>
      </w:tr>
      <w:tr>
        <w:trPr>
          <w:trHeight w:val="27"/>
        </w:trPr>
        <w:tc>
          <w:tcPr>
            <w:tcW w:w="64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4"/>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Other gain (loss), net:</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43"/>
        </w:trPr>
        <w:tc>
          <w:tcPr>
            <w:tcW w:w="6480" w:type="dxa"/>
            <w:vAlign w:val="bottom"/>
          </w:tcPr>
          <w:p>
            <w:pPr>
              <w:ind w:left="380"/>
              <w:spacing w:after="0"/>
              <w:rPr>
                <w:sz w:val="20"/>
                <w:szCs w:val="20"/>
                <w:color w:val="auto"/>
              </w:rPr>
            </w:pPr>
            <w:r>
              <w:rPr>
                <w:rFonts w:ascii="Arial" w:cs="Arial" w:eastAsia="Arial" w:hAnsi="Arial"/>
                <w:sz w:val="18"/>
                <w:szCs w:val="18"/>
                <w:color w:val="auto"/>
              </w:rPr>
              <w:t>Gain (loss) on sale of mortgage-backed securities, net</w:t>
            </w: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14</w:t>
            </w:r>
          </w:p>
        </w:tc>
      </w:tr>
      <w:tr>
        <w:trPr>
          <w:trHeight w:val="27"/>
        </w:trPr>
        <w:tc>
          <w:tcPr>
            <w:tcW w:w="6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6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 (loss) on derivative instruments and other securities, net</w:t>
            </w: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w:t>
            </w:r>
          </w:p>
        </w:tc>
      </w:tr>
      <w:tr>
        <w:trPr>
          <w:trHeight w:val="237"/>
        </w:trPr>
        <w:tc>
          <w:tcPr>
            <w:tcW w:w="6480" w:type="dxa"/>
            <w:vAlign w:val="bottom"/>
          </w:tcPr>
          <w:p>
            <w:pPr>
              <w:ind w:left="700"/>
              <w:spacing w:after="0"/>
              <w:rPr>
                <w:sz w:val="20"/>
                <w:szCs w:val="20"/>
                <w:color w:val="auto"/>
              </w:rPr>
            </w:pPr>
            <w:r>
              <w:rPr>
                <w:rFonts w:ascii="Arial" w:cs="Arial" w:eastAsia="Arial" w:hAnsi="Arial"/>
                <w:sz w:val="18"/>
                <w:szCs w:val="18"/>
                <w:color w:val="auto"/>
              </w:rPr>
              <w:t>Total other gain (loss), net</w:t>
            </w:r>
          </w:p>
        </w:tc>
        <w:tc>
          <w:tcPr>
            <w:tcW w:w="2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(312)</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215</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(298)</w:t>
            </w:r>
          </w:p>
        </w:tc>
      </w:tr>
      <w:tr>
        <w:trPr>
          <w:trHeight w:val="27"/>
        </w:trPr>
        <w:tc>
          <w:tcPr>
            <w:tcW w:w="64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4"/>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Expenses:</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43"/>
        </w:trPr>
        <w:tc>
          <w:tcPr>
            <w:tcW w:w="6480" w:type="dxa"/>
            <w:vAlign w:val="bottom"/>
          </w:tcPr>
          <w:p>
            <w:pPr>
              <w:ind w:left="380"/>
              <w:spacing w:after="0"/>
              <w:rPr>
                <w:sz w:val="20"/>
                <w:szCs w:val="20"/>
                <w:color w:val="auto"/>
              </w:rPr>
            </w:pPr>
            <w:r>
              <w:rPr>
                <w:rFonts w:ascii="Arial" w:cs="Arial" w:eastAsia="Arial" w:hAnsi="Arial"/>
                <w:sz w:val="18"/>
                <w:szCs w:val="18"/>
                <w:color w:val="auto"/>
              </w:rPr>
              <w:t>Management fees</w:t>
            </w: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59</w:t>
            </w:r>
          </w:p>
        </w:tc>
      </w:tr>
      <w:tr>
        <w:trPr>
          <w:trHeight w:val="27"/>
        </w:trPr>
        <w:tc>
          <w:tcPr>
            <w:tcW w:w="6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6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General, administrative and other expenses</w:t>
            </w: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r>
      <w:tr>
        <w:trPr>
          <w:trHeight w:val="237"/>
        </w:trPr>
        <w:tc>
          <w:tcPr>
            <w:tcW w:w="6480" w:type="dxa"/>
            <w:vAlign w:val="bottom"/>
          </w:tcPr>
          <w:p>
            <w:pPr>
              <w:ind w:left="700"/>
              <w:spacing w:after="0"/>
              <w:rPr>
                <w:sz w:val="20"/>
                <w:szCs w:val="20"/>
                <w:color w:val="auto"/>
              </w:rPr>
            </w:pPr>
            <w:r>
              <w:rPr>
                <w:rFonts w:ascii="Arial" w:cs="Arial" w:eastAsia="Arial" w:hAnsi="Arial"/>
                <w:sz w:val="18"/>
                <w:szCs w:val="18"/>
                <w:color w:val="auto"/>
              </w:rPr>
              <w:t>Total expenses</w:t>
            </w:r>
          </w:p>
        </w:tc>
        <w:tc>
          <w:tcPr>
            <w:tcW w:w="2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72</w:t>
            </w:r>
          </w:p>
        </w:tc>
      </w:tr>
      <w:tr>
        <w:trPr>
          <w:trHeight w:val="27"/>
        </w:trPr>
        <w:tc>
          <w:tcPr>
            <w:tcW w:w="64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4"/>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w:t>
            </w:r>
          </w:p>
        </w:tc>
      </w:tr>
      <w:tr>
        <w:trPr>
          <w:trHeight w:val="243"/>
        </w:trPr>
        <w:tc>
          <w:tcPr>
            <w:tcW w:w="6480" w:type="dxa"/>
            <w:vAlign w:val="bottom"/>
          </w:tcPr>
          <w:p>
            <w:pPr>
              <w:ind w:left="380"/>
              <w:spacing w:after="0"/>
              <w:rPr>
                <w:sz w:val="20"/>
                <w:szCs w:val="20"/>
                <w:color w:val="auto"/>
              </w:rPr>
            </w:pPr>
            <w:r>
              <w:rPr>
                <w:rFonts w:ascii="Arial" w:cs="Arial" w:eastAsia="Arial" w:hAnsi="Arial"/>
                <w:sz w:val="18"/>
                <w:szCs w:val="18"/>
                <w:color w:val="auto"/>
              </w:rPr>
              <w:t>Dividend on preferred stock</w:t>
            </w: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14</w:t>
            </w:r>
          </w:p>
        </w:tc>
      </w:tr>
      <w:tr>
        <w:trPr>
          <w:trHeight w:val="27"/>
        </w:trPr>
        <w:tc>
          <w:tcPr>
            <w:tcW w:w="64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57"/>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 available (attributable) to common stockholders</w:t>
            </w:r>
          </w:p>
        </w:tc>
        <w:tc>
          <w:tcPr>
            <w:tcW w:w="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36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505</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246</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6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50"/>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36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w:t>
            </w:r>
          </w:p>
        </w:tc>
      </w:tr>
      <w:tr>
        <w:trPr>
          <w:trHeight w:val="243"/>
        </w:trPr>
        <w:tc>
          <w:tcPr>
            <w:tcW w:w="648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income (loss):</w:t>
            </w: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7"/>
        </w:trPr>
        <w:tc>
          <w:tcPr>
            <w:tcW w:w="6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6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Unrealized gain (loss) on available-for-sale securities, net</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w:t>
            </w:r>
          </w:p>
        </w:tc>
      </w:tr>
      <w:tr>
        <w:trPr>
          <w:trHeight w:val="243"/>
        </w:trPr>
        <w:tc>
          <w:tcPr>
            <w:tcW w:w="6480" w:type="dxa"/>
            <w:vAlign w:val="bottom"/>
          </w:tcPr>
          <w:p>
            <w:pPr>
              <w:ind w:left="380"/>
              <w:spacing w:after="0"/>
              <w:rPr>
                <w:sz w:val="20"/>
                <w:szCs w:val="20"/>
                <w:color w:val="auto"/>
              </w:rPr>
            </w:pPr>
            <w:r>
              <w:rPr>
                <w:rFonts w:ascii="Arial" w:cs="Arial" w:eastAsia="Arial" w:hAnsi="Arial"/>
                <w:sz w:val="18"/>
                <w:szCs w:val="18"/>
                <w:color w:val="auto"/>
              </w:rPr>
              <w:t>Unrealized gain on derivative instruments, net</w:t>
            </w: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55</w:t>
            </w:r>
          </w:p>
        </w:tc>
      </w:tr>
      <w:tr>
        <w:trPr>
          <w:trHeight w:val="27"/>
        </w:trPr>
        <w:tc>
          <w:tcPr>
            <w:tcW w:w="64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64"/>
        </w:trPr>
        <w:tc>
          <w:tcPr>
            <w:tcW w:w="64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Other comprehensive income (loss)</w:t>
            </w:r>
          </w:p>
        </w:tc>
        <w:tc>
          <w:tcPr>
            <w:tcW w:w="2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(426)</w:t>
            </w:r>
          </w:p>
        </w:tc>
      </w:tr>
      <w:tr>
        <w:trPr>
          <w:trHeight w:val="237"/>
        </w:trPr>
        <w:tc>
          <w:tcPr>
            <w:tcW w:w="6480" w:type="dxa"/>
            <w:vAlign w:val="bottom"/>
          </w:tcPr>
          <w:p>
            <w:pPr>
              <w:ind w:left="20"/>
              <w:spacing w:after="0"/>
              <w:rPr>
                <w:sz w:val="20"/>
                <w:szCs w:val="20"/>
                <w:color w:val="auto"/>
              </w:rPr>
            </w:pPr>
            <w:r>
              <w:rPr>
                <w:rFonts w:ascii="Arial" w:cs="Arial" w:eastAsia="Arial" w:hAnsi="Arial"/>
                <w:sz w:val="18"/>
                <w:szCs w:val="18"/>
                <w:b w:val="1"/>
                <w:bCs w:val="1"/>
                <w:color w:val="auto"/>
              </w:rPr>
              <w:t>Comprehensive income (loss)</w:t>
            </w:r>
          </w:p>
        </w:tc>
        <w:tc>
          <w:tcPr>
            <w:tcW w:w="2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(334)</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w:t>
            </w:r>
          </w:p>
        </w:tc>
      </w:tr>
      <w:tr>
        <w:trPr>
          <w:trHeight w:val="27"/>
        </w:trPr>
        <w:tc>
          <w:tcPr>
            <w:tcW w:w="6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6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Dividend on preferred stock</w:t>
            </w: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r>
      <w:tr>
        <w:trPr>
          <w:trHeight w:val="297"/>
        </w:trPr>
        <w:tc>
          <w:tcPr>
            <w:tcW w:w="64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w w:val="95"/>
              </w:rPr>
              <w:t>Comprehensive income (loss) available (attributable) to common stockholders</w:t>
            </w:r>
          </w:p>
        </w:tc>
        <w:tc>
          <w:tcPr>
            <w:tcW w:w="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w:t>
            </w:r>
          </w:p>
        </w:tc>
        <w:tc>
          <w:tcPr>
            <w:tcW w:w="4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245</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w:t>
            </w:r>
          </w:p>
        </w:tc>
      </w:tr>
      <w:tr>
        <w:trPr>
          <w:trHeight w:val="311"/>
        </w:trPr>
        <w:tc>
          <w:tcPr>
            <w:tcW w:w="64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r>
      <w:tr>
        <w:trPr>
          <w:trHeight w:val="304"/>
        </w:trPr>
        <w:tc>
          <w:tcPr>
            <w:tcW w:w="64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w w:val="97"/>
              </w:rPr>
              <w:t>Weighted average number of common shares outstanding - basic and diluted</w:t>
            </w: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331.0</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352.1</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332.7</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352.5</w:t>
            </w:r>
          </w:p>
        </w:tc>
      </w:tr>
      <w:tr>
        <w:trPr>
          <w:trHeight w:val="251"/>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 per common share - basic and diluted</w:t>
            </w: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0.70</w:t>
            </w:r>
          </w:p>
        </w:tc>
      </w:tr>
      <w:tr>
        <w:trPr>
          <w:trHeight w:val="20"/>
        </w:trPr>
        <w:tc>
          <w:tcPr>
            <w:tcW w:w="6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251"/>
        </w:trPr>
        <w:tc>
          <w:tcPr>
            <w:tcW w:w="6480" w:type="dxa"/>
            <w:vAlign w:val="bottom"/>
          </w:tcPr>
          <w:p>
            <w:pPr>
              <w:ind w:left="20"/>
              <w:spacing w:after="0"/>
              <w:rPr>
                <w:sz w:val="20"/>
                <w:szCs w:val="20"/>
                <w:color w:val="auto"/>
              </w:rPr>
            </w:pPr>
            <w:r>
              <w:rPr>
                <w:rFonts w:ascii="Arial" w:cs="Arial" w:eastAsia="Arial" w:hAnsi="Arial"/>
                <w:sz w:val="18"/>
                <w:szCs w:val="18"/>
                <w:b w:val="1"/>
                <w:bCs w:val="1"/>
                <w:color w:val="auto"/>
              </w:rPr>
              <w:t>Dividends declared per common share</w:t>
            </w:r>
          </w:p>
        </w:tc>
        <w:tc>
          <w:tcPr>
            <w:tcW w:w="220" w:type="dxa"/>
            <w:vAlign w:val="bottom"/>
          </w:tcPr>
          <w:p>
            <w:pPr>
              <w:jc w:val="right"/>
              <w:ind w:right="11"/>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0.60</w:t>
            </w:r>
          </w:p>
        </w:tc>
        <w:tc>
          <w:tcPr>
            <w:tcW w:w="36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0.62</w:t>
            </w:r>
          </w:p>
        </w:tc>
        <w:tc>
          <w:tcPr>
            <w:tcW w:w="120" w:type="dxa"/>
            <w:vAlign w:val="bottom"/>
          </w:tcPr>
          <w:p>
            <w:pPr>
              <w:spacing w:after="0"/>
              <w:rPr>
                <w:sz w:val="21"/>
                <w:szCs w:val="21"/>
                <w:color w:val="auto"/>
              </w:rPr>
            </w:pP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1.28</w:t>
            </w:r>
          </w:p>
        </w:tc>
      </w:tr>
      <w:tr>
        <w:trPr>
          <w:trHeight w:val="20"/>
        </w:trPr>
        <w:tc>
          <w:tcPr>
            <w:tcW w:w="64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640"/>
          </w:cols>
          <w:pgMar w:left="640" w:top="580" w:right="61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AMERICAN CAPITAL AGENCY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(in millions)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420" w:type="dxa"/>
            <w:vAlign w:val="bottom"/>
            <w:gridSpan w:val="4"/>
            <w:vMerge w:val="restart"/>
          </w:tcPr>
          <w:p>
            <w:pPr>
              <w:jc w:val="right"/>
              <w:ind w:right="110"/>
              <w:spacing w:after="0"/>
              <w:rPr>
                <w:sz w:val="20"/>
                <w:szCs w:val="20"/>
                <w:color w:val="auto"/>
              </w:rPr>
            </w:pPr>
            <w:r>
              <w:rPr>
                <w:rFonts w:ascii="Arial" w:cs="Arial" w:eastAsia="Arial" w:hAnsi="Arial"/>
                <w:sz w:val="14"/>
                <w:szCs w:val="14"/>
                <w:b w:val="1"/>
                <w:bCs w:val="1"/>
                <w:color w:val="auto"/>
              </w:rPr>
              <w:t>Preferred Stock</w:t>
            </w:r>
          </w:p>
        </w:tc>
        <w:tc>
          <w:tcPr>
            <w:tcW w:w="120" w:type="dxa"/>
            <w:vAlign w:val="bottom"/>
            <w:vMerge w:val="restart"/>
          </w:tcPr>
          <w:p>
            <w:pPr>
              <w:spacing w:after="0"/>
              <w:rPr>
                <w:sz w:val="14"/>
                <w:szCs w:val="14"/>
                <w:color w:val="auto"/>
              </w:rPr>
            </w:pPr>
          </w:p>
        </w:tc>
        <w:tc>
          <w:tcPr>
            <w:tcW w:w="130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660" w:type="dxa"/>
            <w:vAlign w:val="bottom"/>
          </w:tcPr>
          <w:p>
            <w:pPr>
              <w:spacing w:after="0"/>
              <w:rPr>
                <w:sz w:val="13"/>
                <w:szCs w:val="13"/>
                <w:color w:val="auto"/>
              </w:rPr>
            </w:pPr>
          </w:p>
        </w:tc>
        <w:tc>
          <w:tcPr>
            <w:tcW w:w="1420" w:type="dxa"/>
            <w:vAlign w:val="bottom"/>
            <w:tcBorders>
              <w:bottom w:val="single" w:sz="8" w:color="auto"/>
            </w:tcBorders>
            <w:gridSpan w:val="4"/>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300" w:type="dxa"/>
            <w:vAlign w:val="bottom"/>
            <w:tcBorders>
              <w:bottom w:val="single" w:sz="8" w:color="auto"/>
            </w:tcBorders>
            <w:gridSpan w:val="3"/>
            <w:vMerge w:val="continue"/>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6"/>
              </w:rPr>
              <w:t>Other</w:t>
            </w: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3660" w:type="dxa"/>
            <w:vAlign w:val="bottom"/>
          </w:tcPr>
          <w:p>
            <w:pPr>
              <w:spacing w:after="0"/>
              <w:rPr>
                <w:sz w:val="10"/>
                <w:szCs w:val="10"/>
                <w:color w:val="auto"/>
              </w:rPr>
            </w:pPr>
          </w:p>
        </w:tc>
        <w:tc>
          <w:tcPr>
            <w:tcW w:w="7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Shares</w:t>
            </w:r>
          </w:p>
        </w:tc>
        <w:tc>
          <w:tcPr>
            <w:tcW w:w="82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Amount</w:t>
            </w:r>
          </w:p>
        </w:tc>
        <w:tc>
          <w:tcPr>
            <w:tcW w:w="9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Shares</w:t>
            </w:r>
          </w:p>
        </w:tc>
        <w:tc>
          <w:tcPr>
            <w:tcW w:w="7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0"/>
                <w:szCs w:val="10"/>
                <w:color w:val="auto"/>
              </w:rPr>
            </w:pPr>
          </w:p>
        </w:tc>
        <w:tc>
          <w:tcPr>
            <w:tcW w:w="88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rPr>
              <w:t>Paid-in</w:t>
            </w:r>
          </w:p>
        </w:tc>
        <w:tc>
          <w:tcPr>
            <w:tcW w:w="140" w:type="dxa"/>
            <w:vAlign w:val="bottom"/>
          </w:tcPr>
          <w:p>
            <w:pPr>
              <w:spacing w:after="0"/>
              <w:rPr>
                <w:sz w:val="10"/>
                <w:szCs w:val="10"/>
                <w:color w:val="auto"/>
              </w:rPr>
            </w:pPr>
          </w:p>
        </w:tc>
        <w:tc>
          <w:tcPr>
            <w:tcW w:w="88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Retained</w:t>
            </w:r>
          </w:p>
        </w:tc>
        <w:tc>
          <w:tcPr>
            <w:tcW w:w="140" w:type="dxa"/>
            <w:vAlign w:val="bottom"/>
          </w:tcPr>
          <w:p>
            <w:pPr>
              <w:spacing w:after="0"/>
              <w:rPr>
                <w:sz w:val="10"/>
                <w:szCs w:val="10"/>
                <w:color w:val="auto"/>
              </w:rPr>
            </w:pPr>
          </w:p>
        </w:tc>
        <w:tc>
          <w:tcPr>
            <w:tcW w:w="122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8"/>
              </w:rPr>
              <w:t>Comprehensive</w:t>
            </w:r>
          </w:p>
        </w:tc>
        <w:tc>
          <w:tcPr>
            <w:tcW w:w="260" w:type="dxa"/>
            <w:vAlign w:val="bottom"/>
          </w:tcPr>
          <w:p>
            <w:pPr>
              <w:spacing w:after="0"/>
              <w:rPr>
                <w:sz w:val="10"/>
                <w:szCs w:val="10"/>
                <w:color w:val="auto"/>
              </w:rPr>
            </w:pPr>
          </w:p>
        </w:tc>
        <w:tc>
          <w:tcPr>
            <w:tcW w:w="860" w:type="dxa"/>
            <w:vAlign w:val="bottom"/>
            <w:vMerge w:val="restart"/>
          </w:tcPr>
          <w:p>
            <w:pPr>
              <w:jc w:val="right"/>
              <w:ind w:right="3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66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820" w:type="dxa"/>
            <w:vAlign w:val="bottom"/>
            <w:gridSpan w:val="3"/>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78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6"/>
                <w:szCs w:val="16"/>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Deficit</w:t>
            </w:r>
          </w:p>
        </w:tc>
        <w:tc>
          <w:tcPr>
            <w:tcW w:w="14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Income (Loss)</w:t>
            </w: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December 31, 2014</w:t>
            </w:r>
          </w:p>
        </w:tc>
        <w:tc>
          <w:tcPr>
            <w:tcW w:w="58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352.8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94"/>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10,332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9,428</w:t>
            </w:r>
          </w:p>
        </w:tc>
        <w:tc>
          <w:tcPr>
            <w:tcW w:w="0" w:type="dxa"/>
            <w:vAlign w:val="bottom"/>
          </w:tcPr>
          <w:p>
            <w:pPr>
              <w:spacing w:after="0"/>
              <w:rPr>
                <w:sz w:val="1"/>
                <w:szCs w:val="1"/>
                <w:color w:val="auto"/>
              </w:rPr>
            </w:pPr>
          </w:p>
        </w:tc>
      </w:tr>
      <w:tr>
        <w:trPr>
          <w:trHeight w:val="243"/>
        </w:trPr>
        <w:tc>
          <w:tcPr>
            <w:tcW w:w="366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Other comprehensive income (loss):</w:t>
            </w:r>
          </w:p>
        </w:tc>
        <w:tc>
          <w:tcPr>
            <w:tcW w:w="5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660" w:type="dxa"/>
            <w:vAlign w:val="bottom"/>
          </w:tcPr>
          <w:p>
            <w:pPr>
              <w:ind w:left="380"/>
              <w:spacing w:after="0"/>
              <w:rPr>
                <w:sz w:val="20"/>
                <w:szCs w:val="20"/>
                <w:color w:val="auto"/>
              </w:rPr>
            </w:pPr>
            <w:r>
              <w:rPr>
                <w:rFonts w:ascii="Arial" w:cs="Arial" w:eastAsia="Arial" w:hAnsi="Arial"/>
                <w:sz w:val="18"/>
                <w:szCs w:val="18"/>
                <w:color w:val="auto"/>
              </w:rPr>
              <w:t>Unrealized loss on available-for-sale</w:t>
            </w: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380"/>
              <w:spacing w:after="0"/>
              <w:rPr>
                <w:sz w:val="20"/>
                <w:szCs w:val="20"/>
                <w:color w:val="auto"/>
              </w:rPr>
            </w:pPr>
            <w:r>
              <w:rPr>
                <w:rFonts w:ascii="Arial" w:cs="Arial" w:eastAsia="Arial" w:hAnsi="Arial"/>
                <w:sz w:val="18"/>
                <w:szCs w:val="18"/>
                <w:color w:val="auto"/>
              </w:rPr>
              <w:t>securities, net</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6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7"/>
              </w:rPr>
              <w:t>Unrealized gain on derivative instruments,</w:t>
            </w:r>
          </w:p>
        </w:tc>
        <w:tc>
          <w:tcPr>
            <w:tcW w:w="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w:t>
            </w:r>
          </w:p>
        </w:tc>
        <w:tc>
          <w:tcPr>
            <w:tcW w:w="7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43"/>
        </w:trPr>
        <w:tc>
          <w:tcPr>
            <w:tcW w:w="3660" w:type="dxa"/>
            <w:vAlign w:val="bottom"/>
          </w:tcPr>
          <w:p>
            <w:pPr>
              <w:ind w:left="540"/>
              <w:spacing w:after="0"/>
              <w:rPr>
                <w:sz w:val="20"/>
                <w:szCs w:val="20"/>
                <w:color w:val="auto"/>
              </w:rPr>
            </w:pPr>
            <w:r>
              <w:rPr>
                <w:rFonts w:ascii="Arial" w:cs="Arial" w:eastAsia="Arial" w:hAnsi="Arial"/>
                <w:sz w:val="18"/>
                <w:szCs w:val="18"/>
                <w:color w:val="auto"/>
              </w:rPr>
              <w:t>Repurchase of common stock</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Preferred dividends declared</w:t>
            </w:r>
          </w:p>
        </w:tc>
        <w:tc>
          <w:tcPr>
            <w:tcW w:w="7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3660" w:type="dxa"/>
            <w:vAlign w:val="bottom"/>
          </w:tcPr>
          <w:p>
            <w:pPr>
              <w:ind w:left="540"/>
              <w:spacing w:after="0"/>
              <w:rPr>
                <w:sz w:val="20"/>
                <w:szCs w:val="20"/>
                <w:color w:val="auto"/>
              </w:rPr>
            </w:pPr>
            <w:r>
              <w:rPr>
                <w:rFonts w:ascii="Arial" w:cs="Arial" w:eastAsia="Arial" w:hAnsi="Arial"/>
                <w:sz w:val="18"/>
                <w:szCs w:val="18"/>
                <w:color w:val="auto"/>
              </w:rPr>
              <w:t>Common dividends declared</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June 30, 2015</w:t>
            </w:r>
          </w:p>
        </w:tc>
        <w:tc>
          <w:tcPr>
            <w:tcW w:w="5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6.9</w:t>
            </w:r>
          </w:p>
        </w:tc>
        <w:tc>
          <w:tcPr>
            <w:tcW w:w="1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336</w:t>
            </w: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348.8</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color w:val="auto"/>
                <w:w w:val="79"/>
              </w:rPr>
              <w:t>$</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10,253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8,718</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December 31, 2015</w:t>
            </w:r>
          </w:p>
        </w:tc>
        <w:tc>
          <w:tcPr>
            <w:tcW w:w="5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336</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337.5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4"/>
              <w:spacing w:after="0"/>
              <w:rPr>
                <w:sz w:val="20"/>
                <w:szCs w:val="20"/>
                <w:color w:val="auto"/>
              </w:rPr>
            </w:pPr>
            <w:r>
              <w:rPr>
                <w:rFonts w:ascii="Arial" w:cs="Arial" w:eastAsia="Arial" w:hAnsi="Arial"/>
                <w:sz w:val="18"/>
                <w:szCs w:val="18"/>
                <w:color w:val="auto"/>
                <w:w w:val="79"/>
              </w:rPr>
              <w:t>$</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10,048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7,971</w:t>
            </w:r>
          </w:p>
        </w:tc>
        <w:tc>
          <w:tcPr>
            <w:tcW w:w="0" w:type="dxa"/>
            <w:vAlign w:val="bottom"/>
          </w:tcPr>
          <w:p>
            <w:pPr>
              <w:spacing w:after="0"/>
              <w:rPr>
                <w:sz w:val="1"/>
                <w:szCs w:val="1"/>
                <w:color w:val="auto"/>
              </w:rPr>
            </w:pPr>
          </w:p>
        </w:tc>
      </w:tr>
      <w:tr>
        <w:trPr>
          <w:trHeight w:val="243"/>
        </w:trPr>
        <w:tc>
          <w:tcPr>
            <w:tcW w:w="3660" w:type="dxa"/>
            <w:vAlign w:val="bottom"/>
          </w:tcPr>
          <w:p>
            <w:pPr>
              <w:ind w:left="200"/>
              <w:spacing w:after="0"/>
              <w:rPr>
                <w:sz w:val="20"/>
                <w:szCs w:val="20"/>
                <w:color w:val="auto"/>
              </w:rPr>
            </w:pPr>
            <w:r>
              <w:rPr>
                <w:rFonts w:ascii="Arial" w:cs="Arial" w:eastAsia="Arial" w:hAnsi="Arial"/>
                <w:sz w:val="18"/>
                <w:szCs w:val="18"/>
                <w:color w:val="auto"/>
              </w:rPr>
              <w:t>Net loss</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(907)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(907)</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 comprehensive income:</w:t>
            </w:r>
          </w:p>
        </w:tc>
        <w:tc>
          <w:tcPr>
            <w:tcW w:w="5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660" w:type="dxa"/>
            <w:vAlign w:val="bottom"/>
          </w:tcPr>
          <w:p>
            <w:pPr>
              <w:ind w:left="380"/>
              <w:spacing w:after="0"/>
              <w:rPr>
                <w:sz w:val="20"/>
                <w:szCs w:val="20"/>
                <w:color w:val="auto"/>
              </w:rPr>
            </w:pPr>
            <w:r>
              <w:rPr>
                <w:rFonts w:ascii="Arial" w:cs="Arial" w:eastAsia="Arial" w:hAnsi="Arial"/>
                <w:sz w:val="18"/>
                <w:szCs w:val="18"/>
                <w:color w:val="auto"/>
              </w:rPr>
              <w:t>Unrealized gain on available-for-sale</w:t>
            </w: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380"/>
              <w:spacing w:after="0"/>
              <w:rPr>
                <w:sz w:val="20"/>
                <w:szCs w:val="20"/>
                <w:color w:val="auto"/>
              </w:rPr>
            </w:pPr>
            <w:r>
              <w:rPr>
                <w:rFonts w:ascii="Arial" w:cs="Arial" w:eastAsia="Arial" w:hAnsi="Arial"/>
                <w:sz w:val="18"/>
                <w:szCs w:val="18"/>
                <w:color w:val="auto"/>
              </w:rPr>
              <w:t>securities, net</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1,135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1,135</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6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7"/>
              </w:rPr>
              <w:t>Unrealized gain on derivative instruments,</w:t>
            </w:r>
          </w:p>
        </w:tc>
        <w:tc>
          <w:tcPr>
            <w:tcW w:w="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w:t>
            </w:r>
          </w:p>
        </w:tc>
        <w:tc>
          <w:tcPr>
            <w:tcW w:w="7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43"/>
        </w:trPr>
        <w:tc>
          <w:tcPr>
            <w:tcW w:w="3660" w:type="dxa"/>
            <w:vAlign w:val="bottom"/>
          </w:tcPr>
          <w:p>
            <w:pPr>
              <w:ind w:left="540"/>
              <w:spacing w:after="0"/>
              <w:rPr>
                <w:sz w:val="20"/>
                <w:szCs w:val="20"/>
                <w:color w:val="auto"/>
              </w:rPr>
            </w:pPr>
            <w:r>
              <w:rPr>
                <w:rFonts w:ascii="Arial" w:cs="Arial" w:eastAsia="Arial" w:hAnsi="Arial"/>
                <w:sz w:val="18"/>
                <w:szCs w:val="18"/>
                <w:color w:val="auto"/>
              </w:rPr>
              <w:t>Repurchase of common stock</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Preferred dividends declared</w:t>
            </w:r>
          </w:p>
        </w:tc>
        <w:tc>
          <w:tcPr>
            <w:tcW w:w="7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3660" w:type="dxa"/>
            <w:vAlign w:val="bottom"/>
          </w:tcPr>
          <w:p>
            <w:pPr>
              <w:ind w:left="540"/>
              <w:spacing w:after="0"/>
              <w:rPr>
                <w:sz w:val="20"/>
                <w:szCs w:val="20"/>
                <w:color w:val="auto"/>
              </w:rPr>
            </w:pPr>
            <w:r>
              <w:rPr>
                <w:rFonts w:ascii="Arial" w:cs="Arial" w:eastAsia="Arial" w:hAnsi="Arial"/>
                <w:sz w:val="18"/>
                <w:szCs w:val="18"/>
                <w:color w:val="auto"/>
              </w:rPr>
              <w:t>Common dividends declared</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June 30, 2016</w:t>
            </w:r>
          </w:p>
        </w:tc>
        <w:tc>
          <w:tcPr>
            <w:tcW w:w="5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6.9</w:t>
            </w:r>
          </w:p>
        </w:tc>
        <w:tc>
          <w:tcPr>
            <w:tcW w:w="1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336</w:t>
            </w: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331.0</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color w:val="auto"/>
                <w:w w:val="79"/>
              </w:rPr>
              <w:t>$</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9,932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1,100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7,702</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364" w:right="25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8"/>
          <w:szCs w:val="18"/>
          <w:b w:val="1"/>
          <w:bCs w:val="1"/>
          <w:color w:val="auto"/>
        </w:rPr>
        <w:t>AMERICAN CAPITAL AGENCY CORP.</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(in millions)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80" w:type="dxa"/>
            <w:vAlign w:val="bottom"/>
            <w:gridSpan w:val="4"/>
          </w:tcPr>
          <w:p>
            <w:pPr>
              <w:jc w:val="right"/>
              <w:ind w:right="241"/>
              <w:spacing w:after="0"/>
              <w:rPr>
                <w:sz w:val="20"/>
                <w:szCs w:val="20"/>
                <w:color w:val="auto"/>
              </w:rPr>
            </w:pPr>
            <w:r>
              <w:rPr>
                <w:rFonts w:ascii="Arial" w:cs="Arial" w:eastAsia="Arial" w:hAnsi="Arial"/>
                <w:sz w:val="16"/>
                <w:szCs w:val="16"/>
                <w:b w:val="1"/>
                <w:bCs w:val="1"/>
                <w:color w:val="auto"/>
                <w:w w:val="93"/>
              </w:rPr>
              <w:t>Six Months Ended June 30,</w:t>
            </w:r>
          </w:p>
        </w:tc>
      </w:tr>
      <w:tr>
        <w:trPr>
          <w:trHeight w:val="22"/>
        </w:trPr>
        <w:tc>
          <w:tcPr>
            <w:tcW w:w="7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42"/>
        </w:trPr>
        <w:tc>
          <w:tcPr>
            <w:tcW w:w="7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ind w:right="361"/>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361"/>
              <w:spacing w:after="0"/>
              <w:rPr>
                <w:sz w:val="20"/>
                <w:szCs w:val="20"/>
                <w:color w:val="auto"/>
              </w:rPr>
            </w:pPr>
            <w:r>
              <w:rPr>
                <w:rFonts w:ascii="Arial" w:cs="Arial" w:eastAsia="Arial" w:hAnsi="Arial"/>
                <w:sz w:val="16"/>
                <w:szCs w:val="16"/>
                <w:b w:val="1"/>
                <w:bCs w:val="1"/>
                <w:color w:val="auto"/>
              </w:rPr>
              <w:t>2015</w:t>
            </w:r>
          </w:p>
        </w:tc>
      </w:tr>
      <w:tr>
        <w:trPr>
          <w:trHeight w:val="22"/>
        </w:trPr>
        <w:tc>
          <w:tcPr>
            <w:tcW w:w="74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44"/>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9"/>
        </w:trPr>
        <w:tc>
          <w:tcPr>
            <w:tcW w:w="744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(907)</w:t>
            </w:r>
          </w:p>
        </w:tc>
        <w:tc>
          <w:tcPr>
            <w:tcW w:w="100" w:type="dxa"/>
            <w:vAlign w:val="bottom"/>
          </w:tcPr>
          <w:p>
            <w:pPr>
              <w:spacing w:after="0"/>
              <w:rPr>
                <w:sz w:val="21"/>
                <w:szCs w:val="21"/>
                <w:color w:val="auto"/>
              </w:rPr>
            </w:pP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260</w:t>
            </w:r>
          </w:p>
        </w:tc>
      </w:tr>
      <w:tr>
        <w:trPr>
          <w:trHeight w:val="22"/>
        </w:trPr>
        <w:tc>
          <w:tcPr>
            <w:tcW w:w="7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(loss) to net cash provided by operating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9"/>
        </w:trPr>
        <w:tc>
          <w:tcPr>
            <w:tcW w:w="7440" w:type="dxa"/>
            <w:vAlign w:val="bottom"/>
          </w:tcPr>
          <w:p>
            <w:pPr>
              <w:ind w:left="380"/>
              <w:spacing w:after="0"/>
              <w:rPr>
                <w:sz w:val="20"/>
                <w:szCs w:val="20"/>
                <w:color w:val="auto"/>
              </w:rPr>
            </w:pPr>
            <w:r>
              <w:rPr>
                <w:rFonts w:ascii="Arial" w:cs="Arial" w:eastAsia="Arial" w:hAnsi="Arial"/>
                <w:sz w:val="16"/>
                <w:szCs w:val="16"/>
                <w:color w:val="auto"/>
              </w:rPr>
              <w:t>Amortization of premiums and discounts on mortgage-backed securities, net</w:t>
            </w:r>
          </w:p>
        </w:tc>
        <w:tc>
          <w:tcPr>
            <w:tcW w:w="200" w:type="dxa"/>
            <w:vAlign w:val="bottom"/>
          </w:tcPr>
          <w:p>
            <w:pPr>
              <w:spacing w:after="0"/>
              <w:rPr>
                <w:sz w:val="21"/>
                <w:szCs w:val="21"/>
                <w:color w:val="auto"/>
              </w:rPr>
            </w:pP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284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202</w:t>
            </w:r>
          </w:p>
        </w:tc>
      </w:tr>
      <w:tr>
        <w:trPr>
          <w:trHeight w:val="22"/>
        </w:trPr>
        <w:tc>
          <w:tcPr>
            <w:tcW w:w="7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83"/>
        </w:trPr>
        <w:tc>
          <w:tcPr>
            <w:tcW w:w="744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4"/>
              </w:rPr>
              <w:t>Amortization of accumulated other comprehensive loss on interest rate swaps de-designated as qualifying</w:t>
            </w: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02"/>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hedges</w:t>
            </w:r>
          </w:p>
        </w:tc>
        <w:tc>
          <w:tcPr>
            <w:tcW w:w="2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55</w:t>
            </w:r>
          </w:p>
        </w:tc>
      </w:tr>
      <w:tr>
        <w:trPr>
          <w:trHeight w:val="249"/>
        </w:trPr>
        <w:tc>
          <w:tcPr>
            <w:tcW w:w="7440" w:type="dxa"/>
            <w:vAlign w:val="bottom"/>
          </w:tcPr>
          <w:p>
            <w:pPr>
              <w:ind w:left="380"/>
              <w:spacing w:after="0"/>
              <w:rPr>
                <w:sz w:val="20"/>
                <w:szCs w:val="20"/>
                <w:color w:val="auto"/>
              </w:rPr>
            </w:pPr>
            <w:r>
              <w:rPr>
                <w:rFonts w:ascii="Arial" w:cs="Arial" w:eastAsia="Arial" w:hAnsi="Arial"/>
                <w:sz w:val="16"/>
                <w:szCs w:val="16"/>
                <w:color w:val="auto"/>
              </w:rPr>
              <w:t>Stock based compensation</w:t>
            </w:r>
          </w:p>
        </w:tc>
        <w:tc>
          <w:tcPr>
            <w:tcW w:w="200" w:type="dxa"/>
            <w:vAlign w:val="bottom"/>
          </w:tcPr>
          <w:p>
            <w:pPr>
              <w:spacing w:after="0"/>
              <w:rPr>
                <w:sz w:val="21"/>
                <w:szCs w:val="21"/>
                <w:color w:val="auto"/>
              </w:rPr>
            </w:pP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w:t>
            </w:r>
          </w:p>
        </w:tc>
      </w:tr>
      <w:tr>
        <w:trPr>
          <w:trHeight w:val="22"/>
        </w:trPr>
        <w:tc>
          <w:tcPr>
            <w:tcW w:w="7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Gain on sale of mortgage-backed securities, net</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49"/>
        </w:trPr>
        <w:tc>
          <w:tcPr>
            <w:tcW w:w="7440" w:type="dxa"/>
            <w:vAlign w:val="bottom"/>
          </w:tcPr>
          <w:p>
            <w:pPr>
              <w:ind w:left="380"/>
              <w:spacing w:after="0"/>
              <w:rPr>
                <w:sz w:val="20"/>
                <w:szCs w:val="20"/>
                <w:color w:val="auto"/>
              </w:rPr>
            </w:pPr>
            <w:r>
              <w:rPr>
                <w:rFonts w:ascii="Arial" w:cs="Arial" w:eastAsia="Arial" w:hAnsi="Arial"/>
                <w:sz w:val="16"/>
                <w:szCs w:val="16"/>
                <w:color w:val="auto"/>
              </w:rPr>
              <w:t>Loss on derivative instruments and other securities, net</w:t>
            </w:r>
          </w:p>
        </w:tc>
        <w:tc>
          <w:tcPr>
            <w:tcW w:w="200" w:type="dxa"/>
            <w:vAlign w:val="bottom"/>
          </w:tcPr>
          <w:p>
            <w:pPr>
              <w:spacing w:after="0"/>
              <w:rPr>
                <w:sz w:val="21"/>
                <w:szCs w:val="21"/>
                <w:color w:val="auto"/>
              </w:rPr>
            </w:pP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1,300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312</w:t>
            </w:r>
          </w:p>
        </w:tc>
      </w:tr>
      <w:tr>
        <w:trPr>
          <w:trHeight w:val="22"/>
        </w:trPr>
        <w:tc>
          <w:tcPr>
            <w:tcW w:w="7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Decrease in other assets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56</w:t>
            </w:r>
          </w:p>
        </w:tc>
      </w:tr>
      <w:tr>
        <w:trPr>
          <w:trHeight w:val="249"/>
        </w:trPr>
        <w:tc>
          <w:tcPr>
            <w:tcW w:w="7440" w:type="dxa"/>
            <w:vAlign w:val="bottom"/>
          </w:tcPr>
          <w:p>
            <w:pPr>
              <w:ind w:left="380"/>
              <w:spacing w:after="0"/>
              <w:rPr>
                <w:sz w:val="20"/>
                <w:szCs w:val="20"/>
                <w:color w:val="auto"/>
              </w:rPr>
            </w:pPr>
            <w:r>
              <w:rPr>
                <w:rFonts w:ascii="Arial" w:cs="Arial" w:eastAsia="Arial" w:hAnsi="Arial"/>
                <w:sz w:val="16"/>
                <w:szCs w:val="16"/>
                <w:color w:val="auto"/>
              </w:rPr>
              <w:t>Increase in accounts payable and other accrued liabilities</w:t>
            </w:r>
          </w:p>
        </w:tc>
        <w:tc>
          <w:tcPr>
            <w:tcW w:w="200" w:type="dxa"/>
            <w:vAlign w:val="bottom"/>
          </w:tcPr>
          <w:p>
            <w:pPr>
              <w:spacing w:after="0"/>
              <w:rPr>
                <w:sz w:val="21"/>
                <w:szCs w:val="21"/>
                <w:color w:val="auto"/>
              </w:rPr>
            </w:pP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w:t>
            </w:r>
          </w:p>
        </w:tc>
      </w:tr>
      <w:tr>
        <w:trPr>
          <w:trHeight w:val="22"/>
        </w:trPr>
        <w:tc>
          <w:tcPr>
            <w:tcW w:w="74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688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871</w:t>
            </w:r>
          </w:p>
        </w:tc>
      </w:tr>
      <w:tr>
        <w:trPr>
          <w:trHeight w:val="242"/>
        </w:trPr>
        <w:tc>
          <w:tcPr>
            <w:tcW w:w="7440" w:type="dxa"/>
            <w:vAlign w:val="bottom"/>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20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r>
      <w:tr>
        <w:trPr>
          <w:trHeight w:val="22"/>
        </w:trPr>
        <w:tc>
          <w:tcPr>
            <w:tcW w:w="7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Purchases of mortgage-backed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(13,453)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(18,882)</w:t>
            </w:r>
          </w:p>
        </w:tc>
      </w:tr>
      <w:tr>
        <w:trPr>
          <w:trHeight w:val="249"/>
        </w:trPr>
        <w:tc>
          <w:tcPr>
            <w:tcW w:w="7440" w:type="dxa"/>
            <w:vAlign w:val="bottom"/>
          </w:tcPr>
          <w:p>
            <w:pPr>
              <w:ind w:left="380"/>
              <w:spacing w:after="0"/>
              <w:rPr>
                <w:sz w:val="20"/>
                <w:szCs w:val="20"/>
                <w:color w:val="auto"/>
              </w:rPr>
            </w:pPr>
            <w:r>
              <w:rPr>
                <w:rFonts w:ascii="Arial" w:cs="Arial" w:eastAsia="Arial" w:hAnsi="Arial"/>
                <w:sz w:val="16"/>
                <w:szCs w:val="16"/>
                <w:color w:val="auto"/>
              </w:rPr>
              <w:t>Proceeds from sale of mortgage-backed securities</w:t>
            </w:r>
          </w:p>
        </w:tc>
        <w:tc>
          <w:tcPr>
            <w:tcW w:w="200" w:type="dxa"/>
            <w:vAlign w:val="bottom"/>
          </w:tcPr>
          <w:p>
            <w:pPr>
              <w:spacing w:after="0"/>
              <w:rPr>
                <w:sz w:val="21"/>
                <w:szCs w:val="21"/>
                <w:color w:val="auto"/>
              </w:rPr>
            </w:pP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11,076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18,006</w:t>
            </w:r>
          </w:p>
        </w:tc>
      </w:tr>
      <w:tr>
        <w:trPr>
          <w:trHeight w:val="22"/>
        </w:trPr>
        <w:tc>
          <w:tcPr>
            <w:tcW w:w="7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Principal collections on mortgage-backed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3,690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4,106</w:t>
            </w:r>
          </w:p>
        </w:tc>
      </w:tr>
      <w:tr>
        <w:trPr>
          <w:trHeight w:val="249"/>
        </w:trPr>
        <w:tc>
          <w:tcPr>
            <w:tcW w:w="7440" w:type="dxa"/>
            <w:vAlign w:val="bottom"/>
          </w:tcPr>
          <w:p>
            <w:pPr>
              <w:ind w:left="380"/>
              <w:spacing w:after="0"/>
              <w:rPr>
                <w:sz w:val="20"/>
                <w:szCs w:val="20"/>
                <w:color w:val="auto"/>
              </w:rPr>
            </w:pPr>
            <w:r>
              <w:rPr>
                <w:rFonts w:ascii="Arial" w:cs="Arial" w:eastAsia="Arial" w:hAnsi="Arial"/>
                <w:sz w:val="16"/>
                <w:szCs w:val="16"/>
                <w:color w:val="auto"/>
              </w:rPr>
              <w:t>Purchases of U.S. Treasury securities</w:t>
            </w: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(1,819)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(36,811)</w:t>
            </w:r>
          </w:p>
        </w:tc>
      </w:tr>
      <w:tr>
        <w:trPr>
          <w:trHeight w:val="22"/>
        </w:trPr>
        <w:tc>
          <w:tcPr>
            <w:tcW w:w="7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sale of U.S. Treasury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2,947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30,854</w:t>
            </w:r>
          </w:p>
        </w:tc>
      </w:tr>
      <w:tr>
        <w:trPr>
          <w:trHeight w:val="249"/>
        </w:trPr>
        <w:tc>
          <w:tcPr>
            <w:tcW w:w="7440" w:type="dxa"/>
            <w:vAlign w:val="bottom"/>
          </w:tcPr>
          <w:p>
            <w:pPr>
              <w:ind w:left="380"/>
              <w:spacing w:after="0"/>
              <w:rPr>
                <w:sz w:val="20"/>
                <w:szCs w:val="20"/>
                <w:color w:val="auto"/>
              </w:rPr>
            </w:pPr>
            <w:r>
              <w:rPr>
                <w:rFonts w:ascii="Arial" w:cs="Arial" w:eastAsia="Arial" w:hAnsi="Arial"/>
                <w:sz w:val="16"/>
                <w:szCs w:val="16"/>
                <w:color w:val="auto"/>
              </w:rPr>
              <w:t>Net proceeds from (payments on) reverse repurchase agreements</w:t>
            </w: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(1,269)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2,477</w:t>
            </w:r>
          </w:p>
        </w:tc>
      </w:tr>
      <w:tr>
        <w:trPr>
          <w:trHeight w:val="22"/>
        </w:trPr>
        <w:tc>
          <w:tcPr>
            <w:tcW w:w="7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payments on other derivative instruments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49"/>
        </w:trPr>
        <w:tc>
          <w:tcPr>
            <w:tcW w:w="7440" w:type="dxa"/>
            <w:vAlign w:val="bottom"/>
          </w:tcPr>
          <w:p>
            <w:pPr>
              <w:ind w:left="380"/>
              <w:spacing w:after="0"/>
              <w:rPr>
                <w:sz w:val="20"/>
                <w:szCs w:val="20"/>
                <w:color w:val="auto"/>
              </w:rPr>
            </w:pPr>
            <w:r>
              <w:rPr>
                <w:rFonts w:ascii="Arial" w:cs="Arial" w:eastAsia="Arial" w:hAnsi="Arial"/>
                <w:sz w:val="16"/>
                <w:szCs w:val="16"/>
                <w:color w:val="auto"/>
              </w:rPr>
              <w:t>Purchases of REIT equity securities</w:t>
            </w:r>
          </w:p>
        </w:tc>
        <w:tc>
          <w:tcPr>
            <w:tcW w:w="20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2"/>
        </w:trPr>
        <w:tc>
          <w:tcPr>
            <w:tcW w:w="7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sale of REIT equity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w:t>
            </w:r>
          </w:p>
        </w:tc>
      </w:tr>
      <w:tr>
        <w:trPr>
          <w:trHeight w:val="249"/>
        </w:trPr>
        <w:tc>
          <w:tcPr>
            <w:tcW w:w="7440" w:type="dxa"/>
            <w:vAlign w:val="bottom"/>
          </w:tcPr>
          <w:p>
            <w:pPr>
              <w:ind w:left="380"/>
              <w:spacing w:after="0"/>
              <w:rPr>
                <w:sz w:val="20"/>
                <w:szCs w:val="20"/>
                <w:color w:val="auto"/>
              </w:rPr>
            </w:pPr>
            <w:r>
              <w:rPr>
                <w:rFonts w:ascii="Arial" w:cs="Arial" w:eastAsia="Arial" w:hAnsi="Arial"/>
                <w:sz w:val="16"/>
                <w:szCs w:val="16"/>
                <w:color w:val="auto"/>
              </w:rPr>
              <w:t>Increase in restricted cash and cash equivalents</w:t>
            </w: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(65)</w:t>
            </w:r>
          </w:p>
        </w:tc>
      </w:tr>
      <w:tr>
        <w:trPr>
          <w:trHeight w:val="22"/>
        </w:trPr>
        <w:tc>
          <w:tcPr>
            <w:tcW w:w="7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investing cash flows, net</w:t>
            </w: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29"/>
        </w:trPr>
        <w:tc>
          <w:tcPr>
            <w:tcW w:w="7440" w:type="dxa"/>
            <w:vAlign w:val="bottom"/>
          </w:tcPr>
          <w:p>
            <w:pPr>
              <w:ind w:left="20"/>
              <w:spacing w:after="0"/>
              <w:rPr>
                <w:sz w:val="20"/>
                <w:szCs w:val="20"/>
                <w:color w:val="auto"/>
              </w:rPr>
            </w:pPr>
            <w:r>
              <w:rPr>
                <w:rFonts w:ascii="Arial" w:cs="Arial" w:eastAsia="Arial" w:hAnsi="Arial"/>
                <w:sz w:val="16"/>
                <w:szCs w:val="16"/>
                <w:color w:val="auto"/>
              </w:rPr>
              <w:t>Net cash provided by (used in) investing activities</w:t>
            </w:r>
          </w:p>
        </w:tc>
        <w:tc>
          <w:tcPr>
            <w:tcW w:w="2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426</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(331)</w:t>
            </w:r>
          </w:p>
        </w:tc>
      </w:tr>
      <w:tr>
        <w:trPr>
          <w:trHeight w:val="22"/>
        </w:trPr>
        <w:tc>
          <w:tcPr>
            <w:tcW w:w="74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44"/>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9"/>
        </w:trPr>
        <w:tc>
          <w:tcPr>
            <w:tcW w:w="7440" w:type="dxa"/>
            <w:vAlign w:val="bottom"/>
          </w:tcPr>
          <w:p>
            <w:pPr>
              <w:ind w:left="380"/>
              <w:spacing w:after="0"/>
              <w:rPr>
                <w:sz w:val="20"/>
                <w:szCs w:val="20"/>
                <w:color w:val="auto"/>
              </w:rPr>
            </w:pPr>
            <w:r>
              <w:rPr>
                <w:rFonts w:ascii="Arial" w:cs="Arial" w:eastAsia="Arial" w:hAnsi="Arial"/>
                <w:sz w:val="16"/>
                <w:szCs w:val="16"/>
                <w:color w:val="auto"/>
              </w:rPr>
              <w:t>Proceeds from repurchase arrangements</w:t>
            </w:r>
          </w:p>
        </w:tc>
        <w:tc>
          <w:tcPr>
            <w:tcW w:w="200" w:type="dxa"/>
            <w:vAlign w:val="bottom"/>
          </w:tcPr>
          <w:p>
            <w:pPr>
              <w:spacing w:after="0"/>
              <w:rPr>
                <w:sz w:val="21"/>
                <w:szCs w:val="21"/>
                <w:color w:val="auto"/>
              </w:rPr>
            </w:pP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134,605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232,533</w:t>
            </w:r>
          </w:p>
        </w:tc>
      </w:tr>
      <w:tr>
        <w:trPr>
          <w:trHeight w:val="22"/>
        </w:trPr>
        <w:tc>
          <w:tcPr>
            <w:tcW w:w="7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Payments on repurchase agreements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(134,389)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(232,651)</w:t>
            </w:r>
          </w:p>
        </w:tc>
      </w:tr>
      <w:tr>
        <w:trPr>
          <w:trHeight w:val="249"/>
        </w:trPr>
        <w:tc>
          <w:tcPr>
            <w:tcW w:w="7440" w:type="dxa"/>
            <w:vAlign w:val="bottom"/>
          </w:tcPr>
          <w:p>
            <w:pPr>
              <w:ind w:left="380"/>
              <w:spacing w:after="0"/>
              <w:rPr>
                <w:sz w:val="20"/>
                <w:szCs w:val="20"/>
                <w:color w:val="auto"/>
              </w:rPr>
            </w:pPr>
            <w:r>
              <w:rPr>
                <w:rFonts w:ascii="Arial" w:cs="Arial" w:eastAsia="Arial" w:hAnsi="Arial"/>
                <w:sz w:val="16"/>
                <w:szCs w:val="16"/>
                <w:color w:val="auto"/>
              </w:rPr>
              <w:t>Proceeds from Federal Home Loan Bank advances</w:t>
            </w:r>
          </w:p>
        </w:tc>
        <w:tc>
          <w:tcPr>
            <w:tcW w:w="200" w:type="dxa"/>
            <w:vAlign w:val="bottom"/>
          </w:tcPr>
          <w:p>
            <w:pPr>
              <w:spacing w:after="0"/>
              <w:rPr>
                <w:sz w:val="21"/>
                <w:szCs w:val="21"/>
                <w:color w:val="auto"/>
              </w:rPr>
            </w:pP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2,098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w:t>
            </w:r>
          </w:p>
        </w:tc>
      </w:tr>
      <w:tr>
        <w:trPr>
          <w:trHeight w:val="22"/>
        </w:trPr>
        <w:tc>
          <w:tcPr>
            <w:tcW w:w="7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Payments on Federal Home Loan Bank advances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r>
      <w:tr>
        <w:trPr>
          <w:trHeight w:val="249"/>
        </w:trPr>
        <w:tc>
          <w:tcPr>
            <w:tcW w:w="7440" w:type="dxa"/>
            <w:vAlign w:val="bottom"/>
          </w:tcPr>
          <w:p>
            <w:pPr>
              <w:ind w:left="380"/>
              <w:spacing w:after="0"/>
              <w:rPr>
                <w:sz w:val="20"/>
                <w:szCs w:val="20"/>
                <w:color w:val="auto"/>
              </w:rPr>
            </w:pPr>
            <w:r>
              <w:rPr>
                <w:rFonts w:ascii="Arial" w:cs="Arial" w:eastAsia="Arial" w:hAnsi="Arial"/>
                <w:sz w:val="16"/>
                <w:szCs w:val="16"/>
                <w:color w:val="auto"/>
              </w:rPr>
              <w:t>Payments on debt of consolidated variable interest entities</w:t>
            </w: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(80)</w:t>
            </w:r>
          </w:p>
        </w:tc>
      </w:tr>
      <w:tr>
        <w:trPr>
          <w:trHeight w:val="22"/>
        </w:trPr>
        <w:tc>
          <w:tcPr>
            <w:tcW w:w="7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Payments for common stock repurchases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w:t>
            </w:r>
          </w:p>
        </w:tc>
      </w:tr>
      <w:tr>
        <w:trPr>
          <w:trHeight w:val="249"/>
        </w:trPr>
        <w:tc>
          <w:tcPr>
            <w:tcW w:w="7440" w:type="dxa"/>
            <w:vAlign w:val="bottom"/>
          </w:tcPr>
          <w:p>
            <w:pPr>
              <w:ind w:left="380"/>
              <w:spacing w:after="0"/>
              <w:rPr>
                <w:sz w:val="20"/>
                <w:szCs w:val="20"/>
                <w:color w:val="auto"/>
              </w:rPr>
            </w:pPr>
            <w:r>
              <w:rPr>
                <w:rFonts w:ascii="Arial" w:cs="Arial" w:eastAsia="Arial" w:hAnsi="Arial"/>
                <w:sz w:val="16"/>
                <w:szCs w:val="16"/>
                <w:color w:val="auto"/>
              </w:rPr>
              <w:t>Cash dividends paid</w:t>
            </w: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(413)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(473)</w:t>
            </w:r>
          </w:p>
        </w:tc>
      </w:tr>
      <w:tr>
        <w:trPr>
          <w:trHeight w:val="22"/>
        </w:trPr>
        <w:tc>
          <w:tcPr>
            <w:tcW w:w="74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used in financing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(750)</w:t>
            </w:r>
          </w:p>
        </w:tc>
      </w:tr>
      <w:tr>
        <w:trPr>
          <w:trHeight w:val="229"/>
        </w:trPr>
        <w:tc>
          <w:tcPr>
            <w:tcW w:w="7440" w:type="dxa"/>
            <w:vAlign w:val="bottom"/>
          </w:tcPr>
          <w:p>
            <w:pPr>
              <w:ind w:left="20"/>
              <w:spacing w:after="0"/>
              <w:rPr>
                <w:sz w:val="20"/>
                <w:szCs w:val="20"/>
                <w:color w:val="auto"/>
              </w:rPr>
            </w:pPr>
            <w:r>
              <w:rPr>
                <w:rFonts w:ascii="Arial" w:cs="Arial" w:eastAsia="Arial" w:hAnsi="Arial"/>
                <w:sz w:val="16"/>
                <w:szCs w:val="16"/>
                <w:color w:val="auto"/>
              </w:rPr>
              <w:t>Net change in cash and cash equivalents</w:t>
            </w:r>
          </w:p>
        </w:tc>
        <w:tc>
          <w:tcPr>
            <w:tcW w:w="2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(210)</w:t>
            </w:r>
          </w:p>
        </w:tc>
      </w:tr>
      <w:tr>
        <w:trPr>
          <w:trHeight w:val="22"/>
        </w:trPr>
        <w:tc>
          <w:tcPr>
            <w:tcW w:w="7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at beginning of period</w:t>
            </w: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1,110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1,720</w:t>
            </w:r>
          </w:p>
        </w:tc>
      </w:tr>
      <w:tr>
        <w:trPr>
          <w:trHeight w:val="233"/>
        </w:trPr>
        <w:tc>
          <w:tcPr>
            <w:tcW w:w="7440" w:type="dxa"/>
            <w:vAlign w:val="bottom"/>
          </w:tcPr>
          <w:p>
            <w:pPr>
              <w:ind w:left="20"/>
              <w:spacing w:after="0"/>
              <w:rPr>
                <w:sz w:val="20"/>
                <w:szCs w:val="20"/>
                <w:color w:val="auto"/>
              </w:rPr>
            </w:pPr>
            <w:r>
              <w:rPr>
                <w:rFonts w:ascii="Arial" w:cs="Arial" w:eastAsia="Arial" w:hAnsi="Arial"/>
                <w:sz w:val="16"/>
                <w:szCs w:val="16"/>
                <w:color w:val="auto"/>
              </w:rPr>
              <w:t>Cash and cash equivalents at end of period</w:t>
            </w:r>
          </w:p>
        </w:tc>
        <w:tc>
          <w:tcPr>
            <w:tcW w:w="2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1,131</w:t>
            </w:r>
          </w:p>
        </w:tc>
        <w:tc>
          <w:tcPr>
            <w:tcW w:w="10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101"/>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1,510</w:t>
            </w:r>
          </w:p>
        </w:tc>
      </w:tr>
      <w:tr>
        <w:trPr>
          <w:trHeight w:val="20"/>
        </w:trPr>
        <w:tc>
          <w:tcPr>
            <w:tcW w:w="7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9920"/>
          </w:cols>
          <w:pgMar w:left="1000" w:top="580" w:right="97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AMERICAN CAPITAL AGENCY CORP.</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Unaudited Interim Consolidated Financial Statements</w:t>
      </w:r>
    </w:p>
    <w:p>
      <w:pPr>
        <w:spacing w:after="0" w:line="9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unaudited interim consolidated financial statements of American Capital Agency Corp. (referred throughout this report as the "Company", "we", "us" and "our") are prepared in accordance with U.S. generally accepted accounting principles ("GAAP") for interim financial information and pursuant to the requirements for reporting on Form 10-Q and Article 10 of Regulation S-X. 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income and expenses during the reporting period. Actual results could differ from those estimates.</w:t>
      </w:r>
    </w:p>
    <w:p>
      <w:pPr>
        <w:spacing w:after="0" w:line="139" w:lineRule="exact"/>
        <w:rPr>
          <w:sz w:val="20"/>
          <w:szCs w:val="20"/>
          <w:color w:val="auto"/>
        </w:rPr>
      </w:pPr>
    </w:p>
    <w:p>
      <w:pPr>
        <w:jc w:val="both"/>
        <w:ind w:right="20" w:firstLine="432"/>
        <w:spacing w:after="0" w:line="302" w:lineRule="auto"/>
        <w:rPr>
          <w:sz w:val="20"/>
          <w:szCs w:val="20"/>
          <w:color w:val="auto"/>
        </w:rPr>
      </w:pPr>
      <w:r>
        <w:rPr>
          <w:rFonts w:ascii="Arial" w:cs="Arial" w:eastAsia="Arial" w:hAnsi="Arial"/>
          <w:sz w:val="16"/>
          <w:szCs w:val="16"/>
          <w:color w:val="auto"/>
        </w:rPr>
        <w:t>Our unaudited interim consolidated financial statements include the accounts of all of our wholly-owned subsidiaries and variable interest entities for which the Company is the primary beneficiary. Significant intercompany accounts and transactions have been eliminated. In the opinion of management, all adjustments, consisting solely of normal recurring accruals, necessary for the fair presentation of financial statements for the interim period have been included. The current period’s results of operations are not necessarily indicative of results that ultimately may be achieved for the year.</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Organization</w:t>
      </w:r>
    </w:p>
    <w:p>
      <w:pPr>
        <w:spacing w:after="0" w:line="17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were organized in Delaware on January 7, 2008, and commenced operations on May 20, 2008 following the completion of our initial public offering ("IPO"). Our common stock is traded on The NASDAQ Global Select Market under the symbol "AGNC."</w:t>
      </w:r>
    </w:p>
    <w:p>
      <w:pPr>
        <w:spacing w:after="0" w:line="116"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We operate so as to qualify to be taxed as a real estate investment trust ("REIT") under the Internal Revenue Code of 1986, as amended (the "Internal Revenue Code"). As a REIT, we are required to distribute annually 90% of our taxable net income. As long as we continue to qualify as a REIT, we will generally not be subject to U.S. federal or state corporate taxes on our taxable net income to the extent that we distribute our annual taxable net income to our stockholders on a timely basis. It is our intention to distribute 100% of our taxable net income, after application of available tax attributes, within the limits prescribed by the Internal Revenue Code, which may extend into the subsequent taxable year.</w:t>
      </w:r>
    </w:p>
    <w:p>
      <w:pPr>
        <w:spacing w:after="0" w:line="11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earn income primarily from investing in agency mortgage-backed securities ("agency MBS") on a leveraged basis. These investments consist of residential mortgage pass-through securities and collateralized mortgage obligations ("CMOs") for which the principal and interest payments are guaranteed by a government-sponsored enterprise, such as the Federal National Mortgage Association ("Fannie Mae") and the Federal Home Loan Mortgage Corporation ("Freddie Mac"), or by a U.S. Government agency, such as the Government National Mortgage Association ("Ginnie Mae") (collectively referred to as "GSEs"). We may also invest in other assets reasonably related to agency securities and up to 10% of our assets in AAA non-agency and commercial mortgage-backed securities (collectively referred to as "AAA non-agency MBS").</w:t>
      </w:r>
    </w:p>
    <w:p>
      <w:pPr>
        <w:spacing w:after="0" w:line="139"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Our principal objective is to generate attractive risk-adjusted returns for distribution to our stockholders through regular monthly dividends from our net interest income and net realized gains and losses on our investments and hedging activities, while preserving our net asset value (also referred to as "net book value," "NAV" and "stockholders' equity"). We fund our investments primarily through short-term borrowings structured as repurchase agreements.</w:t>
      </w:r>
    </w:p>
    <w:p>
      <w:pPr>
        <w:spacing w:after="0" w:line="93"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Prior to July 1, 2016, we were externally managed by American Capital AGNC Management, LLC (our "Manager"), an affiliate of American Capital, Ltd. ("ACAS"). On July 1, 2016, we completed the acquisition of all of the outstanding membership interests of American Capital Mortgage Management, LLC (“ACMM”), the parent company of our Manager, from American Capital Asset Management, LLC (“ACAM”), a wholly owned portfolio company of ACAS. ACMM is also the parent company of American Capital MTGE Management, LLC (“MTGE Manager”), the external manager of American Capital Mortgage Investment Corp. (“MTGE”). Following the closing of the acquisition of ACMM (the “Internalization”), we became internally managed and are no longer affiliated with ACAS. (See Note 10 for further details.)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Securities</w:t>
      </w:r>
    </w:p>
    <w:p>
      <w:pPr>
        <w:spacing w:after="0" w:line="17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 xml:space="preserve">ASC Topic 320, </w:t>
      </w:r>
      <w:r>
        <w:rPr>
          <w:rFonts w:ascii="Arial" w:cs="Arial" w:eastAsia="Arial" w:hAnsi="Arial"/>
          <w:sz w:val="18"/>
          <w:szCs w:val="18"/>
          <w:i w:val="1"/>
          <w:iCs w:val="1"/>
          <w:color w:val="auto"/>
        </w:rPr>
        <w:t>Investments—Debt and Equity Securities</w:t>
      </w:r>
      <w:r>
        <w:rPr>
          <w:rFonts w:ascii="Arial" w:cs="Arial" w:eastAsia="Arial" w:hAnsi="Arial"/>
          <w:sz w:val="18"/>
          <w:szCs w:val="18"/>
          <w:color w:val="auto"/>
        </w:rPr>
        <w:t xml:space="preserve"> ("ASC 320"), requires that at the time of purchase, we designate a security as held-to-maturity, available-for-sale or trading, depending on our ability and intent to hold such security to maturity. Securities classified as trading and available-for-sale are reported at fair value, while securities classified as held-to-maturity are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0" w:right="239" w:bottom="1440" w:gutter="0" w:footer="0" w:header="0"/>
        </w:sectPr>
      </w:pPr>
    </w:p>
    <w:bookmarkStart w:id="7" w:name="page8"/>
    <w:bookmarkEnd w:id="7"/>
    <w:p>
      <w:pPr>
        <w:jc w:val="both"/>
        <w:spacing w:after="0" w:line="276" w:lineRule="auto"/>
        <w:rPr>
          <w:sz w:val="20"/>
          <w:szCs w:val="20"/>
          <w:color w:val="auto"/>
        </w:rPr>
      </w:pPr>
      <w:r>
        <w:rPr>
          <w:rFonts w:ascii="Arial" w:cs="Arial" w:eastAsia="Arial" w:hAnsi="Arial"/>
          <w:sz w:val="17"/>
          <w:szCs w:val="17"/>
          <w:color w:val="auto"/>
        </w:rPr>
        <w:t>reported at amortized cost. We may sell any of our securities as part of our overall management of our investment portfolio. Accordingly, we typically designate our agency and non-agency securities (collectively referred to as "mortgage securities" or "investment securities") as available-for-sale. All securities classified as available-for-sale are reported at fair value, with unrealized gains and losses reported in accumulated other comprehensive income (loss) ("OCI"), a separate component of stockholders' equity. Upon the sale of a security, we determine the cost of the security and the amount of unrealized gains or losses to reclassify out of accumulated OCI into earnings based on the specific identification method.</w:t>
      </w:r>
    </w:p>
    <w:p>
      <w:pPr>
        <w:spacing w:after="0" w:line="11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Non-agency securities in which we may invest consist of investment grade, AAA rated MBS backed by residential or commercial mortgages, for which the payment of principal and interest is not guaranteed by a GSE or government agency. Instead, a private institution such as a commercial bank will package residential or commercial mortgage loans and securitize them through the issuance of MBS. Investment grade, AAA rated non-agency MBS benefit from credit enhancements derived from structural elements, such as subordination, overcollateralization or insurance, but nonetheless carry a higher level of credit exposure than agency MBS.</w:t>
      </w:r>
    </w:p>
    <w:p>
      <w:pPr>
        <w:spacing w:after="0" w:line="134"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Interest-only securities and inverse interest-only securities (collectively referred to as "interest-only securities") represent our right to receive a specified proportion of the contractual interest flows of specific agency CMO securities. Principal-only securities represent our right to receive the contractual principal flows of specific agency CMO securities. Interest and principal-only securities are measured at fair value through earnings in gain (loss) on derivative instruments and other securities, net in our consolidated statements of comprehensive income. Our investments in interest and principal-only securities are included in agency securities, at fair value on the accompanying consolidated balance sheets.</w:t>
      </w:r>
    </w:p>
    <w:p>
      <w:pPr>
        <w:spacing w:after="0" w:line="11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REIT equity securities represent investments in the common stock of other publicly traded mortgage REITs that invest predominantly in agency MBS.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We designate our investments in REIT equity securities as trading securities and report them at fair value on the accompanying consolidated balance sheets.</w:t>
      </w:r>
    </w:p>
    <w:p>
      <w:pPr>
        <w:spacing w:after="0" w:line="180"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We estimate the fair value of our mortgage securities based on a market approach using "Level 2" inputs from third-party pricing services and non-binding dealer quotes derived from common market pricing methods. Such methods incorporate, but are not limited to, reported trades and executable bid and asked prices for similar securities, benchmark interest rate curves, such as the spread to the U.S. Treasury rate and interest rate swap curves, convexity, duration and the underlying characteristics of the particular security, including coupon, periodic and life caps, rate reset period, issuer, additional credit support and expected life of the security. We estimate the fair value of our REIT equity securities based on a market approach using "Level 1" inputs based on quoted market prices. Refer to Note 8 for further discussion of fair value measurements.</w:t>
      </w:r>
    </w:p>
    <w:p>
      <w:pPr>
        <w:spacing w:after="0" w:line="124"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We evaluate our mortgage securities for other-than-temporary impairment ("OTTI") on at least a quarterly basis. The determination of whether a security is other-than-temporarily impaired may involve judgments and assumptions based on subjective and objective factors. When a security is impaired, an OTTI is considered to have occurred if any one of the following three conditions exists as of the financial reporting date: (i) we intend to sell the security (that is, a decision has been made to sell the security), (ii) it is more likely than not that we will be required to sell the security before recovery of its amortized cost basis or (iii) we do not expect to recover the security's amortized cost basis, even if we do not intend to sell the security and it is not more likely than not that we will be required to sell the security. A general allowance for unidentified impairments in a portfolio of securities is not permitted.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7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 xml:space="preserve">Interest income is accrued based on the outstanding principal amount of the investment securities and their contractual terms. Premiums or discounts associated with the purchase of investment securities are amortized or accreted into interest income, respectively, over the projected lives of the securities, including contractual payments and estimated prepayments using the effective interest method in accordance with ASC Subtopic 310-20, </w:t>
      </w:r>
      <w:r>
        <w:rPr>
          <w:rFonts w:ascii="Arial" w:cs="Arial" w:eastAsia="Arial" w:hAnsi="Arial"/>
          <w:sz w:val="18"/>
          <w:szCs w:val="18"/>
          <w:i w:val="1"/>
          <w:iCs w:val="1"/>
          <w:color w:val="auto"/>
        </w:rPr>
        <w:t>Receivables—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Nonrefundable Fees and Other Costs </w:t>
      </w:r>
      <w:r>
        <w:rPr>
          <w:rFonts w:ascii="Arial" w:cs="Arial" w:eastAsia="Arial" w:hAnsi="Arial"/>
          <w:sz w:val="18"/>
          <w:szCs w:val="18"/>
          <w:color w:val="auto"/>
        </w:rPr>
        <w:t>("ASC 310-20").</w:t>
      </w:r>
    </w:p>
    <w:p>
      <w:pPr>
        <w:spacing w:after="0" w:line="133"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6"/>
          <w:szCs w:val="16"/>
          <w:color w:val="auto"/>
        </w:rPr>
        <w:t>We estimate long-term prepayment speeds of our mortgage securities using a third-party service and market data. The third-party service estimates prepayment speeds using models that incorporate the forward yield curve, current mortgage rates and mortgage rates of the outstanding loans, age and size of the outstanding loans, loan-to-value ratios, interest rate volatility and other factors. We review the prepayment speeds estimated by the third-party service and compare the results to market consensus prepayment speeds, if available. We also consider historical prepayment speeds and current market conditions to validate the reasonableness of the prepayment speeds estimated by the third-party service and, based on our judgment, we may make adjustments to its estimates. Actual and anticipated prepayment experience is reviewed quarterly and effective yields are recalculated when differences arise between (i) our previously estimated future prepayments and (ii) the actual prepayments to date plus our currently estimated future prepayments. If the actual and estimated future prepayment experience differs from our prior estimate of prepayments, we are required to record an adjustment in the current period to the amortization or accretion of premiums and discounts for the cumulative difference in the effective yield through the reporting date.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746"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use a variety of derivative instruments to hedge a portion of our exposure to market risks, including interest rate, prepayment, extension and liquidity risk. The objective of our risk management strategy is to reduce fluctuations in net book value over a range of interest rate scenarios. In particular, we attempt to mitigate the risk of the cost of our variable rate liabilities increasing during a period of rising interest rates. The principal instruments that we use are interest rate swaps and options to enter into interest rate swaps ("swaptions"). We also utilize U.S. Treasury securities and U.S. Treasury futures contracts, primarily through short sales, and forward contracts for the purchase or sale of agency MBS securities on a generic pool basis in the "to-be-announced" market ("TBA securities"). We may also purchase or write put or call options on TBA securities and invest in mortgage and other types of derivatives, such as interest and principal-only securities.</w:t>
      </w:r>
    </w:p>
    <w:p>
      <w:pPr>
        <w:spacing w:after="0" w:line="135"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We also enter into TBA contracts as a means of investing in and financing agency securities (thereby increasing our "at risk" leverage) or as a means of disposing of or reducing our exposure to agency securities (thereby reducing our "at risk" leverage). Under TBA contracts, we agree to purchase or sell, for future delivery, agency securities with certain principal and interest terms and certain types of collateral, but the particular agency securities to be delivered are not identified until shortly before the TBA settlement date. We may also choose, prior to settlement, to move the settlement of these securities out to a later date by entering into an offsetting short or long position (referred to as a "pair off"), net settling the paired off positions for cash, and simultaneously purchasing or selling a similar TBA contract for a later settlement date. This transaction is commonly referred to as a "dollar roll." The agency securities purchased or sold for a forward settlement date are typically priced at a discount to agency securities for settlement in the current month. This difference (or discount) is referred to as the "price drop." The price drop is the economic equivalent of net interest carry income on the underlying agency securities over the roll period (interest income less implied financing cost) and is commonly referred to as "dollar roll income/loss." Consequently, forward purchases of agency securities and dollar roll transactions represent a form of off-balance sheet financing.</w:t>
      </w:r>
    </w:p>
    <w:p>
      <w:pPr>
        <w:spacing w:after="0" w:line="124"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 xml:space="preserve">We account for derivative instruments in accordance with ASC Topic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 xml:space="preserve"> ("ASC 815"). ASC 815 requires an entity to recognize all derivatives as either assets or liabilities in our accompanying consolidated balance sheets and to measure those instruments at fair value.</w:t>
      </w:r>
    </w:p>
    <w:p>
      <w:pPr>
        <w:spacing w:after="0" w:line="93"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Our derivative agreements generally contain provisions that allow for netting or setting off derivative assets and liabilities with the counterparty; however, we report related assets and liabilities on a gross basis in our consolidated balance sheets. Derivative instruments in a gain position are reported as derivative assets at fair value and derivative instruments in a loss position are reported as derivative liabilities at fair value in our consolidated balance sheets. Changes in fair value of derivative instruments and periodic settlements related to our derivative instruments are recorded in gain (loss) on derivative instruments and other securities, net in our consolidated statements of comprehensive income. Cash receipts and payments related to derivative instruments are classified in our consolidated statements of cash flows according to the underlying nature or purpose of the derivative transaction, generally in the investing section.</w:t>
      </w:r>
    </w:p>
    <w:p>
      <w:pPr>
        <w:spacing w:after="0" w:line="135"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use of derivative instruments creates exposure to credit risk relating to potential losses that could be recognized in the event that the counterparties to these instruments fail to perform their obligations under the contracts. We attempt to minimize this risk by limiting our counterparties to major financial institutions with acceptable credit ratings, monitoring positions with individual counterparties and adjusting posted collateral as required.</w:t>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Discontinuation of hedge accounting for interest rate swap agreements</w:t>
      </w:r>
    </w:p>
    <w:p>
      <w:pPr>
        <w:spacing w:after="0" w:line="17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Prior to fiscal year 2011, we entered into interest rate swap agreements typically with the intention of qualifying for hedge accounting under ASC 815. However, during fiscal year 2011 we elected to discontinue hedge accounting for our interest rate swaps. Upon discontinuation of hedge accounting, the net deferred loss related to our de-designated interest rate swaps remained in accumulated OCI and is being reclassified from accumulated OCI into interest expense on a straight-line basis over the remaining term of each interest rate swap.</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Interest rate swap agreements</w:t>
      </w:r>
    </w:p>
    <w:p>
      <w:pPr>
        <w:spacing w:after="0" w:line="171"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We use interest rate swaps to hedge the variable cash flows associated with borrowings made under our repurchase agreement facilities. Under our interest rate swap agreements, we typically pay a fixed rate and receive a floating rate based on one, three or six-month LIBOR ("payer swaps") with terms up to 20 years. The floating rate we receive under our swap agreements has the effect of offsetting the repricing characteristics of our repurchase agreements and cash flows on such liabilities. Our swap agreements are privately negotiated in the over−the−counter ("OTC") market, with swap agreements entered into subsequent to May 2013 subject to central clearing through a registered commodities exchange ("centrally cleared swaps").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746" w:right="239" w:bottom="1440" w:gutter="0" w:footer="0" w:header="0"/>
        </w:sectPr>
      </w:pPr>
    </w:p>
    <w:bookmarkStart w:id="9" w:name="page10"/>
    <w:bookmarkEnd w:id="9"/>
    <w:p>
      <w:pPr>
        <w:jc w:val="both"/>
        <w:ind w:firstLine="432"/>
        <w:spacing w:after="0" w:line="264" w:lineRule="auto"/>
        <w:rPr>
          <w:sz w:val="20"/>
          <w:szCs w:val="20"/>
          <w:color w:val="auto"/>
        </w:rPr>
      </w:pPr>
      <w:r>
        <w:rPr>
          <w:rFonts w:ascii="Arial" w:cs="Arial" w:eastAsia="Arial" w:hAnsi="Arial"/>
          <w:sz w:val="18"/>
          <w:szCs w:val="18"/>
          <w:color w:val="auto"/>
        </w:rPr>
        <w:t>We estimate the fair value of our centrally cleared interest rate swaps using the daily settlement price determined by the respective exchange. Centrally cleared swaps are valued by the exchange using a pricing model that references the underlying rates including the overnight index swap rate and LIBOR forward rate to produce the daily settlement price.</w:t>
      </w:r>
    </w:p>
    <w:p>
      <w:pPr>
        <w:spacing w:after="0" w:line="127"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We estimate the fair value of our "non-centrally cleared" swaps using a combination of inputs from counterparty and third-party pricing models to estimate the net present value of the future cash flows using the forward interest rate yield curve in effect as of the end of the measurement period. We also incorporate both our own and our counterparties' nonperformance risk in estimating the fair value of our interest rate swaps. In considering the effect of nonperformance risk, we consider the impact of netting and credit enhancements, such as collateral postings and guarantees, and have concluded that our own and our counterparty risk is not significant to the overall valuation of these agreements.</w:t>
      </w:r>
    </w:p>
    <w:p>
      <w:pPr>
        <w:spacing w:after="0" w:line="11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Interest rate swaptions</w:t>
      </w:r>
    </w:p>
    <w:p>
      <w:pPr>
        <w:spacing w:after="0" w:line="171"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We purchase interest rate swaptions generally to help mitigate the potential impact of larger, more rapid changes in interest rates on the performance of our investment portfolio. Interest rate swaptions provide us the option to enter into an interest rate swap agreement for a predetermined notional amount, stated term and pay and receive interest rates in the future. Our swaption agreements typically provide us the option to enter into a pay fixed rate interest rate swap, which we refer as "payer swaptions." We may also enter into swaption agreements that provide us the option to enter into a receive fixed interest rate swap, which we refer to as "receiver swaptions." The premium paid for interest rate swaptions is reported as an asset in our consolidated balance sheets. The premium is valued at an amount equal to the fair value of the swaption that would have the effect of closing the position adjusted for nonperformance risk, if any. The difference between the premium and the fair value of the swaption is reported in gain (loss) on derivative instruments and other securities, net in our consolidated statements of comprehensive income. If a swaption expires unexercised, the realized loss on the swaption would be equal to the premium paid. If we sell or exercise a swaption, the realized gain or loss on the swaption would be equal to the difference between the cash or the fair value of the underlying interest rate swap received and the premium paid.</w:t>
      </w:r>
    </w:p>
    <w:p>
      <w:pPr>
        <w:spacing w:after="0" w:line="124"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Our interest rate swaption agreements are privately negotiated in the OTC market and are not subject to central clearing. We estimate the fair value of interest rate swaptions using a combination of inputs from counterparty and third-party pricing models based on the fair value of the future interest rate swap that we have the option to enter into as well as the remaining length of time that we have to exercise the option, adjusted for non-performance risk, if any.</w:t>
      </w:r>
    </w:p>
    <w:p>
      <w:pPr>
        <w:spacing w:after="0" w:line="9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TBA securities</w:t>
      </w:r>
    </w:p>
    <w:p>
      <w:pPr>
        <w:spacing w:after="0" w:line="17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 TBA security is a forward contract for the purchase ("long position") or sale ("short position") of agency MBS at a predetermined price, face amount, issuer, coupon and stated maturity on an agreed-upon future date. The specific agency MBS delivered into the contract upon the settlement date, published each month by the Securities Industry and Financial Markets Association, are not known at the time of the transaction. We may enter into TBA contracts as a means of hedging against short-term changes in interest rates. We may also enter into TBA contracts as a means of acquiring or disposing of agency securities and utilize TBA dollar roll transactions to finance agency MBS purchases.</w:t>
      </w:r>
    </w:p>
    <w:p>
      <w:pPr>
        <w:spacing w:after="0" w:line="13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account for TBA contracts as derivative instruments since either the TBA contracts do not settle in the shortest period of time possible or we cannot assert that it is probable at inception and throughout the term of the TBA contract that we will take physical delivery of the agency security upon settlement of the contract. We account for TBA dollar roll transactions as a series of derivative transactions. Gains, losses and dollar roll income associated with our TBA contracts and dollar roll transactions are recognized in our consolidated statements of comprehensive income in gain (loss) on derivative instruments and other securities, net.</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estimate the fair value of TBA securities based on similar methods used to value our agency MBS securities.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U.S. Treasury securities</w:t>
      </w:r>
    </w:p>
    <w:p>
      <w:pPr>
        <w:spacing w:after="0" w:line="17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We purchase or sell short U.S. Treasury securities and U.S. Treasury futures contracts to help mitigate the potential impact of changes in interest rates on the performance of our portfolio. We borrow securities to cover short sales of U.S. Treasury securities under reverse repurchase agreements. We account for these as securities borrowing transactions and recognize an obligation to return the borrowed securities at fair value on our accompanying consolidated balance sheets based on the value of the underlying borrowed securities as of the reporting date. Gains and losses associated with purchases and short sales of U.S. Treasury securities and U.S. Treasury futures contracts are recognized in gain (loss) on derivative instruments and other securities, net in our consolidated statements of comprehensive income.</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746"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Note 4. Investment Securities</w:t>
      </w:r>
    </w:p>
    <w:p>
      <w:pPr>
        <w:spacing w:after="0" w:line="17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As of June 30, 2016 and December 31, 2015, our investment portfolio consisted of $54.5 billion and $52.5 billion of MBS, at fair value, respectively, and a $7.1 billion and $7.4 billion net long TBA position, at fair value, respectively.</w:t>
      </w:r>
    </w:p>
    <w:p>
      <w:pPr>
        <w:spacing w:after="0" w:line="116"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Our TBA position is reported at its net carrying value of $97 million and $14 million as of June 30, 2016 and December 31, 2015, respectively, in derivative assets/(liabilities) on our accompanying consolidated balance sheets. The net carrying value of our TBA position represents the difference between the fair value of the underlying agency security in the TBA contract and the cost basis or the forward price to be paid or received for the underlying agency security. (See Note 6 for further details of our net TBA position as of June 30, 2016 and December 31, 2015.)</w:t>
      </w:r>
    </w:p>
    <w:p>
      <w:pPr>
        <w:spacing w:after="0" w:line="11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of June 30, 2016 and December 31, 2015, the net unamortized premium balance on our MBS was $2.4 billion and $2.3 billion, respectively, including interest and principal-only securities.</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tables summarize our investments in MBS as of June 30, 2016 and December 31, 2015 (dollars in millions):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4"/>
                <w:szCs w:val="14"/>
                <w:b w:val="1"/>
                <w:bCs w:val="1"/>
                <w:color w:val="auto"/>
                <w:w w:val="92"/>
              </w:rPr>
              <w:t>June 30, 2016</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6"/>
              </w:rPr>
              <w:t>Amortized</w:t>
            </w:r>
          </w:p>
        </w:tc>
        <w:tc>
          <w:tcPr>
            <w:tcW w:w="240" w:type="dxa"/>
            <w:vAlign w:val="bottom"/>
          </w:tcPr>
          <w:p>
            <w:pPr>
              <w:spacing w:after="0"/>
              <w:rPr>
                <w:sz w:val="13"/>
                <w:szCs w:val="13"/>
                <w:color w:val="auto"/>
              </w:rPr>
            </w:pPr>
          </w:p>
        </w:tc>
        <w:tc>
          <w:tcPr>
            <w:tcW w:w="124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83"/>
              </w:rPr>
              <w:t>Gross</w:t>
            </w:r>
          </w:p>
        </w:tc>
        <w:tc>
          <w:tcPr>
            <w:tcW w:w="200" w:type="dxa"/>
            <w:vAlign w:val="bottom"/>
          </w:tcPr>
          <w:p>
            <w:pPr>
              <w:spacing w:after="0"/>
              <w:rPr>
                <w:sz w:val="13"/>
                <w:szCs w:val="13"/>
                <w:color w:val="auto"/>
              </w:rPr>
            </w:pPr>
          </w:p>
        </w:tc>
        <w:tc>
          <w:tcPr>
            <w:tcW w:w="11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7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Investments in Mortgage-Backed Securities</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0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40" w:type="dxa"/>
            <w:vAlign w:val="bottom"/>
          </w:tcPr>
          <w:p>
            <w:pPr>
              <w:spacing w:after="0"/>
              <w:rPr>
                <w:sz w:val="12"/>
                <w:szCs w:val="12"/>
                <w:color w:val="auto"/>
              </w:rPr>
            </w:pPr>
          </w:p>
        </w:tc>
        <w:tc>
          <w:tcPr>
            <w:tcW w:w="112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57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b w:val="1"/>
                <w:bCs w:val="1"/>
                <w:color w:val="auto"/>
                <w:w w:val="96"/>
              </w:rPr>
              <w:t>Gain</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85"/>
              </w:rPr>
              <w:t>Loss</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58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Agency MBS:</w:t>
            </w: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5840" w:type="dxa"/>
            <w:vAlign w:val="bottom"/>
            <w:gridSpan w:val="2"/>
          </w:tcPr>
          <w:p>
            <w:pPr>
              <w:ind w:left="180"/>
              <w:spacing w:after="0"/>
              <w:rPr>
                <w:sz w:val="20"/>
                <w:szCs w:val="20"/>
                <w:color w:val="auto"/>
              </w:rPr>
            </w:pPr>
            <w:r>
              <w:rPr>
                <w:rFonts w:ascii="Arial" w:cs="Arial" w:eastAsia="Arial" w:hAnsi="Arial"/>
                <w:sz w:val="14"/>
                <w:szCs w:val="14"/>
                <w:color w:val="auto"/>
              </w:rPr>
              <w:t>Fixed rate</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51,590</w:t>
            </w:r>
          </w:p>
        </w:tc>
        <w:tc>
          <w:tcPr>
            <w:tcW w:w="12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1,068</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52,648</w:t>
            </w:r>
          </w:p>
        </w:tc>
        <w:tc>
          <w:tcPr>
            <w:tcW w:w="0" w:type="dxa"/>
            <w:vAlign w:val="bottom"/>
          </w:tcPr>
          <w:p>
            <w:pPr>
              <w:spacing w:after="0"/>
              <w:rPr>
                <w:sz w:val="1"/>
                <w:szCs w:val="1"/>
                <w:color w:val="auto"/>
              </w:rPr>
            </w:pPr>
          </w:p>
        </w:tc>
      </w:tr>
      <w:tr>
        <w:trPr>
          <w:trHeight w:val="276"/>
        </w:trPr>
        <w:tc>
          <w:tcPr>
            <w:tcW w:w="58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Adjustable rate</w:t>
            </w:r>
          </w:p>
        </w:tc>
        <w:tc>
          <w:tcPr>
            <w:tcW w:w="2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443</w:t>
            </w:r>
          </w:p>
        </w:tc>
        <w:tc>
          <w:tcPr>
            <w:tcW w:w="0" w:type="dxa"/>
            <w:vAlign w:val="bottom"/>
          </w:tcPr>
          <w:p>
            <w:pPr>
              <w:spacing w:after="0"/>
              <w:rPr>
                <w:sz w:val="1"/>
                <w:szCs w:val="1"/>
                <w:color w:val="auto"/>
              </w:rPr>
            </w:pPr>
          </w:p>
        </w:tc>
      </w:tr>
      <w:tr>
        <w:trPr>
          <w:trHeight w:val="264"/>
        </w:trPr>
        <w:tc>
          <w:tcPr>
            <w:tcW w:w="5840" w:type="dxa"/>
            <w:vAlign w:val="bottom"/>
            <w:gridSpan w:val="2"/>
          </w:tcPr>
          <w:p>
            <w:pPr>
              <w:ind w:left="180"/>
              <w:spacing w:after="0"/>
              <w:rPr>
                <w:sz w:val="20"/>
                <w:szCs w:val="20"/>
                <w:color w:val="auto"/>
              </w:rPr>
            </w:pPr>
            <w:r>
              <w:rPr>
                <w:rFonts w:ascii="Arial" w:cs="Arial" w:eastAsia="Arial" w:hAnsi="Arial"/>
                <w:sz w:val="14"/>
                <w:szCs w:val="14"/>
                <w:color w:val="auto"/>
              </w:rPr>
              <w:t>CMO</w:t>
            </w:r>
          </w:p>
        </w:tc>
        <w:tc>
          <w:tcPr>
            <w:tcW w:w="20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888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920</w:t>
            </w:r>
          </w:p>
        </w:tc>
        <w:tc>
          <w:tcPr>
            <w:tcW w:w="0" w:type="dxa"/>
            <w:vAlign w:val="bottom"/>
          </w:tcPr>
          <w:p>
            <w:pPr>
              <w:spacing w:after="0"/>
              <w:rPr>
                <w:sz w:val="1"/>
                <w:szCs w:val="1"/>
                <w:color w:val="auto"/>
              </w:rPr>
            </w:pPr>
          </w:p>
        </w:tc>
      </w:tr>
      <w:tr>
        <w:trPr>
          <w:trHeight w:val="270"/>
        </w:trPr>
        <w:tc>
          <w:tcPr>
            <w:tcW w:w="58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Interest-only and principal-only strips</w:t>
            </w:r>
          </w:p>
        </w:tc>
        <w:tc>
          <w:tcPr>
            <w:tcW w:w="2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305</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50</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352</w:t>
            </w:r>
          </w:p>
        </w:tc>
        <w:tc>
          <w:tcPr>
            <w:tcW w:w="0" w:type="dxa"/>
            <w:vAlign w:val="bottom"/>
          </w:tcPr>
          <w:p>
            <w:pPr>
              <w:spacing w:after="0"/>
              <w:rPr>
                <w:sz w:val="1"/>
                <w:szCs w:val="1"/>
                <w:color w:val="auto"/>
              </w:rPr>
            </w:pPr>
          </w:p>
        </w:tc>
      </w:tr>
      <w:tr>
        <w:trPr>
          <w:trHeight w:val="250"/>
        </w:trPr>
        <w:tc>
          <w:tcPr>
            <w:tcW w:w="584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Total agency MBS</w:t>
            </w:r>
          </w:p>
        </w:tc>
        <w:tc>
          <w:tcPr>
            <w:tcW w:w="2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53,212</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1,164</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54,363</w:t>
            </w:r>
          </w:p>
        </w:tc>
        <w:tc>
          <w:tcPr>
            <w:tcW w:w="0" w:type="dxa"/>
            <w:vAlign w:val="bottom"/>
          </w:tcPr>
          <w:p>
            <w:pPr>
              <w:spacing w:after="0"/>
              <w:rPr>
                <w:sz w:val="1"/>
                <w:szCs w:val="1"/>
                <w:color w:val="auto"/>
              </w:rPr>
            </w:pPr>
          </w:p>
        </w:tc>
      </w:tr>
      <w:tr>
        <w:trPr>
          <w:trHeight w:val="270"/>
        </w:trPr>
        <w:tc>
          <w:tcPr>
            <w:tcW w:w="58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Non-agency MBS:</w:t>
            </w: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5840" w:type="dxa"/>
            <w:vAlign w:val="bottom"/>
            <w:gridSpan w:val="2"/>
          </w:tcPr>
          <w:p>
            <w:pPr>
              <w:ind w:left="180"/>
              <w:spacing w:after="0"/>
              <w:rPr>
                <w:sz w:val="20"/>
                <w:szCs w:val="20"/>
                <w:color w:val="auto"/>
              </w:rPr>
            </w:pPr>
            <w:r>
              <w:rPr>
                <w:rFonts w:ascii="Arial" w:cs="Arial" w:eastAsia="Arial" w:hAnsi="Arial"/>
                <w:sz w:val="14"/>
                <w:szCs w:val="14"/>
                <w:color w:val="auto"/>
              </w:rPr>
              <w:t>AAA non-agency</w:t>
            </w:r>
          </w:p>
        </w:tc>
        <w:tc>
          <w:tcPr>
            <w:tcW w:w="20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105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243"/>
        </w:trPr>
        <w:tc>
          <w:tcPr>
            <w:tcW w:w="584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Total MBS</w:t>
            </w: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53,317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54,470</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6"/>
        </w:trPr>
        <w:tc>
          <w:tcPr>
            <w:tcW w:w="5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4"/>
                <w:szCs w:val="14"/>
                <w:b w:val="1"/>
                <w:bCs w:val="1"/>
                <w:color w:val="auto"/>
                <w:w w:val="91"/>
              </w:rPr>
              <w:t>December 31, 2015</w:t>
            </w: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6"/>
              </w:rPr>
              <w:t>Amortized</w:t>
            </w:r>
          </w:p>
        </w:tc>
        <w:tc>
          <w:tcPr>
            <w:tcW w:w="240" w:type="dxa"/>
            <w:vAlign w:val="bottom"/>
          </w:tcPr>
          <w:p>
            <w:pPr>
              <w:spacing w:after="0"/>
              <w:rPr>
                <w:sz w:val="13"/>
                <w:szCs w:val="13"/>
                <w:color w:val="auto"/>
              </w:rPr>
            </w:pPr>
          </w:p>
        </w:tc>
        <w:tc>
          <w:tcPr>
            <w:tcW w:w="124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83"/>
              </w:rPr>
              <w:t>Gross</w:t>
            </w:r>
          </w:p>
        </w:tc>
        <w:tc>
          <w:tcPr>
            <w:tcW w:w="200" w:type="dxa"/>
            <w:vAlign w:val="bottom"/>
          </w:tcPr>
          <w:p>
            <w:pPr>
              <w:spacing w:after="0"/>
              <w:rPr>
                <w:sz w:val="13"/>
                <w:szCs w:val="13"/>
                <w:color w:val="auto"/>
              </w:rPr>
            </w:pPr>
          </w:p>
        </w:tc>
        <w:tc>
          <w:tcPr>
            <w:tcW w:w="11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7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Investments in Mortgage-Backed Securities</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0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40" w:type="dxa"/>
            <w:vAlign w:val="bottom"/>
          </w:tcPr>
          <w:p>
            <w:pPr>
              <w:spacing w:after="0"/>
              <w:rPr>
                <w:sz w:val="12"/>
                <w:szCs w:val="12"/>
                <w:color w:val="auto"/>
              </w:rPr>
            </w:pPr>
          </w:p>
        </w:tc>
        <w:tc>
          <w:tcPr>
            <w:tcW w:w="112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57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b w:val="1"/>
                <w:bCs w:val="1"/>
                <w:color w:val="auto"/>
                <w:w w:val="96"/>
              </w:rPr>
              <w:t>Gain</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85"/>
              </w:rPr>
              <w:t>Loss</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58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Agency MBS:</w:t>
            </w: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5840" w:type="dxa"/>
            <w:vAlign w:val="bottom"/>
            <w:gridSpan w:val="2"/>
          </w:tcPr>
          <w:p>
            <w:pPr>
              <w:ind w:left="180"/>
              <w:spacing w:after="0"/>
              <w:rPr>
                <w:sz w:val="20"/>
                <w:szCs w:val="20"/>
                <w:color w:val="auto"/>
              </w:rPr>
            </w:pPr>
            <w:r>
              <w:rPr>
                <w:rFonts w:ascii="Arial" w:cs="Arial" w:eastAsia="Arial" w:hAnsi="Arial"/>
                <w:sz w:val="14"/>
                <w:szCs w:val="14"/>
                <w:color w:val="auto"/>
              </w:rPr>
              <w:t>Fixed rate</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50,576</w:t>
            </w:r>
          </w:p>
        </w:tc>
        <w:tc>
          <w:tcPr>
            <w:tcW w:w="12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339</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(393)</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50,522</w:t>
            </w:r>
          </w:p>
        </w:tc>
        <w:tc>
          <w:tcPr>
            <w:tcW w:w="0" w:type="dxa"/>
            <w:vAlign w:val="bottom"/>
          </w:tcPr>
          <w:p>
            <w:pPr>
              <w:spacing w:after="0"/>
              <w:rPr>
                <w:sz w:val="1"/>
                <w:szCs w:val="1"/>
                <w:color w:val="auto"/>
              </w:rPr>
            </w:pPr>
          </w:p>
        </w:tc>
      </w:tr>
      <w:tr>
        <w:trPr>
          <w:trHeight w:val="276"/>
        </w:trPr>
        <w:tc>
          <w:tcPr>
            <w:tcW w:w="58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Adjustable rate</w:t>
            </w:r>
          </w:p>
        </w:tc>
        <w:tc>
          <w:tcPr>
            <w:tcW w:w="2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484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495</w:t>
            </w:r>
          </w:p>
        </w:tc>
        <w:tc>
          <w:tcPr>
            <w:tcW w:w="0" w:type="dxa"/>
            <w:vAlign w:val="bottom"/>
          </w:tcPr>
          <w:p>
            <w:pPr>
              <w:spacing w:after="0"/>
              <w:rPr>
                <w:sz w:val="1"/>
                <w:szCs w:val="1"/>
                <w:color w:val="auto"/>
              </w:rPr>
            </w:pPr>
          </w:p>
        </w:tc>
      </w:tr>
      <w:tr>
        <w:trPr>
          <w:trHeight w:val="264"/>
        </w:trPr>
        <w:tc>
          <w:tcPr>
            <w:tcW w:w="5840" w:type="dxa"/>
            <w:vAlign w:val="bottom"/>
            <w:gridSpan w:val="2"/>
          </w:tcPr>
          <w:p>
            <w:pPr>
              <w:ind w:left="180"/>
              <w:spacing w:after="0"/>
              <w:rPr>
                <w:sz w:val="20"/>
                <w:szCs w:val="20"/>
                <w:color w:val="auto"/>
              </w:rPr>
            </w:pPr>
            <w:r>
              <w:rPr>
                <w:rFonts w:ascii="Arial" w:cs="Arial" w:eastAsia="Arial" w:hAnsi="Arial"/>
                <w:sz w:val="14"/>
                <w:szCs w:val="14"/>
                <w:color w:val="auto"/>
              </w:rPr>
              <w:t>CMO</w:t>
            </w:r>
          </w:p>
        </w:tc>
        <w:tc>
          <w:tcPr>
            <w:tcW w:w="20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973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990</w:t>
            </w:r>
          </w:p>
        </w:tc>
        <w:tc>
          <w:tcPr>
            <w:tcW w:w="0" w:type="dxa"/>
            <w:vAlign w:val="bottom"/>
          </w:tcPr>
          <w:p>
            <w:pPr>
              <w:spacing w:after="0"/>
              <w:rPr>
                <w:sz w:val="1"/>
                <w:szCs w:val="1"/>
                <w:color w:val="auto"/>
              </w:rPr>
            </w:pPr>
          </w:p>
        </w:tc>
      </w:tr>
      <w:tr>
        <w:trPr>
          <w:trHeight w:val="270"/>
        </w:trPr>
        <w:tc>
          <w:tcPr>
            <w:tcW w:w="58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Interest-only and principal-only strips</w:t>
            </w:r>
          </w:p>
        </w:tc>
        <w:tc>
          <w:tcPr>
            <w:tcW w:w="2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317</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353</w:t>
            </w:r>
          </w:p>
        </w:tc>
        <w:tc>
          <w:tcPr>
            <w:tcW w:w="0" w:type="dxa"/>
            <w:vAlign w:val="bottom"/>
          </w:tcPr>
          <w:p>
            <w:pPr>
              <w:spacing w:after="0"/>
              <w:rPr>
                <w:sz w:val="1"/>
                <w:szCs w:val="1"/>
                <w:color w:val="auto"/>
              </w:rPr>
            </w:pPr>
          </w:p>
        </w:tc>
      </w:tr>
      <w:tr>
        <w:trPr>
          <w:trHeight w:val="250"/>
        </w:trPr>
        <w:tc>
          <w:tcPr>
            <w:tcW w:w="584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Total agency MBS</w:t>
            </w:r>
          </w:p>
        </w:tc>
        <w:tc>
          <w:tcPr>
            <w:tcW w:w="2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52,350</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407</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(397)</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52,360</w:t>
            </w:r>
          </w:p>
        </w:tc>
        <w:tc>
          <w:tcPr>
            <w:tcW w:w="0" w:type="dxa"/>
            <w:vAlign w:val="bottom"/>
          </w:tcPr>
          <w:p>
            <w:pPr>
              <w:spacing w:after="0"/>
              <w:rPr>
                <w:sz w:val="1"/>
                <w:szCs w:val="1"/>
                <w:color w:val="auto"/>
              </w:rPr>
            </w:pPr>
          </w:p>
        </w:tc>
      </w:tr>
      <w:tr>
        <w:trPr>
          <w:trHeight w:val="270"/>
        </w:trPr>
        <w:tc>
          <w:tcPr>
            <w:tcW w:w="58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Non-agency MBS:</w:t>
            </w: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5840" w:type="dxa"/>
            <w:vAlign w:val="bottom"/>
            <w:gridSpan w:val="2"/>
          </w:tcPr>
          <w:p>
            <w:pPr>
              <w:ind w:left="180"/>
              <w:spacing w:after="0"/>
              <w:rPr>
                <w:sz w:val="20"/>
                <w:szCs w:val="20"/>
                <w:color w:val="auto"/>
              </w:rPr>
            </w:pPr>
            <w:r>
              <w:rPr>
                <w:rFonts w:ascii="Arial" w:cs="Arial" w:eastAsia="Arial" w:hAnsi="Arial"/>
                <w:sz w:val="14"/>
                <w:szCs w:val="14"/>
                <w:color w:val="auto"/>
              </w:rPr>
              <w:t>AAA non-agency</w:t>
            </w:r>
          </w:p>
        </w:tc>
        <w:tc>
          <w:tcPr>
            <w:tcW w:w="20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114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113</w:t>
            </w:r>
          </w:p>
        </w:tc>
        <w:tc>
          <w:tcPr>
            <w:tcW w:w="0" w:type="dxa"/>
            <w:vAlign w:val="bottom"/>
          </w:tcPr>
          <w:p>
            <w:pPr>
              <w:spacing w:after="0"/>
              <w:rPr>
                <w:sz w:val="1"/>
                <w:szCs w:val="1"/>
                <w:color w:val="auto"/>
              </w:rPr>
            </w:pPr>
          </w:p>
        </w:tc>
      </w:tr>
      <w:tr>
        <w:trPr>
          <w:trHeight w:val="243"/>
        </w:trPr>
        <w:tc>
          <w:tcPr>
            <w:tcW w:w="584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Total MBS</w:t>
            </w: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52,464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52,473</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80"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June 30, 2016</w:t>
            </w: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r>
      <w:tr>
        <w:trPr>
          <w:trHeight w:val="264"/>
        </w:trPr>
        <w:tc>
          <w:tcPr>
            <w:tcW w:w="50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Investments in Mortgage-Backed Securities</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w w:val="99"/>
              </w:rPr>
              <w:t>Fannie Mae</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97"/>
              </w:rPr>
              <w:t>Freddie Mac</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Ginnie Mae</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w w:val="94"/>
              </w:rPr>
              <w:t>Non-Agency</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Total</w:t>
            </w:r>
          </w:p>
        </w:tc>
      </w:tr>
      <w:tr>
        <w:trPr>
          <w:trHeight w:val="270"/>
        </w:trPr>
        <w:tc>
          <w:tcPr>
            <w:tcW w:w="51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Available-for-sale MBS:</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64"/>
        </w:trPr>
        <w:tc>
          <w:tcPr>
            <w:tcW w:w="5180" w:type="dxa"/>
            <w:vAlign w:val="bottom"/>
            <w:gridSpan w:val="2"/>
          </w:tcPr>
          <w:p>
            <w:pPr>
              <w:ind w:left="1200"/>
              <w:spacing w:after="0"/>
              <w:rPr>
                <w:sz w:val="20"/>
                <w:szCs w:val="20"/>
                <w:color w:val="auto"/>
              </w:rPr>
            </w:pPr>
            <w:r>
              <w:rPr>
                <w:rFonts w:ascii="Arial" w:cs="Arial" w:eastAsia="Arial" w:hAnsi="Arial"/>
                <w:sz w:val="14"/>
                <w:szCs w:val="14"/>
                <w:color w:val="auto"/>
              </w:rPr>
              <w:t>MBS, par value</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40,245</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10,356</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104</w:t>
            </w:r>
          </w:p>
        </w:tc>
        <w:tc>
          <w:tcPr>
            <w:tcW w:w="10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50,758</w:t>
            </w:r>
          </w:p>
        </w:tc>
      </w:tr>
      <w:tr>
        <w:trPr>
          <w:trHeight w:val="276"/>
        </w:trPr>
        <w:tc>
          <w:tcPr>
            <w:tcW w:w="5180" w:type="dxa"/>
            <w:vAlign w:val="bottom"/>
            <w:gridSpan w:val="2"/>
            <w:shd w:val="clear" w:color="auto" w:fill="CCEEFF"/>
          </w:tcPr>
          <w:p>
            <w:pPr>
              <w:ind w:left="1200"/>
              <w:spacing w:after="0"/>
              <w:rPr>
                <w:sz w:val="20"/>
                <w:szCs w:val="20"/>
                <w:color w:val="auto"/>
              </w:rPr>
            </w:pPr>
            <w:r>
              <w:rPr>
                <w:rFonts w:ascii="Arial" w:cs="Arial" w:eastAsia="Arial" w:hAnsi="Arial"/>
                <w:sz w:val="14"/>
                <w:szCs w:val="14"/>
                <w:color w:val="auto"/>
              </w:rPr>
              <w:t>Unamortized discount</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w:t>
            </w:r>
          </w:p>
        </w:tc>
      </w:tr>
      <w:tr>
        <w:trPr>
          <w:trHeight w:val="264"/>
        </w:trPr>
        <w:tc>
          <w:tcPr>
            <w:tcW w:w="5180" w:type="dxa"/>
            <w:vAlign w:val="bottom"/>
            <w:tcBorders>
              <w:bottom w:val="single" w:sz="8" w:color="CCEEFF"/>
            </w:tcBorders>
            <w:gridSpan w:val="2"/>
          </w:tcPr>
          <w:p>
            <w:pPr>
              <w:ind w:left="1200"/>
              <w:spacing w:after="0"/>
              <w:rPr>
                <w:sz w:val="20"/>
                <w:szCs w:val="20"/>
                <w:color w:val="auto"/>
              </w:rPr>
            </w:pPr>
            <w:r>
              <w:rPr>
                <w:rFonts w:ascii="Arial" w:cs="Arial" w:eastAsia="Arial" w:hAnsi="Arial"/>
                <w:sz w:val="14"/>
                <w:szCs w:val="14"/>
                <w:color w:val="auto"/>
              </w:rPr>
              <w:t>Unamortized premium</w:t>
            </w: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1,766</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519</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2,287</w:t>
            </w:r>
          </w:p>
        </w:tc>
      </w:tr>
      <w:tr>
        <w:trPr>
          <w:trHeight w:val="256"/>
        </w:trPr>
        <w:tc>
          <w:tcPr>
            <w:tcW w:w="5180" w:type="dxa"/>
            <w:vAlign w:val="bottom"/>
            <w:gridSpan w:val="2"/>
            <w:shd w:val="clear" w:color="auto" w:fill="CCEEFF"/>
          </w:tcPr>
          <w:p>
            <w:pPr>
              <w:ind w:left="1040"/>
              <w:spacing w:after="0"/>
              <w:rPr>
                <w:sz w:val="20"/>
                <w:szCs w:val="20"/>
                <w:color w:val="auto"/>
              </w:rPr>
            </w:pPr>
            <w:r>
              <w:rPr>
                <w:rFonts w:ascii="Arial" w:cs="Arial" w:eastAsia="Arial" w:hAnsi="Arial"/>
                <w:sz w:val="14"/>
                <w:szCs w:val="14"/>
                <w:color w:val="auto"/>
              </w:rPr>
              <w:t>Amortized cost</w:t>
            </w:r>
          </w:p>
        </w:tc>
        <w:tc>
          <w:tcPr>
            <w:tcW w:w="16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41,981</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10,872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53,012</w:t>
            </w:r>
          </w:p>
        </w:tc>
      </w:tr>
      <w:tr>
        <w:trPr>
          <w:trHeight w:val="264"/>
        </w:trPr>
        <w:tc>
          <w:tcPr>
            <w:tcW w:w="5180" w:type="dxa"/>
            <w:vAlign w:val="bottom"/>
            <w:gridSpan w:val="2"/>
          </w:tcPr>
          <w:p>
            <w:pPr>
              <w:ind w:left="1200"/>
              <w:spacing w:after="0"/>
              <w:rPr>
                <w:sz w:val="20"/>
                <w:szCs w:val="20"/>
                <w:color w:val="auto"/>
              </w:rPr>
            </w:pPr>
            <w:r>
              <w:rPr>
                <w:rFonts w:ascii="Arial" w:cs="Arial" w:eastAsia="Arial" w:hAnsi="Arial"/>
                <w:sz w:val="14"/>
                <w:szCs w:val="14"/>
                <w:color w:val="auto"/>
              </w:rPr>
              <w:t>Gross unrealized gains</w:t>
            </w:r>
          </w:p>
        </w:tc>
        <w:tc>
          <w:tcPr>
            <w:tcW w:w="160" w:type="dxa"/>
            <w:vAlign w:val="bottom"/>
          </w:tcPr>
          <w:p>
            <w:pPr>
              <w:spacing w:after="0"/>
              <w:rPr>
                <w:sz w:val="22"/>
                <w:szCs w:val="22"/>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897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215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1,116</w:t>
            </w:r>
          </w:p>
        </w:tc>
      </w:tr>
      <w:tr>
        <w:trPr>
          <w:trHeight w:val="270"/>
        </w:trPr>
        <w:tc>
          <w:tcPr>
            <w:tcW w:w="5180" w:type="dxa"/>
            <w:vAlign w:val="bottom"/>
            <w:gridSpan w:val="2"/>
            <w:shd w:val="clear" w:color="auto" w:fill="CCEEFF"/>
          </w:tcPr>
          <w:p>
            <w:pPr>
              <w:ind w:left="1200"/>
              <w:spacing w:after="0"/>
              <w:rPr>
                <w:sz w:val="20"/>
                <w:szCs w:val="20"/>
                <w:color w:val="auto"/>
              </w:rPr>
            </w:pPr>
            <w:r>
              <w:rPr>
                <w:rFonts w:ascii="Arial" w:cs="Arial" w:eastAsia="Arial" w:hAnsi="Arial"/>
                <w:sz w:val="14"/>
                <w:szCs w:val="14"/>
                <w:color w:val="auto"/>
              </w:rPr>
              <w:t>Gross unrealized losses</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w:t>
            </w:r>
          </w:p>
        </w:tc>
      </w:tr>
      <w:tr>
        <w:trPr>
          <w:trHeight w:val="250"/>
        </w:trPr>
        <w:tc>
          <w:tcPr>
            <w:tcW w:w="5180" w:type="dxa"/>
            <w:vAlign w:val="bottom"/>
            <w:tcBorders>
              <w:bottom w:val="single" w:sz="8" w:color="CCEEFF"/>
            </w:tcBorders>
            <w:gridSpan w:val="2"/>
          </w:tcPr>
          <w:p>
            <w:pPr>
              <w:ind w:left="720"/>
              <w:spacing w:after="0"/>
              <w:rPr>
                <w:sz w:val="20"/>
                <w:szCs w:val="20"/>
                <w:color w:val="auto"/>
              </w:rPr>
            </w:pPr>
            <w:r>
              <w:rPr>
                <w:rFonts w:ascii="Arial" w:cs="Arial" w:eastAsia="Arial" w:hAnsi="Arial"/>
                <w:sz w:val="14"/>
                <w:szCs w:val="14"/>
                <w:color w:val="auto"/>
              </w:rPr>
              <w:t>Total available-for-sale MBS, at fair value</w:t>
            </w:r>
          </w:p>
        </w:tc>
        <w:tc>
          <w:tcPr>
            <w:tcW w:w="16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42,871</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11,084</w:t>
            </w: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56</w:t>
            </w:r>
          </w:p>
        </w:tc>
        <w:tc>
          <w:tcPr>
            <w:tcW w:w="1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107</w:t>
            </w:r>
          </w:p>
        </w:tc>
        <w:tc>
          <w:tcPr>
            <w:tcW w:w="10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54,118</w:t>
            </w:r>
          </w:p>
        </w:tc>
      </w:tr>
      <w:tr>
        <w:trPr>
          <w:trHeight w:val="270"/>
        </w:trPr>
        <w:tc>
          <w:tcPr>
            <w:tcW w:w="51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MBS remeasured at fair value through earnings:</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64"/>
        </w:trPr>
        <w:tc>
          <w:tcPr>
            <w:tcW w:w="5180" w:type="dxa"/>
            <w:vAlign w:val="bottom"/>
            <w:gridSpan w:val="2"/>
          </w:tcPr>
          <w:p>
            <w:pPr>
              <w:ind w:left="1200"/>
              <w:spacing w:after="0"/>
              <w:rPr>
                <w:sz w:val="20"/>
                <w:szCs w:val="20"/>
                <w:color w:val="auto"/>
              </w:rPr>
            </w:pPr>
            <w:r>
              <w:rPr>
                <w:rFonts w:ascii="Arial" w:cs="Arial" w:eastAsia="Arial" w:hAnsi="Arial"/>
                <w:sz w:val="14"/>
                <w:szCs w:val="14"/>
                <w:color w:val="auto"/>
              </w:rPr>
              <w:t xml:space="preserve">Interest-only and principal-only strips, amortized cost </w:t>
            </w:r>
            <w:r>
              <w:rPr>
                <w:rFonts w:ascii="Arial" w:cs="Arial" w:eastAsia="Arial" w:hAnsi="Arial"/>
                <w:sz w:val="8"/>
                <w:szCs w:val="8"/>
                <w:color w:val="auto"/>
              </w:rPr>
              <w:t>1</w:t>
            </w:r>
          </w:p>
        </w:tc>
        <w:tc>
          <w:tcPr>
            <w:tcW w:w="160" w:type="dxa"/>
            <w:vAlign w:val="bottom"/>
          </w:tcPr>
          <w:p>
            <w:pPr>
              <w:spacing w:after="0"/>
              <w:rPr>
                <w:sz w:val="22"/>
                <w:szCs w:val="22"/>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288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305</w:t>
            </w:r>
          </w:p>
        </w:tc>
      </w:tr>
      <w:tr>
        <w:trPr>
          <w:trHeight w:val="276"/>
        </w:trPr>
        <w:tc>
          <w:tcPr>
            <w:tcW w:w="5180" w:type="dxa"/>
            <w:vAlign w:val="bottom"/>
            <w:gridSpan w:val="2"/>
            <w:shd w:val="clear" w:color="auto" w:fill="CCEEFF"/>
          </w:tcPr>
          <w:p>
            <w:pPr>
              <w:ind w:left="1200"/>
              <w:spacing w:after="0"/>
              <w:rPr>
                <w:sz w:val="20"/>
                <w:szCs w:val="20"/>
                <w:color w:val="auto"/>
              </w:rPr>
            </w:pPr>
            <w:r>
              <w:rPr>
                <w:rFonts w:ascii="Arial" w:cs="Arial" w:eastAsia="Arial" w:hAnsi="Arial"/>
                <w:sz w:val="14"/>
                <w:szCs w:val="14"/>
                <w:color w:val="auto"/>
              </w:rPr>
              <w:t>Gross unrealized gains</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50</w:t>
            </w:r>
          </w:p>
        </w:tc>
      </w:tr>
      <w:tr>
        <w:trPr>
          <w:trHeight w:val="264"/>
        </w:trPr>
        <w:tc>
          <w:tcPr>
            <w:tcW w:w="5180" w:type="dxa"/>
            <w:vAlign w:val="bottom"/>
            <w:tcBorders>
              <w:bottom w:val="single" w:sz="8" w:color="CCEEFF"/>
            </w:tcBorders>
            <w:gridSpan w:val="2"/>
          </w:tcPr>
          <w:p>
            <w:pPr>
              <w:ind w:left="1200"/>
              <w:spacing w:after="0"/>
              <w:rPr>
                <w:sz w:val="20"/>
                <w:szCs w:val="20"/>
                <w:color w:val="auto"/>
              </w:rPr>
            </w:pPr>
            <w:r>
              <w:rPr>
                <w:rFonts w:ascii="Arial" w:cs="Arial" w:eastAsia="Arial" w:hAnsi="Arial"/>
                <w:sz w:val="14"/>
                <w:szCs w:val="14"/>
                <w:color w:val="auto"/>
              </w:rPr>
              <w:t>Gross unrealized losses</w:t>
            </w: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w:t>
            </w:r>
          </w:p>
        </w:tc>
      </w:tr>
      <w:tr>
        <w:trPr>
          <w:trHeight w:val="250"/>
        </w:trPr>
        <w:tc>
          <w:tcPr>
            <w:tcW w:w="518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Total MBS remeasured at fair value through earnings</w:t>
            </w: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333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352</w:t>
            </w:r>
          </w:p>
        </w:tc>
      </w:tr>
      <w:tr>
        <w:trPr>
          <w:trHeight w:val="283"/>
        </w:trPr>
        <w:tc>
          <w:tcPr>
            <w:tcW w:w="518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Total MBS, at fair value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43,204</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11,103</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56</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107</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54,470</w:t>
            </w:r>
          </w:p>
        </w:tc>
      </w:tr>
      <w:tr>
        <w:trPr>
          <w:trHeight w:val="224"/>
        </w:trPr>
        <w:tc>
          <w:tcPr>
            <w:tcW w:w="51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 xml:space="preserve">Weighted average coupon as of June 30, 2016 </w:t>
            </w:r>
            <w:r>
              <w:rPr>
                <w:rFonts w:ascii="Arial" w:cs="Arial" w:eastAsia="Arial" w:hAnsi="Arial"/>
                <w:sz w:val="8"/>
                <w:szCs w:val="8"/>
                <w:color w:val="auto"/>
              </w:rPr>
              <w:t>2</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w:t>
            </w:r>
          </w:p>
        </w:tc>
      </w:tr>
      <w:tr>
        <w:trPr>
          <w:trHeight w:val="256"/>
        </w:trPr>
        <w:tc>
          <w:tcPr>
            <w:tcW w:w="5180" w:type="dxa"/>
            <w:vAlign w:val="bottom"/>
            <w:gridSpan w:val="2"/>
          </w:tcPr>
          <w:p>
            <w:pPr>
              <w:ind w:left="40"/>
              <w:spacing w:after="0"/>
              <w:rPr>
                <w:sz w:val="20"/>
                <w:szCs w:val="20"/>
                <w:color w:val="auto"/>
              </w:rPr>
            </w:pPr>
            <w:r>
              <w:rPr>
                <w:rFonts w:ascii="Arial" w:cs="Arial" w:eastAsia="Arial" w:hAnsi="Arial"/>
                <w:sz w:val="14"/>
                <w:szCs w:val="14"/>
                <w:color w:val="auto"/>
              </w:rPr>
              <w:t xml:space="preserve">Weighted average yield as of June 30, 2016 </w:t>
            </w:r>
            <w:r>
              <w:rPr>
                <w:rFonts w:ascii="Arial" w:cs="Arial" w:eastAsia="Arial" w:hAnsi="Arial"/>
                <w:sz w:val="8"/>
                <w:szCs w:val="8"/>
                <w:color w:val="auto"/>
              </w:rPr>
              <w:t>3</w:t>
            </w: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2.67%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2.68%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1.95%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3.00%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2.68%</w:t>
            </w:r>
          </w:p>
        </w:tc>
      </w:tr>
      <w:tr>
        <w:trPr>
          <w:trHeight w:val="224"/>
        </w:trPr>
        <w:tc>
          <w:tcPr>
            <w:tcW w:w="5080" w:type="dxa"/>
            <w:vAlign w:val="bottom"/>
          </w:tcPr>
          <w:p>
            <w:pPr>
              <w:ind w:left="60"/>
              <w:spacing w:after="0"/>
              <w:rPr>
                <w:sz w:val="20"/>
                <w:szCs w:val="20"/>
                <w:color w:val="auto"/>
              </w:rPr>
            </w:pPr>
            <w:r>
              <w:rPr>
                <w:rFonts w:ascii="Arial" w:cs="Arial" w:eastAsia="Arial" w:hAnsi="Arial"/>
                <w:sz w:val="18"/>
                <w:szCs w:val="18"/>
                <w:color w:val="auto"/>
              </w:rPr>
              <w:t>________________________</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r>
    </w:tbl>
    <w:p>
      <w:pPr>
        <w:ind w:left="660" w:hanging="328"/>
        <w:spacing w:after="0" w:line="241" w:lineRule="auto"/>
        <w:tabs>
          <w:tab w:leader="none" w:pos="66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underlying unamortized principal balance ("UPB" or "par value") of our interest-only securities was $1.0 billion and the weighted average contractual interest we are entitled to receive was 5.29% of this amount as of June 30, 2016. The par value of our principal-only securities was $192 million as of June 30, 2016.</w:t>
      </w:r>
    </w:p>
    <w:p>
      <w:pPr>
        <w:ind w:left="660" w:hanging="328"/>
        <w:spacing w:after="0" w:line="241" w:lineRule="auto"/>
        <w:tabs>
          <w:tab w:leader="none" w:pos="66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weighted average coupon includes the interest cash flows from our interest-only securities and is stated as a percentage of par value (excluding the UPB of our interest-only securities) as of June 30, 2016.</w:t>
      </w:r>
    </w:p>
    <w:p>
      <w:pPr>
        <w:ind w:left="660" w:hanging="328"/>
        <w:spacing w:after="0"/>
        <w:tabs>
          <w:tab w:leader="none" w:pos="66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Incorporates a weighted average future constant prepayment rate assumption of 11% based on forward rates as of June 30, 2016.</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6"/>
              </w:rPr>
              <w:t>December 31, 2015</w:t>
            </w: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r>
      <w:tr>
        <w:trPr>
          <w:trHeight w:val="264"/>
        </w:trPr>
        <w:tc>
          <w:tcPr>
            <w:tcW w:w="50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Investments in Mortgage-Backed Securities</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w w:val="99"/>
              </w:rPr>
              <w:t>Fannie Mae</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97"/>
              </w:rPr>
              <w:t>Freddie Mac</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Ginnie Mae</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w w:val="94"/>
              </w:rPr>
              <w:t>Non-Agency</w:t>
            </w:r>
          </w:p>
        </w:tc>
        <w:tc>
          <w:tcPr>
            <w:tcW w:w="3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Total</w:t>
            </w:r>
          </w:p>
        </w:tc>
      </w:tr>
      <w:tr>
        <w:trPr>
          <w:trHeight w:val="270"/>
        </w:trPr>
        <w:tc>
          <w:tcPr>
            <w:tcW w:w="51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Available-for-sale MBS:</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64"/>
        </w:trPr>
        <w:tc>
          <w:tcPr>
            <w:tcW w:w="5180" w:type="dxa"/>
            <w:vAlign w:val="bottom"/>
            <w:gridSpan w:val="2"/>
          </w:tcPr>
          <w:p>
            <w:pPr>
              <w:ind w:left="1200"/>
              <w:spacing w:after="0"/>
              <w:rPr>
                <w:sz w:val="20"/>
                <w:szCs w:val="20"/>
                <w:color w:val="auto"/>
              </w:rPr>
            </w:pPr>
            <w:r>
              <w:rPr>
                <w:rFonts w:ascii="Arial" w:cs="Arial" w:eastAsia="Arial" w:hAnsi="Arial"/>
                <w:sz w:val="14"/>
                <w:szCs w:val="14"/>
                <w:color w:val="auto"/>
              </w:rPr>
              <w:t>MBS, par value</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39,205</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10,575</w:t>
            </w:r>
          </w:p>
        </w:tc>
        <w:tc>
          <w:tcPr>
            <w:tcW w:w="100" w:type="dxa"/>
            <w:vAlign w:val="bottom"/>
          </w:tcPr>
          <w:p>
            <w:pPr>
              <w:spacing w:after="0"/>
              <w:rPr>
                <w:sz w:val="22"/>
                <w:szCs w:val="22"/>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62</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113</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49,955</w:t>
            </w:r>
          </w:p>
        </w:tc>
      </w:tr>
      <w:tr>
        <w:trPr>
          <w:trHeight w:val="276"/>
        </w:trPr>
        <w:tc>
          <w:tcPr>
            <w:tcW w:w="5180" w:type="dxa"/>
            <w:vAlign w:val="bottom"/>
            <w:gridSpan w:val="2"/>
            <w:shd w:val="clear" w:color="auto" w:fill="CCEEFF"/>
          </w:tcPr>
          <w:p>
            <w:pPr>
              <w:ind w:left="1200"/>
              <w:spacing w:after="0"/>
              <w:rPr>
                <w:sz w:val="20"/>
                <w:szCs w:val="20"/>
                <w:color w:val="auto"/>
              </w:rPr>
            </w:pPr>
            <w:r>
              <w:rPr>
                <w:rFonts w:ascii="Arial" w:cs="Arial" w:eastAsia="Arial" w:hAnsi="Arial"/>
                <w:sz w:val="14"/>
                <w:szCs w:val="14"/>
                <w:color w:val="auto"/>
              </w:rPr>
              <w:t>Unamortized discount</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w:t>
            </w:r>
          </w:p>
        </w:tc>
      </w:tr>
      <w:tr>
        <w:trPr>
          <w:trHeight w:val="264"/>
        </w:trPr>
        <w:tc>
          <w:tcPr>
            <w:tcW w:w="5180" w:type="dxa"/>
            <w:vAlign w:val="bottom"/>
            <w:tcBorders>
              <w:bottom w:val="single" w:sz="8" w:color="CCEEFF"/>
            </w:tcBorders>
            <w:gridSpan w:val="2"/>
          </w:tcPr>
          <w:p>
            <w:pPr>
              <w:ind w:left="1200"/>
              <w:spacing w:after="0"/>
              <w:rPr>
                <w:sz w:val="20"/>
                <w:szCs w:val="20"/>
                <w:color w:val="auto"/>
              </w:rPr>
            </w:pPr>
            <w:r>
              <w:rPr>
                <w:rFonts w:ascii="Arial" w:cs="Arial" w:eastAsia="Arial" w:hAnsi="Arial"/>
                <w:sz w:val="14"/>
                <w:szCs w:val="14"/>
                <w:color w:val="auto"/>
              </w:rPr>
              <w:t>Unamortized premium</w:t>
            </w: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1,707</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519</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w:t>
            </w:r>
          </w:p>
        </w:tc>
        <w:tc>
          <w:tcPr>
            <w:tcW w:w="3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2,228</w:t>
            </w:r>
          </w:p>
        </w:tc>
      </w:tr>
      <w:tr>
        <w:trPr>
          <w:trHeight w:val="270"/>
        </w:trPr>
        <w:tc>
          <w:tcPr>
            <w:tcW w:w="5180" w:type="dxa"/>
            <w:vAlign w:val="bottom"/>
            <w:gridSpan w:val="2"/>
            <w:shd w:val="clear" w:color="auto" w:fill="CCEEFF"/>
          </w:tcPr>
          <w:p>
            <w:pPr>
              <w:ind w:left="1040"/>
              <w:spacing w:after="0"/>
              <w:rPr>
                <w:sz w:val="20"/>
                <w:szCs w:val="20"/>
                <w:color w:val="auto"/>
              </w:rPr>
            </w:pPr>
            <w:r>
              <w:rPr>
                <w:rFonts w:ascii="Arial" w:cs="Arial" w:eastAsia="Arial" w:hAnsi="Arial"/>
                <w:sz w:val="14"/>
                <w:szCs w:val="14"/>
                <w:color w:val="auto"/>
              </w:rPr>
              <w:t>Amortized cost</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40,880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11,090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63</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114</w:t>
            </w:r>
          </w:p>
        </w:tc>
        <w:tc>
          <w:tcPr>
            <w:tcW w:w="3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52,147</w:t>
            </w:r>
          </w:p>
        </w:tc>
      </w:tr>
      <w:tr>
        <w:trPr>
          <w:trHeight w:val="264"/>
        </w:trPr>
        <w:tc>
          <w:tcPr>
            <w:tcW w:w="5180" w:type="dxa"/>
            <w:vAlign w:val="bottom"/>
            <w:gridSpan w:val="2"/>
          </w:tcPr>
          <w:p>
            <w:pPr>
              <w:ind w:left="1200"/>
              <w:spacing w:after="0"/>
              <w:rPr>
                <w:sz w:val="20"/>
                <w:szCs w:val="20"/>
                <w:color w:val="auto"/>
              </w:rPr>
            </w:pPr>
            <w:r>
              <w:rPr>
                <w:rFonts w:ascii="Arial" w:cs="Arial" w:eastAsia="Arial" w:hAnsi="Arial"/>
                <w:sz w:val="14"/>
                <w:szCs w:val="14"/>
                <w:color w:val="auto"/>
              </w:rPr>
              <w:t>Gross unrealized gains</w:t>
            </w:r>
          </w:p>
        </w:tc>
        <w:tc>
          <w:tcPr>
            <w:tcW w:w="160" w:type="dxa"/>
            <w:vAlign w:val="bottom"/>
          </w:tcPr>
          <w:p>
            <w:pPr>
              <w:spacing w:after="0"/>
              <w:rPr>
                <w:sz w:val="22"/>
                <w:szCs w:val="22"/>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286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368</w:t>
            </w:r>
          </w:p>
        </w:tc>
      </w:tr>
      <w:tr>
        <w:trPr>
          <w:trHeight w:val="270"/>
        </w:trPr>
        <w:tc>
          <w:tcPr>
            <w:tcW w:w="5180" w:type="dxa"/>
            <w:vAlign w:val="bottom"/>
            <w:gridSpan w:val="2"/>
            <w:shd w:val="clear" w:color="auto" w:fill="CCEEFF"/>
          </w:tcPr>
          <w:p>
            <w:pPr>
              <w:ind w:left="1200"/>
              <w:spacing w:after="0"/>
              <w:rPr>
                <w:sz w:val="20"/>
                <w:szCs w:val="20"/>
                <w:color w:val="auto"/>
              </w:rPr>
            </w:pPr>
            <w:r>
              <w:rPr>
                <w:rFonts w:ascii="Arial" w:cs="Arial" w:eastAsia="Arial" w:hAnsi="Arial"/>
                <w:sz w:val="14"/>
                <w:szCs w:val="14"/>
                <w:color w:val="auto"/>
              </w:rPr>
              <w:t>Gross unrealized losses</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w:t>
            </w:r>
          </w:p>
        </w:tc>
        <w:tc>
          <w:tcPr>
            <w:tcW w:w="3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(395)</w:t>
            </w:r>
          </w:p>
        </w:tc>
      </w:tr>
      <w:tr>
        <w:trPr>
          <w:trHeight w:val="264"/>
        </w:trPr>
        <w:tc>
          <w:tcPr>
            <w:tcW w:w="5180" w:type="dxa"/>
            <w:vAlign w:val="bottom"/>
            <w:tcBorders>
              <w:bottom w:val="single" w:sz="8" w:color="CCEEFF"/>
            </w:tcBorders>
            <w:gridSpan w:val="2"/>
          </w:tcPr>
          <w:p>
            <w:pPr>
              <w:ind w:left="720"/>
              <w:spacing w:after="0"/>
              <w:rPr>
                <w:sz w:val="20"/>
                <w:szCs w:val="20"/>
                <w:color w:val="auto"/>
              </w:rPr>
            </w:pPr>
            <w:r>
              <w:rPr>
                <w:rFonts w:ascii="Arial" w:cs="Arial" w:eastAsia="Arial" w:hAnsi="Arial"/>
                <w:sz w:val="14"/>
                <w:szCs w:val="14"/>
                <w:color w:val="auto"/>
              </w:rPr>
              <w:t>Total available-for-sale MBS, at fair value</w:t>
            </w:r>
          </w:p>
        </w:tc>
        <w:tc>
          <w:tcPr>
            <w:tcW w:w="16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40,883</w:t>
            </w:r>
          </w:p>
        </w:tc>
        <w:tc>
          <w:tcPr>
            <w:tcW w:w="1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11,059</w:t>
            </w:r>
          </w:p>
        </w:tc>
        <w:tc>
          <w:tcPr>
            <w:tcW w:w="10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65</w:t>
            </w:r>
          </w:p>
        </w:tc>
        <w:tc>
          <w:tcPr>
            <w:tcW w:w="10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113</w:t>
            </w:r>
          </w:p>
        </w:tc>
        <w:tc>
          <w:tcPr>
            <w:tcW w:w="32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52,120</w:t>
            </w:r>
          </w:p>
        </w:tc>
      </w:tr>
      <w:tr>
        <w:trPr>
          <w:trHeight w:val="270"/>
        </w:trPr>
        <w:tc>
          <w:tcPr>
            <w:tcW w:w="51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MBS measured at fair value through earnings:</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64"/>
        </w:trPr>
        <w:tc>
          <w:tcPr>
            <w:tcW w:w="5180" w:type="dxa"/>
            <w:vAlign w:val="bottom"/>
            <w:gridSpan w:val="2"/>
          </w:tcPr>
          <w:p>
            <w:pPr>
              <w:ind w:left="1200"/>
              <w:spacing w:after="0"/>
              <w:rPr>
                <w:sz w:val="20"/>
                <w:szCs w:val="20"/>
                <w:color w:val="auto"/>
              </w:rPr>
            </w:pPr>
            <w:r>
              <w:rPr>
                <w:rFonts w:ascii="Arial" w:cs="Arial" w:eastAsia="Arial" w:hAnsi="Arial"/>
                <w:sz w:val="14"/>
                <w:szCs w:val="14"/>
                <w:color w:val="auto"/>
              </w:rPr>
              <w:t xml:space="preserve">Interest-only and principal-only strips, amortized cost </w:t>
            </w:r>
            <w:r>
              <w:rPr>
                <w:rFonts w:ascii="Arial" w:cs="Arial" w:eastAsia="Arial" w:hAnsi="Arial"/>
                <w:sz w:val="8"/>
                <w:szCs w:val="8"/>
                <w:color w:val="auto"/>
              </w:rPr>
              <w:t>1</w:t>
            </w:r>
          </w:p>
        </w:tc>
        <w:tc>
          <w:tcPr>
            <w:tcW w:w="160" w:type="dxa"/>
            <w:vAlign w:val="bottom"/>
          </w:tcPr>
          <w:p>
            <w:pPr>
              <w:spacing w:after="0"/>
              <w:rPr>
                <w:sz w:val="22"/>
                <w:szCs w:val="22"/>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298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317</w:t>
            </w:r>
          </w:p>
        </w:tc>
      </w:tr>
      <w:tr>
        <w:trPr>
          <w:trHeight w:val="276"/>
        </w:trPr>
        <w:tc>
          <w:tcPr>
            <w:tcW w:w="5180" w:type="dxa"/>
            <w:vAlign w:val="bottom"/>
            <w:gridSpan w:val="2"/>
            <w:shd w:val="clear" w:color="auto" w:fill="CCEEFF"/>
          </w:tcPr>
          <w:p>
            <w:pPr>
              <w:ind w:left="1200"/>
              <w:spacing w:after="0"/>
              <w:rPr>
                <w:sz w:val="20"/>
                <w:szCs w:val="20"/>
                <w:color w:val="auto"/>
              </w:rPr>
            </w:pPr>
            <w:r>
              <w:rPr>
                <w:rFonts w:ascii="Arial" w:cs="Arial" w:eastAsia="Arial" w:hAnsi="Arial"/>
                <w:sz w:val="14"/>
                <w:szCs w:val="14"/>
                <w:color w:val="auto"/>
              </w:rPr>
              <w:t>Gross unrealized gains</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39</w:t>
            </w:r>
          </w:p>
        </w:tc>
      </w:tr>
      <w:tr>
        <w:trPr>
          <w:trHeight w:val="264"/>
        </w:trPr>
        <w:tc>
          <w:tcPr>
            <w:tcW w:w="5180" w:type="dxa"/>
            <w:vAlign w:val="bottom"/>
            <w:tcBorders>
              <w:bottom w:val="single" w:sz="8" w:color="CCEEFF"/>
            </w:tcBorders>
            <w:gridSpan w:val="2"/>
          </w:tcPr>
          <w:p>
            <w:pPr>
              <w:ind w:left="1200"/>
              <w:spacing w:after="0"/>
              <w:rPr>
                <w:sz w:val="20"/>
                <w:szCs w:val="20"/>
                <w:color w:val="auto"/>
              </w:rPr>
            </w:pPr>
            <w:r>
              <w:rPr>
                <w:rFonts w:ascii="Arial" w:cs="Arial" w:eastAsia="Arial" w:hAnsi="Arial"/>
                <w:sz w:val="14"/>
                <w:szCs w:val="14"/>
                <w:color w:val="auto"/>
              </w:rPr>
              <w:t>Gross unrealized losses</w:t>
            </w: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w:t>
            </w:r>
          </w:p>
        </w:tc>
      </w:tr>
      <w:tr>
        <w:trPr>
          <w:trHeight w:val="264"/>
        </w:trPr>
        <w:tc>
          <w:tcPr>
            <w:tcW w:w="518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Total MBS measured at fair value through earnings</w:t>
            </w:r>
          </w:p>
        </w:tc>
        <w:tc>
          <w:tcPr>
            <w:tcW w:w="16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331</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353</w:t>
            </w:r>
          </w:p>
        </w:tc>
      </w:tr>
      <w:tr>
        <w:trPr>
          <w:trHeight w:val="310"/>
        </w:trPr>
        <w:tc>
          <w:tcPr>
            <w:tcW w:w="518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Total MBS, at fair value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41,214</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11,081</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65</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113</w:t>
            </w:r>
          </w:p>
        </w:tc>
        <w:tc>
          <w:tcPr>
            <w:tcW w:w="32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52,473</w:t>
            </w:r>
          </w:p>
        </w:tc>
      </w:tr>
      <w:tr>
        <w:trPr>
          <w:trHeight w:val="251"/>
        </w:trPr>
        <w:tc>
          <w:tcPr>
            <w:tcW w:w="51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 xml:space="preserve">Weighted average coupon as of December 31, 2015 </w:t>
            </w:r>
            <w:r>
              <w:rPr>
                <w:rFonts w:ascii="Arial" w:cs="Arial" w:eastAsia="Arial" w:hAnsi="Arial"/>
                <w:sz w:val="8"/>
                <w:szCs w:val="8"/>
                <w:color w:val="auto"/>
              </w:rPr>
              <w:t>2</w:t>
            </w: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3.62%</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3.50%</w:t>
            </w:r>
          </w:p>
        </w:tc>
        <w:tc>
          <w:tcPr>
            <w:tcW w:w="3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w:t>
            </w:r>
          </w:p>
        </w:tc>
      </w:tr>
      <w:tr>
        <w:trPr>
          <w:trHeight w:val="251"/>
        </w:trPr>
        <w:tc>
          <w:tcPr>
            <w:tcW w:w="5180" w:type="dxa"/>
            <w:vAlign w:val="bottom"/>
            <w:gridSpan w:val="2"/>
          </w:tcPr>
          <w:p>
            <w:pPr>
              <w:ind w:left="40"/>
              <w:spacing w:after="0"/>
              <w:rPr>
                <w:sz w:val="20"/>
                <w:szCs w:val="20"/>
                <w:color w:val="auto"/>
              </w:rPr>
            </w:pPr>
            <w:r>
              <w:rPr>
                <w:rFonts w:ascii="Arial" w:cs="Arial" w:eastAsia="Arial" w:hAnsi="Arial"/>
                <w:sz w:val="14"/>
                <w:szCs w:val="14"/>
                <w:color w:val="auto"/>
              </w:rPr>
              <w:t xml:space="preserve">Weighted average yield as of December 31, 2015 </w:t>
            </w:r>
            <w:r>
              <w:rPr>
                <w:rFonts w:ascii="Arial" w:cs="Arial" w:eastAsia="Arial" w:hAnsi="Arial"/>
                <w:sz w:val="8"/>
                <w:szCs w:val="8"/>
                <w:color w:val="auto"/>
              </w:rPr>
              <w:t>3</w:t>
            </w: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2.79%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2.77%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3.33%</w:t>
            </w:r>
          </w:p>
        </w:tc>
        <w:tc>
          <w:tcPr>
            <w:tcW w:w="3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2.78%</w:t>
            </w:r>
          </w:p>
        </w:tc>
      </w:tr>
      <w:tr>
        <w:trPr>
          <w:trHeight w:val="174"/>
        </w:trPr>
        <w:tc>
          <w:tcPr>
            <w:tcW w:w="5080" w:type="dxa"/>
            <w:vAlign w:val="bottom"/>
          </w:tcPr>
          <w:p>
            <w:pPr>
              <w:ind w:left="40"/>
              <w:spacing w:after="0"/>
              <w:rPr>
                <w:sz w:val="20"/>
                <w:szCs w:val="20"/>
                <w:color w:val="auto"/>
              </w:rPr>
            </w:pPr>
            <w:r>
              <w:rPr>
                <w:rFonts w:ascii="Arial" w:cs="Arial" w:eastAsia="Arial" w:hAnsi="Arial"/>
                <w:sz w:val="14"/>
                <w:szCs w:val="14"/>
                <w:color w:val="auto"/>
              </w:rPr>
              <w:t>________________________</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r>
    </w:tbl>
    <w:p>
      <w:pPr>
        <w:ind w:left="660" w:hanging="328"/>
        <w:spacing w:after="0" w:line="241" w:lineRule="auto"/>
        <w:tabs>
          <w:tab w:leader="none" w:pos="66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underlying UPB of our interest-only securities was $1.0 billion and the weighted average contractual interest we are entitled to receive was 5.28% of this amount as of December 31, 2015. The par value of our principal-only securities was $207 million as of December 31, 2015.</w:t>
      </w:r>
    </w:p>
    <w:p>
      <w:pPr>
        <w:ind w:left="660" w:hanging="328"/>
        <w:spacing w:after="0" w:line="241" w:lineRule="auto"/>
        <w:tabs>
          <w:tab w:leader="none" w:pos="66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weighted average coupon includes the interest cash flows from our interest-only securities and is stated as a percentage of par value (excluding the UPB of our interest-only securities) as of December 31, 2015.</w:t>
      </w:r>
    </w:p>
    <w:p>
      <w:pPr>
        <w:ind w:left="660" w:hanging="328"/>
        <w:spacing w:after="0"/>
        <w:tabs>
          <w:tab w:leader="none" w:pos="66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Incorporates a weighted average future constant prepayment rate assumption of 8% based on forward rates as of December 31, 2015.</w:t>
      </w:r>
    </w:p>
    <w:p>
      <w:pPr>
        <w:spacing w:after="0" w:line="156"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actual maturities of our investment securities are generally shorter than their stated contractual maturities. Actual maturities are affected by the contractual lives of the underlying mortgages, periodic contractual principal payments and principal</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887" w:right="239" w:bottom="1440" w:gutter="0" w:footer="0" w:header="0"/>
        </w:sectPr>
      </w:pPr>
    </w:p>
    <w:bookmarkStart w:id="12" w:name="page13"/>
    <w:bookmarkEnd w:id="12"/>
    <w:p>
      <w:pPr>
        <w:jc w:val="both"/>
        <w:spacing w:after="0" w:line="264" w:lineRule="auto"/>
        <w:rPr>
          <w:sz w:val="20"/>
          <w:szCs w:val="20"/>
          <w:color w:val="auto"/>
        </w:rPr>
      </w:pPr>
      <w:r>
        <w:rPr>
          <w:rFonts w:ascii="Arial" w:cs="Arial" w:eastAsia="Arial" w:hAnsi="Arial"/>
          <w:sz w:val="18"/>
          <w:szCs w:val="18"/>
          <w:color w:val="auto"/>
        </w:rPr>
        <w:t>prepayments. As of June 30, 2016 and December 31, 2015, our weighted average expected constant prepayment rate ("CPR") over the remaining life of our aggregate investment portfolio was 11% and 8%, respectively. Our estimates differ materially for different types of securities and thus individual holdings have a wide range of projected CPRs.</w:t>
      </w:r>
    </w:p>
    <w:p>
      <w:pPr>
        <w:spacing w:after="0" w:line="181"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following table summarizes our investments classified as available-for-sale as of June 30, 2016 and December 31, 2015 according to their estimated weighted average life classification (dollars in millions):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4"/>
          </w:tcPr>
          <w:p>
            <w:pPr>
              <w:ind w:left="520"/>
              <w:spacing w:after="0"/>
              <w:rPr>
                <w:sz w:val="20"/>
                <w:szCs w:val="20"/>
                <w:color w:val="auto"/>
              </w:rPr>
            </w:pPr>
            <w:r>
              <w:rPr>
                <w:rFonts w:ascii="Arial" w:cs="Arial" w:eastAsia="Arial" w:hAnsi="Arial"/>
                <w:sz w:val="14"/>
                <w:szCs w:val="14"/>
                <w:b w:val="1"/>
                <w:bCs w:val="1"/>
                <w:color w:val="auto"/>
              </w:rPr>
              <w:t>June 30, 2016</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ind w:left="380"/>
              <w:spacing w:after="0"/>
              <w:rPr>
                <w:sz w:val="20"/>
                <w:szCs w:val="20"/>
                <w:color w:val="auto"/>
              </w:rPr>
            </w:pPr>
            <w:r>
              <w:rPr>
                <w:rFonts w:ascii="Arial" w:cs="Arial" w:eastAsia="Arial" w:hAnsi="Arial"/>
                <w:sz w:val="14"/>
                <w:szCs w:val="14"/>
                <w:b w:val="1"/>
                <w:bCs w:val="1"/>
                <w:color w:val="auto"/>
              </w:rPr>
              <w:t>December 31, 2015</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Estimated Weighted Average Life of</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Amortized</w:t>
            </w:r>
          </w:p>
        </w:tc>
        <w:tc>
          <w:tcPr>
            <w:tcW w:w="10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5"/>
              </w:rPr>
              <w:t>Weighted</w:t>
            </w:r>
          </w:p>
        </w:tc>
        <w:tc>
          <w:tcPr>
            <w:tcW w:w="11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5"/>
              </w:rPr>
              <w:t>Weighted</w:t>
            </w: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Amortized</w:t>
            </w:r>
          </w:p>
        </w:tc>
        <w:tc>
          <w:tcPr>
            <w:tcW w:w="10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Weighted</w:t>
            </w:r>
          </w:p>
        </w:tc>
        <w:tc>
          <w:tcPr>
            <w:tcW w:w="10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5"/>
              </w:rPr>
              <w:t>Fair Value</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78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2"/>
              </w:rPr>
              <w:t>Fair Value</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92"/>
        </w:trPr>
        <w:tc>
          <w:tcPr>
            <w:tcW w:w="27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3"/>
              </w:rPr>
              <w:t xml:space="preserve">Securities Classified as Available-for-Sale </w:t>
            </w:r>
            <w:r>
              <w:rPr>
                <w:rFonts w:ascii="Arial" w:cs="Arial" w:eastAsia="Arial" w:hAnsi="Arial"/>
                <w:sz w:val="8"/>
                <w:szCs w:val="8"/>
                <w:b w:val="1"/>
                <w:bCs w:val="1"/>
                <w:color w:val="auto"/>
                <w:w w:val="93"/>
              </w:rPr>
              <w:t>1</w:t>
            </w: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Cost</w:t>
            </w:r>
          </w:p>
        </w:tc>
        <w:tc>
          <w:tcPr>
            <w:tcW w:w="1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Coupon</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Yield</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Coupon</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Yield</w:t>
            </w:r>
          </w:p>
        </w:tc>
        <w:tc>
          <w:tcPr>
            <w:tcW w:w="0" w:type="dxa"/>
            <w:vAlign w:val="bottom"/>
          </w:tcPr>
          <w:p>
            <w:pPr>
              <w:spacing w:after="0"/>
              <w:rPr>
                <w:sz w:val="1"/>
                <w:szCs w:val="1"/>
                <w:color w:val="auto"/>
              </w:rPr>
            </w:pPr>
          </w:p>
        </w:tc>
      </w:tr>
      <w:tr>
        <w:trPr>
          <w:trHeight w:val="256"/>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 1 year and ≤ 3 years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1,155</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1,134</w:t>
            </w: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3.89%</w:t>
            </w: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2.45%</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163</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4.02%</w:t>
            </w: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2.66%</w:t>
            </w:r>
          </w:p>
        </w:tc>
        <w:tc>
          <w:tcPr>
            <w:tcW w:w="0" w:type="dxa"/>
            <w:vAlign w:val="bottom"/>
          </w:tcPr>
          <w:p>
            <w:pPr>
              <w:spacing w:after="0"/>
              <w:rPr>
                <w:sz w:val="1"/>
                <w:szCs w:val="1"/>
                <w:color w:val="auto"/>
              </w:rPr>
            </w:pPr>
          </w:p>
        </w:tc>
      </w:tr>
      <w:tr>
        <w:trPr>
          <w:trHeight w:val="264"/>
        </w:trPr>
        <w:tc>
          <w:tcPr>
            <w:tcW w:w="2880" w:type="dxa"/>
            <w:vAlign w:val="bottom"/>
            <w:gridSpan w:val="2"/>
          </w:tcPr>
          <w:p>
            <w:pPr>
              <w:ind w:left="40"/>
              <w:spacing w:after="0"/>
              <w:rPr>
                <w:sz w:val="20"/>
                <w:szCs w:val="20"/>
                <w:color w:val="auto"/>
              </w:rPr>
            </w:pPr>
            <w:r>
              <w:rPr>
                <w:rFonts w:ascii="Arial" w:cs="Arial" w:eastAsia="Arial" w:hAnsi="Arial"/>
                <w:sz w:val="14"/>
                <w:szCs w:val="14"/>
                <w:color w:val="auto"/>
              </w:rPr>
              <w:t>&gt; 3 years and ≤ 5 years</w:t>
            </w:r>
          </w:p>
        </w:tc>
        <w:tc>
          <w:tcPr>
            <w:tcW w:w="1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19,190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18,698</w:t>
            </w:r>
          </w:p>
        </w:tc>
        <w:tc>
          <w:tcPr>
            <w:tcW w:w="12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0"/>
              </w:rPr>
              <w:t>3.36%</w:t>
            </w:r>
          </w:p>
        </w:tc>
        <w:tc>
          <w:tcPr>
            <w:tcW w:w="10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0"/>
              </w:rPr>
              <w:t>2.45%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17,497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17,343</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5"/>
              </w:rPr>
              <w:t>3.27%</w:t>
            </w:r>
          </w:p>
        </w:tc>
        <w:tc>
          <w:tcPr>
            <w:tcW w:w="1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5"/>
              </w:rPr>
              <w:t>2.40%</w:t>
            </w:r>
          </w:p>
        </w:tc>
        <w:tc>
          <w:tcPr>
            <w:tcW w:w="0" w:type="dxa"/>
            <w:vAlign w:val="bottom"/>
          </w:tcPr>
          <w:p>
            <w:pPr>
              <w:spacing w:after="0"/>
              <w:rPr>
                <w:sz w:val="1"/>
                <w:szCs w:val="1"/>
                <w:color w:val="auto"/>
              </w:rPr>
            </w:pPr>
          </w:p>
        </w:tc>
      </w:tr>
      <w:tr>
        <w:trPr>
          <w:trHeight w:val="276"/>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&gt; 5 years and ≤10 years</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31,934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31,349</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3.65%</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2.77%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34,206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34,391</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3.67%</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2.93%</w:t>
            </w:r>
          </w:p>
        </w:tc>
        <w:tc>
          <w:tcPr>
            <w:tcW w:w="0" w:type="dxa"/>
            <w:vAlign w:val="bottom"/>
          </w:tcPr>
          <w:p>
            <w:pPr>
              <w:spacing w:after="0"/>
              <w:rPr>
                <w:sz w:val="1"/>
                <w:szCs w:val="1"/>
                <w:color w:val="auto"/>
              </w:rPr>
            </w:pPr>
          </w:p>
        </w:tc>
      </w:tr>
      <w:tr>
        <w:trPr>
          <w:trHeight w:val="264"/>
        </w:trPr>
        <w:tc>
          <w:tcPr>
            <w:tcW w:w="288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&gt; 10 years</w:t>
            </w:r>
          </w:p>
        </w:tc>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1,839</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1,831</w:t>
            </w: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3.02%</w:t>
            </w:r>
          </w:p>
        </w:tc>
        <w:tc>
          <w:tcPr>
            <w:tcW w:w="10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2.64%</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250</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250</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3.56%</w:t>
            </w:r>
          </w:p>
        </w:tc>
        <w:tc>
          <w:tcPr>
            <w:tcW w:w="1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3.08%</w:t>
            </w:r>
          </w:p>
        </w:tc>
        <w:tc>
          <w:tcPr>
            <w:tcW w:w="0" w:type="dxa"/>
            <w:vAlign w:val="bottom"/>
          </w:tcPr>
          <w:p>
            <w:pPr>
              <w:spacing w:after="0"/>
              <w:rPr>
                <w:sz w:val="1"/>
                <w:szCs w:val="1"/>
                <w:color w:val="auto"/>
              </w:rPr>
            </w:pPr>
          </w:p>
        </w:tc>
      </w:tr>
      <w:tr>
        <w:trPr>
          <w:trHeight w:val="243"/>
        </w:trPr>
        <w:tc>
          <w:tcPr>
            <w:tcW w:w="288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4"/>
                <w:szCs w:val="14"/>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54,118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53,012</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3.53%</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2.64%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52,120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52,147</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3.54%</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2.75%</w:t>
            </w:r>
          </w:p>
        </w:tc>
        <w:tc>
          <w:tcPr>
            <w:tcW w:w="0" w:type="dxa"/>
            <w:vAlign w:val="bottom"/>
          </w:tcPr>
          <w:p>
            <w:pPr>
              <w:spacing w:after="0"/>
              <w:rPr>
                <w:sz w:val="1"/>
                <w:szCs w:val="1"/>
                <w:color w:val="auto"/>
              </w:rPr>
            </w:pPr>
          </w:p>
        </w:tc>
      </w:tr>
      <w:tr>
        <w:trPr>
          <w:trHeight w:val="20"/>
        </w:trPr>
        <w:tc>
          <w:tcPr>
            <w:tcW w:w="2740" w:type="dxa"/>
            <w:vAlign w:val="bottom"/>
            <w:vMerge w:val="restart"/>
          </w:tcPr>
          <w:p>
            <w:pPr>
              <w:ind w:left="60"/>
              <w:spacing w:after="0"/>
              <w:rPr>
                <w:sz w:val="20"/>
                <w:szCs w:val="20"/>
                <w:color w:val="auto"/>
              </w:rPr>
            </w:pPr>
            <w:r>
              <w:rPr>
                <w:rFonts w:ascii="Arial" w:cs="Arial" w:eastAsia="Arial" w:hAnsi="Arial"/>
                <w:sz w:val="18"/>
                <w:szCs w:val="18"/>
                <w:color w:val="auto"/>
              </w:rPr>
              <w:t>_______________________</w:t>
            </w:r>
          </w:p>
        </w:tc>
        <w:tc>
          <w:tcPr>
            <w:tcW w:w="14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74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660" w:hanging="328"/>
        <w:spacing w:after="0"/>
        <w:tabs>
          <w:tab w:leader="none" w:pos="660" w:val="left"/>
        </w:tabs>
        <w:numPr>
          <w:ilvl w:val="0"/>
          <w:numId w:val="5"/>
        </w:numPr>
        <w:rPr>
          <w:rFonts w:ascii="Arial" w:cs="Arial" w:eastAsia="Arial" w:hAnsi="Arial"/>
          <w:sz w:val="14"/>
          <w:szCs w:val="14"/>
          <w:color w:val="auto"/>
        </w:rPr>
      </w:pPr>
      <w:r>
        <w:rPr>
          <w:rFonts w:ascii="Arial" w:cs="Arial" w:eastAsia="Arial" w:hAnsi="Arial"/>
          <w:sz w:val="14"/>
          <w:szCs w:val="14"/>
          <w:color w:val="auto"/>
        </w:rPr>
        <w:t>Excludes interest and principal-only strips.</w:t>
      </w:r>
    </w:p>
    <w:p>
      <w:pPr>
        <w:spacing w:after="0" w:line="21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weighted average life of our interest-only securities was 5.1 and 6.1 years as of June 30, 2016 and December 31, 2015, respectively. The weighted average life of our principal-only securities was 6.0 and 8.0 years as of June 30, 2016 and December 31, 2015, respectively.</w:t>
      </w:r>
    </w:p>
    <w:p>
      <w:pPr>
        <w:spacing w:after="0" w:line="17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Securities classified as available-for-sale are reported at fair value, with unrealized gains and losses excluded from earnings and reported in accumulated OCI, a separate component of stockholders' equity. Refer to Note 9 for a summary of changes in accumulated OCI for our available-for-sale securities for the three and six months ended June 30, 2016 and 2015</w:t>
      </w:r>
      <w:r>
        <w:rPr>
          <w:rFonts w:ascii="Arial" w:cs="Arial" w:eastAsia="Arial" w:hAnsi="Arial"/>
          <w:sz w:val="16"/>
          <w:szCs w:val="16"/>
          <w:color w:val="auto"/>
        </w:rPr>
        <w:t>.</w:t>
      </w:r>
    </w:p>
    <w:p>
      <w:pPr>
        <w:spacing w:after="0" w:line="18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table presents the gross unrealized loss and fair values of our available-for-sale securities by length of time that such securities have been in a continuous unrealized loss position as of June 30, 2016 and December 31, 2015 (in millions):</w:t>
      </w:r>
    </w:p>
    <w:p>
      <w:pPr>
        <w:spacing w:after="0" w:line="365"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Unrealized Loss Position For</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300" w:type="dxa"/>
            <w:vAlign w:val="bottom"/>
            <w:tcBorders>
              <w:bottom w:val="single" w:sz="8" w:color="auto"/>
            </w:tcBorders>
            <w:gridSpan w:val="4"/>
          </w:tcPr>
          <w:p>
            <w:pPr>
              <w:jc w:val="right"/>
              <w:ind w:right="488"/>
              <w:spacing w:after="0"/>
              <w:rPr>
                <w:sz w:val="20"/>
                <w:szCs w:val="20"/>
                <w:color w:val="auto"/>
              </w:rPr>
            </w:pPr>
            <w:r>
              <w:rPr>
                <w:rFonts w:ascii="Arial" w:cs="Arial" w:eastAsia="Arial" w:hAnsi="Arial"/>
                <w:sz w:val="14"/>
                <w:szCs w:val="14"/>
                <w:b w:val="1"/>
                <w:bCs w:val="1"/>
                <w:color w:val="auto"/>
              </w:rPr>
              <w:t>Less than 12 Months</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180" w:type="dxa"/>
            <w:vAlign w:val="bottom"/>
            <w:tcBorders>
              <w:bottom w:val="single" w:sz="8" w:color="auto"/>
            </w:tcBorders>
            <w:gridSpan w:val="4"/>
          </w:tcPr>
          <w:p>
            <w:pPr>
              <w:jc w:val="right"/>
              <w:ind w:right="488"/>
              <w:spacing w:after="0"/>
              <w:rPr>
                <w:sz w:val="20"/>
                <w:szCs w:val="20"/>
                <w:color w:val="auto"/>
              </w:rPr>
            </w:pPr>
            <w:r>
              <w:rPr>
                <w:rFonts w:ascii="Arial" w:cs="Arial" w:eastAsia="Arial" w:hAnsi="Arial"/>
                <w:sz w:val="14"/>
                <w:szCs w:val="14"/>
                <w:b w:val="1"/>
                <w:bCs w:val="1"/>
                <w:color w:val="auto"/>
              </w:rPr>
              <w:t>12 Months or More</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w w:val="95"/>
              </w:rPr>
              <w:t>Total</w:t>
            </w:r>
          </w:p>
        </w:tc>
        <w:tc>
          <w:tcPr>
            <w:tcW w:w="9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33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Securities Classified as Available-for-Sale</w:t>
            </w:r>
          </w:p>
        </w:tc>
        <w:tc>
          <w:tcPr>
            <w:tcW w:w="12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Estimated Fair</w:t>
            </w:r>
          </w:p>
        </w:tc>
        <w:tc>
          <w:tcPr>
            <w:tcW w:w="160" w:type="dxa"/>
            <w:vAlign w:val="bottom"/>
          </w:tcPr>
          <w:p>
            <w:pPr>
              <w:spacing w:after="0"/>
              <w:rPr>
                <w:sz w:val="13"/>
                <w:szCs w:val="13"/>
                <w:color w:val="auto"/>
              </w:rPr>
            </w:pPr>
          </w:p>
        </w:tc>
        <w:tc>
          <w:tcPr>
            <w:tcW w:w="104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Unrealized</w:t>
            </w:r>
          </w:p>
        </w:tc>
        <w:tc>
          <w:tcPr>
            <w:tcW w:w="160" w:type="dxa"/>
            <w:vAlign w:val="bottom"/>
          </w:tcPr>
          <w:p>
            <w:pPr>
              <w:spacing w:after="0"/>
              <w:rPr>
                <w:sz w:val="13"/>
                <w:szCs w:val="13"/>
                <w:color w:val="auto"/>
              </w:rPr>
            </w:pPr>
          </w:p>
        </w:tc>
        <w:tc>
          <w:tcPr>
            <w:tcW w:w="10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Estimated</w:t>
            </w:r>
          </w:p>
        </w:tc>
        <w:tc>
          <w:tcPr>
            <w:tcW w:w="180" w:type="dxa"/>
            <w:vAlign w:val="bottom"/>
          </w:tcPr>
          <w:p>
            <w:pPr>
              <w:spacing w:after="0"/>
              <w:rPr>
                <w:sz w:val="13"/>
                <w:szCs w:val="13"/>
                <w:color w:val="auto"/>
              </w:rPr>
            </w:pPr>
          </w:p>
        </w:tc>
        <w:tc>
          <w:tcPr>
            <w:tcW w:w="110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Unrealized</w:t>
            </w:r>
          </w:p>
        </w:tc>
        <w:tc>
          <w:tcPr>
            <w:tcW w:w="1000" w:type="dxa"/>
            <w:vAlign w:val="bottom"/>
            <w:gridSpan w:val="2"/>
          </w:tcPr>
          <w:p>
            <w:pPr>
              <w:jc w:val="right"/>
              <w:spacing w:after="0" w:line="153" w:lineRule="exact"/>
              <w:rPr>
                <w:sz w:val="20"/>
                <w:szCs w:val="20"/>
                <w:color w:val="auto"/>
              </w:rPr>
            </w:pPr>
            <w:r>
              <w:rPr>
                <w:rFonts w:ascii="Arial" w:cs="Arial" w:eastAsia="Arial" w:hAnsi="Arial"/>
                <w:sz w:val="14"/>
                <w:szCs w:val="14"/>
                <w:b w:val="1"/>
                <w:bCs w:val="1"/>
                <w:color w:val="auto"/>
                <w:w w:val="99"/>
              </w:rPr>
              <w:t>Estimated Fair</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jc w:val="right"/>
              <w:ind w:right="168"/>
              <w:spacing w:after="0" w:line="153" w:lineRule="exact"/>
              <w:rPr>
                <w:sz w:val="20"/>
                <w:szCs w:val="20"/>
                <w:color w:val="auto"/>
              </w:rPr>
            </w:pPr>
            <w:r>
              <w:rPr>
                <w:rFonts w:ascii="Arial" w:cs="Arial" w:eastAsia="Arial" w:hAnsi="Arial"/>
                <w:sz w:val="14"/>
                <w:szCs w:val="14"/>
                <w:b w:val="1"/>
                <w:bCs w:val="1"/>
                <w:color w:val="auto"/>
                <w:w w:val="98"/>
              </w:rPr>
              <w:t>Unrealized</w:t>
            </w:r>
          </w:p>
        </w:tc>
        <w:tc>
          <w:tcPr>
            <w:tcW w:w="0" w:type="dxa"/>
            <w:vAlign w:val="bottom"/>
          </w:tcPr>
          <w:p>
            <w:pPr>
              <w:spacing w:after="0"/>
              <w:rPr>
                <w:sz w:val="1"/>
                <w:szCs w:val="1"/>
                <w:color w:val="auto"/>
              </w:rPr>
            </w:pPr>
          </w:p>
        </w:tc>
      </w:tr>
      <w:tr>
        <w:trPr>
          <w:trHeight w:val="192"/>
        </w:trPr>
        <w:tc>
          <w:tcPr>
            <w:tcW w:w="33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Value</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Loss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Loss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Value</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Loss</w:t>
            </w:r>
          </w:p>
        </w:tc>
        <w:tc>
          <w:tcPr>
            <w:tcW w:w="0" w:type="dxa"/>
            <w:vAlign w:val="bottom"/>
          </w:tcPr>
          <w:p>
            <w:pPr>
              <w:spacing w:after="0"/>
              <w:rPr>
                <w:sz w:val="1"/>
                <w:szCs w:val="1"/>
                <w:color w:val="auto"/>
              </w:rPr>
            </w:pPr>
          </w:p>
        </w:tc>
      </w:tr>
      <w:tr>
        <w:trPr>
          <w:trHeight w:val="256"/>
        </w:trPr>
        <w:tc>
          <w:tcPr>
            <w:tcW w:w="34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June 30, 2016</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730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2,072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2,802</w:t>
            </w:r>
          </w:p>
        </w:tc>
        <w:tc>
          <w:tcPr>
            <w:tcW w:w="3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58"/>
        </w:trPr>
        <w:tc>
          <w:tcPr>
            <w:tcW w:w="3460" w:type="dxa"/>
            <w:vAlign w:val="bottom"/>
            <w:gridSpan w:val="2"/>
          </w:tcPr>
          <w:p>
            <w:pPr>
              <w:ind w:left="40"/>
              <w:spacing w:after="0"/>
              <w:rPr>
                <w:sz w:val="20"/>
                <w:szCs w:val="20"/>
                <w:color w:val="auto"/>
              </w:rPr>
            </w:pPr>
            <w:r>
              <w:rPr>
                <w:rFonts w:ascii="Arial" w:cs="Arial" w:eastAsia="Arial" w:hAnsi="Arial"/>
                <w:sz w:val="14"/>
                <w:szCs w:val="14"/>
                <w:color w:val="auto"/>
              </w:rPr>
              <w:t>December 31, 2015</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24,035</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(200)</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6,793</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(195)</w:t>
            </w:r>
          </w:p>
        </w:tc>
        <w:tc>
          <w:tcPr>
            <w:tcW w:w="10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30,828</w:t>
            </w:r>
          </w:p>
        </w:tc>
        <w:tc>
          <w:tcPr>
            <w:tcW w:w="36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(395)</w:t>
            </w: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We did not recognize any OTTI charges on our investment securities for the six months ended June 30, 2016 and 2015. As of the end of each respective reporting period, a decision had not been made to sell any of our securities in an unrealized loss position and we did not believe it was more likely than not that we would be required to sell such securities before recovery of their amortized cost basis. The unrealized losses on our securities were not due to credit losses given the GSE guarantees and credit enhancements on our AAA non-agency securities, but rather were due to changes in interest rates and prepayment expectations. However, as we continue to actively manage our portfolio, we may recognize additional realized losses on our investment securities upon selecting specific securities to sell.</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84"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Gains and Losses on Sale of Mortgage-Backed Securities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is a summary of our net gain (loss) from the sale of securities classified as available-for-sale for the three and six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2016 and 2015 (in millions):</w:t>
      </w:r>
    </w:p>
    <w:p>
      <w:pPr>
        <w:spacing w:after="0" w:line="216" w:lineRule="exact"/>
        <w:rPr>
          <w:sz w:val="20"/>
          <w:szCs w:val="20"/>
          <w:color w:val="auto"/>
        </w:rPr>
      </w:pPr>
    </w:p>
    <w:tbl>
      <w:tblPr>
        <w:tblLayout w:type="fixed"/>
        <w:tblInd w:w="1480" w:type="dxa"/>
        <w:tblCellMar>
          <w:top w:w="0" w:type="dxa"/>
          <w:left w:w="0" w:type="dxa"/>
          <w:bottom w:w="0" w:type="dxa"/>
          <w:right w:w="0" w:type="dxa"/>
        </w:tblCellMar>
      </w:tblPr>
      <w:tr>
        <w:trPr>
          <w:trHeight w:val="192"/>
        </w:trPr>
        <w:tc>
          <w:tcPr>
            <w:tcW w:w="4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80" w:type="dxa"/>
            <w:vAlign w:val="bottom"/>
            <w:gridSpan w:val="6"/>
          </w:tcPr>
          <w:p>
            <w:pPr>
              <w:ind w:left="80"/>
              <w:spacing w:after="0"/>
              <w:rPr>
                <w:sz w:val="20"/>
                <w:szCs w:val="20"/>
                <w:color w:val="auto"/>
              </w:rPr>
            </w:pPr>
            <w:r>
              <w:rPr>
                <w:rFonts w:ascii="Arial" w:cs="Arial" w:eastAsia="Arial" w:hAnsi="Arial"/>
                <w:sz w:val="14"/>
                <w:szCs w:val="14"/>
                <w:b w:val="1"/>
                <w:bCs w:val="1"/>
                <w:color w:val="auto"/>
                <w:w w:val="99"/>
              </w:rPr>
              <w:t>Three Months Ended June 30,</w:t>
            </w:r>
          </w:p>
        </w:tc>
        <w:tc>
          <w:tcPr>
            <w:tcW w:w="140" w:type="dxa"/>
            <w:vAlign w:val="bottom"/>
          </w:tcPr>
          <w:p>
            <w:pPr>
              <w:spacing w:after="0"/>
              <w:rPr>
                <w:sz w:val="16"/>
                <w:szCs w:val="16"/>
                <w:color w:val="auto"/>
              </w:rPr>
            </w:pPr>
          </w:p>
        </w:tc>
        <w:tc>
          <w:tcPr>
            <w:tcW w:w="1860" w:type="dxa"/>
            <w:vAlign w:val="bottom"/>
            <w:gridSpan w:val="4"/>
          </w:tcPr>
          <w:p>
            <w:pPr>
              <w:jc w:val="right"/>
              <w:ind w:right="68"/>
              <w:spacing w:after="0"/>
              <w:rPr>
                <w:sz w:val="20"/>
                <w:szCs w:val="20"/>
                <w:color w:val="auto"/>
              </w:rPr>
            </w:pPr>
            <w:r>
              <w:rPr>
                <w:rFonts w:ascii="Arial" w:cs="Arial" w:eastAsia="Arial" w:hAnsi="Arial"/>
                <w:sz w:val="14"/>
                <w:szCs w:val="14"/>
                <w:b w:val="1"/>
                <w:bCs w:val="1"/>
                <w:color w:val="auto"/>
                <w:w w:val="93"/>
              </w:rPr>
              <w:t>Six Months Ended June 30,</w:t>
            </w:r>
          </w:p>
        </w:tc>
      </w:tr>
      <w:tr>
        <w:trPr>
          <w:trHeight w:val="264"/>
        </w:trPr>
        <w:tc>
          <w:tcPr>
            <w:tcW w:w="42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Securities Classified as Available-for-Sale</w:t>
            </w:r>
          </w:p>
        </w:tc>
        <w:tc>
          <w:tcPr>
            <w:tcW w:w="12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2015</w:t>
            </w:r>
          </w:p>
        </w:tc>
      </w:tr>
      <w:tr>
        <w:trPr>
          <w:trHeight w:val="256"/>
        </w:trPr>
        <w:tc>
          <w:tcPr>
            <w:tcW w:w="4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MBS sold, at cost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(7,508)</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(10,241)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(11,023)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(17,974)</w:t>
            </w:r>
          </w:p>
        </w:tc>
      </w:tr>
      <w:tr>
        <w:trPr>
          <w:trHeight w:val="264"/>
        </w:trPr>
        <w:tc>
          <w:tcPr>
            <w:tcW w:w="43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 xml:space="preserve">Proceeds from MBS sold </w:t>
            </w:r>
            <w:r>
              <w:rPr>
                <w:rFonts w:ascii="Arial" w:cs="Arial" w:eastAsia="Arial" w:hAnsi="Arial"/>
                <w:sz w:val="8"/>
                <w:szCs w:val="8"/>
                <w:color w:val="auto"/>
              </w:rPr>
              <w:t>1</w:t>
            </w: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7,563</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10,219</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11,076</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17,988</w:t>
            </w:r>
          </w:p>
        </w:tc>
      </w:tr>
      <w:tr>
        <w:trPr>
          <w:trHeight w:val="243"/>
        </w:trPr>
        <w:tc>
          <w:tcPr>
            <w:tcW w:w="4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Net gain (loss) on sale of MBS</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w:t>
            </w:r>
          </w:p>
        </w:tc>
      </w:tr>
      <w:tr>
        <w:trPr>
          <w:trHeight w:val="20"/>
        </w:trPr>
        <w:tc>
          <w:tcPr>
            <w:tcW w:w="4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305"/>
        </w:trPr>
        <w:tc>
          <w:tcPr>
            <w:tcW w:w="4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70"/>
        </w:trPr>
        <w:tc>
          <w:tcPr>
            <w:tcW w:w="4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Gross gain on sale of MBS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55</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79</w:t>
            </w:r>
          </w:p>
        </w:tc>
      </w:tr>
      <w:tr>
        <w:trPr>
          <w:trHeight w:val="264"/>
        </w:trPr>
        <w:tc>
          <w:tcPr>
            <w:tcW w:w="4380" w:type="dxa"/>
            <w:vAlign w:val="bottom"/>
            <w:gridSpan w:val="2"/>
          </w:tcPr>
          <w:p>
            <w:pPr>
              <w:ind w:left="20"/>
              <w:spacing w:after="0"/>
              <w:rPr>
                <w:sz w:val="20"/>
                <w:szCs w:val="20"/>
                <w:color w:val="auto"/>
              </w:rPr>
            </w:pPr>
            <w:r>
              <w:rPr>
                <w:rFonts w:ascii="Arial" w:cs="Arial" w:eastAsia="Arial" w:hAnsi="Arial"/>
                <w:sz w:val="14"/>
                <w:szCs w:val="14"/>
                <w:color w:val="auto"/>
              </w:rPr>
              <w:t>Gross loss on sale of MBS</w:t>
            </w:r>
          </w:p>
        </w:tc>
        <w:tc>
          <w:tcPr>
            <w:tcW w:w="200" w:type="dxa"/>
            <w:vAlign w:val="bottom"/>
          </w:tcPr>
          <w:p>
            <w:pPr>
              <w:spacing w:after="0"/>
              <w:rPr>
                <w:sz w:val="22"/>
                <w:szCs w:val="22"/>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(65)</w:t>
            </w:r>
          </w:p>
        </w:tc>
      </w:tr>
      <w:tr>
        <w:trPr>
          <w:trHeight w:val="243"/>
        </w:trPr>
        <w:tc>
          <w:tcPr>
            <w:tcW w:w="43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Net gain (loss) on sale of MBS</w:t>
            </w: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w:t>
            </w:r>
          </w:p>
        </w:tc>
      </w:tr>
      <w:tr>
        <w:trPr>
          <w:trHeight w:val="20"/>
        </w:trPr>
        <w:tc>
          <w:tcPr>
            <w:tcW w:w="4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ind w:left="100"/>
        <w:spacing w:after="0"/>
        <w:rPr>
          <w:sz w:val="20"/>
          <w:szCs w:val="20"/>
          <w:color w:val="auto"/>
        </w:rPr>
      </w:pPr>
      <w:r>
        <w:rPr>
          <w:rFonts w:ascii="Arial" w:cs="Arial" w:eastAsia="Arial" w:hAnsi="Arial"/>
          <w:sz w:val="18"/>
          <w:szCs w:val="18"/>
          <w:color w:val="auto"/>
        </w:rPr>
        <w:t>________________________</w:t>
      </w:r>
    </w:p>
    <w:p>
      <w:pPr>
        <w:spacing w:after="0" w:line="2"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4"/>
          <w:szCs w:val="14"/>
          <w:color w:val="auto"/>
        </w:rPr>
      </w:pPr>
      <w:r>
        <w:rPr>
          <w:rFonts w:ascii="Arial" w:cs="Arial" w:eastAsia="Arial" w:hAnsi="Arial"/>
          <w:sz w:val="14"/>
          <w:szCs w:val="14"/>
          <w:color w:val="auto"/>
        </w:rPr>
        <w:t>Proceeds include cash received during the period, plus receivable for MBS sold during the period as of period end.</w:t>
      </w:r>
    </w:p>
    <w:p>
      <w:pPr>
        <w:spacing w:after="0" w:line="156"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For the three and six months ended June 30, 2016, we recognized a net unrealized gain of zero and $11 million, respectively, and for the three and six months ended June 30, 2015 we recognized a net unrealized loss of $7 million and an unrealized gain of $4 million, respectively, for the change in value of investments in interest and principal-only securities in gain (loss) on derivative instruments and other securities, net in our consolidated statements of comprehensive income. Over the same periods, we did not recognize any realized gains or losses on our interest or principal-only securities.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Securitizations and Variable Interest Entities</w:t>
      </w:r>
    </w:p>
    <w:p>
      <w:pPr>
        <w:spacing w:after="0" w:line="90"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As of June 30, 2016 and December 31, 2015, we held investments in CMO trusts, which are variable interest entities ("VIEs"). We have consolidated certain of these CMO trusts in our consolidated financial statements where we have determined we are the primary beneficiary of the trusts. All of our CMO securities are backed by fixed or adjustable-rate agency MBS. Fannie Mae or Freddie Mac guarantees the payment of interest and principal and acts as the trustee and administrator of their respective securitization trusts. Accordingly, we are not required to provide the beneficial interest holders of the CMO securities any financial or other support. Our maximum exposure to loss related to our involvement with CMO trusts is the fair value of the CMO securities and interest and principal-only securities held by us, less principal amounts guaranteed by Fannie Mae and Freddie Mac.</w:t>
      </w:r>
    </w:p>
    <w:p>
      <w:pPr>
        <w:spacing w:after="0" w:line="111"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In connection with our consolidated CMO trusts, we recognized agency securities with a total fair value of $0.9 billion and 1.0 billion as of June 30, 2016 and December 31, 2015, respectively, and debt with a total fair value of $528 million and $595 million, respectively, in our accompanying consolidated balance sheets. As of June 30, 2016 and December 31, 2015, the agency securities had an aggregate unpaid principal balance of $0.9 billion and $1.0 billion, respectively, and the debt had an aggregate unpaid principal balance of $523 million and $587 million, respectively. We re-measure our consolidated debt at fair value through earnings in gain (loss) on derivative instruments and other securities, net in our consolidated statements of comprehensive income. For the three and six months ended June 30, 2016, we recorded a gain of $1 million and a loss of $6 million, respectively, associated with our consolidated debt. For the three and six months ended June 30, 2015, we recorded a gain of $9 million associated with our consolidated debt. Our involvement with the consolidated trusts is limited to the agency securities transferred by us upon the formation of the trusts and the CMO securities subsequently held by us. There are no arrangements that could require us to provide financial support to the trusts.</w:t>
      </w:r>
    </w:p>
    <w:p>
      <w:pPr>
        <w:spacing w:after="0" w:line="4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As of June 30, 2016 and December 31, 2015, the fair value of our CMO securities and interest and principal-only securities was $1.3 billion, excluding the consolidated CMO trusts discussed above, or $1.7 billion and $1.8 billion, respectively, including the net asset value of our consolidated CMO trusts. Our maximum exposure to loss related to our CMO securities and interest and principal-only securities, including our consolidated CMO trusts, was $241 million and $238 million as of June 30, 2016 and December 31, 2015,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Repurchase Agreements and Other Secured Borrowings</w:t>
      </w:r>
    </w:p>
    <w:p>
      <w:pPr>
        <w:spacing w:after="0" w:line="175"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We pledge certain of our securities as collateral under our repurchase agreements with financial institutions and under our secured borrowing facility with the Federal Home Loan Bank ("FHLB") of Des Moines. Interest rates on our borrowings are generally based on LIBOR plus or minus a margin and amounts available to be borrowed are dependent upon the fair value of the securities pledged as collateral, which fluctuates with changes in interest rates, type of security and liquidity conditions within the banking, mortgage finance and real estate industries. If the fair value of our pledged securities declines, lenders will typically require us to post additional collateral or pay down borrowings to re-establish agreed upon collateral requirements, referred to as "margin calls." Similarly, if the fair value of our pledged securities increases, lenders may release collateral back to us. As of</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827" w:right="239" w:bottom="1440" w:gutter="0" w:footer="0" w:header="0"/>
        </w:sectPr>
      </w:pPr>
    </w:p>
    <w:bookmarkStart w:id="14" w:name="page15"/>
    <w:bookmarkEnd w:id="14"/>
    <w:p>
      <w:pPr>
        <w:ind w:right="1640"/>
        <w:spacing w:after="0" w:line="438" w:lineRule="auto"/>
        <w:rPr>
          <w:sz w:val="20"/>
          <w:szCs w:val="20"/>
          <w:color w:val="auto"/>
        </w:rPr>
      </w:pPr>
      <w:r>
        <w:rPr>
          <w:rFonts w:ascii="Arial" w:cs="Arial" w:eastAsia="Arial" w:hAnsi="Arial"/>
          <w:sz w:val="18"/>
          <w:szCs w:val="18"/>
          <w:color w:val="auto"/>
        </w:rPr>
        <w:t xml:space="preserve">June 30, 2016, we had met all margin call requirements. For additional information regarding our pledged assets, please refer to Note 7. </w:t>
      </w:r>
      <w:r>
        <w:rPr>
          <w:rFonts w:ascii="Arial" w:cs="Arial" w:eastAsia="Arial" w:hAnsi="Arial"/>
          <w:sz w:val="18"/>
          <w:szCs w:val="18"/>
          <w:b w:val="1"/>
          <w:bCs w:val="1"/>
          <w:i w:val="1"/>
          <w:iCs w:val="1"/>
          <w:color w:val="auto"/>
        </w:rPr>
        <w:t>Repurchase Agreements</w:t>
      </w:r>
    </w:p>
    <w:p>
      <w:pPr>
        <w:spacing w:after="0" w:line="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As of June 30, 2016 and December 31, 2015, we had $41.9 billion and $41.8 billion, respectively, of repurchase agreements outstanding. The terms and conditions of our repurchase agreements are typically negotiated on a transaction-by-transaction basis. Our repurchase agreements with original maturities greater than 90 days have floating interest rates based on an index plus or minus a fixed spread. Substantially all of our repurchase agreements were used to fund purchases of agency securities ("agency repo"). The remainder of our repurchase agreements were used to fund temporary holdings of U.S. Treasury securities ("U.S. Treasury repo").</w:t>
      </w:r>
    </w:p>
    <w:p>
      <w:pPr>
        <w:spacing w:after="0" w:line="13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table summarizes our borrowings under repurchase agreements by their remaining maturities as of June 30, 2016 and December 31, 2015 (dollars in millions):</w:t>
      </w:r>
    </w:p>
    <w:p>
      <w:pPr>
        <w:spacing w:after="0" w:line="338"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25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2"/>
              </w:rPr>
              <w:t>June 30, 2016</w:t>
            </w:r>
          </w:p>
        </w:tc>
        <w:tc>
          <w:tcPr>
            <w:tcW w:w="1240" w:type="dxa"/>
            <w:vAlign w:val="bottom"/>
            <w:tcBorders>
              <w:bottom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1"/>
              </w:rPr>
              <w:t>December 31, 2015</w:t>
            </w: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Weighted</w:t>
            </w:r>
          </w:p>
        </w:tc>
        <w:tc>
          <w:tcPr>
            <w:tcW w:w="168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1"/>
              </w:rPr>
              <w:t>Weighted</w:t>
            </w: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1"/>
              </w:rPr>
              <w:t>Weighted</w:t>
            </w: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Repurchase</w:t>
            </w: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16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Repurchase</w:t>
            </w:r>
          </w:p>
        </w:tc>
        <w:tc>
          <w:tcPr>
            <w:tcW w:w="14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Average</w:t>
            </w: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Remaining Maturity</w:t>
            </w:r>
          </w:p>
        </w:tc>
        <w:tc>
          <w:tcPr>
            <w:tcW w:w="46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3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Interest</w:t>
            </w:r>
          </w:p>
        </w:tc>
        <w:tc>
          <w:tcPr>
            <w:tcW w:w="16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Average Days</w:t>
            </w:r>
          </w:p>
        </w:tc>
        <w:tc>
          <w:tcPr>
            <w:tcW w:w="1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4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Interest</w:t>
            </w: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 Days</w:t>
            </w:r>
          </w:p>
        </w:tc>
        <w:tc>
          <w:tcPr>
            <w:tcW w:w="0" w:type="dxa"/>
            <w:vAlign w:val="bottom"/>
          </w:tcPr>
          <w:p>
            <w:pPr>
              <w:spacing w:after="0"/>
              <w:rPr>
                <w:sz w:val="1"/>
                <w:szCs w:val="1"/>
                <w:color w:val="auto"/>
              </w:rPr>
            </w:pPr>
          </w:p>
        </w:tc>
      </w:tr>
      <w:tr>
        <w:trPr>
          <w:trHeight w:val="192"/>
        </w:trPr>
        <w:tc>
          <w:tcPr>
            <w:tcW w:w="250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Agreements</w:t>
            </w:r>
          </w:p>
        </w:tc>
        <w:tc>
          <w:tcPr>
            <w:tcW w:w="12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Rate</w:t>
            </w: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to Maturity</w:t>
            </w:r>
          </w:p>
        </w:tc>
        <w:tc>
          <w:tcPr>
            <w:tcW w:w="4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Agreements</w:t>
            </w:r>
          </w:p>
        </w:tc>
        <w:tc>
          <w:tcPr>
            <w:tcW w:w="10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1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to Maturity</w:t>
            </w:r>
          </w:p>
        </w:tc>
        <w:tc>
          <w:tcPr>
            <w:tcW w:w="0" w:type="dxa"/>
            <w:vAlign w:val="bottom"/>
          </w:tcPr>
          <w:p>
            <w:pPr>
              <w:spacing w:after="0"/>
              <w:rPr>
                <w:sz w:val="1"/>
                <w:szCs w:val="1"/>
                <w:color w:val="auto"/>
              </w:rPr>
            </w:pPr>
          </w:p>
        </w:tc>
      </w:tr>
      <w:tr>
        <w:trPr>
          <w:trHeight w:val="250"/>
        </w:trPr>
        <w:tc>
          <w:tcPr>
            <w:tcW w:w="2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Agency repo:</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960" w:type="dxa"/>
            <w:vAlign w:val="bottom"/>
            <w:gridSpan w:val="2"/>
          </w:tcPr>
          <w:p>
            <w:pPr>
              <w:ind w:left="100"/>
              <w:spacing w:after="0"/>
              <w:rPr>
                <w:sz w:val="20"/>
                <w:szCs w:val="20"/>
                <w:color w:val="auto"/>
              </w:rPr>
            </w:pPr>
            <w:r>
              <w:rPr>
                <w:rFonts w:ascii="Arial" w:cs="Arial" w:eastAsia="Arial" w:hAnsi="Arial"/>
                <w:sz w:val="16"/>
                <w:szCs w:val="16"/>
                <w:color w:val="auto"/>
              </w:rPr>
              <w:t>≤ 1 month</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18,710</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0.69%</w:t>
            </w:r>
          </w:p>
        </w:tc>
        <w:tc>
          <w:tcPr>
            <w:tcW w:w="100" w:type="dxa"/>
            <w:vAlign w:val="bottom"/>
          </w:tcPr>
          <w:p>
            <w:pPr>
              <w:spacing w:after="0"/>
              <w:rPr>
                <w:sz w:val="20"/>
                <w:szCs w:val="20"/>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12</w:t>
            </w:r>
          </w:p>
        </w:tc>
        <w:tc>
          <w:tcPr>
            <w:tcW w:w="4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17,579</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0.54%</w:t>
            </w:r>
          </w:p>
        </w:tc>
        <w:tc>
          <w:tcPr>
            <w:tcW w:w="12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33"/>
        </w:trPr>
        <w:tc>
          <w:tcPr>
            <w:tcW w:w="2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color w:val="auto"/>
              </w:rPr>
              <w:t>&gt; 1 to ≤ 3 months</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10,043</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0.71%</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56</w:t>
            </w:r>
          </w:p>
        </w:tc>
        <w:tc>
          <w:tcPr>
            <w:tcW w:w="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14,283</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0.64%</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37"/>
        </w:trPr>
        <w:tc>
          <w:tcPr>
            <w:tcW w:w="2960" w:type="dxa"/>
            <w:vAlign w:val="bottom"/>
            <w:gridSpan w:val="2"/>
          </w:tcPr>
          <w:p>
            <w:pPr>
              <w:ind w:left="100"/>
              <w:spacing w:after="0"/>
              <w:rPr>
                <w:sz w:val="20"/>
                <w:szCs w:val="20"/>
                <w:color w:val="auto"/>
              </w:rPr>
            </w:pPr>
            <w:r>
              <w:rPr>
                <w:rFonts w:ascii="Arial" w:cs="Arial" w:eastAsia="Arial" w:hAnsi="Arial"/>
                <w:sz w:val="16"/>
                <w:szCs w:val="16"/>
                <w:color w:val="auto"/>
              </w:rPr>
              <w:t>&gt; 3 to ≤ 6 months</w:t>
            </w:r>
          </w:p>
        </w:tc>
        <w:tc>
          <w:tcPr>
            <w:tcW w:w="18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2,479</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0.82%</w:t>
            </w:r>
          </w:p>
        </w:tc>
        <w:tc>
          <w:tcPr>
            <w:tcW w:w="100" w:type="dxa"/>
            <w:vAlign w:val="bottom"/>
          </w:tcPr>
          <w:p>
            <w:pPr>
              <w:spacing w:after="0"/>
              <w:rPr>
                <w:sz w:val="20"/>
                <w:szCs w:val="20"/>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117</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3,154</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0.61%</w:t>
            </w:r>
          </w:p>
        </w:tc>
        <w:tc>
          <w:tcPr>
            <w:tcW w:w="12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r>
        <w:trPr>
          <w:trHeight w:val="33"/>
        </w:trPr>
        <w:tc>
          <w:tcPr>
            <w:tcW w:w="2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color w:val="auto"/>
              </w:rPr>
              <w:t>&gt; 6 to ≤ 9 months</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3,185</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0.92%</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224</w:t>
            </w:r>
          </w:p>
        </w:tc>
        <w:tc>
          <w:tcPr>
            <w:tcW w:w="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589</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0.65%</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199</w:t>
            </w:r>
          </w:p>
        </w:tc>
        <w:tc>
          <w:tcPr>
            <w:tcW w:w="0" w:type="dxa"/>
            <w:vAlign w:val="bottom"/>
          </w:tcPr>
          <w:p>
            <w:pPr>
              <w:spacing w:after="0"/>
              <w:rPr>
                <w:sz w:val="1"/>
                <w:szCs w:val="1"/>
                <w:color w:val="auto"/>
              </w:rPr>
            </w:pPr>
          </w:p>
        </w:tc>
      </w:tr>
      <w:tr>
        <w:trPr>
          <w:trHeight w:val="237"/>
        </w:trPr>
        <w:tc>
          <w:tcPr>
            <w:tcW w:w="2960" w:type="dxa"/>
            <w:vAlign w:val="bottom"/>
            <w:gridSpan w:val="2"/>
          </w:tcPr>
          <w:p>
            <w:pPr>
              <w:ind w:left="100"/>
              <w:spacing w:after="0"/>
              <w:rPr>
                <w:sz w:val="20"/>
                <w:szCs w:val="20"/>
                <w:color w:val="auto"/>
              </w:rPr>
            </w:pPr>
            <w:r>
              <w:rPr>
                <w:rFonts w:ascii="Arial" w:cs="Arial" w:eastAsia="Arial" w:hAnsi="Arial"/>
                <w:sz w:val="16"/>
                <w:szCs w:val="16"/>
                <w:color w:val="auto"/>
              </w:rPr>
              <w:t>&gt; 9 to ≤ 12 months</w:t>
            </w:r>
          </w:p>
        </w:tc>
        <w:tc>
          <w:tcPr>
            <w:tcW w:w="18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1,269</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0.90%</w:t>
            </w:r>
          </w:p>
        </w:tc>
        <w:tc>
          <w:tcPr>
            <w:tcW w:w="100" w:type="dxa"/>
            <w:vAlign w:val="bottom"/>
          </w:tcPr>
          <w:p>
            <w:pPr>
              <w:spacing w:after="0"/>
              <w:rPr>
                <w:sz w:val="20"/>
                <w:szCs w:val="20"/>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328</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1,201</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0.65%</w:t>
            </w:r>
          </w:p>
        </w:tc>
        <w:tc>
          <w:tcPr>
            <w:tcW w:w="12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307</w:t>
            </w:r>
          </w:p>
        </w:tc>
        <w:tc>
          <w:tcPr>
            <w:tcW w:w="0" w:type="dxa"/>
            <w:vAlign w:val="bottom"/>
          </w:tcPr>
          <w:p>
            <w:pPr>
              <w:spacing w:after="0"/>
              <w:rPr>
                <w:sz w:val="1"/>
                <w:szCs w:val="1"/>
                <w:color w:val="auto"/>
              </w:rPr>
            </w:pPr>
          </w:p>
        </w:tc>
      </w:tr>
      <w:tr>
        <w:trPr>
          <w:trHeight w:val="33"/>
        </w:trPr>
        <w:tc>
          <w:tcPr>
            <w:tcW w:w="2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color w:val="auto"/>
              </w:rPr>
              <w:t>&gt; 12 to ≤ 24 months</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2,176</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0.99%</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521</w:t>
            </w:r>
          </w:p>
        </w:tc>
        <w:tc>
          <w:tcPr>
            <w:tcW w:w="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1,473</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0.73%</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600</w:t>
            </w:r>
          </w:p>
        </w:tc>
        <w:tc>
          <w:tcPr>
            <w:tcW w:w="0" w:type="dxa"/>
            <w:vAlign w:val="bottom"/>
          </w:tcPr>
          <w:p>
            <w:pPr>
              <w:spacing w:after="0"/>
              <w:rPr>
                <w:sz w:val="1"/>
                <w:szCs w:val="1"/>
                <w:color w:val="auto"/>
              </w:rPr>
            </w:pPr>
          </w:p>
        </w:tc>
      </w:tr>
      <w:tr>
        <w:trPr>
          <w:trHeight w:val="237"/>
        </w:trPr>
        <w:tc>
          <w:tcPr>
            <w:tcW w:w="2960" w:type="dxa"/>
            <w:vAlign w:val="bottom"/>
            <w:gridSpan w:val="2"/>
          </w:tcPr>
          <w:p>
            <w:pPr>
              <w:ind w:left="100"/>
              <w:spacing w:after="0"/>
              <w:rPr>
                <w:sz w:val="20"/>
                <w:szCs w:val="20"/>
                <w:color w:val="auto"/>
              </w:rPr>
            </w:pPr>
            <w:r>
              <w:rPr>
                <w:rFonts w:ascii="Arial" w:cs="Arial" w:eastAsia="Arial" w:hAnsi="Arial"/>
                <w:sz w:val="16"/>
                <w:szCs w:val="16"/>
                <w:color w:val="auto"/>
              </w:rPr>
              <w:t>&gt; 24 to ≤ 36 months</w:t>
            </w:r>
          </w:p>
        </w:tc>
        <w:tc>
          <w:tcPr>
            <w:tcW w:w="18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1,150</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20"/>
                <w:szCs w:val="20"/>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955</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650</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0.81%</w:t>
            </w:r>
          </w:p>
        </w:tc>
        <w:tc>
          <w:tcPr>
            <w:tcW w:w="12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901</w:t>
            </w:r>
          </w:p>
        </w:tc>
        <w:tc>
          <w:tcPr>
            <w:tcW w:w="0" w:type="dxa"/>
            <w:vAlign w:val="bottom"/>
          </w:tcPr>
          <w:p>
            <w:pPr>
              <w:spacing w:after="0"/>
              <w:rPr>
                <w:sz w:val="1"/>
                <w:szCs w:val="1"/>
                <w:color w:val="auto"/>
              </w:rPr>
            </w:pPr>
          </w:p>
        </w:tc>
      </w:tr>
      <w:tr>
        <w:trPr>
          <w:trHeight w:val="33"/>
        </w:trPr>
        <w:tc>
          <w:tcPr>
            <w:tcW w:w="2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color w:val="auto"/>
              </w:rPr>
              <w:t>&gt; 36 to ≤ 48 months</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2,300</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1,292</w:t>
            </w:r>
          </w:p>
        </w:tc>
        <w:tc>
          <w:tcPr>
            <w:tcW w:w="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1,300</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0.86%</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1,231</w:t>
            </w:r>
          </w:p>
        </w:tc>
        <w:tc>
          <w:tcPr>
            <w:tcW w:w="0" w:type="dxa"/>
            <w:vAlign w:val="bottom"/>
          </w:tcPr>
          <w:p>
            <w:pPr>
              <w:spacing w:after="0"/>
              <w:rPr>
                <w:sz w:val="1"/>
                <w:szCs w:val="1"/>
                <w:color w:val="auto"/>
              </w:rPr>
            </w:pPr>
          </w:p>
        </w:tc>
      </w:tr>
      <w:tr>
        <w:trPr>
          <w:trHeight w:val="237"/>
        </w:trPr>
        <w:tc>
          <w:tcPr>
            <w:tcW w:w="2960" w:type="dxa"/>
            <w:vAlign w:val="bottom"/>
            <w:gridSpan w:val="2"/>
          </w:tcPr>
          <w:p>
            <w:pPr>
              <w:ind w:left="100"/>
              <w:spacing w:after="0"/>
              <w:rPr>
                <w:sz w:val="20"/>
                <w:szCs w:val="20"/>
                <w:color w:val="auto"/>
              </w:rPr>
            </w:pPr>
            <w:r>
              <w:rPr>
                <w:rFonts w:ascii="Arial" w:cs="Arial" w:eastAsia="Arial" w:hAnsi="Arial"/>
                <w:sz w:val="16"/>
                <w:szCs w:val="16"/>
                <w:color w:val="auto"/>
              </w:rPr>
              <w:t>&gt; 48 to &lt; 60 months</w:t>
            </w:r>
          </w:p>
        </w:tc>
        <w:tc>
          <w:tcPr>
            <w:tcW w:w="18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625</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1.10%</w:t>
            </w:r>
          </w:p>
        </w:tc>
        <w:tc>
          <w:tcPr>
            <w:tcW w:w="100" w:type="dxa"/>
            <w:vAlign w:val="bottom"/>
          </w:tcPr>
          <w:p>
            <w:pPr>
              <w:spacing w:after="0"/>
              <w:rPr>
                <w:sz w:val="20"/>
                <w:szCs w:val="20"/>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1,690</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1,500</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0.76%</w:t>
            </w:r>
          </w:p>
        </w:tc>
        <w:tc>
          <w:tcPr>
            <w:tcW w:w="12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1,477</w:t>
            </w:r>
          </w:p>
        </w:tc>
        <w:tc>
          <w:tcPr>
            <w:tcW w:w="0" w:type="dxa"/>
            <w:vAlign w:val="bottom"/>
          </w:tcPr>
          <w:p>
            <w:pPr>
              <w:spacing w:after="0"/>
              <w:rPr>
                <w:sz w:val="1"/>
                <w:szCs w:val="1"/>
                <w:color w:val="auto"/>
              </w:rPr>
            </w:pPr>
          </w:p>
        </w:tc>
      </w:tr>
      <w:tr>
        <w:trPr>
          <w:trHeight w:val="33"/>
        </w:trPr>
        <w:tc>
          <w:tcPr>
            <w:tcW w:w="250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9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Total agency repo</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41,937</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0.78%</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202</w:t>
            </w:r>
          </w:p>
        </w:tc>
        <w:tc>
          <w:tcPr>
            <w:tcW w:w="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41,729</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0.61%</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173</w:t>
            </w:r>
          </w:p>
        </w:tc>
        <w:tc>
          <w:tcPr>
            <w:tcW w:w="0" w:type="dxa"/>
            <w:vAlign w:val="bottom"/>
          </w:tcPr>
          <w:p>
            <w:pPr>
              <w:spacing w:after="0"/>
              <w:rPr>
                <w:sz w:val="1"/>
                <w:szCs w:val="1"/>
                <w:color w:val="auto"/>
              </w:rPr>
            </w:pPr>
          </w:p>
        </w:tc>
      </w:tr>
      <w:tr>
        <w:trPr>
          <w:trHeight w:val="231"/>
        </w:trPr>
        <w:tc>
          <w:tcPr>
            <w:tcW w:w="2960" w:type="dxa"/>
            <w:vAlign w:val="bottom"/>
            <w:gridSpan w:val="2"/>
          </w:tcPr>
          <w:p>
            <w:pPr>
              <w:ind w:left="20"/>
              <w:spacing w:after="0"/>
              <w:rPr>
                <w:sz w:val="20"/>
                <w:szCs w:val="20"/>
                <w:color w:val="auto"/>
              </w:rPr>
            </w:pPr>
            <w:r>
              <w:rPr>
                <w:rFonts w:ascii="Arial" w:cs="Arial" w:eastAsia="Arial" w:hAnsi="Arial"/>
                <w:sz w:val="16"/>
                <w:szCs w:val="16"/>
                <w:color w:val="auto"/>
              </w:rPr>
              <w:t>U.S. Treasury repo:</w:t>
            </w:r>
          </w:p>
        </w:tc>
        <w:tc>
          <w:tcPr>
            <w:tcW w:w="1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color w:val="auto"/>
              </w:rPr>
              <w:t>1 day</w:t>
            </w: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0.60%</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w:t>
            </w:r>
          </w:p>
        </w:tc>
        <w:tc>
          <w:tcPr>
            <w:tcW w:w="4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44"/>
        </w:trPr>
        <w:tc>
          <w:tcPr>
            <w:tcW w:w="296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41,947</w:t>
            </w:r>
          </w:p>
        </w:tc>
        <w:tc>
          <w:tcPr>
            <w:tcW w:w="120" w:type="dxa"/>
            <w:vAlign w:val="bottom"/>
          </w:tcPr>
          <w:p>
            <w:pPr>
              <w:spacing w:after="0"/>
              <w:rPr>
                <w:sz w:val="21"/>
                <w:szCs w:val="21"/>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0.78%</w:t>
            </w:r>
          </w:p>
        </w:tc>
        <w:tc>
          <w:tcPr>
            <w:tcW w:w="100" w:type="dxa"/>
            <w:vAlign w:val="bottom"/>
          </w:tcPr>
          <w:p>
            <w:pPr>
              <w:spacing w:after="0"/>
              <w:rPr>
                <w:sz w:val="21"/>
                <w:szCs w:val="21"/>
                <w:color w:val="auto"/>
              </w:rPr>
            </w:pPr>
          </w:p>
        </w:tc>
        <w:tc>
          <w:tcPr>
            <w:tcW w:w="12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202</w:t>
            </w:r>
          </w:p>
        </w:tc>
        <w:tc>
          <w:tcPr>
            <w:tcW w:w="44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41,754</w:t>
            </w:r>
          </w:p>
        </w:tc>
        <w:tc>
          <w:tcPr>
            <w:tcW w:w="100" w:type="dxa"/>
            <w:vAlign w:val="bottom"/>
          </w:tcPr>
          <w:p>
            <w:pPr>
              <w:spacing w:after="0"/>
              <w:rPr>
                <w:sz w:val="21"/>
                <w:szCs w:val="21"/>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0.61%</w:t>
            </w:r>
          </w:p>
        </w:tc>
        <w:tc>
          <w:tcPr>
            <w:tcW w:w="120" w:type="dxa"/>
            <w:vAlign w:val="bottom"/>
          </w:tcPr>
          <w:p>
            <w:pPr>
              <w:spacing w:after="0"/>
              <w:rPr>
                <w:sz w:val="21"/>
                <w:szCs w:val="21"/>
                <w:color w:val="auto"/>
              </w:rPr>
            </w:pPr>
          </w:p>
        </w:tc>
        <w:tc>
          <w:tcPr>
            <w:tcW w:w="122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173</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Home Loan Bank Advances</w:t>
      </w:r>
    </w:p>
    <w:p>
      <w:pPr>
        <w:spacing w:after="0" w:line="22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On January 12, 2016, the Federal Housing Finance Agency ("FHFA") released its final rule on FHLB membership, which requires the termination of our wholly-owned captive insurance subsidiary's FHLB membership and repayment of all FHLB advances after a one year period ending in February 2017. As of June 30, 2016 and December 31, 2015, we had $3.0 billion and $3.8 billion, respectively, of outstanding secured FHLB advances, with a weighted average borrowing rate of 0.61% and 0.53%, respectively, and a weighted average remaining term to maturity of 215 and 141 days, respectively, consisting of 30 day and longer-term floating rate advances:</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0"/>
              </w:rPr>
              <w:t>June 30, 2016</w:t>
            </w:r>
          </w:p>
        </w:tc>
        <w:tc>
          <w:tcPr>
            <w:tcW w:w="1240" w:type="dxa"/>
            <w:vAlign w:val="bottom"/>
            <w:tcBorders>
              <w:bottom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1"/>
              </w:rPr>
              <w:t>December 31, 2015</w:t>
            </w: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5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Weighted</w:t>
            </w:r>
          </w:p>
        </w:tc>
        <w:tc>
          <w:tcPr>
            <w:tcW w:w="168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5"/>
              </w:rPr>
              <w:t>Weighted</w:t>
            </w: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16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Remaining Maturity</w:t>
            </w:r>
          </w:p>
        </w:tc>
        <w:tc>
          <w:tcPr>
            <w:tcW w:w="46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vMerge w:val="restart"/>
          </w:tcPr>
          <w:p>
            <w:pPr>
              <w:jc w:val="right"/>
              <w:ind w:right="20"/>
              <w:spacing w:after="0"/>
              <w:rPr>
                <w:sz w:val="20"/>
                <w:szCs w:val="20"/>
                <w:color w:val="auto"/>
              </w:rPr>
            </w:pPr>
            <w:r>
              <w:rPr>
                <w:rFonts w:ascii="Arial" w:cs="Arial" w:eastAsia="Arial" w:hAnsi="Arial"/>
                <w:sz w:val="14"/>
                <w:szCs w:val="14"/>
                <w:b w:val="1"/>
                <w:bCs w:val="1"/>
                <w:color w:val="auto"/>
                <w:w w:val="94"/>
              </w:rPr>
              <w:t>FHLB Advances</w:t>
            </w:r>
          </w:p>
        </w:tc>
        <w:tc>
          <w:tcPr>
            <w:tcW w:w="100" w:type="dxa"/>
            <w:vAlign w:val="bottom"/>
            <w:vMerge w:val="restart"/>
          </w:tcPr>
          <w:p>
            <w:pPr>
              <w:spacing w:after="0"/>
              <w:rPr>
                <w:sz w:val="12"/>
                <w:szCs w:val="12"/>
                <w:color w:val="auto"/>
              </w:rPr>
            </w:pPr>
          </w:p>
        </w:tc>
        <w:tc>
          <w:tcPr>
            <w:tcW w:w="14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Interest</w:t>
            </w:r>
          </w:p>
        </w:tc>
        <w:tc>
          <w:tcPr>
            <w:tcW w:w="16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Average Days</w:t>
            </w:r>
          </w:p>
        </w:tc>
        <w:tc>
          <w:tcPr>
            <w:tcW w:w="120" w:type="dxa"/>
            <w:vAlign w:val="bottom"/>
          </w:tcPr>
          <w:p>
            <w:pPr>
              <w:spacing w:after="0"/>
              <w:rPr>
                <w:sz w:val="12"/>
                <w:szCs w:val="12"/>
                <w:color w:val="auto"/>
              </w:rPr>
            </w:pPr>
          </w:p>
        </w:tc>
        <w:tc>
          <w:tcPr>
            <w:tcW w:w="1120" w:type="dxa"/>
            <w:vAlign w:val="bottom"/>
            <w:vMerge w:val="restart"/>
          </w:tcPr>
          <w:p>
            <w:pPr>
              <w:jc w:val="right"/>
              <w:ind w:right="20"/>
              <w:spacing w:after="0"/>
              <w:rPr>
                <w:sz w:val="20"/>
                <w:szCs w:val="20"/>
                <w:color w:val="auto"/>
              </w:rPr>
            </w:pPr>
            <w:r>
              <w:rPr>
                <w:rFonts w:ascii="Arial" w:cs="Arial" w:eastAsia="Arial" w:hAnsi="Arial"/>
                <w:sz w:val="14"/>
                <w:szCs w:val="14"/>
                <w:b w:val="1"/>
                <w:bCs w:val="1"/>
                <w:color w:val="auto"/>
                <w:w w:val="93"/>
              </w:rPr>
              <w:t>FHLB Advances</w:t>
            </w:r>
          </w:p>
        </w:tc>
        <w:tc>
          <w:tcPr>
            <w:tcW w:w="120" w:type="dxa"/>
            <w:vAlign w:val="bottom"/>
            <w:vMerge w:val="restart"/>
          </w:tcPr>
          <w:p>
            <w:pPr>
              <w:spacing w:after="0"/>
              <w:rPr>
                <w:sz w:val="12"/>
                <w:szCs w:val="12"/>
                <w:color w:val="auto"/>
              </w:rPr>
            </w:pPr>
          </w:p>
        </w:tc>
        <w:tc>
          <w:tcPr>
            <w:tcW w:w="14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Interest</w:t>
            </w: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 Days</w:t>
            </w:r>
          </w:p>
        </w:tc>
        <w:tc>
          <w:tcPr>
            <w:tcW w:w="0" w:type="dxa"/>
            <w:vAlign w:val="bottom"/>
          </w:tcPr>
          <w:p>
            <w:pPr>
              <w:spacing w:after="0"/>
              <w:rPr>
                <w:sz w:val="1"/>
                <w:szCs w:val="1"/>
                <w:color w:val="auto"/>
              </w:rPr>
            </w:pPr>
          </w:p>
        </w:tc>
      </w:tr>
      <w:tr>
        <w:trPr>
          <w:trHeight w:val="192"/>
        </w:trPr>
        <w:tc>
          <w:tcPr>
            <w:tcW w:w="252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to Maturity</w:t>
            </w:r>
          </w:p>
        </w:tc>
        <w:tc>
          <w:tcPr>
            <w:tcW w:w="4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to Maturity</w:t>
            </w:r>
          </w:p>
        </w:tc>
        <w:tc>
          <w:tcPr>
            <w:tcW w:w="0" w:type="dxa"/>
            <w:vAlign w:val="bottom"/>
          </w:tcPr>
          <w:p>
            <w:pPr>
              <w:spacing w:after="0"/>
              <w:rPr>
                <w:sz w:val="1"/>
                <w:szCs w:val="1"/>
                <w:color w:val="auto"/>
              </w:rPr>
            </w:pPr>
          </w:p>
        </w:tc>
      </w:tr>
      <w:tr>
        <w:trPr>
          <w:trHeight w:val="236"/>
        </w:trPr>
        <w:tc>
          <w:tcPr>
            <w:tcW w:w="29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 1 month</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CCEEFF"/>
            </w:tcBorders>
            <w:gridSpan w:val="2"/>
            <w:shd w:val="clear" w:color="auto" w:fill="CCEEFF"/>
          </w:tcPr>
          <w:p>
            <w:pPr>
              <w:jc w:val="right"/>
              <w:ind w:right="5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1,952</w:t>
            </w:r>
          </w:p>
        </w:tc>
        <w:tc>
          <w:tcPr>
            <w:tcW w:w="1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0.47%</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37"/>
        </w:trPr>
        <w:tc>
          <w:tcPr>
            <w:tcW w:w="2980" w:type="dxa"/>
            <w:vAlign w:val="bottom"/>
            <w:gridSpan w:val="2"/>
          </w:tcPr>
          <w:p>
            <w:pPr>
              <w:ind w:left="120"/>
              <w:spacing w:after="0"/>
              <w:rPr>
                <w:sz w:val="20"/>
                <w:szCs w:val="20"/>
                <w:color w:val="auto"/>
              </w:rPr>
            </w:pPr>
            <w:r>
              <w:rPr>
                <w:rFonts w:ascii="Arial" w:cs="Arial" w:eastAsia="Arial" w:hAnsi="Arial"/>
                <w:sz w:val="16"/>
                <w:szCs w:val="16"/>
                <w:color w:val="auto"/>
              </w:rPr>
              <w:t>&gt; 1 to ≤ 3 months</w:t>
            </w:r>
          </w:p>
        </w:tc>
        <w:tc>
          <w:tcPr>
            <w:tcW w:w="10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80" w:type="dxa"/>
            <w:vAlign w:val="bottom"/>
            <w:gridSpan w:val="2"/>
          </w:tcPr>
          <w:p>
            <w:pPr>
              <w:jc w:val="right"/>
              <w:ind w:right="5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681</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0.60%</w:t>
            </w:r>
          </w:p>
        </w:tc>
        <w:tc>
          <w:tcPr>
            <w:tcW w:w="120" w:type="dxa"/>
            <w:vAlign w:val="bottom"/>
          </w:tcPr>
          <w:p>
            <w:pPr>
              <w:spacing w:after="0"/>
              <w:rPr>
                <w:sz w:val="20"/>
                <w:szCs w:val="20"/>
                <w:color w:val="auto"/>
              </w:rPr>
            </w:pPr>
          </w:p>
        </w:tc>
        <w:tc>
          <w:tcPr>
            <w:tcW w:w="1240" w:type="dxa"/>
            <w:vAlign w:val="bottom"/>
          </w:tcPr>
          <w:p>
            <w:pPr>
              <w:jc w:val="right"/>
              <w:ind w:right="22"/>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33"/>
        </w:trPr>
        <w:tc>
          <w:tcPr>
            <w:tcW w:w="2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&gt; 7 to ≤ 9 months</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3,037</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0.61%</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215</w:t>
            </w: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980" w:type="dxa"/>
            <w:vAlign w:val="bottom"/>
            <w:gridSpan w:val="2"/>
          </w:tcPr>
          <w:p>
            <w:pPr>
              <w:ind w:left="120"/>
              <w:spacing w:after="0"/>
              <w:rPr>
                <w:sz w:val="20"/>
                <w:szCs w:val="20"/>
                <w:color w:val="auto"/>
              </w:rPr>
            </w:pPr>
            <w:r>
              <w:rPr>
                <w:rFonts w:ascii="Arial" w:cs="Arial" w:eastAsia="Arial" w:hAnsi="Arial"/>
                <w:sz w:val="16"/>
                <w:szCs w:val="16"/>
                <w:color w:val="auto"/>
              </w:rPr>
              <w:t>13 months</w:t>
            </w:r>
          </w:p>
        </w:tc>
        <w:tc>
          <w:tcPr>
            <w:tcW w:w="10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80" w:type="dxa"/>
            <w:vAlign w:val="bottom"/>
            <w:gridSpan w:val="2"/>
          </w:tcPr>
          <w:p>
            <w:pPr>
              <w:jc w:val="right"/>
              <w:ind w:right="5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1,120</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0.58%</w:t>
            </w:r>
          </w:p>
        </w:tc>
        <w:tc>
          <w:tcPr>
            <w:tcW w:w="120" w:type="dxa"/>
            <w:vAlign w:val="bottom"/>
          </w:tcPr>
          <w:p>
            <w:pPr>
              <w:spacing w:after="0"/>
              <w:rPr>
                <w:sz w:val="20"/>
                <w:szCs w:val="20"/>
                <w:color w:val="auto"/>
              </w:rPr>
            </w:pPr>
          </w:p>
        </w:tc>
        <w:tc>
          <w:tcPr>
            <w:tcW w:w="1240" w:type="dxa"/>
            <w:vAlign w:val="bottom"/>
          </w:tcPr>
          <w:p>
            <w:pPr>
              <w:jc w:val="right"/>
              <w:ind w:right="22"/>
              <w:spacing w:after="0"/>
              <w:rPr>
                <w:sz w:val="20"/>
                <w:szCs w:val="20"/>
                <w:color w:val="auto"/>
              </w:rPr>
            </w:pPr>
            <w:r>
              <w:rPr>
                <w:rFonts w:ascii="Arial" w:cs="Arial" w:eastAsia="Arial" w:hAnsi="Arial"/>
                <w:sz w:val="16"/>
                <w:szCs w:val="16"/>
                <w:color w:val="auto"/>
              </w:rPr>
              <w:t>397</w:t>
            </w:r>
          </w:p>
        </w:tc>
        <w:tc>
          <w:tcPr>
            <w:tcW w:w="0" w:type="dxa"/>
            <w:vAlign w:val="bottom"/>
          </w:tcPr>
          <w:p>
            <w:pPr>
              <w:spacing w:after="0"/>
              <w:rPr>
                <w:sz w:val="1"/>
                <w:szCs w:val="1"/>
                <w:color w:val="auto"/>
              </w:rPr>
            </w:pPr>
          </w:p>
        </w:tc>
      </w:tr>
      <w:tr>
        <w:trPr>
          <w:trHeight w:val="33"/>
        </w:trPr>
        <w:tc>
          <w:tcPr>
            <w:tcW w:w="252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FHLB advances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3,037</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0.61%</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215</w:t>
            </w: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3,753</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0.53%</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141</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746"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Debt of Consolidated Variable Interest Entities</w:t>
      </w:r>
    </w:p>
    <w:p>
      <w:pPr>
        <w:spacing w:after="0" w:line="17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As of June 30, 2016 and December 31, 2015, debt of consolidated VIEs, at fair value, was $528 million and $595 million, respectively, and had a weighted average interest rate of LIBOR plus 36 and 34 basis points, respectively, and a principal balance of $523 million and $587 million, respectively. The actual maturities of our debt of consolidated VIEs are generally shorter than the stated contractual maturities. The actual maturities are affected by the contractual lives of the underlying agency MBS securitizing the debt of our consolidated VIEs and periodic principal prepayments of such underlying securities. The estimated weighted average life of the debt of our consolidated VIEs as of June 30, 2016 and December 31, 2015 was 4.8 and 4.9 years, respectively.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Derivative and Other Hedging Instruments</w:t>
      </w:r>
    </w:p>
    <w:p>
      <w:pPr>
        <w:spacing w:after="0" w:line="175"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In connection with our risk management strategy, we hedge a portion of our interest rate risk by entering into derivative and other hedging instrument contracts. The principal instruments that we use are interest rate swaps and interest rate swaptions and U.S. Treasury securities and U.S. Treasury futures contracts, primarily through short sales. We may also utilize TBA securities, purchase or write put or call options on TBA securities or invest in mortgage and other types of derivatives, such as interest and principal-only securities. We also enter into TBA contracts as a means of investing in and financing agency securities (thereby increasing our "at risk" leverage) or as a means of disposing of or reducing our exposure to agency securities (thereby reducing our "at risk" leverage). Our risk management strategy attempts to manage the overall risk of the portfolio, reduce fluctuations in our net book value and generate additional income distributable to stockholders. For additional information regarding our derivative instruments and our overall risk management strategy, please refer to the discussion of derivative and other hedging instruments in Note 3.</w:t>
      </w:r>
    </w:p>
    <w:p>
      <w:pPr>
        <w:spacing w:after="0" w:line="125"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color w:val="auto"/>
        </w:rPr>
        <w:t>Prior to September 30, 2011, our interest rate swaps were typically designated as cash flow hedges under ASC 815; however, as of September 30, 2011, we elected to discontinue hedge accounting for our interest rate swaps in order to increase our funding flexibility. For the three and six months ended June 30, 2016, we reclassified $12 million and $31 million, respectively, and for the three and six months ended June 30, 2015 $26 million and $55 million, respectively, of net deferred losses from accumulated OCI into interest expense related to our de-designated interest rate swaps and recognized an equal, but offsetting, amount in other comprehensive income. Our total net periodic interest costs on our swap portfolio were $81 million and $189 million for the three and six months ended June 30, 2016, respectively, and $125 million and $238 million for the three and six months ended June 30, 2015, respectively. The difference between our total net periodic interest costs on our swap portfolio and the amount recorded in interest expense related to our de-designated hedges is reported in gain (loss) on derivative instruments and other securities, net in our accompanying consolidated statements of comprehensive income (totaling $69 million and $158 million for the three and six months ended June 30, 2016, respectively, and $99 million and $183 million for the three and six months ended June 30, 2015, respectively). As of June 30, 2016, the remaining net deferred loss in accumulated OCI related to de-designated interest rate swaps was $8 million.</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746"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Derivative and Other Hedging Instrument Assets (Liabilities), at Fair Value</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table below summarizes fair value information about our derivative and other hedging instrument assets and liabilities as of June 30, 2016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2015 (in millions):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Derivative and Other Hedging Instruments</w:t>
            </w:r>
          </w:p>
        </w:tc>
        <w:tc>
          <w:tcPr>
            <w:tcW w:w="140" w:type="dxa"/>
            <w:vAlign w:val="bottom"/>
          </w:tcPr>
          <w:p>
            <w:pPr>
              <w:spacing w:after="0"/>
              <w:rPr>
                <w:sz w:val="16"/>
                <w:szCs w:val="16"/>
                <w:color w:val="auto"/>
              </w:rPr>
            </w:pPr>
          </w:p>
        </w:tc>
        <w:tc>
          <w:tcPr>
            <w:tcW w:w="4320" w:type="dxa"/>
            <w:vAlign w:val="bottom"/>
            <w:tcBorders>
              <w:bottom w:val="single" w:sz="8" w:color="auto"/>
            </w:tcBorders>
          </w:tcPr>
          <w:p>
            <w:pPr>
              <w:ind w:left="1440"/>
              <w:spacing w:after="0"/>
              <w:rPr>
                <w:sz w:val="20"/>
                <w:szCs w:val="20"/>
                <w:color w:val="auto"/>
              </w:rPr>
            </w:pPr>
            <w:r>
              <w:rPr>
                <w:rFonts w:ascii="Arial" w:cs="Arial" w:eastAsia="Arial" w:hAnsi="Arial"/>
                <w:sz w:val="14"/>
                <w:szCs w:val="14"/>
                <w:b w:val="1"/>
                <w:bCs w:val="1"/>
                <w:color w:val="auto"/>
              </w:rPr>
              <w:t>Balance Sheet Location</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w w:val="92"/>
              </w:rPr>
              <w:t>June 30, 2016</w:t>
            </w:r>
          </w:p>
        </w:tc>
        <w:tc>
          <w:tcPr>
            <w:tcW w:w="120" w:type="dxa"/>
            <w:vAlign w:val="bottom"/>
          </w:tcPr>
          <w:p>
            <w:pPr>
              <w:spacing w:after="0"/>
              <w:rPr>
                <w:sz w:val="16"/>
                <w:szCs w:val="16"/>
                <w:color w:val="auto"/>
              </w:rPr>
            </w:pPr>
          </w:p>
        </w:tc>
        <w:tc>
          <w:tcPr>
            <w:tcW w:w="12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1"/>
              </w:rPr>
              <w:t>December 31, 2015</w:t>
            </w:r>
          </w:p>
        </w:tc>
      </w:tr>
      <w:tr>
        <w:trPr>
          <w:trHeight w:val="223"/>
        </w:trPr>
        <w:tc>
          <w:tcPr>
            <w:tcW w:w="4460" w:type="dxa"/>
            <w:vAlign w:val="bottom"/>
            <w:gridSpan w:val="2"/>
          </w:tcPr>
          <w:p>
            <w:pPr>
              <w:ind w:left="40"/>
              <w:spacing w:after="0"/>
              <w:rPr>
                <w:sz w:val="20"/>
                <w:szCs w:val="20"/>
                <w:color w:val="auto"/>
              </w:rPr>
            </w:pPr>
            <w:r>
              <w:rPr>
                <w:rFonts w:ascii="Arial" w:cs="Arial" w:eastAsia="Arial" w:hAnsi="Arial"/>
                <w:sz w:val="16"/>
                <w:szCs w:val="16"/>
                <w:color w:val="auto"/>
              </w:rPr>
              <w:t>Interest rate swaps</w:t>
            </w:r>
          </w:p>
        </w:tc>
        <w:tc>
          <w:tcPr>
            <w:tcW w:w="4440" w:type="dxa"/>
            <w:vAlign w:val="bottom"/>
            <w:gridSpan w:val="2"/>
          </w:tcPr>
          <w:p>
            <w:pPr>
              <w:ind w:left="20"/>
              <w:spacing w:after="0"/>
              <w:rPr>
                <w:sz w:val="20"/>
                <w:szCs w:val="20"/>
                <w:color w:val="auto"/>
              </w:rPr>
            </w:pPr>
            <w:r>
              <w:rPr>
                <w:rFonts w:ascii="Arial" w:cs="Arial" w:eastAsia="Arial" w:hAnsi="Arial"/>
                <w:sz w:val="16"/>
                <w:szCs w:val="16"/>
                <w:color w:val="auto"/>
              </w:rPr>
              <w:t>Derivative assets, at fair value</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9"/>
                <w:szCs w:val="19"/>
                <w:color w:val="auto"/>
              </w:rPr>
            </w:pPr>
          </w:p>
        </w:tc>
        <w:tc>
          <w:tcPr>
            <w:tcW w:w="400" w:type="dxa"/>
            <w:vAlign w:val="bottom"/>
          </w:tcPr>
          <w:p>
            <w:pPr>
              <w:ind w:left="2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31</w:t>
            </w:r>
          </w:p>
        </w:tc>
      </w:tr>
      <w:tr>
        <w:trPr>
          <w:trHeight w:val="33"/>
        </w:trPr>
        <w:tc>
          <w:tcPr>
            <w:tcW w:w="4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Swaptions</w:t>
            </w:r>
          </w:p>
        </w:tc>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Derivative assets, at fair value</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w:t>
            </w:r>
          </w:p>
        </w:tc>
      </w:tr>
      <w:tr>
        <w:trPr>
          <w:trHeight w:val="237"/>
        </w:trPr>
        <w:tc>
          <w:tcPr>
            <w:tcW w:w="4460" w:type="dxa"/>
            <w:vAlign w:val="bottom"/>
            <w:gridSpan w:val="2"/>
          </w:tcPr>
          <w:p>
            <w:pPr>
              <w:ind w:left="40"/>
              <w:spacing w:after="0"/>
              <w:rPr>
                <w:sz w:val="20"/>
                <w:szCs w:val="20"/>
                <w:color w:val="auto"/>
              </w:rPr>
            </w:pPr>
            <w:r>
              <w:rPr>
                <w:rFonts w:ascii="Arial" w:cs="Arial" w:eastAsia="Arial" w:hAnsi="Arial"/>
                <w:sz w:val="16"/>
                <w:szCs w:val="16"/>
                <w:color w:val="auto"/>
              </w:rPr>
              <w:t>TBA securities</w:t>
            </w:r>
          </w:p>
        </w:tc>
        <w:tc>
          <w:tcPr>
            <w:tcW w:w="4440" w:type="dxa"/>
            <w:vAlign w:val="bottom"/>
            <w:gridSpan w:val="2"/>
          </w:tcPr>
          <w:p>
            <w:pPr>
              <w:ind w:left="20"/>
              <w:spacing w:after="0"/>
              <w:rPr>
                <w:sz w:val="20"/>
                <w:szCs w:val="20"/>
                <w:color w:val="auto"/>
              </w:rPr>
            </w:pPr>
            <w:r>
              <w:rPr>
                <w:rFonts w:ascii="Arial" w:cs="Arial" w:eastAsia="Arial" w:hAnsi="Arial"/>
                <w:sz w:val="16"/>
                <w:szCs w:val="16"/>
                <w:color w:val="auto"/>
              </w:rPr>
              <w:t>Derivative assets, at fair value</w:t>
            </w:r>
          </w:p>
        </w:tc>
        <w:tc>
          <w:tcPr>
            <w:tcW w:w="12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103</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29</w:t>
            </w:r>
          </w:p>
        </w:tc>
      </w:tr>
      <w:tr>
        <w:trPr>
          <w:trHeight w:val="33"/>
        </w:trPr>
        <w:tc>
          <w:tcPr>
            <w:tcW w:w="4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U.S. Treasury futures - short</w:t>
            </w:r>
          </w:p>
        </w:tc>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Derivative assets, at fair value</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r>
      <w:tr>
        <w:trPr>
          <w:trHeight w:val="284"/>
        </w:trPr>
        <w:tc>
          <w:tcPr>
            <w:tcW w:w="446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Total derivative assets, at fair value</w:t>
            </w:r>
          </w:p>
        </w:tc>
        <w:tc>
          <w:tcPr>
            <w:tcW w:w="43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111</w:t>
            </w:r>
          </w:p>
        </w:tc>
        <w:tc>
          <w:tcPr>
            <w:tcW w:w="12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81</w:t>
            </w:r>
          </w:p>
        </w:tc>
      </w:tr>
      <w:tr>
        <w:trPr>
          <w:trHeight w:val="284"/>
        </w:trPr>
        <w:tc>
          <w:tcPr>
            <w:tcW w:w="43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37"/>
        </w:trPr>
        <w:tc>
          <w:tcPr>
            <w:tcW w:w="4460" w:type="dxa"/>
            <w:vAlign w:val="bottom"/>
            <w:gridSpan w:val="2"/>
          </w:tcPr>
          <w:p>
            <w:pPr>
              <w:ind w:left="40"/>
              <w:spacing w:after="0"/>
              <w:rPr>
                <w:sz w:val="20"/>
                <w:szCs w:val="20"/>
                <w:color w:val="auto"/>
              </w:rPr>
            </w:pPr>
            <w:r>
              <w:rPr>
                <w:rFonts w:ascii="Arial" w:cs="Arial" w:eastAsia="Arial" w:hAnsi="Arial"/>
                <w:sz w:val="16"/>
                <w:szCs w:val="16"/>
                <w:color w:val="auto"/>
              </w:rPr>
              <w:t>Interest rate swaps</w:t>
            </w:r>
          </w:p>
        </w:tc>
        <w:tc>
          <w:tcPr>
            <w:tcW w:w="4440" w:type="dxa"/>
            <w:vAlign w:val="bottom"/>
            <w:gridSpan w:val="2"/>
          </w:tcPr>
          <w:p>
            <w:pPr>
              <w:ind w:left="20"/>
              <w:spacing w:after="0"/>
              <w:rPr>
                <w:sz w:val="20"/>
                <w:szCs w:val="20"/>
                <w:color w:val="auto"/>
              </w:rPr>
            </w:pPr>
            <w:r>
              <w:rPr>
                <w:rFonts w:ascii="Arial" w:cs="Arial" w:eastAsia="Arial" w:hAnsi="Arial"/>
                <w:sz w:val="16"/>
                <w:szCs w:val="16"/>
                <w:color w:val="auto"/>
              </w:rPr>
              <w:t>Derivative liabilities, at fair value</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(1,455)</w:t>
            </w:r>
          </w:p>
        </w:tc>
        <w:tc>
          <w:tcPr>
            <w:tcW w:w="120" w:type="dxa"/>
            <w:vAlign w:val="bottom"/>
          </w:tcPr>
          <w:p>
            <w:pPr>
              <w:spacing w:after="0"/>
              <w:rPr>
                <w:sz w:val="20"/>
                <w:szCs w:val="20"/>
                <w:color w:val="auto"/>
              </w:rPr>
            </w:pPr>
          </w:p>
        </w:tc>
        <w:tc>
          <w:tcPr>
            <w:tcW w:w="400" w:type="dxa"/>
            <w:vAlign w:val="bottom"/>
          </w:tcPr>
          <w:p>
            <w:pPr>
              <w:ind w:left="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(920)</w:t>
            </w:r>
          </w:p>
        </w:tc>
      </w:tr>
      <w:tr>
        <w:trPr>
          <w:trHeight w:val="33"/>
        </w:trPr>
        <w:tc>
          <w:tcPr>
            <w:tcW w:w="4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TBA securities</w:t>
            </w:r>
          </w:p>
        </w:tc>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Derivative liabilities, at fair value</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37"/>
        </w:trPr>
        <w:tc>
          <w:tcPr>
            <w:tcW w:w="4460" w:type="dxa"/>
            <w:vAlign w:val="bottom"/>
            <w:gridSpan w:val="2"/>
          </w:tcPr>
          <w:p>
            <w:pPr>
              <w:ind w:left="40"/>
              <w:spacing w:after="0"/>
              <w:rPr>
                <w:sz w:val="20"/>
                <w:szCs w:val="20"/>
                <w:color w:val="auto"/>
              </w:rPr>
            </w:pPr>
            <w:r>
              <w:rPr>
                <w:rFonts w:ascii="Arial" w:cs="Arial" w:eastAsia="Arial" w:hAnsi="Arial"/>
                <w:sz w:val="16"/>
                <w:szCs w:val="16"/>
                <w:color w:val="auto"/>
              </w:rPr>
              <w:t>U.S. Treasury futures - short</w:t>
            </w:r>
          </w:p>
        </w:tc>
        <w:tc>
          <w:tcPr>
            <w:tcW w:w="4440" w:type="dxa"/>
            <w:vAlign w:val="bottom"/>
            <w:gridSpan w:val="2"/>
          </w:tcPr>
          <w:p>
            <w:pPr>
              <w:ind w:left="20"/>
              <w:spacing w:after="0"/>
              <w:rPr>
                <w:sz w:val="20"/>
                <w:szCs w:val="20"/>
                <w:color w:val="auto"/>
              </w:rPr>
            </w:pPr>
            <w:r>
              <w:rPr>
                <w:rFonts w:ascii="Arial" w:cs="Arial" w:eastAsia="Arial" w:hAnsi="Arial"/>
                <w:sz w:val="16"/>
                <w:szCs w:val="16"/>
                <w:color w:val="auto"/>
              </w:rPr>
              <w:t>Derivative liabilities, at fair value</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3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44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Total derivative liabilities, at fair value</w:t>
            </w:r>
          </w:p>
        </w:tc>
        <w:tc>
          <w:tcPr>
            <w:tcW w:w="4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(935)</w:t>
            </w:r>
          </w:p>
        </w:tc>
      </w:tr>
      <w:tr>
        <w:trPr>
          <w:trHeight w:val="20"/>
        </w:trPr>
        <w:tc>
          <w:tcPr>
            <w:tcW w:w="4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84"/>
        </w:trPr>
        <w:tc>
          <w:tcPr>
            <w:tcW w:w="4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50"/>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U.S. Treasury securities - long</w:t>
            </w:r>
          </w:p>
        </w:tc>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U.S. Treasury securities, at fair value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w:t>
            </w:r>
          </w:p>
        </w:tc>
      </w:tr>
      <w:tr>
        <w:trPr>
          <w:trHeight w:val="220"/>
        </w:trPr>
        <w:tc>
          <w:tcPr>
            <w:tcW w:w="4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40" w:type="dxa"/>
            <w:vAlign w:val="bottom"/>
            <w:gridSpan w:val="2"/>
          </w:tcPr>
          <w:p>
            <w:pPr>
              <w:ind w:left="20"/>
              <w:spacing w:after="0"/>
              <w:rPr>
                <w:sz w:val="20"/>
                <w:szCs w:val="20"/>
                <w:color w:val="auto"/>
              </w:rPr>
            </w:pPr>
            <w:r>
              <w:rPr>
                <w:rFonts w:ascii="Arial" w:cs="Arial" w:eastAsia="Arial" w:hAnsi="Arial"/>
                <w:sz w:val="16"/>
                <w:szCs w:val="16"/>
                <w:color w:val="auto"/>
                <w:w w:val="94"/>
              </w:rPr>
              <w:t>Obligation to return securities borrowed under reverse repurchase</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06"/>
        </w:trPr>
        <w:tc>
          <w:tcPr>
            <w:tcW w:w="4460" w:type="dxa"/>
            <w:vAlign w:val="bottom"/>
            <w:gridSpan w:val="2"/>
          </w:tcPr>
          <w:p>
            <w:pPr>
              <w:ind w:left="40"/>
              <w:spacing w:after="0"/>
              <w:rPr>
                <w:sz w:val="20"/>
                <w:szCs w:val="20"/>
                <w:color w:val="auto"/>
              </w:rPr>
            </w:pPr>
            <w:r>
              <w:rPr>
                <w:rFonts w:ascii="Arial" w:cs="Arial" w:eastAsia="Arial" w:hAnsi="Arial"/>
                <w:sz w:val="16"/>
                <w:szCs w:val="16"/>
                <w:color w:val="auto"/>
              </w:rPr>
              <w:t>U.S. Treasury securities - short</w:t>
            </w:r>
          </w:p>
        </w:tc>
        <w:tc>
          <w:tcPr>
            <w:tcW w:w="4440" w:type="dxa"/>
            <w:vAlign w:val="bottom"/>
            <w:gridSpan w:val="2"/>
          </w:tcPr>
          <w:p>
            <w:pPr>
              <w:ind w:left="20"/>
              <w:spacing w:after="0"/>
              <w:rPr>
                <w:sz w:val="20"/>
                <w:szCs w:val="20"/>
                <w:color w:val="auto"/>
              </w:rPr>
            </w:pPr>
            <w:r>
              <w:rPr>
                <w:rFonts w:ascii="Arial" w:cs="Arial" w:eastAsia="Arial" w:hAnsi="Arial"/>
                <w:sz w:val="16"/>
                <w:szCs w:val="16"/>
                <w:color w:val="auto"/>
              </w:rPr>
              <w:t>agreements, at fair value</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(3,017)</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(1,696)</w:t>
            </w:r>
          </w:p>
        </w:tc>
      </w:tr>
      <w:tr>
        <w:trPr>
          <w:trHeight w:val="33"/>
        </w:trPr>
        <w:tc>
          <w:tcPr>
            <w:tcW w:w="43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44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Total U.S. Treasury securities, net at fair value</w:t>
            </w:r>
          </w:p>
        </w:tc>
        <w:tc>
          <w:tcPr>
            <w:tcW w:w="4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(2,955)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(1,671)</w:t>
            </w:r>
          </w:p>
        </w:tc>
      </w:tr>
      <w:tr>
        <w:trPr>
          <w:trHeight w:val="20"/>
        </w:trPr>
        <w:tc>
          <w:tcPr>
            <w:tcW w:w="4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tables summarize our interest rate swap agreements outstanding as of June 30, 2016 and December 31, 2015 (dollars in millions):</w:t>
      </w:r>
    </w:p>
    <w:p>
      <w:pPr>
        <w:spacing w:after="0" w:line="200" w:lineRule="exact"/>
        <w:rPr>
          <w:sz w:val="20"/>
          <w:szCs w:val="20"/>
          <w:color w:val="auto"/>
        </w:rPr>
      </w:pPr>
    </w:p>
    <w:p>
      <w:pPr>
        <w:spacing w:after="0" w:line="204"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590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June 30, 2016</w:t>
            </w:r>
          </w:p>
        </w:tc>
        <w:tc>
          <w:tcPr>
            <w:tcW w:w="10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900" w:type="dxa"/>
            <w:vAlign w:val="bottom"/>
          </w:tcPr>
          <w:p>
            <w:pPr>
              <w:spacing w:after="0"/>
              <w:rPr>
                <w:sz w:val="13"/>
                <w:szCs w:val="13"/>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Notional</w:t>
            </w:r>
          </w:p>
        </w:tc>
        <w:tc>
          <w:tcPr>
            <w:tcW w:w="11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Average</w:t>
            </w:r>
          </w:p>
        </w:tc>
        <w:tc>
          <w:tcPr>
            <w:tcW w:w="11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Average</w:t>
            </w:r>
          </w:p>
        </w:tc>
        <w:tc>
          <w:tcPr>
            <w:tcW w:w="1080" w:type="dxa"/>
            <w:vAlign w:val="bottom"/>
          </w:tcPr>
          <w:p>
            <w:pPr>
              <w:jc w:val="center"/>
              <w:ind w:right="8"/>
              <w:spacing w:after="0" w:line="153" w:lineRule="exact"/>
              <w:rPr>
                <w:sz w:val="20"/>
                <w:szCs w:val="20"/>
                <w:color w:val="auto"/>
              </w:rPr>
            </w:pPr>
            <w:r>
              <w:rPr>
                <w:rFonts w:ascii="Arial" w:cs="Arial" w:eastAsia="Arial" w:hAnsi="Arial"/>
                <w:sz w:val="14"/>
                <w:szCs w:val="14"/>
                <w:b w:val="1"/>
                <w:bCs w:val="1"/>
                <w:color w:val="auto"/>
                <w:w w:val="88"/>
              </w:rPr>
              <w:t>Net</w:t>
            </w:r>
          </w:p>
        </w:tc>
        <w:tc>
          <w:tcPr>
            <w:tcW w:w="10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5900" w:type="dxa"/>
            <w:vAlign w:val="bottom"/>
            <w:vMerge w:val="restart"/>
          </w:tcPr>
          <w:p>
            <w:pPr>
              <w:spacing w:after="0"/>
              <w:rPr>
                <w:sz w:val="20"/>
                <w:szCs w:val="20"/>
                <w:color w:val="auto"/>
              </w:rPr>
            </w:pPr>
            <w:r>
              <w:rPr>
                <w:rFonts w:ascii="Arial" w:cs="Arial" w:eastAsia="Arial" w:hAnsi="Arial"/>
                <w:sz w:val="14"/>
                <w:szCs w:val="14"/>
                <w:b w:val="1"/>
                <w:bCs w:val="1"/>
                <w:color w:val="auto"/>
              </w:rPr>
              <w:t>Payer Interest Rate Swaps</w:t>
            </w:r>
          </w:p>
        </w:tc>
        <w:tc>
          <w:tcPr>
            <w:tcW w:w="1040" w:type="dxa"/>
            <w:vAlign w:val="bottom"/>
            <w:vMerge w:val="continue"/>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Fixed</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Receive</w:t>
            </w:r>
          </w:p>
        </w:tc>
        <w:tc>
          <w:tcPr>
            <w:tcW w:w="108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w w:val="95"/>
              </w:rPr>
              <w:t>Estimated</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Maturity</w:t>
            </w:r>
          </w:p>
        </w:tc>
        <w:tc>
          <w:tcPr>
            <w:tcW w:w="0" w:type="dxa"/>
            <w:vAlign w:val="bottom"/>
          </w:tcPr>
          <w:p>
            <w:pPr>
              <w:spacing w:after="0"/>
              <w:rPr>
                <w:sz w:val="1"/>
                <w:szCs w:val="1"/>
                <w:color w:val="auto"/>
              </w:rPr>
            </w:pPr>
          </w:p>
        </w:tc>
      </w:tr>
      <w:tr>
        <w:trPr>
          <w:trHeight w:val="186"/>
        </w:trPr>
        <w:tc>
          <w:tcPr>
            <w:tcW w:w="5900" w:type="dxa"/>
            <w:vAlign w:val="bottom"/>
            <w:vMerge w:val="continue"/>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4"/>
              </w:rPr>
              <w:t xml:space="preserve">Amount </w:t>
            </w:r>
            <w:r>
              <w:rPr>
                <w:rFonts w:ascii="Arial" w:cs="Arial" w:eastAsia="Arial" w:hAnsi="Arial"/>
                <w:sz w:val="8"/>
                <w:szCs w:val="8"/>
                <w:b w:val="1"/>
                <w:bCs w:val="1"/>
                <w:color w:val="auto"/>
                <w:w w:val="94"/>
              </w:rPr>
              <w:t>1</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3"/>
              </w:rPr>
              <w:t>Pay Rate 2</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2"/>
              </w:rPr>
              <w:t xml:space="preserve">Rate </w:t>
            </w:r>
            <w:r>
              <w:rPr>
                <w:rFonts w:ascii="Arial" w:cs="Arial" w:eastAsia="Arial" w:hAnsi="Arial"/>
                <w:sz w:val="8"/>
                <w:szCs w:val="8"/>
                <w:b w:val="1"/>
                <w:bCs w:val="1"/>
                <w:color w:val="auto"/>
                <w:w w:val="92"/>
              </w:rPr>
              <w:t>3</w:t>
            </w:r>
          </w:p>
        </w:tc>
        <w:tc>
          <w:tcPr>
            <w:tcW w:w="1080" w:type="dxa"/>
            <w:vAlign w:val="bottom"/>
          </w:tcPr>
          <w:p>
            <w:pPr>
              <w:jc w:val="center"/>
              <w:ind w:right="8"/>
              <w:spacing w:after="0"/>
              <w:rPr>
                <w:sz w:val="20"/>
                <w:szCs w:val="20"/>
                <w:color w:val="auto"/>
              </w:rPr>
            </w:pPr>
            <w:r>
              <w:rPr>
                <w:rFonts w:ascii="Arial" w:cs="Arial" w:eastAsia="Arial" w:hAnsi="Arial"/>
                <w:sz w:val="14"/>
                <w:szCs w:val="14"/>
                <w:b w:val="1"/>
                <w:bCs w:val="1"/>
                <w:color w:val="auto"/>
                <w:w w:val="95"/>
              </w:rPr>
              <w:t>Fair Value</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7620</wp:posOffset>
            </wp:positionV>
            <wp:extent cx="721233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p>
      <w:pPr>
        <w:spacing w:after="0" w:line="43" w:lineRule="exact"/>
        <w:rPr>
          <w:sz w:val="20"/>
          <w:szCs w:val="20"/>
          <w:color w:val="auto"/>
        </w:rPr>
      </w:pPr>
    </w:p>
    <w:tbl>
      <w:tblPr>
        <w:tblLayout w:type="fixed"/>
        <w:tblInd w:w="80" w:type="dxa"/>
        <w:tblCellMar>
          <w:top w:w="0" w:type="dxa"/>
          <w:left w:w="0" w:type="dxa"/>
          <w:bottom w:w="0" w:type="dxa"/>
          <w:right w:w="0" w:type="dxa"/>
        </w:tblCellMar>
      </w:tblPr>
      <w:tr>
        <w:trPr>
          <w:trHeight w:val="206"/>
        </w:trPr>
        <w:tc>
          <w:tcPr>
            <w:tcW w:w="5900" w:type="dxa"/>
            <w:vAlign w:val="bottom"/>
          </w:tcPr>
          <w:p>
            <w:pPr>
              <w:spacing w:after="0"/>
              <w:rPr>
                <w:sz w:val="20"/>
                <w:szCs w:val="20"/>
                <w:color w:val="auto"/>
              </w:rPr>
            </w:pPr>
            <w:r>
              <w:rPr>
                <w:rFonts w:ascii="Arial" w:cs="Arial" w:eastAsia="Arial" w:hAnsi="Arial"/>
                <w:sz w:val="16"/>
                <w:szCs w:val="16"/>
                <w:color w:val="auto"/>
              </w:rPr>
              <w:t>≤ 3 years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17,225</w:t>
            </w:r>
          </w:p>
        </w:tc>
        <w:tc>
          <w:tcPr>
            <w:tcW w:w="120" w:type="dxa"/>
            <w:vAlign w:val="bottom"/>
          </w:tcPr>
          <w:p>
            <w:pPr>
              <w:spacing w:after="0"/>
              <w:rPr>
                <w:sz w:val="17"/>
                <w:szCs w:val="17"/>
                <w:color w:val="auto"/>
              </w:rPr>
            </w:pPr>
          </w:p>
        </w:tc>
        <w:tc>
          <w:tcPr>
            <w:tcW w:w="920" w:type="dxa"/>
            <w:vAlign w:val="bottom"/>
          </w:tcPr>
          <w:p>
            <w:pPr>
              <w:jc w:val="right"/>
              <w:ind w:right="179"/>
              <w:spacing w:after="0"/>
              <w:rPr>
                <w:sz w:val="20"/>
                <w:szCs w:val="20"/>
                <w:color w:val="auto"/>
              </w:rPr>
            </w:pPr>
            <w:r>
              <w:rPr>
                <w:rFonts w:ascii="Arial" w:cs="Arial" w:eastAsia="Arial" w:hAnsi="Arial"/>
                <w:sz w:val="16"/>
                <w:szCs w:val="16"/>
                <w:color w:val="auto"/>
              </w:rPr>
              <w:t>1.04%</w:t>
            </w:r>
          </w:p>
        </w:tc>
        <w:tc>
          <w:tcPr>
            <w:tcW w:w="120" w:type="dxa"/>
            <w:vAlign w:val="bottom"/>
          </w:tcPr>
          <w:p>
            <w:pPr>
              <w:spacing w:after="0"/>
              <w:rPr>
                <w:sz w:val="17"/>
                <w:szCs w:val="17"/>
                <w:color w:val="auto"/>
              </w:rPr>
            </w:pPr>
          </w:p>
        </w:tc>
        <w:tc>
          <w:tcPr>
            <w:tcW w:w="1020" w:type="dxa"/>
            <w:vAlign w:val="bottom"/>
          </w:tcPr>
          <w:p>
            <w:pPr>
              <w:jc w:val="right"/>
              <w:ind w:right="219"/>
              <w:spacing w:after="0"/>
              <w:rPr>
                <w:sz w:val="20"/>
                <w:szCs w:val="20"/>
                <w:color w:val="auto"/>
              </w:rPr>
            </w:pPr>
            <w:r>
              <w:rPr>
                <w:rFonts w:ascii="Arial" w:cs="Arial" w:eastAsia="Arial" w:hAnsi="Arial"/>
                <w:sz w:val="16"/>
                <w:szCs w:val="16"/>
                <w:color w:val="auto"/>
              </w:rPr>
              <w:t>0.64%</w:t>
            </w:r>
          </w:p>
        </w:tc>
        <w:tc>
          <w:tcPr>
            <w:tcW w:w="100" w:type="dxa"/>
            <w:vAlign w:val="bottom"/>
          </w:tcPr>
          <w:p>
            <w:pPr>
              <w:spacing w:after="0"/>
              <w:rPr>
                <w:sz w:val="17"/>
                <w:szCs w:val="17"/>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(113)</w:t>
            </w:r>
          </w:p>
        </w:tc>
      </w:tr>
      <w:tr>
        <w:trPr>
          <w:trHeight w:val="270"/>
        </w:trPr>
        <w:tc>
          <w:tcPr>
            <w:tcW w:w="5900" w:type="dxa"/>
            <w:vAlign w:val="bottom"/>
          </w:tcPr>
          <w:p>
            <w:pPr>
              <w:spacing w:after="0"/>
              <w:rPr>
                <w:sz w:val="20"/>
                <w:szCs w:val="20"/>
                <w:color w:val="auto"/>
              </w:rPr>
            </w:pPr>
            <w:r>
              <w:rPr>
                <w:rFonts w:ascii="Arial" w:cs="Arial" w:eastAsia="Arial" w:hAnsi="Arial"/>
                <w:sz w:val="16"/>
                <w:szCs w:val="16"/>
                <w:color w:val="auto"/>
              </w:rPr>
              <w:t>&gt; 3 to ≤ 5 years</w:t>
            </w:r>
          </w:p>
        </w:tc>
        <w:tc>
          <w:tcPr>
            <w:tcW w:w="280" w:type="dxa"/>
            <w:vAlign w:val="bottom"/>
          </w:tcPr>
          <w:p>
            <w:pPr>
              <w:spacing w:after="0"/>
              <w:rPr>
                <w:sz w:val="23"/>
                <w:szCs w:val="23"/>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5,200</w:t>
            </w:r>
          </w:p>
        </w:tc>
        <w:tc>
          <w:tcPr>
            <w:tcW w:w="120" w:type="dxa"/>
            <w:vAlign w:val="bottom"/>
          </w:tcPr>
          <w:p>
            <w:pPr>
              <w:spacing w:after="0"/>
              <w:rPr>
                <w:sz w:val="23"/>
                <w:szCs w:val="23"/>
                <w:color w:val="auto"/>
              </w:rPr>
            </w:pPr>
          </w:p>
        </w:tc>
        <w:tc>
          <w:tcPr>
            <w:tcW w:w="920" w:type="dxa"/>
            <w:vAlign w:val="bottom"/>
          </w:tcPr>
          <w:p>
            <w:pPr>
              <w:jc w:val="right"/>
              <w:ind w:right="179"/>
              <w:spacing w:after="0"/>
              <w:rPr>
                <w:sz w:val="20"/>
                <w:szCs w:val="20"/>
                <w:color w:val="auto"/>
              </w:rPr>
            </w:pPr>
            <w:r>
              <w:rPr>
                <w:rFonts w:ascii="Arial" w:cs="Arial" w:eastAsia="Arial" w:hAnsi="Arial"/>
                <w:sz w:val="16"/>
                <w:szCs w:val="16"/>
                <w:color w:val="auto"/>
              </w:rPr>
              <w:t>1.58%</w:t>
            </w:r>
          </w:p>
        </w:tc>
        <w:tc>
          <w:tcPr>
            <w:tcW w:w="120" w:type="dxa"/>
            <w:vAlign w:val="bottom"/>
          </w:tcPr>
          <w:p>
            <w:pPr>
              <w:spacing w:after="0"/>
              <w:rPr>
                <w:sz w:val="23"/>
                <w:szCs w:val="23"/>
                <w:color w:val="auto"/>
              </w:rPr>
            </w:pPr>
          </w:p>
        </w:tc>
        <w:tc>
          <w:tcPr>
            <w:tcW w:w="1020" w:type="dxa"/>
            <w:vAlign w:val="bottom"/>
          </w:tcPr>
          <w:p>
            <w:pPr>
              <w:jc w:val="right"/>
              <w:ind w:right="219"/>
              <w:spacing w:after="0"/>
              <w:rPr>
                <w:sz w:val="20"/>
                <w:szCs w:val="20"/>
                <w:color w:val="auto"/>
              </w:rPr>
            </w:pPr>
            <w:r>
              <w:rPr>
                <w:rFonts w:ascii="Arial" w:cs="Arial" w:eastAsia="Arial" w:hAnsi="Arial"/>
                <w:sz w:val="16"/>
                <w:szCs w:val="16"/>
                <w:color w:val="auto"/>
              </w:rPr>
              <w:t>0.64%</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(148)</w:t>
            </w:r>
          </w:p>
        </w:tc>
      </w:tr>
      <w:tr>
        <w:trPr>
          <w:trHeight w:val="270"/>
        </w:trPr>
        <w:tc>
          <w:tcPr>
            <w:tcW w:w="5900" w:type="dxa"/>
            <w:vAlign w:val="bottom"/>
          </w:tcPr>
          <w:p>
            <w:pPr>
              <w:spacing w:after="0"/>
              <w:rPr>
                <w:sz w:val="20"/>
                <w:szCs w:val="20"/>
                <w:color w:val="auto"/>
              </w:rPr>
            </w:pPr>
            <w:r>
              <w:rPr>
                <w:rFonts w:ascii="Arial" w:cs="Arial" w:eastAsia="Arial" w:hAnsi="Arial"/>
                <w:sz w:val="16"/>
                <w:szCs w:val="16"/>
                <w:color w:val="auto"/>
              </w:rPr>
              <w:t>&gt; 5 to ≤ 7 years</w:t>
            </w:r>
          </w:p>
        </w:tc>
        <w:tc>
          <w:tcPr>
            <w:tcW w:w="280" w:type="dxa"/>
            <w:vAlign w:val="bottom"/>
          </w:tcPr>
          <w:p>
            <w:pPr>
              <w:spacing w:after="0"/>
              <w:rPr>
                <w:sz w:val="23"/>
                <w:szCs w:val="23"/>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6,975</w:t>
            </w:r>
          </w:p>
        </w:tc>
        <w:tc>
          <w:tcPr>
            <w:tcW w:w="120" w:type="dxa"/>
            <w:vAlign w:val="bottom"/>
          </w:tcPr>
          <w:p>
            <w:pPr>
              <w:spacing w:after="0"/>
              <w:rPr>
                <w:sz w:val="23"/>
                <w:szCs w:val="23"/>
                <w:color w:val="auto"/>
              </w:rPr>
            </w:pPr>
          </w:p>
        </w:tc>
        <w:tc>
          <w:tcPr>
            <w:tcW w:w="920" w:type="dxa"/>
            <w:vAlign w:val="bottom"/>
          </w:tcPr>
          <w:p>
            <w:pPr>
              <w:jc w:val="right"/>
              <w:ind w:right="179"/>
              <w:spacing w:after="0"/>
              <w:rPr>
                <w:sz w:val="20"/>
                <w:szCs w:val="20"/>
                <w:color w:val="auto"/>
              </w:rPr>
            </w:pPr>
            <w:r>
              <w:rPr>
                <w:rFonts w:ascii="Arial" w:cs="Arial" w:eastAsia="Arial" w:hAnsi="Arial"/>
                <w:sz w:val="16"/>
                <w:szCs w:val="16"/>
                <w:color w:val="auto"/>
              </w:rPr>
              <w:t>2.22%</w:t>
            </w:r>
          </w:p>
        </w:tc>
        <w:tc>
          <w:tcPr>
            <w:tcW w:w="120" w:type="dxa"/>
            <w:vAlign w:val="bottom"/>
          </w:tcPr>
          <w:p>
            <w:pPr>
              <w:spacing w:after="0"/>
              <w:rPr>
                <w:sz w:val="23"/>
                <w:szCs w:val="23"/>
                <w:color w:val="auto"/>
              </w:rPr>
            </w:pPr>
          </w:p>
        </w:tc>
        <w:tc>
          <w:tcPr>
            <w:tcW w:w="1020" w:type="dxa"/>
            <w:vAlign w:val="bottom"/>
          </w:tcPr>
          <w:p>
            <w:pPr>
              <w:jc w:val="right"/>
              <w:ind w:right="219"/>
              <w:spacing w:after="0"/>
              <w:rPr>
                <w:sz w:val="20"/>
                <w:szCs w:val="20"/>
                <w:color w:val="auto"/>
              </w:rPr>
            </w:pPr>
            <w:r>
              <w:rPr>
                <w:rFonts w:ascii="Arial" w:cs="Arial" w:eastAsia="Arial" w:hAnsi="Arial"/>
                <w:sz w:val="16"/>
                <w:szCs w:val="16"/>
                <w:color w:val="auto"/>
              </w:rPr>
              <w:t>0.64%</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(448)</w:t>
            </w:r>
          </w:p>
        </w:tc>
      </w:tr>
      <w:tr>
        <w:trPr>
          <w:trHeight w:val="270"/>
        </w:trPr>
        <w:tc>
          <w:tcPr>
            <w:tcW w:w="5900" w:type="dxa"/>
            <w:vAlign w:val="bottom"/>
          </w:tcPr>
          <w:p>
            <w:pPr>
              <w:spacing w:after="0"/>
              <w:rPr>
                <w:sz w:val="20"/>
                <w:szCs w:val="20"/>
                <w:color w:val="auto"/>
              </w:rPr>
            </w:pPr>
            <w:r>
              <w:rPr>
                <w:rFonts w:ascii="Arial" w:cs="Arial" w:eastAsia="Arial" w:hAnsi="Arial"/>
                <w:sz w:val="16"/>
                <w:szCs w:val="16"/>
                <w:color w:val="auto"/>
              </w:rPr>
              <w:t>&gt; 7 to ≤ 10 years</w:t>
            </w:r>
          </w:p>
        </w:tc>
        <w:tc>
          <w:tcPr>
            <w:tcW w:w="280" w:type="dxa"/>
            <w:vAlign w:val="bottom"/>
          </w:tcPr>
          <w:p>
            <w:pPr>
              <w:spacing w:after="0"/>
              <w:rPr>
                <w:sz w:val="23"/>
                <w:szCs w:val="23"/>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4,550</w:t>
            </w:r>
          </w:p>
        </w:tc>
        <w:tc>
          <w:tcPr>
            <w:tcW w:w="120" w:type="dxa"/>
            <w:vAlign w:val="bottom"/>
          </w:tcPr>
          <w:p>
            <w:pPr>
              <w:spacing w:after="0"/>
              <w:rPr>
                <w:sz w:val="23"/>
                <w:szCs w:val="23"/>
                <w:color w:val="auto"/>
              </w:rPr>
            </w:pPr>
          </w:p>
        </w:tc>
        <w:tc>
          <w:tcPr>
            <w:tcW w:w="920" w:type="dxa"/>
            <w:vAlign w:val="bottom"/>
          </w:tcPr>
          <w:p>
            <w:pPr>
              <w:jc w:val="right"/>
              <w:ind w:right="179"/>
              <w:spacing w:after="0"/>
              <w:rPr>
                <w:sz w:val="20"/>
                <w:szCs w:val="20"/>
                <w:color w:val="auto"/>
              </w:rPr>
            </w:pPr>
            <w:r>
              <w:rPr>
                <w:rFonts w:ascii="Arial" w:cs="Arial" w:eastAsia="Arial" w:hAnsi="Arial"/>
                <w:sz w:val="16"/>
                <w:szCs w:val="16"/>
                <w:color w:val="auto"/>
              </w:rPr>
              <w:t>2.67%</w:t>
            </w:r>
          </w:p>
        </w:tc>
        <w:tc>
          <w:tcPr>
            <w:tcW w:w="120" w:type="dxa"/>
            <w:vAlign w:val="bottom"/>
          </w:tcPr>
          <w:p>
            <w:pPr>
              <w:spacing w:after="0"/>
              <w:rPr>
                <w:sz w:val="23"/>
                <w:szCs w:val="23"/>
                <w:color w:val="auto"/>
              </w:rPr>
            </w:pPr>
          </w:p>
        </w:tc>
        <w:tc>
          <w:tcPr>
            <w:tcW w:w="1020" w:type="dxa"/>
            <w:vAlign w:val="bottom"/>
          </w:tcPr>
          <w:p>
            <w:pPr>
              <w:jc w:val="right"/>
              <w:ind w:right="219"/>
              <w:spacing w:after="0"/>
              <w:rPr>
                <w:sz w:val="20"/>
                <w:szCs w:val="20"/>
                <w:color w:val="auto"/>
              </w:rPr>
            </w:pPr>
            <w:r>
              <w:rPr>
                <w:rFonts w:ascii="Arial" w:cs="Arial" w:eastAsia="Arial" w:hAnsi="Arial"/>
                <w:sz w:val="16"/>
                <w:szCs w:val="16"/>
                <w:color w:val="auto"/>
              </w:rPr>
              <w:t>0.64%</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(526)</w:t>
            </w:r>
          </w:p>
        </w:tc>
      </w:tr>
      <w:tr>
        <w:trPr>
          <w:trHeight w:val="270"/>
        </w:trPr>
        <w:tc>
          <w:tcPr>
            <w:tcW w:w="5900" w:type="dxa"/>
            <w:vAlign w:val="bottom"/>
          </w:tcPr>
          <w:p>
            <w:pPr>
              <w:spacing w:after="0"/>
              <w:rPr>
                <w:sz w:val="20"/>
                <w:szCs w:val="20"/>
                <w:color w:val="auto"/>
              </w:rPr>
            </w:pPr>
            <w:r>
              <w:rPr>
                <w:rFonts w:ascii="Arial" w:cs="Arial" w:eastAsia="Arial" w:hAnsi="Arial"/>
                <w:sz w:val="16"/>
                <w:szCs w:val="16"/>
                <w:color w:val="auto"/>
              </w:rPr>
              <w:t>&gt; 10 years</w:t>
            </w:r>
          </w:p>
        </w:tc>
        <w:tc>
          <w:tcPr>
            <w:tcW w:w="280" w:type="dxa"/>
            <w:vAlign w:val="bottom"/>
          </w:tcPr>
          <w:p>
            <w:pPr>
              <w:spacing w:after="0"/>
              <w:rPr>
                <w:sz w:val="23"/>
                <w:szCs w:val="23"/>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1,175</w:t>
            </w:r>
          </w:p>
        </w:tc>
        <w:tc>
          <w:tcPr>
            <w:tcW w:w="120" w:type="dxa"/>
            <w:vAlign w:val="bottom"/>
          </w:tcPr>
          <w:p>
            <w:pPr>
              <w:spacing w:after="0"/>
              <w:rPr>
                <w:sz w:val="23"/>
                <w:szCs w:val="23"/>
                <w:color w:val="auto"/>
              </w:rPr>
            </w:pPr>
          </w:p>
        </w:tc>
        <w:tc>
          <w:tcPr>
            <w:tcW w:w="920" w:type="dxa"/>
            <w:vAlign w:val="bottom"/>
          </w:tcPr>
          <w:p>
            <w:pPr>
              <w:jc w:val="right"/>
              <w:ind w:right="179"/>
              <w:spacing w:after="0"/>
              <w:rPr>
                <w:sz w:val="20"/>
                <w:szCs w:val="20"/>
                <w:color w:val="auto"/>
              </w:rPr>
            </w:pPr>
            <w:r>
              <w:rPr>
                <w:rFonts w:ascii="Arial" w:cs="Arial" w:eastAsia="Arial" w:hAnsi="Arial"/>
                <w:sz w:val="16"/>
                <w:szCs w:val="16"/>
                <w:color w:val="auto"/>
              </w:rPr>
              <w:t>3.20%</w:t>
            </w:r>
          </w:p>
        </w:tc>
        <w:tc>
          <w:tcPr>
            <w:tcW w:w="120" w:type="dxa"/>
            <w:vAlign w:val="bottom"/>
          </w:tcPr>
          <w:p>
            <w:pPr>
              <w:spacing w:after="0"/>
              <w:rPr>
                <w:sz w:val="23"/>
                <w:szCs w:val="23"/>
                <w:color w:val="auto"/>
              </w:rPr>
            </w:pPr>
          </w:p>
        </w:tc>
        <w:tc>
          <w:tcPr>
            <w:tcW w:w="1020" w:type="dxa"/>
            <w:vAlign w:val="bottom"/>
          </w:tcPr>
          <w:p>
            <w:pPr>
              <w:jc w:val="right"/>
              <w:ind w:right="219"/>
              <w:spacing w:after="0"/>
              <w:rPr>
                <w:sz w:val="20"/>
                <w:szCs w:val="20"/>
                <w:color w:val="auto"/>
              </w:rPr>
            </w:pPr>
            <w:r>
              <w:rPr>
                <w:rFonts w:ascii="Arial" w:cs="Arial" w:eastAsia="Arial" w:hAnsi="Arial"/>
                <w:sz w:val="16"/>
                <w:szCs w:val="16"/>
                <w:color w:val="auto"/>
              </w:rPr>
              <w:t>0.66%</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(219)</w:t>
            </w:r>
          </w:p>
        </w:tc>
      </w:tr>
      <w:tr>
        <w:trPr>
          <w:trHeight w:val="33"/>
        </w:trPr>
        <w:tc>
          <w:tcPr>
            <w:tcW w:w="59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5900" w:type="dxa"/>
            <w:vAlign w:val="bottom"/>
          </w:tcPr>
          <w:p>
            <w:pPr>
              <w:spacing w:after="0"/>
              <w:rPr>
                <w:sz w:val="20"/>
                <w:szCs w:val="20"/>
                <w:color w:val="auto"/>
              </w:rPr>
            </w:pPr>
            <w:r>
              <w:rPr>
                <w:rFonts w:ascii="Arial" w:cs="Arial" w:eastAsia="Arial" w:hAnsi="Arial"/>
                <w:sz w:val="16"/>
                <w:szCs w:val="16"/>
                <w:color w:val="auto"/>
              </w:rPr>
              <w:t>Total payer interest rate swaps</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35,125</w:t>
            </w:r>
          </w:p>
        </w:tc>
        <w:tc>
          <w:tcPr>
            <w:tcW w:w="120" w:type="dxa"/>
            <w:vAlign w:val="bottom"/>
          </w:tcPr>
          <w:p>
            <w:pPr>
              <w:spacing w:after="0"/>
              <w:rPr>
                <w:sz w:val="21"/>
                <w:szCs w:val="21"/>
                <w:color w:val="auto"/>
              </w:rPr>
            </w:pPr>
          </w:p>
        </w:tc>
        <w:tc>
          <w:tcPr>
            <w:tcW w:w="9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1.64%</w:t>
            </w:r>
          </w:p>
        </w:tc>
        <w:tc>
          <w:tcPr>
            <w:tcW w:w="120" w:type="dxa"/>
            <w:vAlign w:val="bottom"/>
          </w:tcPr>
          <w:p>
            <w:pPr>
              <w:spacing w:after="0"/>
              <w:rPr>
                <w:sz w:val="21"/>
                <w:szCs w:val="21"/>
                <w:color w:val="auto"/>
              </w:rPr>
            </w:pPr>
          </w:p>
        </w:tc>
        <w:tc>
          <w:tcPr>
            <w:tcW w:w="10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0.64%</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(1,454)</w:t>
            </w:r>
          </w:p>
        </w:tc>
      </w:tr>
      <w:tr>
        <w:trPr>
          <w:trHeight w:val="20"/>
        </w:trPr>
        <w:tc>
          <w:tcPr>
            <w:tcW w:w="5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-711200</wp:posOffset>
            </wp:positionV>
            <wp:extent cx="721233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-368300</wp:posOffset>
            </wp:positionV>
            <wp:extent cx="721233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pacing w:after="0" w:line="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________________________</w:t>
      </w:r>
    </w:p>
    <w:p>
      <w:pPr>
        <w:spacing w:after="0" w:line="28"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3"/>
          <w:szCs w:val="13"/>
          <w:color w:val="auto"/>
        </w:rPr>
      </w:pPr>
      <w:r>
        <w:rPr>
          <w:rFonts w:ascii="Arial" w:cs="Arial" w:eastAsia="Arial" w:hAnsi="Arial"/>
          <w:sz w:val="13"/>
          <w:szCs w:val="13"/>
          <w:color w:val="auto"/>
        </w:rPr>
        <w:t>Notional amount includes forward starting swaps of $2.7 billion with an average forward start date of 0.7 years and an average maturity of 7.1 years from June 30, 2016.</w:t>
      </w:r>
    </w:p>
    <w:p>
      <w:pPr>
        <w:spacing w:after="0" w:line="24" w:lineRule="exact"/>
        <w:rPr>
          <w:rFonts w:ascii="Arial" w:cs="Arial" w:eastAsia="Arial" w:hAnsi="Arial"/>
          <w:sz w:val="13"/>
          <w:szCs w:val="13"/>
          <w:color w:val="auto"/>
        </w:rPr>
      </w:pPr>
    </w:p>
    <w:p>
      <w:pPr>
        <w:ind w:left="660" w:hanging="328"/>
        <w:spacing w:after="0"/>
        <w:tabs>
          <w:tab w:leader="none" w:pos="660" w:val="left"/>
        </w:tabs>
        <w:numPr>
          <w:ilvl w:val="0"/>
          <w:numId w:val="7"/>
        </w:numPr>
        <w:rPr>
          <w:rFonts w:ascii="Arial" w:cs="Arial" w:eastAsia="Arial" w:hAnsi="Arial"/>
          <w:sz w:val="14"/>
          <w:szCs w:val="14"/>
          <w:color w:val="auto"/>
        </w:rPr>
      </w:pPr>
      <w:r>
        <w:rPr>
          <w:rFonts w:ascii="Arial" w:cs="Arial" w:eastAsia="Arial" w:hAnsi="Arial"/>
          <w:sz w:val="14"/>
          <w:szCs w:val="14"/>
          <w:color w:val="auto"/>
        </w:rPr>
        <w:t>Average fixed pay rate includes forward starting swaps. Excluding forward starting swaps, the average fixed pay rate was 1.51% as of June 30, 2016.</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7"/>
        </w:numPr>
        <w:rPr>
          <w:rFonts w:ascii="Arial" w:cs="Arial" w:eastAsia="Arial" w:hAnsi="Arial"/>
          <w:sz w:val="14"/>
          <w:szCs w:val="14"/>
          <w:color w:val="auto"/>
        </w:rPr>
      </w:pPr>
      <w:r>
        <w:rPr>
          <w:rFonts w:ascii="Arial" w:cs="Arial" w:eastAsia="Arial" w:hAnsi="Arial"/>
          <w:sz w:val="14"/>
          <w:szCs w:val="14"/>
          <w:color w:val="auto"/>
        </w:rPr>
        <w:t>Average receive rate excludes forward starting swaps.</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ind w:left="40"/>
        <w:spacing w:after="0"/>
        <w:rPr>
          <w:sz w:val="20"/>
          <w:szCs w:val="20"/>
          <w:color w:val="auto"/>
        </w:rPr>
      </w:pPr>
      <w:r>
        <w:rPr>
          <w:rFonts w:ascii="Arial" w:cs="Arial" w:eastAsia="Arial" w:hAnsi="Arial"/>
          <w:sz w:val="16"/>
          <w:szCs w:val="16"/>
          <w:color w:val="auto"/>
        </w:rPr>
        <w:t>1.4</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3.6</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5.9</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8.2</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49530</wp:posOffset>
            </wp:positionV>
            <wp:extent cx="6432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34925</wp:posOffset>
            </wp:positionV>
            <wp:extent cx="6432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3255" cy="8890"/>
                    </a:xfrm>
                    <a:prstGeom prst="rect">
                      <a:avLst/>
                    </a:prstGeom>
                    <a:noFill/>
                  </pic:spPr>
                </pic:pic>
              </a:graphicData>
            </a:graphic>
          </wp:anchor>
        </w:drawing>
        <w:drawing>
          <wp:anchor simplePos="0" relativeHeight="251657728" behindDoc="1" locked="0" layoutInCell="0" allowOverlap="1">
            <wp:simplePos x="0" y="0"/>
            <wp:positionH relativeFrom="column">
              <wp:posOffset>-236220</wp:posOffset>
            </wp:positionH>
            <wp:positionV relativeFrom="paragraph">
              <wp:posOffset>52070</wp:posOffset>
            </wp:positionV>
            <wp:extent cx="6432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1003" w:lineRule="exact"/>
        <w:rPr>
          <w:sz w:val="20"/>
          <w:szCs w:val="20"/>
          <w:color w:val="auto"/>
        </w:rPr>
      </w:pPr>
    </w:p>
    <w:p>
      <w:pPr>
        <w:sectPr>
          <w:pgSz w:w="11900" w:h="16838" w:orient="portrait"/>
          <w:cols w:equalWidth="0" w:num="2">
            <w:col w:w="10380" w:space="400"/>
            <w:col w:w="640"/>
          </w:cols>
          <w:pgMar w:left="240" w:top="584" w:right="239" w:bottom="1440" w:gutter="0" w:footer="0" w:header="0"/>
          <w:type w:val="continuous"/>
        </w:sectPr>
      </w:pPr>
    </w:p>
    <w:p>
      <w:pPr>
        <w:spacing w:after="0" w:line="339"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5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8"/>
              </w:rPr>
              <w:t>December 31, 2015</w:t>
            </w: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Notional</w:t>
            </w:r>
          </w:p>
        </w:tc>
        <w:tc>
          <w:tcPr>
            <w:tcW w:w="920" w:type="dxa"/>
            <w:vAlign w:val="bottom"/>
          </w:tcPr>
          <w:p>
            <w:pPr>
              <w:jc w:val="center"/>
              <w:ind w:left="22"/>
              <w:spacing w:after="0" w:line="153"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3"/>
                <w:szCs w:val="13"/>
                <w:color w:val="auto"/>
              </w:rPr>
            </w:pPr>
          </w:p>
        </w:tc>
        <w:tc>
          <w:tcPr>
            <w:tcW w:w="96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7"/>
              </w:rPr>
              <w:t>Net</w:t>
            </w:r>
          </w:p>
        </w:tc>
        <w:tc>
          <w:tcPr>
            <w:tcW w:w="9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58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Payer Interest Rate Swaps</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920" w:type="dxa"/>
            <w:vAlign w:val="bottom"/>
          </w:tcPr>
          <w:p>
            <w:pPr>
              <w:jc w:val="center"/>
              <w:ind w:left="22"/>
              <w:spacing w:after="0" w:line="149" w:lineRule="exact"/>
              <w:rPr>
                <w:sz w:val="20"/>
                <w:szCs w:val="20"/>
                <w:color w:val="auto"/>
              </w:rPr>
            </w:pPr>
            <w:r>
              <w:rPr>
                <w:rFonts w:ascii="Arial" w:cs="Arial" w:eastAsia="Arial" w:hAnsi="Arial"/>
                <w:sz w:val="14"/>
                <w:szCs w:val="14"/>
                <w:b w:val="1"/>
                <w:bCs w:val="1"/>
                <w:color w:val="auto"/>
                <w:w w:val="92"/>
              </w:rPr>
              <w:t>Fixed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Receive</w:t>
            </w:r>
          </w:p>
        </w:tc>
        <w:tc>
          <w:tcPr>
            <w:tcW w:w="16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Estimated</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Maturity</w:t>
            </w:r>
          </w:p>
        </w:tc>
        <w:tc>
          <w:tcPr>
            <w:tcW w:w="0" w:type="dxa"/>
            <w:vAlign w:val="bottom"/>
          </w:tcPr>
          <w:p>
            <w:pPr>
              <w:spacing w:after="0"/>
              <w:rPr>
                <w:sz w:val="1"/>
                <w:szCs w:val="1"/>
                <w:color w:val="auto"/>
              </w:rPr>
            </w:pPr>
          </w:p>
        </w:tc>
      </w:tr>
      <w:tr>
        <w:trPr>
          <w:trHeight w:val="192"/>
        </w:trPr>
        <w:tc>
          <w:tcPr>
            <w:tcW w:w="5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 xml:space="preserve">Amount </w:t>
            </w:r>
            <w:r>
              <w:rPr>
                <w:rFonts w:ascii="Arial" w:cs="Arial" w:eastAsia="Arial" w:hAnsi="Arial"/>
                <w:sz w:val="8"/>
                <w:szCs w:val="8"/>
                <w:b w:val="1"/>
                <w:bCs w:val="1"/>
                <w:color w:val="auto"/>
              </w:rPr>
              <w:t>1</w:t>
            </w:r>
          </w:p>
        </w:tc>
        <w:tc>
          <w:tcPr>
            <w:tcW w:w="1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center"/>
              <w:ind w:left="42"/>
              <w:spacing w:after="0"/>
              <w:rPr>
                <w:sz w:val="20"/>
                <w:szCs w:val="20"/>
                <w:color w:val="auto"/>
              </w:rPr>
            </w:pPr>
            <w:r>
              <w:rPr>
                <w:rFonts w:ascii="Arial" w:cs="Arial" w:eastAsia="Arial" w:hAnsi="Arial"/>
                <w:sz w:val="14"/>
                <w:szCs w:val="14"/>
                <w:b w:val="1"/>
                <w:bCs w:val="1"/>
                <w:color w:val="auto"/>
                <w:w w:val="94"/>
              </w:rPr>
              <w:t xml:space="preserve">Pay Rate </w:t>
            </w:r>
            <w:r>
              <w:rPr>
                <w:rFonts w:ascii="Arial" w:cs="Arial" w:eastAsia="Arial" w:hAnsi="Arial"/>
                <w:sz w:val="8"/>
                <w:szCs w:val="8"/>
                <w:b w:val="1"/>
                <w:bCs w:val="1"/>
                <w:color w:val="auto"/>
                <w:w w:val="94"/>
              </w:rPr>
              <w:t>2</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 xml:space="preserve">Rate </w:t>
            </w:r>
            <w:r>
              <w:rPr>
                <w:rFonts w:ascii="Arial" w:cs="Arial" w:eastAsia="Arial" w:hAnsi="Arial"/>
                <w:sz w:val="8"/>
                <w:szCs w:val="8"/>
                <w:b w:val="1"/>
                <w:bCs w:val="1"/>
                <w:color w:val="auto"/>
                <w:w w:val="98"/>
              </w:rPr>
              <w:t>3</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8"/>
              </w:rPr>
              <w:t>Fair Value</w:t>
            </w: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236"/>
        </w:trPr>
        <w:tc>
          <w:tcPr>
            <w:tcW w:w="5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 3 years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14,775</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center"/>
              <w:ind w:left="22"/>
              <w:spacing w:after="0"/>
              <w:rPr>
                <w:sz w:val="20"/>
                <w:szCs w:val="20"/>
                <w:color w:val="auto"/>
              </w:rPr>
            </w:pPr>
            <w:r>
              <w:rPr>
                <w:rFonts w:ascii="Arial" w:cs="Arial" w:eastAsia="Arial" w:hAnsi="Arial"/>
                <w:sz w:val="16"/>
                <w:szCs w:val="16"/>
                <w:color w:val="auto"/>
                <w:w w:val="92"/>
              </w:rPr>
              <w:t>1.06%</w:t>
            </w:r>
          </w:p>
        </w:tc>
        <w:tc>
          <w:tcPr>
            <w:tcW w:w="1240" w:type="dxa"/>
            <w:vAlign w:val="bottom"/>
            <w:tcBorders>
              <w:bottom w:val="single" w:sz="8" w:color="CCEEFF"/>
            </w:tcBorders>
            <w:gridSpan w:val="3"/>
            <w:shd w:val="clear" w:color="auto" w:fill="CCEEFF"/>
          </w:tcPr>
          <w:p>
            <w:pPr>
              <w:jc w:val="center"/>
              <w:ind w:left="140"/>
              <w:spacing w:after="0"/>
              <w:rPr>
                <w:sz w:val="20"/>
                <w:szCs w:val="20"/>
                <w:color w:val="auto"/>
              </w:rPr>
            </w:pPr>
            <w:r>
              <w:rPr>
                <w:rFonts w:ascii="Arial" w:cs="Arial" w:eastAsia="Arial" w:hAnsi="Arial"/>
                <w:sz w:val="16"/>
                <w:szCs w:val="16"/>
                <w:color w:val="auto"/>
                <w:w w:val="92"/>
              </w:rPr>
              <w:t>0.40%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1.6</w:t>
            </w:r>
          </w:p>
        </w:tc>
        <w:tc>
          <w:tcPr>
            <w:tcW w:w="0" w:type="dxa"/>
            <w:vAlign w:val="bottom"/>
          </w:tcPr>
          <w:p>
            <w:pPr>
              <w:spacing w:after="0"/>
              <w:rPr>
                <w:sz w:val="1"/>
                <w:szCs w:val="1"/>
                <w:color w:val="auto"/>
              </w:rPr>
            </w:pPr>
          </w:p>
        </w:tc>
      </w:tr>
      <w:tr>
        <w:trPr>
          <w:trHeight w:val="237"/>
        </w:trPr>
        <w:tc>
          <w:tcPr>
            <w:tcW w:w="5920" w:type="dxa"/>
            <w:vAlign w:val="bottom"/>
            <w:gridSpan w:val="2"/>
          </w:tcPr>
          <w:p>
            <w:pPr>
              <w:ind w:left="20"/>
              <w:spacing w:after="0"/>
              <w:rPr>
                <w:sz w:val="20"/>
                <w:szCs w:val="20"/>
                <w:color w:val="auto"/>
              </w:rPr>
            </w:pPr>
            <w:r>
              <w:rPr>
                <w:rFonts w:ascii="Arial" w:cs="Arial" w:eastAsia="Arial" w:hAnsi="Arial"/>
                <w:sz w:val="16"/>
                <w:szCs w:val="16"/>
                <w:color w:val="auto"/>
              </w:rPr>
              <w:t>&gt; 3 to ≤ 5 years</w:t>
            </w:r>
          </w:p>
        </w:tc>
        <w:tc>
          <w:tcPr>
            <w:tcW w:w="160" w:type="dxa"/>
            <w:vAlign w:val="bottom"/>
          </w:tcPr>
          <w:p>
            <w:pPr>
              <w:spacing w:after="0"/>
              <w:rPr>
                <w:sz w:val="20"/>
                <w:szCs w:val="20"/>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9,950</w:t>
            </w:r>
          </w:p>
        </w:tc>
        <w:tc>
          <w:tcPr>
            <w:tcW w:w="120" w:type="dxa"/>
            <w:vAlign w:val="bottom"/>
          </w:tcPr>
          <w:p>
            <w:pPr>
              <w:spacing w:after="0"/>
              <w:rPr>
                <w:sz w:val="20"/>
                <w:szCs w:val="20"/>
                <w:color w:val="auto"/>
              </w:rPr>
            </w:pPr>
          </w:p>
        </w:tc>
        <w:tc>
          <w:tcPr>
            <w:tcW w:w="920" w:type="dxa"/>
            <w:vAlign w:val="bottom"/>
          </w:tcPr>
          <w:p>
            <w:pPr>
              <w:jc w:val="center"/>
              <w:ind w:left="22"/>
              <w:spacing w:after="0"/>
              <w:rPr>
                <w:sz w:val="20"/>
                <w:szCs w:val="20"/>
                <w:color w:val="auto"/>
              </w:rPr>
            </w:pPr>
            <w:r>
              <w:rPr>
                <w:rFonts w:ascii="Arial" w:cs="Arial" w:eastAsia="Arial" w:hAnsi="Arial"/>
                <w:sz w:val="16"/>
                <w:szCs w:val="16"/>
                <w:color w:val="auto"/>
                <w:w w:val="92"/>
              </w:rPr>
              <w:t>2.03%</w:t>
            </w:r>
          </w:p>
        </w:tc>
        <w:tc>
          <w:tcPr>
            <w:tcW w:w="1240" w:type="dxa"/>
            <w:vAlign w:val="bottom"/>
            <w:gridSpan w:val="3"/>
          </w:tcPr>
          <w:p>
            <w:pPr>
              <w:jc w:val="center"/>
              <w:ind w:left="140"/>
              <w:spacing w:after="0"/>
              <w:rPr>
                <w:sz w:val="20"/>
                <w:szCs w:val="20"/>
                <w:color w:val="auto"/>
              </w:rPr>
            </w:pPr>
            <w:r>
              <w:rPr>
                <w:rFonts w:ascii="Arial" w:cs="Arial" w:eastAsia="Arial" w:hAnsi="Arial"/>
                <w:sz w:val="16"/>
                <w:szCs w:val="16"/>
                <w:color w:val="auto"/>
                <w:w w:val="92"/>
              </w:rPr>
              <w:t>0.40%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(203)</w:t>
            </w:r>
          </w:p>
        </w:tc>
        <w:tc>
          <w:tcPr>
            <w:tcW w:w="12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89"/>
              </w:rPr>
              <w:t>4.0</w:t>
            </w:r>
          </w:p>
        </w:tc>
        <w:tc>
          <w:tcPr>
            <w:tcW w:w="0" w:type="dxa"/>
            <w:vAlign w:val="bottom"/>
          </w:tcPr>
          <w:p>
            <w:pPr>
              <w:spacing w:after="0"/>
              <w:rPr>
                <w:sz w:val="1"/>
                <w:szCs w:val="1"/>
                <w:color w:val="auto"/>
              </w:rPr>
            </w:pPr>
          </w:p>
        </w:tc>
      </w:tr>
      <w:tr>
        <w:trPr>
          <w:trHeight w:val="33"/>
        </w:trPr>
        <w:tc>
          <w:tcPr>
            <w:tcW w:w="5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&gt; 5 to ≤ 7 years</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7,175</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center"/>
              <w:ind w:left="22"/>
              <w:spacing w:after="0"/>
              <w:rPr>
                <w:sz w:val="20"/>
                <w:szCs w:val="20"/>
                <w:color w:val="auto"/>
              </w:rPr>
            </w:pPr>
            <w:r>
              <w:rPr>
                <w:rFonts w:ascii="Arial" w:cs="Arial" w:eastAsia="Arial" w:hAnsi="Arial"/>
                <w:sz w:val="16"/>
                <w:szCs w:val="16"/>
                <w:color w:val="auto"/>
                <w:w w:val="92"/>
              </w:rPr>
              <w:t>2.47%</w:t>
            </w:r>
          </w:p>
        </w:tc>
        <w:tc>
          <w:tcPr>
            <w:tcW w:w="1240" w:type="dxa"/>
            <w:vAlign w:val="bottom"/>
            <w:tcBorders>
              <w:bottom w:val="single" w:sz="8" w:color="CCEEFF"/>
            </w:tcBorders>
            <w:gridSpan w:val="3"/>
            <w:shd w:val="clear" w:color="auto" w:fill="CCEEFF"/>
          </w:tcPr>
          <w:p>
            <w:pPr>
              <w:jc w:val="center"/>
              <w:ind w:left="140"/>
              <w:spacing w:after="0"/>
              <w:rPr>
                <w:sz w:val="20"/>
                <w:szCs w:val="20"/>
                <w:color w:val="auto"/>
              </w:rPr>
            </w:pPr>
            <w:r>
              <w:rPr>
                <w:rFonts w:ascii="Arial" w:cs="Arial" w:eastAsia="Arial" w:hAnsi="Arial"/>
                <w:sz w:val="16"/>
                <w:szCs w:val="16"/>
                <w:color w:val="auto"/>
                <w:w w:val="92"/>
              </w:rPr>
              <w:t>0.44%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(230)</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6.1</w:t>
            </w:r>
          </w:p>
        </w:tc>
        <w:tc>
          <w:tcPr>
            <w:tcW w:w="0" w:type="dxa"/>
            <w:vAlign w:val="bottom"/>
          </w:tcPr>
          <w:p>
            <w:pPr>
              <w:spacing w:after="0"/>
              <w:rPr>
                <w:sz w:val="1"/>
                <w:szCs w:val="1"/>
                <w:color w:val="auto"/>
              </w:rPr>
            </w:pPr>
          </w:p>
        </w:tc>
      </w:tr>
      <w:tr>
        <w:trPr>
          <w:trHeight w:val="237"/>
        </w:trPr>
        <w:tc>
          <w:tcPr>
            <w:tcW w:w="5920" w:type="dxa"/>
            <w:vAlign w:val="bottom"/>
            <w:gridSpan w:val="2"/>
          </w:tcPr>
          <w:p>
            <w:pPr>
              <w:ind w:left="20"/>
              <w:spacing w:after="0"/>
              <w:rPr>
                <w:sz w:val="20"/>
                <w:szCs w:val="20"/>
                <w:color w:val="auto"/>
              </w:rPr>
            </w:pPr>
            <w:r>
              <w:rPr>
                <w:rFonts w:ascii="Arial" w:cs="Arial" w:eastAsia="Arial" w:hAnsi="Arial"/>
                <w:sz w:val="16"/>
                <w:szCs w:val="16"/>
                <w:color w:val="auto"/>
              </w:rPr>
              <w:t>&gt; 7 to ≤ 10 years</w:t>
            </w:r>
          </w:p>
        </w:tc>
        <w:tc>
          <w:tcPr>
            <w:tcW w:w="160" w:type="dxa"/>
            <w:vAlign w:val="bottom"/>
          </w:tcPr>
          <w:p>
            <w:pPr>
              <w:spacing w:after="0"/>
              <w:rPr>
                <w:sz w:val="20"/>
                <w:szCs w:val="20"/>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7,450</w:t>
            </w:r>
          </w:p>
        </w:tc>
        <w:tc>
          <w:tcPr>
            <w:tcW w:w="120" w:type="dxa"/>
            <w:vAlign w:val="bottom"/>
          </w:tcPr>
          <w:p>
            <w:pPr>
              <w:spacing w:after="0"/>
              <w:rPr>
                <w:sz w:val="20"/>
                <w:szCs w:val="20"/>
                <w:color w:val="auto"/>
              </w:rPr>
            </w:pPr>
          </w:p>
        </w:tc>
        <w:tc>
          <w:tcPr>
            <w:tcW w:w="920" w:type="dxa"/>
            <w:vAlign w:val="bottom"/>
          </w:tcPr>
          <w:p>
            <w:pPr>
              <w:jc w:val="center"/>
              <w:ind w:left="22"/>
              <w:spacing w:after="0"/>
              <w:rPr>
                <w:sz w:val="20"/>
                <w:szCs w:val="20"/>
                <w:color w:val="auto"/>
              </w:rPr>
            </w:pPr>
            <w:r>
              <w:rPr>
                <w:rFonts w:ascii="Arial" w:cs="Arial" w:eastAsia="Arial" w:hAnsi="Arial"/>
                <w:sz w:val="16"/>
                <w:szCs w:val="16"/>
                <w:color w:val="auto"/>
                <w:w w:val="92"/>
              </w:rPr>
              <w:t>2.57%</w:t>
            </w:r>
          </w:p>
        </w:tc>
        <w:tc>
          <w:tcPr>
            <w:tcW w:w="1240" w:type="dxa"/>
            <w:vAlign w:val="bottom"/>
            <w:gridSpan w:val="3"/>
          </w:tcPr>
          <w:p>
            <w:pPr>
              <w:jc w:val="center"/>
              <w:ind w:left="140"/>
              <w:spacing w:after="0"/>
              <w:rPr>
                <w:sz w:val="20"/>
                <w:szCs w:val="20"/>
                <w:color w:val="auto"/>
              </w:rPr>
            </w:pPr>
            <w:r>
              <w:rPr>
                <w:rFonts w:ascii="Arial" w:cs="Arial" w:eastAsia="Arial" w:hAnsi="Arial"/>
                <w:sz w:val="16"/>
                <w:szCs w:val="16"/>
                <w:color w:val="auto"/>
                <w:w w:val="92"/>
              </w:rPr>
              <w:t>0.39%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(342)</w:t>
            </w:r>
          </w:p>
        </w:tc>
        <w:tc>
          <w:tcPr>
            <w:tcW w:w="12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89"/>
              </w:rPr>
              <w:t>8.3</w:t>
            </w:r>
          </w:p>
        </w:tc>
        <w:tc>
          <w:tcPr>
            <w:tcW w:w="0" w:type="dxa"/>
            <w:vAlign w:val="bottom"/>
          </w:tcPr>
          <w:p>
            <w:pPr>
              <w:spacing w:after="0"/>
              <w:rPr>
                <w:sz w:val="1"/>
                <w:szCs w:val="1"/>
                <w:color w:val="auto"/>
              </w:rPr>
            </w:pPr>
          </w:p>
        </w:tc>
      </w:tr>
      <w:tr>
        <w:trPr>
          <w:trHeight w:val="33"/>
        </w:trPr>
        <w:tc>
          <w:tcPr>
            <w:tcW w:w="5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&gt; 10 years</w:t>
            </w: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1,175</w:t>
            </w: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center"/>
              <w:ind w:left="22"/>
              <w:spacing w:after="0"/>
              <w:rPr>
                <w:sz w:val="20"/>
                <w:szCs w:val="20"/>
                <w:color w:val="auto"/>
              </w:rPr>
            </w:pPr>
            <w:r>
              <w:rPr>
                <w:rFonts w:ascii="Arial" w:cs="Arial" w:eastAsia="Arial" w:hAnsi="Arial"/>
                <w:sz w:val="16"/>
                <w:szCs w:val="16"/>
                <w:color w:val="auto"/>
                <w:w w:val="92"/>
              </w:rPr>
              <w:t>3.20%</w:t>
            </w:r>
          </w:p>
        </w:tc>
        <w:tc>
          <w:tcPr>
            <w:tcW w:w="1240" w:type="dxa"/>
            <w:vAlign w:val="bottom"/>
            <w:tcBorders>
              <w:bottom w:val="single" w:sz="8" w:color="CCEEFF"/>
            </w:tcBorders>
            <w:gridSpan w:val="3"/>
            <w:shd w:val="clear" w:color="auto" w:fill="CCEEFF"/>
          </w:tcPr>
          <w:p>
            <w:pPr>
              <w:jc w:val="center"/>
              <w:ind w:left="140"/>
              <w:spacing w:after="0"/>
              <w:rPr>
                <w:sz w:val="20"/>
                <w:szCs w:val="20"/>
                <w:color w:val="auto"/>
              </w:rPr>
            </w:pPr>
            <w:r>
              <w:rPr>
                <w:rFonts w:ascii="Arial" w:cs="Arial" w:eastAsia="Arial" w:hAnsi="Arial"/>
                <w:sz w:val="16"/>
                <w:szCs w:val="16"/>
                <w:color w:val="auto"/>
                <w:w w:val="92"/>
              </w:rPr>
              <w:t>0.39%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14.7</w:t>
            </w:r>
          </w:p>
        </w:tc>
        <w:tc>
          <w:tcPr>
            <w:tcW w:w="0" w:type="dxa"/>
            <w:vAlign w:val="bottom"/>
          </w:tcPr>
          <w:p>
            <w:pPr>
              <w:spacing w:after="0"/>
              <w:rPr>
                <w:sz w:val="1"/>
                <w:szCs w:val="1"/>
                <w:color w:val="auto"/>
              </w:rPr>
            </w:pPr>
          </w:p>
        </w:tc>
      </w:tr>
      <w:tr>
        <w:trPr>
          <w:trHeight w:val="244"/>
        </w:trPr>
        <w:tc>
          <w:tcPr>
            <w:tcW w:w="5920" w:type="dxa"/>
            <w:vAlign w:val="bottom"/>
            <w:gridSpan w:val="2"/>
          </w:tcPr>
          <w:p>
            <w:pPr>
              <w:ind w:left="20"/>
              <w:spacing w:after="0"/>
              <w:rPr>
                <w:sz w:val="20"/>
                <w:szCs w:val="20"/>
                <w:color w:val="auto"/>
              </w:rPr>
            </w:pPr>
            <w:r>
              <w:rPr>
                <w:rFonts w:ascii="Arial" w:cs="Arial" w:eastAsia="Arial" w:hAnsi="Arial"/>
                <w:sz w:val="16"/>
                <w:szCs w:val="16"/>
                <w:color w:val="auto"/>
              </w:rPr>
              <w:t>Total payer interest rate swaps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40,525</w:t>
            </w:r>
          </w:p>
        </w:tc>
        <w:tc>
          <w:tcPr>
            <w:tcW w:w="120" w:type="dxa"/>
            <w:vAlign w:val="bottom"/>
          </w:tcPr>
          <w:p>
            <w:pPr>
              <w:spacing w:after="0"/>
              <w:rPr>
                <w:sz w:val="21"/>
                <w:szCs w:val="21"/>
                <w:color w:val="auto"/>
              </w:rPr>
            </w:pPr>
          </w:p>
        </w:tc>
        <w:tc>
          <w:tcPr>
            <w:tcW w:w="920" w:type="dxa"/>
            <w:vAlign w:val="bottom"/>
            <w:tcBorders>
              <w:top w:val="single" w:sz="8" w:color="auto"/>
              <w:bottom w:val="single" w:sz="8" w:color="auto"/>
            </w:tcBorders>
          </w:tcPr>
          <w:p>
            <w:pPr>
              <w:jc w:val="center"/>
              <w:ind w:left="22"/>
              <w:spacing w:after="0"/>
              <w:rPr>
                <w:sz w:val="20"/>
                <w:szCs w:val="20"/>
                <w:color w:val="auto"/>
              </w:rPr>
            </w:pPr>
            <w:r>
              <w:rPr>
                <w:rFonts w:ascii="Arial" w:cs="Arial" w:eastAsia="Arial" w:hAnsi="Arial"/>
                <w:sz w:val="16"/>
                <w:szCs w:val="16"/>
                <w:color w:val="auto"/>
                <w:w w:val="92"/>
              </w:rPr>
              <w:t>1.89%</w:t>
            </w:r>
          </w:p>
        </w:tc>
        <w:tc>
          <w:tcPr>
            <w:tcW w:w="100" w:type="dxa"/>
            <w:vAlign w:val="bottom"/>
            <w:tcBorders>
              <w:top w:val="single" w:sz="8" w:color="auto"/>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92"/>
              </w:rPr>
              <w:t>0.40%</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(889)</w:t>
            </w:r>
          </w:p>
        </w:tc>
        <w:tc>
          <w:tcPr>
            <w:tcW w:w="120" w:type="dxa"/>
            <w:vAlign w:val="bottom"/>
          </w:tcPr>
          <w:p>
            <w:pPr>
              <w:spacing w:after="0"/>
              <w:rPr>
                <w:sz w:val="21"/>
                <w:szCs w:val="21"/>
                <w:color w:val="auto"/>
              </w:rPr>
            </w:pPr>
          </w:p>
        </w:tc>
        <w:tc>
          <w:tcPr>
            <w:tcW w:w="9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89"/>
              </w:rPr>
              <w:t>4.6</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84" w:right="239" w:bottom="1440" w:gutter="0" w:footer="0" w:header="0"/>
          <w:type w:val="continuous"/>
        </w:sectPr>
      </w:pPr>
    </w:p>
    <w:bookmarkStart w:id="17" w:name="page18"/>
    <w:bookmarkEnd w:id="17"/>
    <w:p>
      <w:pPr>
        <w:ind w:left="140"/>
        <w:spacing w:after="0"/>
        <w:rPr>
          <w:sz w:val="20"/>
          <w:szCs w:val="20"/>
          <w:color w:val="auto"/>
        </w:rPr>
      </w:pPr>
      <w:r>
        <w:rPr>
          <w:rFonts w:ascii="Arial" w:cs="Arial" w:eastAsia="Arial" w:hAnsi="Arial"/>
          <w:sz w:val="18"/>
          <w:szCs w:val="18"/>
          <w:color w:val="auto"/>
        </w:rPr>
        <w:t>________________________</w:t>
      </w:r>
    </w:p>
    <w:p>
      <w:pPr>
        <w:spacing w:after="0" w:line="17"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4"/>
          <w:szCs w:val="14"/>
          <w:color w:val="auto"/>
        </w:rPr>
      </w:pPr>
      <w:r>
        <w:rPr>
          <w:rFonts w:ascii="Arial" w:cs="Arial" w:eastAsia="Arial" w:hAnsi="Arial"/>
          <w:sz w:val="14"/>
          <w:szCs w:val="14"/>
          <w:color w:val="auto"/>
        </w:rPr>
        <w:t>Notional amount includes forward starting swaps of $4.5 billion with an average forward start date of 0.7 years and an average maturity of 5.5 years from December 31, 2015.</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8"/>
        </w:numPr>
        <w:rPr>
          <w:rFonts w:ascii="Arial" w:cs="Arial" w:eastAsia="Arial" w:hAnsi="Arial"/>
          <w:sz w:val="14"/>
          <w:szCs w:val="14"/>
          <w:color w:val="auto"/>
        </w:rPr>
      </w:pPr>
      <w:r>
        <w:rPr>
          <w:rFonts w:ascii="Arial" w:cs="Arial" w:eastAsia="Arial" w:hAnsi="Arial"/>
          <w:sz w:val="14"/>
          <w:szCs w:val="14"/>
          <w:color w:val="auto"/>
        </w:rPr>
        <w:t>Average fixed pay rate includes forward starting swaps. Excluding forward starting swaps, the average fixed pay rate was 1.75% as of December 31, 2015.</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8"/>
        </w:numPr>
        <w:rPr>
          <w:rFonts w:ascii="Arial" w:cs="Arial" w:eastAsia="Arial" w:hAnsi="Arial"/>
          <w:sz w:val="14"/>
          <w:szCs w:val="14"/>
          <w:color w:val="auto"/>
        </w:rPr>
      </w:pPr>
      <w:r>
        <w:rPr>
          <w:rFonts w:ascii="Arial" w:cs="Arial" w:eastAsia="Arial" w:hAnsi="Arial"/>
          <w:sz w:val="14"/>
          <w:szCs w:val="14"/>
          <w:color w:val="auto"/>
        </w:rPr>
        <w:t>Average receive rate excludes forward starting swaps.</w:t>
      </w:r>
    </w:p>
    <w:p>
      <w:pPr>
        <w:spacing w:after="0" w:line="318"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following table summarizes our interest rate payer swaption agreements outstanding as of June 30, 2016 and December 31, 2015 (dollars in millions):</w:t>
      </w:r>
    </w:p>
    <w:p>
      <w:pPr>
        <w:spacing w:after="0" w:line="338"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3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Payer Swaptions</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7"/>
              </w:rPr>
              <w:t>Option</w:t>
            </w:r>
          </w:p>
        </w:tc>
        <w:tc>
          <w:tcPr>
            <w:tcW w:w="10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rPr>
              <w:t>Underlying Payer Swap</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Average Fixed</w:t>
            </w:r>
          </w:p>
        </w:tc>
        <w:tc>
          <w:tcPr>
            <w:tcW w:w="112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0"/>
              </w:rPr>
              <w:t>Average</w:t>
            </w: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Average</w:t>
            </w:r>
          </w:p>
        </w:tc>
        <w:tc>
          <w:tcPr>
            <w:tcW w:w="0" w:type="dxa"/>
            <w:vAlign w:val="bottom"/>
          </w:tcPr>
          <w:p>
            <w:pPr>
              <w:spacing w:after="0"/>
              <w:rPr>
                <w:sz w:val="1"/>
                <w:szCs w:val="1"/>
                <w:color w:val="auto"/>
              </w:rPr>
            </w:pPr>
          </w:p>
        </w:tc>
      </w:tr>
      <w:tr>
        <w:trPr>
          <w:trHeight w:val="149"/>
        </w:trPr>
        <w:tc>
          <w:tcPr>
            <w:tcW w:w="3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Fair</w:t>
            </w:r>
          </w:p>
        </w:tc>
        <w:tc>
          <w:tcPr>
            <w:tcW w:w="11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Notional</w:t>
            </w:r>
          </w:p>
        </w:tc>
        <w:tc>
          <w:tcPr>
            <w:tcW w:w="1120" w:type="dxa"/>
            <w:vAlign w:val="bottom"/>
            <w:gridSpan w:val="2"/>
            <w:vMerge w:val="continue"/>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Receive</w:t>
            </w: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Years to Expiration</w:t>
            </w:r>
          </w:p>
        </w:tc>
        <w:tc>
          <w:tcPr>
            <w:tcW w:w="12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vMerge w:val="restart"/>
          </w:tcPr>
          <w:p>
            <w:pPr>
              <w:jc w:val="right"/>
              <w:ind w:right="302"/>
              <w:spacing w:after="0"/>
              <w:rPr>
                <w:sz w:val="20"/>
                <w:szCs w:val="20"/>
                <w:color w:val="auto"/>
              </w:rPr>
            </w:pPr>
            <w:r>
              <w:rPr>
                <w:rFonts w:ascii="Arial" w:cs="Arial" w:eastAsia="Arial" w:hAnsi="Arial"/>
                <w:sz w:val="14"/>
                <w:szCs w:val="14"/>
                <w:b w:val="1"/>
                <w:bCs w:val="1"/>
                <w:color w:val="auto"/>
              </w:rPr>
              <w:t>Cost</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Months to</w:t>
            </w:r>
          </w:p>
        </w:tc>
        <w:tc>
          <w:tcPr>
            <w:tcW w:w="1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Pay</w:t>
            </w: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Rate</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Term</w:t>
            </w:r>
          </w:p>
        </w:tc>
        <w:tc>
          <w:tcPr>
            <w:tcW w:w="0" w:type="dxa"/>
            <w:vAlign w:val="bottom"/>
          </w:tcPr>
          <w:p>
            <w:pPr>
              <w:spacing w:after="0"/>
              <w:rPr>
                <w:sz w:val="1"/>
                <w:szCs w:val="1"/>
                <w:color w:val="auto"/>
              </w:rPr>
            </w:pPr>
          </w:p>
        </w:tc>
      </w:tr>
      <w:tr>
        <w:trPr>
          <w:trHeight w:val="192"/>
        </w:trPr>
        <w:tc>
          <w:tcPr>
            <w:tcW w:w="34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b w:val="1"/>
                <w:bCs w:val="1"/>
                <w:color w:val="auto"/>
                <w:w w:val="96"/>
              </w:rPr>
              <w:t>Value</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Expiration</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83"/>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(LIBOR)</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June 30, 2016</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0"/>
        </w:trPr>
        <w:tc>
          <w:tcPr>
            <w:tcW w:w="3540" w:type="dxa"/>
            <w:vAlign w:val="bottom"/>
            <w:gridSpan w:val="2"/>
          </w:tcPr>
          <w:p>
            <w:pPr>
              <w:ind w:left="20"/>
              <w:spacing w:after="0"/>
              <w:rPr>
                <w:sz w:val="20"/>
                <w:szCs w:val="20"/>
                <w:color w:val="auto"/>
              </w:rPr>
            </w:pPr>
            <w:r>
              <w:rPr>
                <w:rFonts w:ascii="Arial" w:cs="Arial" w:eastAsia="Arial" w:hAnsi="Arial"/>
                <w:sz w:val="16"/>
                <w:szCs w:val="16"/>
                <w:color w:val="auto"/>
              </w:rPr>
              <w:t>Total ≤ 1 year</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42"/>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44"/>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43"/>
              <w:spacing w:after="0"/>
              <w:rPr>
                <w:sz w:val="20"/>
                <w:szCs w:val="20"/>
                <w:color w:val="auto"/>
              </w:rPr>
            </w:pPr>
            <w:r>
              <w:rPr>
                <w:rFonts w:ascii="Arial" w:cs="Arial" w:eastAsia="Arial" w:hAnsi="Arial"/>
                <w:sz w:val="16"/>
                <w:szCs w:val="16"/>
                <w:color w:val="auto"/>
              </w:rPr>
              <w:t>1,050</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2"/>
              </w:rPr>
              <w:t>3.38%</w:t>
            </w:r>
          </w:p>
        </w:tc>
        <w:tc>
          <w:tcPr>
            <w:tcW w:w="100" w:type="dxa"/>
            <w:vAlign w:val="bottom"/>
          </w:tcPr>
          <w:p>
            <w:pPr>
              <w:spacing w:after="0"/>
              <w:rPr>
                <w:sz w:val="24"/>
                <w:szCs w:val="24"/>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6"/>
                <w:szCs w:val="16"/>
                <w:color w:val="auto"/>
              </w:rPr>
              <w:t>3M</w:t>
            </w: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6.7</w:t>
            </w:r>
          </w:p>
        </w:tc>
        <w:tc>
          <w:tcPr>
            <w:tcW w:w="0" w:type="dxa"/>
            <w:vAlign w:val="bottom"/>
          </w:tcPr>
          <w:p>
            <w:pPr>
              <w:spacing w:after="0"/>
              <w:rPr>
                <w:sz w:val="1"/>
                <w:szCs w:val="1"/>
                <w:color w:val="auto"/>
              </w:rPr>
            </w:pPr>
          </w:p>
        </w:tc>
      </w:tr>
      <w:tr>
        <w:trPr>
          <w:trHeight w:val="284"/>
        </w:trPr>
        <w:tc>
          <w:tcPr>
            <w:tcW w:w="342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240" w:type="dxa"/>
            <w:vAlign w:val="bottom"/>
            <w:tcBorders>
              <w:top w:val="single" w:sz="8" w:color="auto"/>
            </w:tcBorders>
            <w:shd w:val="clear" w:color="auto" w:fill="CCEEFF"/>
          </w:tcPr>
          <w:p>
            <w:pPr>
              <w:spacing w:after="0"/>
              <w:rPr>
                <w:sz w:val="24"/>
                <w:szCs w:val="24"/>
                <w:color w:val="auto"/>
              </w:rPr>
            </w:pPr>
          </w:p>
        </w:tc>
        <w:tc>
          <w:tcPr>
            <w:tcW w:w="80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200" w:type="dxa"/>
            <w:vAlign w:val="bottom"/>
            <w:tcBorders>
              <w:top w:val="single" w:sz="8" w:color="auto"/>
            </w:tcBorders>
            <w:shd w:val="clear" w:color="auto" w:fill="CCEEFF"/>
          </w:tcPr>
          <w:p>
            <w:pPr>
              <w:spacing w:after="0"/>
              <w:rPr>
                <w:sz w:val="24"/>
                <w:szCs w:val="24"/>
                <w:color w:val="auto"/>
              </w:rPr>
            </w:pPr>
          </w:p>
        </w:tc>
        <w:tc>
          <w:tcPr>
            <w:tcW w:w="84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02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60" w:type="dxa"/>
            <w:vAlign w:val="bottom"/>
            <w:tcBorders>
              <w:top w:val="single" w:sz="8" w:color="auto"/>
            </w:tcBorders>
            <w:shd w:val="clear" w:color="auto" w:fill="CCEEFF"/>
          </w:tcPr>
          <w:p>
            <w:pPr>
              <w:spacing w:after="0"/>
              <w:rPr>
                <w:sz w:val="24"/>
                <w:szCs w:val="24"/>
                <w:color w:val="auto"/>
              </w:rPr>
            </w:pPr>
          </w:p>
        </w:tc>
        <w:tc>
          <w:tcPr>
            <w:tcW w:w="84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02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02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020" w:type="dxa"/>
            <w:vAlign w:val="bottom"/>
            <w:tcBorders>
              <w:top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540" w:type="dxa"/>
            <w:vAlign w:val="bottom"/>
            <w:gridSpan w:val="2"/>
          </w:tcPr>
          <w:p>
            <w:pPr>
              <w:ind w:left="20"/>
              <w:spacing w:after="0"/>
              <w:rPr>
                <w:sz w:val="20"/>
                <w:szCs w:val="20"/>
                <w:color w:val="auto"/>
              </w:rPr>
            </w:pPr>
            <w:r>
              <w:rPr>
                <w:rFonts w:ascii="Arial" w:cs="Arial" w:eastAsia="Arial" w:hAnsi="Arial"/>
                <w:sz w:val="16"/>
                <w:szCs w:val="16"/>
                <w:b w:val="1"/>
                <w:bCs w:val="1"/>
                <w:color w:val="auto"/>
              </w:rPr>
              <w:t>December 31, 2015</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 ≤ 1 year</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74</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17</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2,150</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3.51%</w:t>
            </w: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3M</w:t>
            </w: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7.0</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U.S. Treasury securities as of June 30, 2016 and December 31, 2015 (in millions):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June 30, 2016</w:t>
            </w: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December 31, 2015</w:t>
            </w: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0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Maturity</w:t>
            </w:r>
          </w:p>
        </w:tc>
        <w:tc>
          <w:tcPr>
            <w:tcW w:w="120" w:type="dxa"/>
            <w:vAlign w:val="bottom"/>
            <w:vMerge w:val="restart"/>
          </w:tcPr>
          <w:p>
            <w:pPr>
              <w:spacing w:after="0"/>
              <w:rPr>
                <w:sz w:val="13"/>
                <w:szCs w:val="13"/>
                <w:color w:val="auto"/>
              </w:rPr>
            </w:pPr>
          </w:p>
        </w:tc>
        <w:tc>
          <w:tcPr>
            <w:tcW w:w="1380" w:type="dxa"/>
            <w:vAlign w:val="bottom"/>
            <w:gridSpan w:val="3"/>
          </w:tcPr>
          <w:p>
            <w:pPr>
              <w:ind w:left="80"/>
              <w:spacing w:after="0" w:line="153" w:lineRule="exact"/>
              <w:rPr>
                <w:sz w:val="20"/>
                <w:szCs w:val="20"/>
                <w:color w:val="auto"/>
              </w:rPr>
            </w:pPr>
            <w:r>
              <w:rPr>
                <w:rFonts w:ascii="Arial" w:cs="Arial" w:eastAsia="Arial" w:hAnsi="Arial"/>
                <w:sz w:val="14"/>
                <w:szCs w:val="14"/>
                <w:b w:val="1"/>
                <w:bCs w:val="1"/>
                <w:color w:val="auto"/>
              </w:rPr>
              <w:t>Face Amount Net</w:t>
            </w:r>
          </w:p>
        </w:tc>
        <w:tc>
          <w:tcPr>
            <w:tcW w:w="140" w:type="dxa"/>
            <w:vAlign w:val="bottom"/>
          </w:tcPr>
          <w:p>
            <w:pPr>
              <w:spacing w:after="0"/>
              <w:rPr>
                <w:sz w:val="13"/>
                <w:szCs w:val="13"/>
                <w:color w:val="auto"/>
              </w:rPr>
            </w:pPr>
          </w:p>
        </w:tc>
        <w:tc>
          <w:tcPr>
            <w:tcW w:w="1080" w:type="dxa"/>
            <w:vAlign w:val="bottom"/>
            <w:vMerge w:val="restart"/>
          </w:tcPr>
          <w:p>
            <w:pPr>
              <w:jc w:val="right"/>
              <w:ind w:right="202"/>
              <w:spacing w:after="0"/>
              <w:rPr>
                <w:sz w:val="20"/>
                <w:szCs w:val="20"/>
                <w:color w:val="auto"/>
              </w:rPr>
            </w:pPr>
            <w:r>
              <w:rPr>
                <w:rFonts w:ascii="Arial" w:cs="Arial" w:eastAsia="Arial" w:hAnsi="Arial"/>
                <w:sz w:val="14"/>
                <w:szCs w:val="14"/>
                <w:b w:val="1"/>
                <w:bCs w:val="1"/>
                <w:color w:val="auto"/>
              </w:rPr>
              <w:t>Cost Basis</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vMerge w:val="restart"/>
          </w:tcPr>
          <w:p>
            <w:pPr>
              <w:jc w:val="right"/>
              <w:ind w:right="121"/>
              <w:spacing w:after="0"/>
              <w:rPr>
                <w:sz w:val="20"/>
                <w:szCs w:val="20"/>
                <w:color w:val="auto"/>
              </w:rPr>
            </w:pPr>
            <w:r>
              <w:rPr>
                <w:rFonts w:ascii="Arial" w:cs="Arial" w:eastAsia="Arial" w:hAnsi="Arial"/>
                <w:sz w:val="14"/>
                <w:szCs w:val="14"/>
                <w:b w:val="1"/>
                <w:bCs w:val="1"/>
                <w:color w:val="auto"/>
                <w:w w:val="99"/>
              </w:rPr>
              <w:t>Market Value</w:t>
            </w:r>
          </w:p>
        </w:tc>
        <w:tc>
          <w:tcPr>
            <w:tcW w:w="10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jc w:val="right"/>
              <w:ind w:right="42"/>
              <w:spacing w:after="0" w:line="153" w:lineRule="exact"/>
              <w:rPr>
                <w:sz w:val="20"/>
                <w:szCs w:val="20"/>
                <w:color w:val="auto"/>
              </w:rPr>
            </w:pPr>
            <w:r>
              <w:rPr>
                <w:rFonts w:ascii="Arial" w:cs="Arial" w:eastAsia="Arial" w:hAnsi="Arial"/>
                <w:sz w:val="14"/>
                <w:szCs w:val="14"/>
                <w:b w:val="1"/>
                <w:bCs w:val="1"/>
                <w:color w:val="auto"/>
                <w:w w:val="92"/>
              </w:rPr>
              <w:t>Face Amount Net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vMerge w:val="restart"/>
          </w:tcPr>
          <w:p>
            <w:pPr>
              <w:jc w:val="right"/>
              <w:ind w:right="201"/>
              <w:spacing w:after="0"/>
              <w:rPr>
                <w:sz w:val="20"/>
                <w:szCs w:val="20"/>
                <w:color w:val="auto"/>
              </w:rPr>
            </w:pPr>
            <w:r>
              <w:rPr>
                <w:rFonts w:ascii="Arial" w:cs="Arial" w:eastAsia="Arial" w:hAnsi="Arial"/>
                <w:sz w:val="14"/>
                <w:szCs w:val="14"/>
                <w:b w:val="1"/>
                <w:bCs w:val="1"/>
                <w:color w:val="auto"/>
                <w:w w:val="99"/>
              </w:rPr>
              <w:t>Cost Basis</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vMerge w:val="restart"/>
          </w:tcPr>
          <w:p>
            <w:pPr>
              <w:jc w:val="right"/>
              <w:ind w:right="101"/>
              <w:spacing w:after="0"/>
              <w:rPr>
                <w:sz w:val="20"/>
                <w:szCs w:val="20"/>
                <w:color w:val="auto"/>
              </w:rPr>
            </w:pPr>
            <w:r>
              <w:rPr>
                <w:rFonts w:ascii="Arial" w:cs="Arial" w:eastAsia="Arial" w:hAnsi="Arial"/>
                <w:sz w:val="14"/>
                <w:szCs w:val="14"/>
                <w:b w:val="1"/>
                <w:bCs w:val="1"/>
                <w:color w:val="auto"/>
                <w:w w:val="99"/>
              </w:rPr>
              <w:t>Market Value</w:t>
            </w:r>
          </w:p>
        </w:tc>
        <w:tc>
          <w:tcPr>
            <w:tcW w:w="0" w:type="dxa"/>
            <w:vAlign w:val="bottom"/>
          </w:tcPr>
          <w:p>
            <w:pPr>
              <w:spacing w:after="0"/>
              <w:rPr>
                <w:sz w:val="1"/>
                <w:szCs w:val="1"/>
                <w:color w:val="auto"/>
              </w:rPr>
            </w:pPr>
          </w:p>
        </w:tc>
      </w:tr>
      <w:tr>
        <w:trPr>
          <w:trHeight w:val="192"/>
        </w:trPr>
        <w:tc>
          <w:tcPr>
            <w:tcW w:w="3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w w:val="95"/>
              </w:rPr>
              <w:t>Long / (Short)</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Long / (Short)</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5 years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(500)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(249)</w:t>
            </w:r>
          </w:p>
        </w:tc>
        <w:tc>
          <w:tcPr>
            <w:tcW w:w="0" w:type="dxa"/>
            <w:vAlign w:val="bottom"/>
          </w:tcPr>
          <w:p>
            <w:pPr>
              <w:spacing w:after="0"/>
              <w:rPr>
                <w:sz w:val="1"/>
                <w:szCs w:val="1"/>
                <w:color w:val="auto"/>
              </w:rPr>
            </w:pPr>
          </w:p>
        </w:tc>
      </w:tr>
      <w:tr>
        <w:trPr>
          <w:trHeight w:val="237"/>
        </w:trPr>
        <w:tc>
          <w:tcPr>
            <w:tcW w:w="3140" w:type="dxa"/>
            <w:vAlign w:val="bottom"/>
            <w:gridSpan w:val="2"/>
          </w:tcPr>
          <w:p>
            <w:pPr>
              <w:ind w:left="40"/>
              <w:spacing w:after="0"/>
              <w:rPr>
                <w:sz w:val="20"/>
                <w:szCs w:val="20"/>
                <w:color w:val="auto"/>
              </w:rPr>
            </w:pPr>
            <w:r>
              <w:rPr>
                <w:rFonts w:ascii="Arial" w:cs="Arial" w:eastAsia="Arial" w:hAnsi="Arial"/>
                <w:sz w:val="16"/>
                <w:szCs w:val="16"/>
                <w:color w:val="auto"/>
              </w:rPr>
              <w:t>7 years</w:t>
            </w:r>
          </w:p>
        </w:tc>
        <w:tc>
          <w:tcPr>
            <w:tcW w:w="160" w:type="dxa"/>
            <w:vAlign w:val="bottom"/>
          </w:tcPr>
          <w:p>
            <w:pPr>
              <w:spacing w:after="0"/>
              <w:rPr>
                <w:sz w:val="20"/>
                <w:szCs w:val="20"/>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(1,668)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(1,662)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(1,703)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(354)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(353)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(352)</w:t>
            </w:r>
          </w:p>
        </w:tc>
        <w:tc>
          <w:tcPr>
            <w:tcW w:w="0" w:type="dxa"/>
            <w:vAlign w:val="bottom"/>
          </w:tcPr>
          <w:p>
            <w:pPr>
              <w:spacing w:after="0"/>
              <w:rPr>
                <w:sz w:val="1"/>
                <w:szCs w:val="1"/>
                <w:color w:val="auto"/>
              </w:rPr>
            </w:pPr>
          </w:p>
        </w:tc>
      </w:tr>
      <w:tr>
        <w:trPr>
          <w:trHeight w:val="33"/>
        </w:trPr>
        <w:tc>
          <w:tcPr>
            <w:tcW w:w="3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10 years</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(700)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(1,070)</w:t>
            </w:r>
          </w:p>
        </w:tc>
        <w:tc>
          <w:tcPr>
            <w:tcW w:w="0" w:type="dxa"/>
            <w:vAlign w:val="bottom"/>
          </w:tcPr>
          <w:p>
            <w:pPr>
              <w:spacing w:after="0"/>
              <w:rPr>
                <w:sz w:val="1"/>
                <w:szCs w:val="1"/>
                <w:color w:val="auto"/>
              </w:rPr>
            </w:pPr>
          </w:p>
        </w:tc>
      </w:tr>
      <w:tr>
        <w:trPr>
          <w:trHeight w:val="244"/>
        </w:trPr>
        <w:tc>
          <w:tcPr>
            <w:tcW w:w="3140" w:type="dxa"/>
            <w:vAlign w:val="bottom"/>
            <w:gridSpan w:val="2"/>
          </w:tcPr>
          <w:p>
            <w:pPr>
              <w:ind w:left="40"/>
              <w:spacing w:after="0"/>
              <w:rPr>
                <w:sz w:val="20"/>
                <w:szCs w:val="20"/>
                <w:color w:val="auto"/>
              </w:rPr>
            </w:pPr>
            <w:r>
              <w:rPr>
                <w:rFonts w:ascii="Arial" w:cs="Arial" w:eastAsia="Arial" w:hAnsi="Arial"/>
                <w:sz w:val="16"/>
                <w:szCs w:val="16"/>
                <w:color w:val="auto"/>
              </w:rPr>
              <w:t>Total U.S. Treasury securities, net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(2,868)</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(2,860)</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(2,955)</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(1,689)</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(1,680)</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(1,671)</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U.S. Treasury futures as of June 30, 2016 and December 31, 2015 (in millions):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2016</w:t>
            </w: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December 31, 2015</w:t>
            </w: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300"/>
              <w:spacing w:after="0" w:line="144" w:lineRule="exact"/>
              <w:rPr>
                <w:sz w:val="20"/>
                <w:szCs w:val="20"/>
                <w:color w:val="auto"/>
              </w:rPr>
            </w:pPr>
            <w:r>
              <w:rPr>
                <w:rFonts w:ascii="Arial" w:cs="Arial" w:eastAsia="Arial" w:hAnsi="Arial"/>
                <w:sz w:val="13"/>
                <w:szCs w:val="13"/>
                <w:b w:val="1"/>
                <w:bCs w:val="1"/>
                <w:color w:val="auto"/>
                <w:w w:val="88"/>
              </w:rPr>
              <w:t>Notional</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88"/>
              </w:rPr>
              <w:t>Notional</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8"/>
              </w:rPr>
              <w:t>Amount - Long</w:t>
            </w:r>
          </w:p>
        </w:tc>
        <w:tc>
          <w:tcPr>
            <w:tcW w:w="180" w:type="dxa"/>
            <w:vAlign w:val="bottom"/>
          </w:tcPr>
          <w:p>
            <w:pPr>
              <w:spacing w:after="0"/>
              <w:rPr>
                <w:sz w:val="11"/>
                <w:szCs w:val="11"/>
                <w:color w:val="auto"/>
              </w:rPr>
            </w:pPr>
          </w:p>
        </w:tc>
        <w:tc>
          <w:tcPr>
            <w:tcW w:w="860" w:type="dxa"/>
            <w:vAlign w:val="bottom"/>
            <w:gridSpan w:val="2"/>
          </w:tcPr>
          <w:p>
            <w:pPr>
              <w:ind w:left="160"/>
              <w:spacing w:after="0" w:line="135" w:lineRule="exact"/>
              <w:rPr>
                <w:sz w:val="20"/>
                <w:szCs w:val="20"/>
                <w:color w:val="auto"/>
              </w:rPr>
            </w:pPr>
            <w:r>
              <w:rPr>
                <w:rFonts w:ascii="Arial" w:cs="Arial" w:eastAsia="Arial" w:hAnsi="Arial"/>
                <w:sz w:val="13"/>
                <w:szCs w:val="13"/>
                <w:b w:val="1"/>
                <w:bCs w:val="1"/>
                <w:color w:val="auto"/>
              </w:rPr>
              <w:t>Cost</w:t>
            </w:r>
          </w:p>
        </w:tc>
        <w:tc>
          <w:tcPr>
            <w:tcW w:w="26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Market</w:t>
            </w:r>
          </w:p>
        </w:tc>
        <w:tc>
          <w:tcPr>
            <w:tcW w:w="100" w:type="dxa"/>
            <w:vAlign w:val="bottom"/>
          </w:tcPr>
          <w:p>
            <w:pPr>
              <w:spacing w:after="0"/>
              <w:rPr>
                <w:sz w:val="11"/>
                <w:szCs w:val="11"/>
                <w:color w:val="auto"/>
              </w:rPr>
            </w:pPr>
          </w:p>
        </w:tc>
        <w:tc>
          <w:tcPr>
            <w:tcW w:w="94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Net Carrying</w:t>
            </w:r>
          </w:p>
        </w:tc>
        <w:tc>
          <w:tcPr>
            <w:tcW w:w="120" w:type="dxa"/>
            <w:vAlign w:val="bottom"/>
          </w:tcPr>
          <w:p>
            <w:pPr>
              <w:spacing w:after="0"/>
              <w:rPr>
                <w:sz w:val="11"/>
                <w:szCs w:val="11"/>
                <w:color w:val="auto"/>
              </w:rPr>
            </w:pPr>
          </w:p>
        </w:tc>
        <w:tc>
          <w:tcPr>
            <w:tcW w:w="11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0"/>
              </w:rPr>
              <w:t>Amount - Long</w:t>
            </w:r>
          </w:p>
        </w:tc>
        <w:tc>
          <w:tcPr>
            <w:tcW w:w="200" w:type="dxa"/>
            <w:vAlign w:val="bottom"/>
          </w:tcPr>
          <w:p>
            <w:pPr>
              <w:spacing w:after="0"/>
              <w:rPr>
                <w:sz w:val="11"/>
                <w:szCs w:val="11"/>
                <w:color w:val="auto"/>
              </w:rPr>
            </w:pPr>
          </w:p>
        </w:tc>
        <w:tc>
          <w:tcPr>
            <w:tcW w:w="800" w:type="dxa"/>
            <w:vAlign w:val="bottom"/>
            <w:gridSpan w:val="2"/>
          </w:tcPr>
          <w:p>
            <w:pPr>
              <w:ind w:left="140"/>
              <w:spacing w:after="0" w:line="135" w:lineRule="exact"/>
              <w:rPr>
                <w:sz w:val="20"/>
                <w:szCs w:val="20"/>
                <w:color w:val="auto"/>
              </w:rPr>
            </w:pPr>
            <w:r>
              <w:rPr>
                <w:rFonts w:ascii="Arial" w:cs="Arial" w:eastAsia="Arial" w:hAnsi="Arial"/>
                <w:sz w:val="13"/>
                <w:szCs w:val="13"/>
                <w:b w:val="1"/>
                <w:bCs w:val="1"/>
                <w:color w:val="auto"/>
              </w:rPr>
              <w:t>Cost</w:t>
            </w:r>
          </w:p>
        </w:tc>
        <w:tc>
          <w:tcPr>
            <w:tcW w:w="18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3"/>
                <w:szCs w:val="13"/>
                <w:b w:val="1"/>
                <w:bCs w:val="1"/>
                <w:color w:val="auto"/>
              </w:rPr>
              <w:t>Market</w:t>
            </w:r>
          </w:p>
        </w:tc>
        <w:tc>
          <w:tcPr>
            <w:tcW w:w="900" w:type="dxa"/>
            <w:vAlign w:val="bottom"/>
            <w:gridSpan w:val="2"/>
          </w:tcPr>
          <w:p>
            <w:pPr>
              <w:jc w:val="right"/>
              <w:ind w:right="10"/>
              <w:spacing w:after="0" w:line="135" w:lineRule="exact"/>
              <w:rPr>
                <w:sz w:val="20"/>
                <w:szCs w:val="20"/>
                <w:color w:val="auto"/>
              </w:rPr>
            </w:pPr>
            <w:r>
              <w:rPr>
                <w:rFonts w:ascii="Arial" w:cs="Arial" w:eastAsia="Arial" w:hAnsi="Arial"/>
                <w:sz w:val="13"/>
                <w:szCs w:val="13"/>
                <w:b w:val="1"/>
                <w:bCs w:val="1"/>
                <w:color w:val="auto"/>
              </w:rPr>
              <w:t>Net Carrying</w:t>
            </w:r>
          </w:p>
        </w:tc>
        <w:tc>
          <w:tcPr>
            <w:tcW w:w="0" w:type="dxa"/>
            <w:vAlign w:val="bottom"/>
          </w:tcPr>
          <w:p>
            <w:pPr>
              <w:spacing w:after="0"/>
              <w:rPr>
                <w:sz w:val="1"/>
                <w:szCs w:val="1"/>
                <w:color w:val="auto"/>
              </w:rPr>
            </w:pPr>
          </w:p>
        </w:tc>
      </w:tr>
      <w:tr>
        <w:trPr>
          <w:trHeight w:val="174"/>
        </w:trPr>
        <w:tc>
          <w:tcPr>
            <w:tcW w:w="274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Maturity</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73"/>
              <w:spacing w:after="0"/>
              <w:rPr>
                <w:sz w:val="20"/>
                <w:szCs w:val="20"/>
                <w:color w:val="auto"/>
              </w:rPr>
            </w:pPr>
            <w:r>
              <w:rPr>
                <w:rFonts w:ascii="Arial" w:cs="Arial" w:eastAsia="Arial" w:hAnsi="Arial"/>
                <w:sz w:val="13"/>
                <w:szCs w:val="13"/>
                <w:b w:val="1"/>
                <w:bCs w:val="1"/>
                <w:color w:val="auto"/>
                <w:w w:val="90"/>
              </w:rPr>
              <w:t xml:space="preserve">(Short) </w:t>
            </w:r>
            <w:r>
              <w:rPr>
                <w:rFonts w:ascii="Arial" w:cs="Arial" w:eastAsia="Arial" w:hAnsi="Arial"/>
                <w:sz w:val="8"/>
                <w:szCs w:val="8"/>
                <w:b w:val="1"/>
                <w:bCs w:val="1"/>
                <w:color w:val="auto"/>
                <w:w w:val="90"/>
              </w:rPr>
              <w:t>1</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11"/>
              <w:spacing w:after="0"/>
              <w:rPr>
                <w:sz w:val="20"/>
                <w:szCs w:val="20"/>
                <w:color w:val="auto"/>
              </w:rPr>
            </w:pPr>
            <w:r>
              <w:rPr>
                <w:rFonts w:ascii="Arial" w:cs="Arial" w:eastAsia="Arial" w:hAnsi="Arial"/>
                <w:sz w:val="13"/>
                <w:szCs w:val="13"/>
                <w:b w:val="1"/>
                <w:bCs w:val="1"/>
                <w:color w:val="auto"/>
              </w:rPr>
              <w:t xml:space="preserve">Basis </w:t>
            </w:r>
            <w:r>
              <w:rPr>
                <w:rFonts w:ascii="Arial" w:cs="Arial" w:eastAsia="Arial" w:hAnsi="Arial"/>
                <w:sz w:val="8"/>
                <w:szCs w:val="8"/>
                <w:b w:val="1"/>
                <w:bCs w:val="1"/>
                <w:color w:val="auto"/>
              </w:rPr>
              <w:t>2</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2"/>
              <w:spacing w:after="0"/>
              <w:rPr>
                <w:sz w:val="20"/>
                <w:szCs w:val="20"/>
                <w:color w:val="auto"/>
              </w:rPr>
            </w:pPr>
            <w:r>
              <w:rPr>
                <w:rFonts w:ascii="Arial" w:cs="Arial" w:eastAsia="Arial" w:hAnsi="Arial"/>
                <w:sz w:val="13"/>
                <w:szCs w:val="13"/>
                <w:b w:val="1"/>
                <w:bCs w:val="1"/>
                <w:color w:val="auto"/>
                <w:w w:val="88"/>
              </w:rPr>
              <w:t xml:space="preserve">Value </w:t>
            </w:r>
            <w:r>
              <w:rPr>
                <w:rFonts w:ascii="Arial" w:cs="Arial" w:eastAsia="Arial" w:hAnsi="Arial"/>
                <w:sz w:val="8"/>
                <w:szCs w:val="8"/>
                <w:b w:val="1"/>
                <w:bCs w:val="1"/>
                <w:color w:val="auto"/>
                <w:w w:val="88"/>
              </w:rPr>
              <w:t>3</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12"/>
              <w:spacing w:after="0"/>
              <w:rPr>
                <w:sz w:val="20"/>
                <w:szCs w:val="20"/>
                <w:color w:val="auto"/>
              </w:rPr>
            </w:pPr>
            <w:r>
              <w:rPr>
                <w:rFonts w:ascii="Arial" w:cs="Arial" w:eastAsia="Arial" w:hAnsi="Arial"/>
                <w:sz w:val="13"/>
                <w:szCs w:val="13"/>
                <w:b w:val="1"/>
                <w:bCs w:val="1"/>
                <w:color w:val="auto"/>
              </w:rPr>
              <w:t xml:space="preserve">Value </w:t>
            </w:r>
            <w:r>
              <w:rPr>
                <w:rFonts w:ascii="Arial" w:cs="Arial" w:eastAsia="Arial" w:hAnsi="Arial"/>
                <w:sz w:val="8"/>
                <w:szCs w:val="8"/>
                <w:b w:val="1"/>
                <w:bCs w:val="1"/>
                <w:color w:val="auto"/>
              </w:rPr>
              <w:t>4</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33"/>
              <w:spacing w:after="0"/>
              <w:rPr>
                <w:sz w:val="20"/>
                <w:szCs w:val="20"/>
                <w:color w:val="auto"/>
              </w:rPr>
            </w:pPr>
            <w:r>
              <w:rPr>
                <w:rFonts w:ascii="Arial" w:cs="Arial" w:eastAsia="Arial" w:hAnsi="Arial"/>
                <w:sz w:val="13"/>
                <w:szCs w:val="13"/>
                <w:b w:val="1"/>
                <w:bCs w:val="1"/>
                <w:color w:val="auto"/>
                <w:w w:val="90"/>
              </w:rPr>
              <w:t xml:space="preserve">(Short) </w:t>
            </w:r>
            <w:r>
              <w:rPr>
                <w:rFonts w:ascii="Arial" w:cs="Arial" w:eastAsia="Arial" w:hAnsi="Arial"/>
                <w:sz w:val="8"/>
                <w:szCs w:val="8"/>
                <w:b w:val="1"/>
                <w:bCs w:val="1"/>
                <w:color w:val="auto"/>
                <w:w w:val="90"/>
              </w:rPr>
              <w:t>1</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 xml:space="preserve">Basis </w:t>
            </w:r>
            <w:r>
              <w:rPr>
                <w:rFonts w:ascii="Arial" w:cs="Arial" w:eastAsia="Arial" w:hAnsi="Arial"/>
                <w:sz w:val="8"/>
                <w:szCs w:val="8"/>
                <w:b w:val="1"/>
                <w:bCs w:val="1"/>
                <w:color w:val="auto"/>
              </w:rPr>
              <w:t>2</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92"/>
              <w:spacing w:after="0"/>
              <w:rPr>
                <w:sz w:val="20"/>
                <w:szCs w:val="20"/>
                <w:color w:val="auto"/>
              </w:rPr>
            </w:pPr>
            <w:r>
              <w:rPr>
                <w:rFonts w:ascii="Arial" w:cs="Arial" w:eastAsia="Arial" w:hAnsi="Arial"/>
                <w:sz w:val="13"/>
                <w:szCs w:val="13"/>
                <w:b w:val="1"/>
                <w:bCs w:val="1"/>
                <w:color w:val="auto"/>
              </w:rPr>
              <w:t xml:space="preserve">Value </w:t>
            </w:r>
            <w:r>
              <w:rPr>
                <w:rFonts w:ascii="Arial" w:cs="Arial" w:eastAsia="Arial" w:hAnsi="Arial"/>
                <w:sz w:val="8"/>
                <w:szCs w:val="8"/>
                <w:b w:val="1"/>
                <w:bCs w:val="1"/>
                <w:color w:val="auto"/>
              </w:rPr>
              <w:t>3</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3"/>
                <w:szCs w:val="13"/>
                <w:b w:val="1"/>
                <w:bCs w:val="1"/>
                <w:color w:val="auto"/>
              </w:rPr>
              <w:t xml:space="preserve">Value </w:t>
            </w:r>
            <w:r>
              <w:rPr>
                <w:rFonts w:ascii="Arial" w:cs="Arial" w:eastAsia="Arial" w:hAnsi="Arial"/>
                <w:sz w:val="8"/>
                <w:szCs w:val="8"/>
                <w:b w:val="1"/>
                <w:bCs w:val="1"/>
                <w:color w:val="auto"/>
              </w:rPr>
              <w:t>4</w:t>
            </w:r>
          </w:p>
        </w:tc>
        <w:tc>
          <w:tcPr>
            <w:tcW w:w="0" w:type="dxa"/>
            <w:vAlign w:val="bottom"/>
          </w:tcPr>
          <w:p>
            <w:pPr>
              <w:spacing w:after="0"/>
              <w:rPr>
                <w:sz w:val="1"/>
                <w:szCs w:val="1"/>
                <w:color w:val="auto"/>
              </w:rPr>
            </w:pPr>
          </w:p>
        </w:tc>
      </w:tr>
      <w:tr>
        <w:trPr>
          <w:trHeight w:val="257"/>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5 years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(730)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(876)</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(892)</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64"/>
        </w:trPr>
        <w:tc>
          <w:tcPr>
            <w:tcW w:w="288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10 years</w:t>
            </w:r>
          </w:p>
        </w:tc>
        <w:tc>
          <w:tcPr>
            <w:tcW w:w="1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(1,230)</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(1,592)</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(1,634)</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(42)</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(1,130)</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(1,424)</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(1,422)</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43"/>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Total U.S. Treasury futures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4"/>
                <w:szCs w:val="14"/>
                <w:color w:val="auto"/>
              </w:rPr>
              <w:t>(1,960)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(2,468)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(2,526)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0"/>
        </w:trPr>
        <w:tc>
          <w:tcPr>
            <w:tcW w:w="2740" w:type="dxa"/>
            <w:vAlign w:val="bottom"/>
            <w:vMerge w:val="restart"/>
          </w:tcPr>
          <w:p>
            <w:pPr>
              <w:spacing w:after="0"/>
              <w:rPr>
                <w:sz w:val="20"/>
                <w:szCs w:val="20"/>
                <w:color w:val="auto"/>
              </w:rPr>
            </w:pPr>
            <w:r>
              <w:rPr>
                <w:rFonts w:ascii="Arial" w:cs="Arial" w:eastAsia="Arial" w:hAnsi="Arial"/>
                <w:sz w:val="18"/>
                <w:szCs w:val="18"/>
                <w:color w:val="auto"/>
              </w:rPr>
              <w:t>_____________________</w:t>
            </w:r>
          </w:p>
        </w:tc>
        <w:tc>
          <w:tcPr>
            <w:tcW w:w="14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74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660" w:hanging="328"/>
        <w:spacing w:after="0"/>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Notional amount represents the par value (or principal balance) of the underlying U.S. Treasury security.</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Cost basis represents the forward price to be paid / (received) for the underlying U.S. Treasury security.</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Market value represents the current market value of U.S. Treasury futures as of period-end.</w:t>
      </w:r>
    </w:p>
    <w:p>
      <w:pPr>
        <w:spacing w:after="0" w:line="1" w:lineRule="exact"/>
        <w:rPr>
          <w:rFonts w:ascii="Arial" w:cs="Arial" w:eastAsia="Arial" w:hAnsi="Arial"/>
          <w:sz w:val="14"/>
          <w:szCs w:val="14"/>
          <w:color w:val="auto"/>
        </w:rPr>
      </w:pPr>
    </w:p>
    <w:p>
      <w:pPr>
        <w:ind w:left="660" w:hanging="328"/>
        <w:spacing w:after="0" w:line="255" w:lineRule="auto"/>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Net carrying value represents the difference between the market value and the cost basis of U.S. Treasury futures as of period-end and is reported in derivative assets / (liabilities), at fair value in our consolidated balance sheets.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84" w:right="239" w:bottom="1440" w:gutter="0" w:footer="0" w:header="0"/>
        </w:sectPr>
      </w:pPr>
    </w:p>
    <w:bookmarkStart w:id="18" w:name="page19"/>
    <w:bookmarkEnd w:id="18"/>
    <w:p>
      <w:pPr>
        <w:ind w:left="440"/>
        <w:spacing w:after="0"/>
        <w:rPr>
          <w:sz w:val="20"/>
          <w:szCs w:val="20"/>
          <w:color w:val="auto"/>
        </w:rPr>
      </w:pPr>
      <w:r>
        <w:rPr>
          <w:rFonts w:ascii="Arial" w:cs="Arial" w:eastAsia="Arial" w:hAnsi="Arial"/>
          <w:sz w:val="18"/>
          <w:szCs w:val="18"/>
          <w:color w:val="auto"/>
        </w:rPr>
        <w:t>The following tables summarize our TBA securities as of June 30, 2016 and December 31, 2015 (in millions):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2016</w:t>
            </w: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December 31, 2015</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143"/>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88"/>
              </w:rPr>
              <w:t>Notional</w:t>
            </w: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92"/>
              </w:rPr>
              <w:t>Notional</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35"/>
        </w:trPr>
        <w:tc>
          <w:tcPr>
            <w:tcW w:w="2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8"/>
              </w:rPr>
              <w:t>Amount - Long</w:t>
            </w:r>
          </w:p>
        </w:tc>
        <w:tc>
          <w:tcPr>
            <w:tcW w:w="200" w:type="dxa"/>
            <w:vAlign w:val="bottom"/>
          </w:tcPr>
          <w:p>
            <w:pPr>
              <w:spacing w:after="0"/>
              <w:rPr>
                <w:sz w:val="11"/>
                <w:szCs w:val="11"/>
                <w:color w:val="auto"/>
              </w:rPr>
            </w:pPr>
          </w:p>
        </w:tc>
        <w:tc>
          <w:tcPr>
            <w:tcW w:w="860" w:type="dxa"/>
            <w:vAlign w:val="bottom"/>
            <w:gridSpan w:val="2"/>
          </w:tcPr>
          <w:p>
            <w:pPr>
              <w:ind w:left="160"/>
              <w:spacing w:after="0" w:line="135" w:lineRule="exact"/>
              <w:rPr>
                <w:sz w:val="20"/>
                <w:szCs w:val="20"/>
                <w:color w:val="auto"/>
              </w:rPr>
            </w:pPr>
            <w:r>
              <w:rPr>
                <w:rFonts w:ascii="Arial" w:cs="Arial" w:eastAsia="Arial" w:hAnsi="Arial"/>
                <w:sz w:val="13"/>
                <w:szCs w:val="13"/>
                <w:b w:val="1"/>
                <w:bCs w:val="1"/>
                <w:color w:val="auto"/>
              </w:rPr>
              <w:t>Cost</w:t>
            </w:r>
          </w:p>
        </w:tc>
        <w:tc>
          <w:tcPr>
            <w:tcW w:w="260" w:type="dxa"/>
            <w:vAlign w:val="bottom"/>
          </w:tcPr>
          <w:p>
            <w:pPr>
              <w:spacing w:after="0"/>
              <w:rPr>
                <w:sz w:val="11"/>
                <w:szCs w:val="11"/>
                <w:color w:val="auto"/>
              </w:rPr>
            </w:pPr>
          </w:p>
        </w:tc>
        <w:tc>
          <w:tcPr>
            <w:tcW w:w="80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Market</w:t>
            </w:r>
          </w:p>
        </w:tc>
        <w:tc>
          <w:tcPr>
            <w:tcW w:w="1000" w:type="dxa"/>
            <w:vAlign w:val="bottom"/>
            <w:gridSpan w:val="3"/>
          </w:tcPr>
          <w:p>
            <w:pPr>
              <w:ind w:left="80"/>
              <w:spacing w:after="0" w:line="135" w:lineRule="exact"/>
              <w:rPr>
                <w:sz w:val="20"/>
                <w:szCs w:val="20"/>
                <w:color w:val="auto"/>
              </w:rPr>
            </w:pPr>
            <w:r>
              <w:rPr>
                <w:rFonts w:ascii="Arial" w:cs="Arial" w:eastAsia="Arial" w:hAnsi="Arial"/>
                <w:sz w:val="13"/>
                <w:szCs w:val="13"/>
                <w:b w:val="1"/>
                <w:bCs w:val="1"/>
                <w:color w:val="auto"/>
              </w:rPr>
              <w:t>Net Carrying</w:t>
            </w:r>
          </w:p>
        </w:tc>
        <w:tc>
          <w:tcPr>
            <w:tcW w:w="140" w:type="dxa"/>
            <w:vAlign w:val="bottom"/>
          </w:tcPr>
          <w:p>
            <w:pPr>
              <w:spacing w:after="0"/>
              <w:rPr>
                <w:sz w:val="11"/>
                <w:szCs w:val="11"/>
                <w:color w:val="auto"/>
              </w:rPr>
            </w:pPr>
          </w:p>
        </w:tc>
        <w:tc>
          <w:tcPr>
            <w:tcW w:w="12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8"/>
              </w:rPr>
              <w:t>Amount - Long</w:t>
            </w:r>
          </w:p>
        </w:tc>
        <w:tc>
          <w:tcPr>
            <w:tcW w:w="220" w:type="dxa"/>
            <w:vAlign w:val="bottom"/>
          </w:tcPr>
          <w:p>
            <w:pPr>
              <w:spacing w:after="0"/>
              <w:rPr>
                <w:sz w:val="11"/>
                <w:szCs w:val="11"/>
                <w:color w:val="auto"/>
              </w:rPr>
            </w:pPr>
          </w:p>
        </w:tc>
        <w:tc>
          <w:tcPr>
            <w:tcW w:w="900" w:type="dxa"/>
            <w:vAlign w:val="bottom"/>
            <w:gridSpan w:val="2"/>
          </w:tcPr>
          <w:p>
            <w:pPr>
              <w:ind w:left="160"/>
              <w:spacing w:after="0" w:line="135" w:lineRule="exact"/>
              <w:rPr>
                <w:sz w:val="20"/>
                <w:szCs w:val="20"/>
                <w:color w:val="auto"/>
              </w:rPr>
            </w:pPr>
            <w:r>
              <w:rPr>
                <w:rFonts w:ascii="Arial" w:cs="Arial" w:eastAsia="Arial" w:hAnsi="Arial"/>
                <w:sz w:val="13"/>
                <w:szCs w:val="13"/>
                <w:b w:val="1"/>
                <w:bCs w:val="1"/>
                <w:color w:val="auto"/>
              </w:rPr>
              <w:t>Cost</w:t>
            </w:r>
          </w:p>
        </w:tc>
        <w:tc>
          <w:tcPr>
            <w:tcW w:w="200" w:type="dxa"/>
            <w:vAlign w:val="bottom"/>
          </w:tcPr>
          <w:p>
            <w:pPr>
              <w:spacing w:after="0"/>
              <w:rPr>
                <w:sz w:val="11"/>
                <w:szCs w:val="11"/>
                <w:color w:val="auto"/>
              </w:rPr>
            </w:pPr>
          </w:p>
        </w:tc>
        <w:tc>
          <w:tcPr>
            <w:tcW w:w="920" w:type="dxa"/>
            <w:vAlign w:val="bottom"/>
            <w:gridSpan w:val="2"/>
          </w:tcPr>
          <w:p>
            <w:pPr>
              <w:ind w:left="100"/>
              <w:spacing w:after="0" w:line="135" w:lineRule="exact"/>
              <w:rPr>
                <w:sz w:val="20"/>
                <w:szCs w:val="20"/>
                <w:color w:val="auto"/>
              </w:rPr>
            </w:pPr>
            <w:r>
              <w:rPr>
                <w:rFonts w:ascii="Arial" w:cs="Arial" w:eastAsia="Arial" w:hAnsi="Arial"/>
                <w:sz w:val="13"/>
                <w:szCs w:val="13"/>
                <w:b w:val="1"/>
                <w:bCs w:val="1"/>
                <w:color w:val="auto"/>
              </w:rPr>
              <w:t>Market</w:t>
            </w:r>
          </w:p>
        </w:tc>
        <w:tc>
          <w:tcPr>
            <w:tcW w:w="140" w:type="dxa"/>
            <w:vAlign w:val="bottom"/>
          </w:tcPr>
          <w:p>
            <w:pPr>
              <w:spacing w:after="0"/>
              <w:rPr>
                <w:sz w:val="11"/>
                <w:szCs w:val="11"/>
                <w:color w:val="auto"/>
              </w:rPr>
            </w:pPr>
          </w:p>
        </w:tc>
        <w:tc>
          <w:tcPr>
            <w:tcW w:w="880" w:type="dxa"/>
            <w:vAlign w:val="bottom"/>
          </w:tcPr>
          <w:p>
            <w:pPr>
              <w:jc w:val="right"/>
              <w:ind w:right="70"/>
              <w:spacing w:after="0" w:line="135" w:lineRule="exact"/>
              <w:rPr>
                <w:sz w:val="20"/>
                <w:szCs w:val="20"/>
                <w:color w:val="auto"/>
              </w:rPr>
            </w:pPr>
            <w:r>
              <w:rPr>
                <w:rFonts w:ascii="Arial" w:cs="Arial" w:eastAsia="Arial" w:hAnsi="Arial"/>
                <w:sz w:val="13"/>
                <w:szCs w:val="13"/>
                <w:b w:val="1"/>
                <w:bCs w:val="1"/>
                <w:color w:val="auto"/>
                <w:w w:val="92"/>
              </w:rPr>
              <w:t>Net Carrying</w:t>
            </w:r>
          </w:p>
        </w:tc>
      </w:tr>
      <w:tr>
        <w:trPr>
          <w:trHeight w:val="174"/>
        </w:trPr>
        <w:tc>
          <w:tcPr>
            <w:tcW w:w="230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TBA Securities by Coupon</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3"/>
                <w:szCs w:val="13"/>
                <w:b w:val="1"/>
                <w:bCs w:val="1"/>
                <w:color w:val="auto"/>
                <w:w w:val="90"/>
              </w:rPr>
              <w:t xml:space="preserve">(Short) </w:t>
            </w:r>
            <w:r>
              <w:rPr>
                <w:rFonts w:ascii="Arial" w:cs="Arial" w:eastAsia="Arial" w:hAnsi="Arial"/>
                <w:sz w:val="8"/>
                <w:szCs w:val="8"/>
                <w:b w:val="1"/>
                <w:bCs w:val="1"/>
                <w:color w:val="auto"/>
                <w:w w:val="90"/>
              </w:rPr>
              <w:t>1</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09"/>
              <w:spacing w:after="0"/>
              <w:rPr>
                <w:sz w:val="20"/>
                <w:szCs w:val="20"/>
                <w:color w:val="auto"/>
              </w:rPr>
            </w:pPr>
            <w:r>
              <w:rPr>
                <w:rFonts w:ascii="Arial" w:cs="Arial" w:eastAsia="Arial" w:hAnsi="Arial"/>
                <w:sz w:val="13"/>
                <w:szCs w:val="13"/>
                <w:b w:val="1"/>
                <w:bCs w:val="1"/>
                <w:color w:val="auto"/>
              </w:rPr>
              <w:t xml:space="preserve">Basis </w:t>
            </w:r>
            <w:r>
              <w:rPr>
                <w:rFonts w:ascii="Arial" w:cs="Arial" w:eastAsia="Arial" w:hAnsi="Arial"/>
                <w:sz w:val="8"/>
                <w:szCs w:val="8"/>
                <w:b w:val="1"/>
                <w:bCs w:val="1"/>
                <w:color w:val="auto"/>
              </w:rPr>
              <w:t>2</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0"/>
              <w:spacing w:after="0"/>
              <w:rPr>
                <w:sz w:val="20"/>
                <w:szCs w:val="20"/>
                <w:color w:val="auto"/>
              </w:rPr>
            </w:pPr>
            <w:r>
              <w:rPr>
                <w:rFonts w:ascii="Arial" w:cs="Arial" w:eastAsia="Arial" w:hAnsi="Arial"/>
                <w:sz w:val="13"/>
                <w:szCs w:val="13"/>
                <w:b w:val="1"/>
                <w:bCs w:val="1"/>
                <w:color w:val="auto"/>
                <w:w w:val="88"/>
              </w:rPr>
              <w:t xml:space="preserve">Value </w:t>
            </w:r>
            <w:r>
              <w:rPr>
                <w:rFonts w:ascii="Arial" w:cs="Arial" w:eastAsia="Arial" w:hAnsi="Arial"/>
                <w:sz w:val="8"/>
                <w:szCs w:val="8"/>
                <w:b w:val="1"/>
                <w:bCs w:val="1"/>
                <w:color w:val="auto"/>
                <w:w w:val="88"/>
              </w:rPr>
              <w:t>3</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69"/>
              <w:spacing w:after="0"/>
              <w:rPr>
                <w:sz w:val="20"/>
                <w:szCs w:val="20"/>
                <w:color w:val="auto"/>
              </w:rPr>
            </w:pPr>
            <w:r>
              <w:rPr>
                <w:rFonts w:ascii="Arial" w:cs="Arial" w:eastAsia="Arial" w:hAnsi="Arial"/>
                <w:sz w:val="13"/>
                <w:szCs w:val="13"/>
                <w:b w:val="1"/>
                <w:bCs w:val="1"/>
                <w:color w:val="auto"/>
              </w:rPr>
              <w:t xml:space="preserve">Value </w:t>
            </w:r>
            <w:r>
              <w:rPr>
                <w:rFonts w:ascii="Arial" w:cs="Arial" w:eastAsia="Arial" w:hAnsi="Arial"/>
                <w:sz w:val="8"/>
                <w:szCs w:val="8"/>
                <w:b w:val="1"/>
                <w:bCs w:val="1"/>
                <w:color w:val="auto"/>
              </w:rPr>
              <w:t>4</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90"/>
              <w:spacing w:after="0"/>
              <w:rPr>
                <w:sz w:val="20"/>
                <w:szCs w:val="20"/>
                <w:color w:val="auto"/>
              </w:rPr>
            </w:pPr>
            <w:r>
              <w:rPr>
                <w:rFonts w:ascii="Arial" w:cs="Arial" w:eastAsia="Arial" w:hAnsi="Arial"/>
                <w:sz w:val="13"/>
                <w:szCs w:val="13"/>
                <w:b w:val="1"/>
                <w:bCs w:val="1"/>
                <w:color w:val="auto"/>
                <w:w w:val="90"/>
              </w:rPr>
              <w:t xml:space="preserve">(Short) </w:t>
            </w:r>
            <w:r>
              <w:rPr>
                <w:rFonts w:ascii="Arial" w:cs="Arial" w:eastAsia="Arial" w:hAnsi="Arial"/>
                <w:sz w:val="8"/>
                <w:szCs w:val="8"/>
                <w:b w:val="1"/>
                <w:bCs w:val="1"/>
                <w:color w:val="auto"/>
                <w:w w:val="90"/>
              </w:rPr>
              <w:t>1</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69"/>
              <w:spacing w:after="0"/>
              <w:rPr>
                <w:sz w:val="20"/>
                <w:szCs w:val="20"/>
                <w:color w:val="auto"/>
              </w:rPr>
            </w:pPr>
            <w:r>
              <w:rPr>
                <w:rFonts w:ascii="Arial" w:cs="Arial" w:eastAsia="Arial" w:hAnsi="Arial"/>
                <w:sz w:val="13"/>
                <w:szCs w:val="13"/>
                <w:b w:val="1"/>
                <w:bCs w:val="1"/>
                <w:color w:val="auto"/>
              </w:rPr>
              <w:t xml:space="preserve">Basis </w:t>
            </w:r>
            <w:r>
              <w:rPr>
                <w:rFonts w:ascii="Arial" w:cs="Arial" w:eastAsia="Arial" w:hAnsi="Arial"/>
                <w:sz w:val="8"/>
                <w:szCs w:val="8"/>
                <w:b w:val="1"/>
                <w:bCs w:val="1"/>
                <w:color w:val="auto"/>
              </w:rPr>
              <w:t>2</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3"/>
                <w:szCs w:val="13"/>
                <w:b w:val="1"/>
                <w:bCs w:val="1"/>
                <w:color w:val="auto"/>
              </w:rPr>
              <w:t xml:space="preserve">Value </w:t>
            </w:r>
            <w:r>
              <w:rPr>
                <w:rFonts w:ascii="Arial" w:cs="Arial" w:eastAsia="Arial" w:hAnsi="Arial"/>
                <w:sz w:val="8"/>
                <w:szCs w:val="8"/>
                <w:b w:val="1"/>
                <w:bCs w:val="1"/>
                <w:color w:val="auto"/>
              </w:rPr>
              <w:t>3</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50"/>
              <w:spacing w:after="0"/>
              <w:rPr>
                <w:sz w:val="20"/>
                <w:szCs w:val="20"/>
                <w:color w:val="auto"/>
              </w:rPr>
            </w:pPr>
            <w:r>
              <w:rPr>
                <w:rFonts w:ascii="Arial" w:cs="Arial" w:eastAsia="Arial" w:hAnsi="Arial"/>
                <w:sz w:val="13"/>
                <w:szCs w:val="13"/>
                <w:b w:val="1"/>
                <w:bCs w:val="1"/>
                <w:color w:val="auto"/>
              </w:rPr>
              <w:t xml:space="preserve">Value </w:t>
            </w:r>
            <w:r>
              <w:rPr>
                <w:rFonts w:ascii="Arial" w:cs="Arial" w:eastAsia="Arial" w:hAnsi="Arial"/>
                <w:sz w:val="8"/>
                <w:szCs w:val="8"/>
                <w:b w:val="1"/>
                <w:bCs w:val="1"/>
                <w:color w:val="auto"/>
              </w:rPr>
              <w:t>4</w:t>
            </w:r>
          </w:p>
        </w:tc>
      </w:tr>
      <w:tr>
        <w:trPr>
          <w:trHeight w:val="270"/>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15-Year TBA securities:</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64"/>
        </w:trPr>
        <w:tc>
          <w:tcPr>
            <w:tcW w:w="2300" w:type="dxa"/>
            <w:vAlign w:val="bottom"/>
          </w:tcPr>
          <w:p>
            <w:pPr>
              <w:jc w:val="right"/>
              <w:ind w:right="1729"/>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50"/>
              <w:spacing w:after="0"/>
              <w:rPr>
                <w:sz w:val="20"/>
                <w:szCs w:val="20"/>
                <w:color w:val="auto"/>
              </w:rPr>
            </w:pPr>
            <w:r>
              <w:rPr>
                <w:rFonts w:ascii="Arial" w:cs="Arial" w:eastAsia="Arial" w:hAnsi="Arial"/>
                <w:sz w:val="14"/>
                <w:szCs w:val="14"/>
                <w:color w:val="auto"/>
              </w:rPr>
              <w:t>793</w:t>
            </w:r>
          </w:p>
        </w:tc>
        <w:tc>
          <w:tcPr>
            <w:tcW w:w="12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49"/>
              <w:spacing w:after="0"/>
              <w:rPr>
                <w:sz w:val="20"/>
                <w:szCs w:val="20"/>
                <w:color w:val="auto"/>
              </w:rPr>
            </w:pPr>
            <w:r>
              <w:rPr>
                <w:rFonts w:ascii="Arial" w:cs="Arial" w:eastAsia="Arial" w:hAnsi="Arial"/>
                <w:sz w:val="14"/>
                <w:szCs w:val="14"/>
                <w:color w:val="auto"/>
              </w:rPr>
              <w:t>817</w:t>
            </w:r>
          </w:p>
        </w:tc>
        <w:tc>
          <w:tcPr>
            <w:tcW w:w="12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50"/>
              <w:spacing w:after="0"/>
              <w:rPr>
                <w:sz w:val="20"/>
                <w:szCs w:val="20"/>
                <w:color w:val="auto"/>
              </w:rPr>
            </w:pPr>
            <w:r>
              <w:rPr>
                <w:rFonts w:ascii="Arial" w:cs="Arial" w:eastAsia="Arial" w:hAnsi="Arial"/>
                <w:sz w:val="14"/>
                <w:szCs w:val="14"/>
                <w:color w:val="auto"/>
              </w:rPr>
              <w:t>820</w:t>
            </w:r>
          </w:p>
        </w:tc>
        <w:tc>
          <w:tcPr>
            <w:tcW w:w="120" w:type="dxa"/>
            <w:vAlign w:val="bottom"/>
          </w:tcPr>
          <w:p>
            <w:pPr>
              <w:spacing w:after="0"/>
              <w:rPr>
                <w:sz w:val="22"/>
                <w:szCs w:val="22"/>
                <w:color w:val="auto"/>
              </w:rPr>
            </w:pPr>
          </w:p>
        </w:tc>
        <w:tc>
          <w:tcPr>
            <w:tcW w:w="18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(81)</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30"/>
              <w:spacing w:after="0"/>
              <w:rPr>
                <w:sz w:val="20"/>
                <w:szCs w:val="20"/>
                <w:color w:val="auto"/>
              </w:rPr>
            </w:pPr>
            <w:r>
              <w:rPr>
                <w:rFonts w:ascii="Arial" w:cs="Arial" w:eastAsia="Arial" w:hAnsi="Arial"/>
                <w:sz w:val="14"/>
                <w:szCs w:val="14"/>
                <w:color w:val="auto"/>
              </w:rPr>
              <w:t>1</w:t>
            </w:r>
          </w:p>
        </w:tc>
      </w:tr>
      <w:tr>
        <w:trPr>
          <w:trHeight w:val="276"/>
        </w:trPr>
        <w:tc>
          <w:tcPr>
            <w:tcW w:w="2300" w:type="dxa"/>
            <w:vAlign w:val="bottom"/>
            <w:shd w:val="clear" w:color="auto" w:fill="CCEEFF"/>
          </w:tcPr>
          <w:p>
            <w:pPr>
              <w:jc w:val="right"/>
              <w:ind w:right="1729"/>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292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305</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307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225</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233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232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r>
      <w:tr>
        <w:trPr>
          <w:trHeight w:val="264"/>
        </w:trPr>
        <w:tc>
          <w:tcPr>
            <w:tcW w:w="2300" w:type="dxa"/>
            <w:vAlign w:val="bottom"/>
            <w:tcBorders>
              <w:bottom w:val="single" w:sz="8" w:color="CCEEFF"/>
            </w:tcBorders>
          </w:tcPr>
          <w:p>
            <w:pPr>
              <w:jc w:val="right"/>
              <w:ind w:right="1729"/>
              <w:spacing w:after="0"/>
              <w:rPr>
                <w:sz w:val="20"/>
                <w:szCs w:val="20"/>
                <w:color w:val="auto"/>
              </w:rPr>
            </w:pPr>
            <w:r>
              <w:rPr>
                <w:rFonts w:ascii="Arial" w:cs="Arial" w:eastAsia="Arial" w:hAnsi="Arial"/>
                <w:sz w:val="14"/>
                <w:szCs w:val="14"/>
                <w:color w:val="auto"/>
              </w:rPr>
              <w:t>3.5%</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189</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199</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200</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136</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143</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142</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r>
      <w:tr>
        <w:trPr>
          <w:trHeight w:val="256"/>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Total 15-Year TBAs</w:t>
            </w:r>
          </w:p>
        </w:tc>
        <w:tc>
          <w:tcPr>
            <w:tcW w:w="1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1,274</w:t>
            </w:r>
          </w:p>
        </w:tc>
        <w:tc>
          <w:tcPr>
            <w:tcW w:w="1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1,321</w:t>
            </w:r>
          </w:p>
        </w:tc>
        <w:tc>
          <w:tcPr>
            <w:tcW w:w="12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1,327</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281</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295</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294</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r>
      <w:tr>
        <w:trPr>
          <w:trHeight w:val="258"/>
        </w:trPr>
        <w:tc>
          <w:tcPr>
            <w:tcW w:w="2420" w:type="dxa"/>
            <w:vAlign w:val="bottom"/>
            <w:gridSpan w:val="2"/>
          </w:tcPr>
          <w:p>
            <w:pPr>
              <w:ind w:left="40"/>
              <w:spacing w:after="0"/>
              <w:rPr>
                <w:sz w:val="20"/>
                <w:szCs w:val="20"/>
                <w:color w:val="auto"/>
              </w:rPr>
            </w:pPr>
            <w:r>
              <w:rPr>
                <w:rFonts w:ascii="Arial" w:cs="Arial" w:eastAsia="Arial" w:hAnsi="Arial"/>
                <w:sz w:val="14"/>
                <w:szCs w:val="14"/>
                <w:color w:val="auto"/>
              </w:rPr>
              <w:t>30-Year TBA securities:</w:t>
            </w: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6"/>
        </w:trPr>
        <w:tc>
          <w:tcPr>
            <w:tcW w:w="2300" w:type="dxa"/>
            <w:vAlign w:val="bottom"/>
            <w:shd w:val="clear" w:color="auto" w:fill="CCEEFF"/>
          </w:tcPr>
          <w:p>
            <w:pPr>
              <w:jc w:val="right"/>
              <w:ind w:right="1729"/>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3,361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3,438</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3,492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3,914</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3,911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3,916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5</w:t>
            </w:r>
          </w:p>
        </w:tc>
      </w:tr>
      <w:tr>
        <w:trPr>
          <w:trHeight w:val="264"/>
        </w:trPr>
        <w:tc>
          <w:tcPr>
            <w:tcW w:w="2300" w:type="dxa"/>
            <w:vAlign w:val="bottom"/>
          </w:tcPr>
          <w:p>
            <w:pPr>
              <w:jc w:val="right"/>
              <w:ind w:right="1729"/>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50"/>
              <w:spacing w:after="0"/>
              <w:rPr>
                <w:sz w:val="20"/>
                <w:szCs w:val="20"/>
                <w:color w:val="auto"/>
              </w:rPr>
            </w:pPr>
            <w:r>
              <w:rPr>
                <w:rFonts w:ascii="Arial" w:cs="Arial" w:eastAsia="Arial" w:hAnsi="Arial"/>
                <w:sz w:val="14"/>
                <w:szCs w:val="14"/>
                <w:color w:val="auto"/>
              </w:rPr>
              <w:t>1,063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jc w:val="right"/>
              <w:ind w:right="49"/>
              <w:spacing w:after="0"/>
              <w:rPr>
                <w:sz w:val="20"/>
                <w:szCs w:val="20"/>
                <w:color w:val="auto"/>
              </w:rPr>
            </w:pPr>
            <w:r>
              <w:rPr>
                <w:rFonts w:ascii="Arial" w:cs="Arial" w:eastAsia="Arial" w:hAnsi="Arial"/>
                <w:sz w:val="14"/>
                <w:szCs w:val="14"/>
                <w:color w:val="auto"/>
              </w:rPr>
              <w:t>1,089</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80" w:type="dxa"/>
            <w:vAlign w:val="bottom"/>
          </w:tcPr>
          <w:p>
            <w:pPr>
              <w:jc w:val="right"/>
              <w:ind w:right="50"/>
              <w:spacing w:after="0"/>
              <w:rPr>
                <w:sz w:val="20"/>
                <w:szCs w:val="20"/>
                <w:color w:val="auto"/>
              </w:rPr>
            </w:pPr>
            <w:r>
              <w:rPr>
                <w:rFonts w:ascii="Arial" w:cs="Arial" w:eastAsia="Arial" w:hAnsi="Arial"/>
                <w:sz w:val="14"/>
                <w:szCs w:val="14"/>
                <w:color w:val="auto"/>
              </w:rPr>
              <w:t>1,119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50"/>
              <w:spacing w:after="0"/>
              <w:rPr>
                <w:sz w:val="20"/>
                <w:szCs w:val="20"/>
                <w:color w:val="auto"/>
              </w:rPr>
            </w:pPr>
            <w:r>
              <w:rPr>
                <w:rFonts w:ascii="Arial" w:cs="Arial" w:eastAsia="Arial" w:hAnsi="Arial"/>
                <w:sz w:val="14"/>
                <w:szCs w:val="14"/>
                <w:color w:val="auto"/>
              </w:rPr>
              <w:t>1,497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1,536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ind w:right="30"/>
              <w:spacing w:after="0"/>
              <w:rPr>
                <w:sz w:val="20"/>
                <w:szCs w:val="20"/>
                <w:color w:val="auto"/>
              </w:rPr>
            </w:pPr>
            <w:r>
              <w:rPr>
                <w:rFonts w:ascii="Arial" w:cs="Arial" w:eastAsia="Arial" w:hAnsi="Arial"/>
                <w:sz w:val="14"/>
                <w:szCs w:val="14"/>
                <w:color w:val="auto"/>
              </w:rPr>
              <w:t>1,539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30"/>
              <w:spacing w:after="0"/>
              <w:rPr>
                <w:sz w:val="20"/>
                <w:szCs w:val="20"/>
                <w:color w:val="auto"/>
              </w:rPr>
            </w:pPr>
            <w:r>
              <w:rPr>
                <w:rFonts w:ascii="Arial" w:cs="Arial" w:eastAsia="Arial" w:hAnsi="Arial"/>
                <w:sz w:val="14"/>
                <w:szCs w:val="14"/>
                <w:color w:val="auto"/>
              </w:rPr>
              <w:t>3</w:t>
            </w:r>
          </w:p>
        </w:tc>
      </w:tr>
      <w:tr>
        <w:trPr>
          <w:trHeight w:val="276"/>
        </w:trPr>
        <w:tc>
          <w:tcPr>
            <w:tcW w:w="2300" w:type="dxa"/>
            <w:vAlign w:val="bottom"/>
            <w:shd w:val="clear" w:color="auto" w:fill="CCEEFF"/>
          </w:tcPr>
          <w:p>
            <w:pPr>
              <w:jc w:val="right"/>
              <w:ind w:right="1729"/>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1,030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1,097</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1,104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1,575</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1,658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1,665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7</w:t>
            </w:r>
          </w:p>
        </w:tc>
      </w:tr>
      <w:tr>
        <w:trPr>
          <w:trHeight w:val="264"/>
        </w:trPr>
        <w:tc>
          <w:tcPr>
            <w:tcW w:w="2300" w:type="dxa"/>
            <w:vAlign w:val="bottom"/>
          </w:tcPr>
          <w:p>
            <w:pPr>
              <w:jc w:val="right"/>
              <w:ind w:right="1729"/>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50"/>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jc w:val="right"/>
              <w:ind w:right="49"/>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80" w:type="dxa"/>
            <w:vAlign w:val="bottom"/>
          </w:tcPr>
          <w:p>
            <w:pPr>
              <w:jc w:val="right"/>
              <w:ind w:right="50"/>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00" w:type="dxa"/>
            <w:vAlign w:val="bottom"/>
          </w:tcPr>
          <w:p>
            <w:pPr>
              <w:jc w:val="right"/>
              <w:ind w:right="50"/>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ind w:right="30"/>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30"/>
              <w:spacing w:after="0"/>
              <w:rPr>
                <w:sz w:val="20"/>
                <w:szCs w:val="20"/>
                <w:color w:val="auto"/>
              </w:rPr>
            </w:pPr>
            <w:r>
              <w:rPr>
                <w:rFonts w:ascii="Arial" w:cs="Arial" w:eastAsia="Arial" w:hAnsi="Arial"/>
                <w:sz w:val="14"/>
                <w:szCs w:val="14"/>
                <w:color w:val="auto"/>
              </w:rPr>
              <w:t>—</w:t>
            </w:r>
          </w:p>
        </w:tc>
      </w:tr>
      <w:tr>
        <w:trPr>
          <w:trHeight w:val="250"/>
        </w:trPr>
        <w:tc>
          <w:tcPr>
            <w:tcW w:w="242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Total 30-Year TBAs</w:t>
            </w: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5,482</w:t>
            </w: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74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5,654</w:t>
            </w:r>
          </w:p>
        </w:tc>
        <w:tc>
          <w:tcPr>
            <w:tcW w:w="12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68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5,745</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7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91</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7,014</w:t>
            </w: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7,135</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7,150</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15</w:t>
            </w: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4"/>
                <w:szCs w:val="14"/>
                <w:color w:val="auto"/>
              </w:rPr>
              <w:t>Total net TBA securities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6,756</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6,975</w:t>
            </w:r>
          </w:p>
        </w:tc>
        <w:tc>
          <w:tcPr>
            <w:tcW w:w="120" w:type="dxa"/>
            <w:vAlign w:val="bottom"/>
          </w:tcPr>
          <w:p>
            <w:pPr>
              <w:spacing w:after="0"/>
              <w:rPr>
                <w:sz w:val="21"/>
                <w:szCs w:val="21"/>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7,072</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97</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7,295</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7,430</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7,444</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14</w:t>
            </w:r>
          </w:p>
        </w:tc>
      </w:tr>
      <w:tr>
        <w:trPr>
          <w:trHeight w:val="20"/>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2016</w:t>
            </w: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December 31, 2015</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88"/>
              </w:rPr>
              <w:t>Notional</w:t>
            </w: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92"/>
              </w:rPr>
              <w:t>Notional</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8"/>
              </w:rPr>
              <w:t>Amount - Long</w:t>
            </w:r>
          </w:p>
        </w:tc>
        <w:tc>
          <w:tcPr>
            <w:tcW w:w="200" w:type="dxa"/>
            <w:vAlign w:val="bottom"/>
          </w:tcPr>
          <w:p>
            <w:pPr>
              <w:spacing w:after="0"/>
              <w:rPr>
                <w:sz w:val="11"/>
                <w:szCs w:val="11"/>
                <w:color w:val="auto"/>
              </w:rPr>
            </w:pPr>
          </w:p>
        </w:tc>
        <w:tc>
          <w:tcPr>
            <w:tcW w:w="860" w:type="dxa"/>
            <w:vAlign w:val="bottom"/>
            <w:gridSpan w:val="2"/>
          </w:tcPr>
          <w:p>
            <w:pPr>
              <w:ind w:left="160"/>
              <w:spacing w:after="0" w:line="135" w:lineRule="exact"/>
              <w:rPr>
                <w:sz w:val="20"/>
                <w:szCs w:val="20"/>
                <w:color w:val="auto"/>
              </w:rPr>
            </w:pPr>
            <w:r>
              <w:rPr>
                <w:rFonts w:ascii="Arial" w:cs="Arial" w:eastAsia="Arial" w:hAnsi="Arial"/>
                <w:sz w:val="13"/>
                <w:szCs w:val="13"/>
                <w:b w:val="1"/>
                <w:bCs w:val="1"/>
                <w:color w:val="auto"/>
              </w:rPr>
              <w:t>Cost</w:t>
            </w:r>
          </w:p>
        </w:tc>
        <w:tc>
          <w:tcPr>
            <w:tcW w:w="260" w:type="dxa"/>
            <w:vAlign w:val="bottom"/>
          </w:tcPr>
          <w:p>
            <w:pPr>
              <w:spacing w:after="0"/>
              <w:rPr>
                <w:sz w:val="11"/>
                <w:szCs w:val="11"/>
                <w:color w:val="auto"/>
              </w:rPr>
            </w:pPr>
          </w:p>
        </w:tc>
        <w:tc>
          <w:tcPr>
            <w:tcW w:w="80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Market</w:t>
            </w:r>
          </w:p>
        </w:tc>
        <w:tc>
          <w:tcPr>
            <w:tcW w:w="1000" w:type="dxa"/>
            <w:vAlign w:val="bottom"/>
            <w:gridSpan w:val="3"/>
          </w:tcPr>
          <w:p>
            <w:pPr>
              <w:ind w:left="80"/>
              <w:spacing w:after="0" w:line="135" w:lineRule="exact"/>
              <w:rPr>
                <w:sz w:val="20"/>
                <w:szCs w:val="20"/>
                <w:color w:val="auto"/>
              </w:rPr>
            </w:pPr>
            <w:r>
              <w:rPr>
                <w:rFonts w:ascii="Arial" w:cs="Arial" w:eastAsia="Arial" w:hAnsi="Arial"/>
                <w:sz w:val="13"/>
                <w:szCs w:val="13"/>
                <w:b w:val="1"/>
                <w:bCs w:val="1"/>
                <w:color w:val="auto"/>
              </w:rPr>
              <w:t>Net Carrying</w:t>
            </w:r>
          </w:p>
        </w:tc>
        <w:tc>
          <w:tcPr>
            <w:tcW w:w="140" w:type="dxa"/>
            <w:vAlign w:val="bottom"/>
          </w:tcPr>
          <w:p>
            <w:pPr>
              <w:spacing w:after="0"/>
              <w:rPr>
                <w:sz w:val="11"/>
                <w:szCs w:val="11"/>
                <w:color w:val="auto"/>
              </w:rPr>
            </w:pPr>
          </w:p>
        </w:tc>
        <w:tc>
          <w:tcPr>
            <w:tcW w:w="12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8"/>
              </w:rPr>
              <w:t>Amount - Long</w:t>
            </w:r>
          </w:p>
        </w:tc>
        <w:tc>
          <w:tcPr>
            <w:tcW w:w="220" w:type="dxa"/>
            <w:vAlign w:val="bottom"/>
          </w:tcPr>
          <w:p>
            <w:pPr>
              <w:spacing w:after="0"/>
              <w:rPr>
                <w:sz w:val="11"/>
                <w:szCs w:val="11"/>
                <w:color w:val="auto"/>
              </w:rPr>
            </w:pPr>
          </w:p>
        </w:tc>
        <w:tc>
          <w:tcPr>
            <w:tcW w:w="900" w:type="dxa"/>
            <w:vAlign w:val="bottom"/>
            <w:gridSpan w:val="2"/>
          </w:tcPr>
          <w:p>
            <w:pPr>
              <w:ind w:left="160"/>
              <w:spacing w:after="0" w:line="135" w:lineRule="exact"/>
              <w:rPr>
                <w:sz w:val="20"/>
                <w:szCs w:val="20"/>
                <w:color w:val="auto"/>
              </w:rPr>
            </w:pPr>
            <w:r>
              <w:rPr>
                <w:rFonts w:ascii="Arial" w:cs="Arial" w:eastAsia="Arial" w:hAnsi="Arial"/>
                <w:sz w:val="13"/>
                <w:szCs w:val="13"/>
                <w:b w:val="1"/>
                <w:bCs w:val="1"/>
                <w:color w:val="auto"/>
              </w:rPr>
              <w:t>Cost</w:t>
            </w:r>
          </w:p>
        </w:tc>
        <w:tc>
          <w:tcPr>
            <w:tcW w:w="200" w:type="dxa"/>
            <w:vAlign w:val="bottom"/>
          </w:tcPr>
          <w:p>
            <w:pPr>
              <w:spacing w:after="0"/>
              <w:rPr>
                <w:sz w:val="11"/>
                <w:szCs w:val="11"/>
                <w:color w:val="auto"/>
              </w:rPr>
            </w:pPr>
          </w:p>
        </w:tc>
        <w:tc>
          <w:tcPr>
            <w:tcW w:w="920" w:type="dxa"/>
            <w:vAlign w:val="bottom"/>
            <w:gridSpan w:val="2"/>
          </w:tcPr>
          <w:p>
            <w:pPr>
              <w:ind w:left="100"/>
              <w:spacing w:after="0" w:line="135" w:lineRule="exact"/>
              <w:rPr>
                <w:sz w:val="20"/>
                <w:szCs w:val="20"/>
                <w:color w:val="auto"/>
              </w:rPr>
            </w:pPr>
            <w:r>
              <w:rPr>
                <w:rFonts w:ascii="Arial" w:cs="Arial" w:eastAsia="Arial" w:hAnsi="Arial"/>
                <w:sz w:val="13"/>
                <w:szCs w:val="13"/>
                <w:b w:val="1"/>
                <w:bCs w:val="1"/>
                <w:color w:val="auto"/>
              </w:rPr>
              <w:t>Market</w:t>
            </w:r>
          </w:p>
        </w:tc>
        <w:tc>
          <w:tcPr>
            <w:tcW w:w="140" w:type="dxa"/>
            <w:vAlign w:val="bottom"/>
          </w:tcPr>
          <w:p>
            <w:pPr>
              <w:spacing w:after="0"/>
              <w:rPr>
                <w:sz w:val="11"/>
                <w:szCs w:val="11"/>
                <w:color w:val="auto"/>
              </w:rPr>
            </w:pPr>
          </w:p>
        </w:tc>
        <w:tc>
          <w:tcPr>
            <w:tcW w:w="880" w:type="dxa"/>
            <w:vAlign w:val="bottom"/>
          </w:tcPr>
          <w:p>
            <w:pPr>
              <w:jc w:val="right"/>
              <w:ind w:right="71"/>
              <w:spacing w:after="0" w:line="135" w:lineRule="exact"/>
              <w:rPr>
                <w:sz w:val="20"/>
                <w:szCs w:val="20"/>
                <w:color w:val="auto"/>
              </w:rPr>
            </w:pPr>
            <w:r>
              <w:rPr>
                <w:rFonts w:ascii="Arial" w:cs="Arial" w:eastAsia="Arial" w:hAnsi="Arial"/>
                <w:sz w:val="13"/>
                <w:szCs w:val="13"/>
                <w:b w:val="1"/>
                <w:bCs w:val="1"/>
                <w:color w:val="auto"/>
                <w:w w:val="92"/>
              </w:rPr>
              <w:t>Net Carrying</w:t>
            </w:r>
          </w:p>
        </w:tc>
        <w:tc>
          <w:tcPr>
            <w:tcW w:w="0" w:type="dxa"/>
            <w:vAlign w:val="bottom"/>
          </w:tcPr>
          <w:p>
            <w:pPr>
              <w:spacing w:after="0"/>
              <w:rPr>
                <w:sz w:val="1"/>
                <w:szCs w:val="1"/>
                <w:color w:val="auto"/>
              </w:rPr>
            </w:pPr>
          </w:p>
        </w:tc>
      </w:tr>
      <w:tr>
        <w:trPr>
          <w:trHeight w:val="174"/>
        </w:trPr>
        <w:tc>
          <w:tcPr>
            <w:tcW w:w="230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TBA Securities by Issuer</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52"/>
              <w:spacing w:after="0"/>
              <w:rPr>
                <w:sz w:val="20"/>
                <w:szCs w:val="20"/>
                <w:color w:val="auto"/>
              </w:rPr>
            </w:pPr>
            <w:r>
              <w:rPr>
                <w:rFonts w:ascii="Arial" w:cs="Arial" w:eastAsia="Arial" w:hAnsi="Arial"/>
                <w:sz w:val="13"/>
                <w:szCs w:val="13"/>
                <w:b w:val="1"/>
                <w:bCs w:val="1"/>
                <w:color w:val="auto"/>
                <w:w w:val="90"/>
              </w:rPr>
              <w:t xml:space="preserve">(Short) </w:t>
            </w:r>
            <w:r>
              <w:rPr>
                <w:rFonts w:ascii="Arial" w:cs="Arial" w:eastAsia="Arial" w:hAnsi="Arial"/>
                <w:sz w:val="8"/>
                <w:szCs w:val="8"/>
                <w:b w:val="1"/>
                <w:bCs w:val="1"/>
                <w:color w:val="auto"/>
                <w:w w:val="90"/>
              </w:rPr>
              <w:t>1</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11"/>
              <w:spacing w:after="0"/>
              <w:rPr>
                <w:sz w:val="20"/>
                <w:szCs w:val="20"/>
                <w:color w:val="auto"/>
              </w:rPr>
            </w:pPr>
            <w:r>
              <w:rPr>
                <w:rFonts w:ascii="Arial" w:cs="Arial" w:eastAsia="Arial" w:hAnsi="Arial"/>
                <w:sz w:val="13"/>
                <w:szCs w:val="13"/>
                <w:b w:val="1"/>
                <w:bCs w:val="1"/>
                <w:color w:val="auto"/>
              </w:rPr>
              <w:t xml:space="preserve">Basis </w:t>
            </w:r>
            <w:r>
              <w:rPr>
                <w:rFonts w:ascii="Arial" w:cs="Arial" w:eastAsia="Arial" w:hAnsi="Arial"/>
                <w:sz w:val="8"/>
                <w:szCs w:val="8"/>
                <w:b w:val="1"/>
                <w:bCs w:val="1"/>
                <w:color w:val="auto"/>
              </w:rPr>
              <w:t>2</w:t>
            </w: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1"/>
              <w:spacing w:after="0"/>
              <w:rPr>
                <w:sz w:val="20"/>
                <w:szCs w:val="20"/>
                <w:color w:val="auto"/>
              </w:rPr>
            </w:pPr>
            <w:r>
              <w:rPr>
                <w:rFonts w:ascii="Arial" w:cs="Arial" w:eastAsia="Arial" w:hAnsi="Arial"/>
                <w:sz w:val="13"/>
                <w:szCs w:val="13"/>
                <w:b w:val="1"/>
                <w:bCs w:val="1"/>
                <w:color w:val="auto"/>
                <w:w w:val="88"/>
              </w:rPr>
              <w:t xml:space="preserve">Value </w:t>
            </w:r>
            <w:r>
              <w:rPr>
                <w:rFonts w:ascii="Arial" w:cs="Arial" w:eastAsia="Arial" w:hAnsi="Arial"/>
                <w:sz w:val="8"/>
                <w:szCs w:val="8"/>
                <w:b w:val="1"/>
                <w:bCs w:val="1"/>
                <w:color w:val="auto"/>
                <w:w w:val="88"/>
              </w:rPr>
              <w:t>3</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3"/>
                <w:szCs w:val="13"/>
                <w:b w:val="1"/>
                <w:bCs w:val="1"/>
                <w:color w:val="auto"/>
              </w:rPr>
              <w:t xml:space="preserve">Value </w:t>
            </w:r>
            <w:r>
              <w:rPr>
                <w:rFonts w:ascii="Arial" w:cs="Arial" w:eastAsia="Arial" w:hAnsi="Arial"/>
                <w:sz w:val="8"/>
                <w:szCs w:val="8"/>
                <w:b w:val="1"/>
                <w:bCs w:val="1"/>
                <w:color w:val="auto"/>
              </w:rPr>
              <w:t>4</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92"/>
              <w:spacing w:after="0"/>
              <w:rPr>
                <w:sz w:val="20"/>
                <w:szCs w:val="20"/>
                <w:color w:val="auto"/>
              </w:rPr>
            </w:pPr>
            <w:r>
              <w:rPr>
                <w:rFonts w:ascii="Arial" w:cs="Arial" w:eastAsia="Arial" w:hAnsi="Arial"/>
                <w:sz w:val="13"/>
                <w:szCs w:val="13"/>
                <w:b w:val="1"/>
                <w:bCs w:val="1"/>
                <w:color w:val="auto"/>
                <w:w w:val="90"/>
              </w:rPr>
              <w:t xml:space="preserve">(Short) </w:t>
            </w:r>
            <w:r>
              <w:rPr>
                <w:rFonts w:ascii="Arial" w:cs="Arial" w:eastAsia="Arial" w:hAnsi="Arial"/>
                <w:sz w:val="8"/>
                <w:szCs w:val="8"/>
                <w:b w:val="1"/>
                <w:bCs w:val="1"/>
                <w:color w:val="auto"/>
                <w:w w:val="90"/>
              </w:rPr>
              <w:t>1</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71"/>
              <w:spacing w:after="0"/>
              <w:rPr>
                <w:sz w:val="20"/>
                <w:szCs w:val="20"/>
                <w:color w:val="auto"/>
              </w:rPr>
            </w:pPr>
            <w:r>
              <w:rPr>
                <w:rFonts w:ascii="Arial" w:cs="Arial" w:eastAsia="Arial" w:hAnsi="Arial"/>
                <w:sz w:val="13"/>
                <w:szCs w:val="13"/>
                <w:b w:val="1"/>
                <w:bCs w:val="1"/>
                <w:color w:val="auto"/>
              </w:rPr>
              <w:t xml:space="preserve">Basis </w:t>
            </w:r>
            <w:r>
              <w:rPr>
                <w:rFonts w:ascii="Arial" w:cs="Arial" w:eastAsia="Arial" w:hAnsi="Arial"/>
                <w:sz w:val="8"/>
                <w:szCs w:val="8"/>
                <w:b w:val="1"/>
                <w:bCs w:val="1"/>
                <w:color w:val="auto"/>
              </w:rPr>
              <w:t>2</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51"/>
              <w:spacing w:after="0"/>
              <w:rPr>
                <w:sz w:val="20"/>
                <w:szCs w:val="20"/>
                <w:color w:val="auto"/>
              </w:rPr>
            </w:pPr>
            <w:r>
              <w:rPr>
                <w:rFonts w:ascii="Arial" w:cs="Arial" w:eastAsia="Arial" w:hAnsi="Arial"/>
                <w:sz w:val="13"/>
                <w:szCs w:val="13"/>
                <w:b w:val="1"/>
                <w:bCs w:val="1"/>
                <w:color w:val="auto"/>
              </w:rPr>
              <w:t xml:space="preserve">Value </w:t>
            </w:r>
            <w:r>
              <w:rPr>
                <w:rFonts w:ascii="Arial" w:cs="Arial" w:eastAsia="Arial" w:hAnsi="Arial"/>
                <w:sz w:val="8"/>
                <w:szCs w:val="8"/>
                <w:b w:val="1"/>
                <w:bCs w:val="1"/>
                <w:color w:val="auto"/>
              </w:rPr>
              <w:t>3</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51"/>
              <w:spacing w:after="0"/>
              <w:rPr>
                <w:sz w:val="20"/>
                <w:szCs w:val="20"/>
                <w:color w:val="auto"/>
              </w:rPr>
            </w:pPr>
            <w:r>
              <w:rPr>
                <w:rFonts w:ascii="Arial" w:cs="Arial" w:eastAsia="Arial" w:hAnsi="Arial"/>
                <w:sz w:val="13"/>
                <w:szCs w:val="13"/>
                <w:b w:val="1"/>
                <w:bCs w:val="1"/>
                <w:color w:val="auto"/>
              </w:rPr>
              <w:t xml:space="preserve">Value </w:t>
            </w:r>
            <w:r>
              <w:rPr>
                <w:rFonts w:ascii="Arial" w:cs="Arial" w:eastAsia="Arial" w:hAnsi="Arial"/>
                <w:sz w:val="8"/>
                <w:szCs w:val="8"/>
                <w:b w:val="1"/>
                <w:bCs w:val="1"/>
                <w:color w:val="auto"/>
              </w:rPr>
              <w:t>4</w:t>
            </w:r>
          </w:p>
        </w:tc>
        <w:tc>
          <w:tcPr>
            <w:tcW w:w="0" w:type="dxa"/>
            <w:vAlign w:val="bottom"/>
          </w:tcPr>
          <w:p>
            <w:pPr>
              <w:spacing w:after="0"/>
              <w:rPr>
                <w:sz w:val="1"/>
                <w:szCs w:val="1"/>
                <w:color w:val="auto"/>
              </w:rPr>
            </w:pPr>
          </w:p>
        </w:tc>
      </w:tr>
      <w:tr>
        <w:trPr>
          <w:trHeight w:val="251"/>
        </w:trPr>
        <w:tc>
          <w:tcPr>
            <w:tcW w:w="2420" w:type="dxa"/>
            <w:vAlign w:val="bottom"/>
            <w:gridSpan w:val="2"/>
          </w:tcPr>
          <w:p>
            <w:pPr>
              <w:ind w:left="40"/>
              <w:spacing w:after="0"/>
              <w:rPr>
                <w:sz w:val="20"/>
                <w:szCs w:val="20"/>
                <w:color w:val="auto"/>
              </w:rPr>
            </w:pPr>
            <w:r>
              <w:rPr>
                <w:rFonts w:ascii="Arial" w:cs="Arial" w:eastAsia="Arial" w:hAnsi="Arial"/>
                <w:sz w:val="16"/>
                <w:szCs w:val="16"/>
                <w:color w:val="auto"/>
              </w:rPr>
              <w:t>Fannie Mae</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52"/>
              <w:spacing w:after="0"/>
              <w:rPr>
                <w:sz w:val="20"/>
                <w:szCs w:val="20"/>
                <w:color w:val="auto"/>
              </w:rPr>
            </w:pPr>
            <w:r>
              <w:rPr>
                <w:rFonts w:ascii="Arial" w:cs="Arial" w:eastAsia="Arial" w:hAnsi="Arial"/>
                <w:sz w:val="14"/>
                <w:szCs w:val="14"/>
                <w:color w:val="auto"/>
              </w:rPr>
              <w:t>5,256</w:t>
            </w:r>
          </w:p>
        </w:tc>
        <w:tc>
          <w:tcPr>
            <w:tcW w:w="120" w:type="dxa"/>
            <w:vAlign w:val="bottom"/>
          </w:tcPr>
          <w:p>
            <w:pPr>
              <w:spacing w:after="0"/>
              <w:rPr>
                <w:sz w:val="21"/>
                <w:szCs w:val="21"/>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51"/>
              <w:spacing w:after="0"/>
              <w:rPr>
                <w:sz w:val="20"/>
                <w:szCs w:val="20"/>
                <w:color w:val="auto"/>
              </w:rPr>
            </w:pPr>
            <w:r>
              <w:rPr>
                <w:rFonts w:ascii="Arial" w:cs="Arial" w:eastAsia="Arial" w:hAnsi="Arial"/>
                <w:sz w:val="14"/>
                <w:szCs w:val="14"/>
                <w:color w:val="auto"/>
              </w:rPr>
              <w:t>5,424</w:t>
            </w:r>
          </w:p>
        </w:tc>
        <w:tc>
          <w:tcPr>
            <w:tcW w:w="120" w:type="dxa"/>
            <w:vAlign w:val="bottom"/>
          </w:tcPr>
          <w:p>
            <w:pPr>
              <w:spacing w:after="0"/>
              <w:rPr>
                <w:sz w:val="21"/>
                <w:szCs w:val="21"/>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51"/>
              <w:spacing w:after="0"/>
              <w:rPr>
                <w:sz w:val="20"/>
                <w:szCs w:val="20"/>
                <w:color w:val="auto"/>
              </w:rPr>
            </w:pPr>
            <w:r>
              <w:rPr>
                <w:rFonts w:ascii="Arial" w:cs="Arial" w:eastAsia="Arial" w:hAnsi="Arial"/>
                <w:sz w:val="14"/>
                <w:szCs w:val="14"/>
                <w:color w:val="auto"/>
              </w:rPr>
              <w:t>5,502</w:t>
            </w:r>
          </w:p>
        </w:tc>
        <w:tc>
          <w:tcPr>
            <w:tcW w:w="120" w:type="dxa"/>
            <w:vAlign w:val="bottom"/>
          </w:tcPr>
          <w:p>
            <w:pPr>
              <w:spacing w:after="0"/>
              <w:rPr>
                <w:sz w:val="21"/>
                <w:szCs w:val="21"/>
                <w:color w:val="auto"/>
              </w:rPr>
            </w:pPr>
          </w:p>
        </w:tc>
        <w:tc>
          <w:tcPr>
            <w:tcW w:w="18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30"/>
              <w:spacing w:after="0"/>
              <w:rPr>
                <w:sz w:val="20"/>
                <w:szCs w:val="20"/>
                <w:color w:val="auto"/>
              </w:rPr>
            </w:pPr>
            <w:r>
              <w:rPr>
                <w:rFonts w:ascii="Arial" w:cs="Arial" w:eastAsia="Arial" w:hAnsi="Arial"/>
                <w:sz w:val="14"/>
                <w:szCs w:val="14"/>
                <w:color w:val="auto"/>
              </w:rPr>
              <w:t>78</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52"/>
              <w:spacing w:after="0"/>
              <w:rPr>
                <w:sz w:val="20"/>
                <w:szCs w:val="20"/>
                <w:color w:val="auto"/>
              </w:rPr>
            </w:pPr>
            <w:r>
              <w:rPr>
                <w:rFonts w:ascii="Arial" w:cs="Arial" w:eastAsia="Arial" w:hAnsi="Arial"/>
                <w:sz w:val="14"/>
                <w:szCs w:val="14"/>
                <w:color w:val="auto"/>
              </w:rPr>
              <w:t>6,033</w:t>
            </w:r>
          </w:p>
        </w:tc>
        <w:tc>
          <w:tcPr>
            <w:tcW w:w="100" w:type="dxa"/>
            <w:vAlign w:val="bottom"/>
          </w:tcPr>
          <w:p>
            <w:pPr>
              <w:spacing w:after="0"/>
              <w:rPr>
                <w:sz w:val="21"/>
                <w:szCs w:val="21"/>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31"/>
              <w:spacing w:after="0"/>
              <w:rPr>
                <w:sz w:val="20"/>
                <w:szCs w:val="20"/>
                <w:color w:val="auto"/>
              </w:rPr>
            </w:pPr>
            <w:r>
              <w:rPr>
                <w:rFonts w:ascii="Arial" w:cs="Arial" w:eastAsia="Arial" w:hAnsi="Arial"/>
                <w:sz w:val="14"/>
                <w:szCs w:val="14"/>
                <w:color w:val="auto"/>
              </w:rPr>
              <w:t>6,145</w:t>
            </w:r>
          </w:p>
        </w:tc>
        <w:tc>
          <w:tcPr>
            <w:tcW w:w="100" w:type="dxa"/>
            <w:vAlign w:val="bottom"/>
          </w:tcPr>
          <w:p>
            <w:pPr>
              <w:spacing w:after="0"/>
              <w:rPr>
                <w:sz w:val="21"/>
                <w:szCs w:val="21"/>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31"/>
              <w:spacing w:after="0"/>
              <w:rPr>
                <w:sz w:val="20"/>
                <w:szCs w:val="20"/>
                <w:color w:val="auto"/>
              </w:rPr>
            </w:pPr>
            <w:r>
              <w:rPr>
                <w:rFonts w:ascii="Arial" w:cs="Arial" w:eastAsia="Arial" w:hAnsi="Arial"/>
                <w:sz w:val="14"/>
                <w:szCs w:val="14"/>
                <w:color w:val="auto"/>
              </w:rPr>
              <w:t>6,159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31"/>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76"/>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Freddie Mac</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1,027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1,070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1,081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689</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703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703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42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Ginnie Mae</w:t>
            </w: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473</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481</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489</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8</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573</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582</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582</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7"/>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TBA securities,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6,756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6,975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7,072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97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7,295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7,430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7,444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0"/>
        </w:trPr>
        <w:tc>
          <w:tcPr>
            <w:tcW w:w="2300" w:type="dxa"/>
            <w:vAlign w:val="bottom"/>
            <w:vMerge w:val="restart"/>
          </w:tcPr>
          <w:p>
            <w:pPr>
              <w:spacing w:after="0"/>
              <w:rPr>
                <w:sz w:val="20"/>
                <w:szCs w:val="20"/>
                <w:color w:val="auto"/>
              </w:rPr>
            </w:pPr>
            <w:r>
              <w:rPr>
                <w:rFonts w:ascii="Arial" w:cs="Arial" w:eastAsia="Arial" w:hAnsi="Arial"/>
                <w:sz w:val="18"/>
                <w:szCs w:val="18"/>
                <w:color w:val="auto"/>
              </w:rPr>
              <w:t>_____________________</w:t>
            </w:r>
          </w:p>
        </w:tc>
        <w:tc>
          <w:tcPr>
            <w:tcW w:w="1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30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328"/>
        <w:spacing w:after="0"/>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Notional amount represents the par value (or principal balance) of the underlying agency security.</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Cost basis represents the forward price to be paid / (received) for the underlying agency security.</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Market value represents the current market value of the TBA contract (or of the underlying agency security) as of period-end.</w:t>
      </w:r>
    </w:p>
    <w:p>
      <w:pPr>
        <w:spacing w:after="0" w:line="1" w:lineRule="exact"/>
        <w:rPr>
          <w:rFonts w:ascii="Arial" w:cs="Arial" w:eastAsia="Arial" w:hAnsi="Arial"/>
          <w:sz w:val="14"/>
          <w:szCs w:val="14"/>
          <w:color w:val="auto"/>
        </w:rPr>
      </w:pPr>
    </w:p>
    <w:p>
      <w:pPr>
        <w:ind w:left="660" w:hanging="328"/>
        <w:spacing w:after="0" w:line="255" w:lineRule="auto"/>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Net carrying value represents the difference between the market value and the cost basis of the TBA contract as of period-end and is reported in derivative assets / (liabilities), at fair value in our consolidated balance sheets.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(Loss) From Derivative Instruments and Other Securities, Net</w:t>
      </w:r>
    </w:p>
    <w:p>
      <w:pPr>
        <w:spacing w:after="0" w:line="171"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The tables below summarize changes in our derivative and other hedge portfolio and their effect on our consolidated statements of comprehensive income for the three and six months ended June 30, 2016 and 2015 (in millions):</w:t>
      </w:r>
    </w:p>
    <w:p>
      <w:pPr>
        <w:spacing w:after="0" w:line="338"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4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80" w:type="dxa"/>
            <w:vAlign w:val="bottom"/>
            <w:tcBorders>
              <w:bottom w:val="single" w:sz="8" w:color="auto"/>
            </w:tcBorders>
            <w:gridSpan w:val="8"/>
          </w:tcPr>
          <w:p>
            <w:pPr>
              <w:ind w:left="940"/>
              <w:spacing w:after="0"/>
              <w:rPr>
                <w:sz w:val="20"/>
                <w:szCs w:val="20"/>
                <w:color w:val="auto"/>
              </w:rPr>
            </w:pPr>
            <w:r>
              <w:rPr>
                <w:rFonts w:ascii="Arial" w:cs="Arial" w:eastAsia="Arial" w:hAnsi="Arial"/>
                <w:sz w:val="14"/>
                <w:szCs w:val="14"/>
                <w:b w:val="1"/>
                <w:bCs w:val="1"/>
                <w:color w:val="auto"/>
              </w:rPr>
              <w:t>Three Months Ended June 30, 2016</w:t>
            </w: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Settlement,</w:t>
            </w: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jc w:val="center"/>
              <w:ind w:right="63"/>
              <w:spacing w:after="0" w:line="153" w:lineRule="exact"/>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Notional Amount</w:t>
            </w: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460" w:type="dxa"/>
            <w:vAlign w:val="bottom"/>
            <w:gridSpan w:val="4"/>
            <w:vMerge w:val="restart"/>
          </w:tcPr>
          <w:p>
            <w:pPr>
              <w:jc w:val="center"/>
              <w:ind w:right="240"/>
              <w:spacing w:after="0"/>
              <w:rPr>
                <w:sz w:val="20"/>
                <w:szCs w:val="20"/>
                <w:color w:val="auto"/>
              </w:rPr>
            </w:pPr>
            <w:r>
              <w:rPr>
                <w:rFonts w:ascii="Arial" w:cs="Arial" w:eastAsia="Arial" w:hAnsi="Arial"/>
                <w:sz w:val="14"/>
                <w:szCs w:val="14"/>
                <w:b w:val="1"/>
                <w:bCs w:val="1"/>
                <w:color w:val="auto"/>
                <w:w w:val="93"/>
              </w:rPr>
              <w:t>Notional Amount</w:t>
            </w:r>
          </w:p>
        </w:tc>
        <w:tc>
          <w:tcPr>
            <w:tcW w:w="140" w:type="dxa"/>
            <w:vAlign w:val="bottom"/>
          </w:tcPr>
          <w:p>
            <w:pPr>
              <w:spacing w:after="0"/>
              <w:rPr>
                <w:sz w:val="12"/>
                <w:szCs w:val="12"/>
                <w:color w:val="auto"/>
              </w:rPr>
            </w:pPr>
          </w:p>
        </w:tc>
        <w:tc>
          <w:tcPr>
            <w:tcW w:w="1080" w:type="dxa"/>
            <w:vAlign w:val="bottom"/>
          </w:tcPr>
          <w:p>
            <w:pPr>
              <w:jc w:val="center"/>
              <w:ind w:right="83"/>
              <w:spacing w:after="0" w:line="149" w:lineRule="exact"/>
              <w:rPr>
                <w:sz w:val="20"/>
                <w:szCs w:val="20"/>
                <w:color w:val="auto"/>
              </w:rPr>
            </w:pPr>
            <w:r>
              <w:rPr>
                <w:rFonts w:ascii="Arial" w:cs="Arial" w:eastAsia="Arial" w:hAnsi="Arial"/>
                <w:sz w:val="14"/>
                <w:szCs w:val="14"/>
                <w:b w:val="1"/>
                <w:bCs w:val="1"/>
                <w:color w:val="auto"/>
                <w:w w:val="93"/>
              </w:rPr>
              <w:t>Gain/(Loss)</w:t>
            </w: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Termination,</w:t>
            </w:r>
          </w:p>
        </w:tc>
        <w:tc>
          <w:tcPr>
            <w:tcW w:w="146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center"/>
              <w:ind w:right="63"/>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0" w:type="dxa"/>
            <w:vAlign w:val="bottom"/>
          </w:tcPr>
          <w:p>
            <w:pPr>
              <w:spacing w:after="0"/>
              <w:rPr>
                <w:sz w:val="1"/>
                <w:szCs w:val="1"/>
                <w:color w:val="auto"/>
              </w:rPr>
            </w:pPr>
          </w:p>
        </w:tc>
      </w:tr>
      <w:tr>
        <w:trPr>
          <w:trHeight w:val="149"/>
        </w:trPr>
        <w:tc>
          <w:tcPr>
            <w:tcW w:w="46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Derivative and Other Hedging Instruments</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Long/(Short)</w:t>
            </w:r>
          </w:p>
        </w:tc>
        <w:tc>
          <w:tcPr>
            <w:tcW w:w="1160" w:type="dxa"/>
            <w:vAlign w:val="bottom"/>
            <w:vMerge w:val="restart"/>
          </w:tcPr>
          <w:p>
            <w:pPr>
              <w:jc w:val="right"/>
              <w:ind w:right="201"/>
              <w:spacing w:after="0"/>
              <w:rPr>
                <w:sz w:val="20"/>
                <w:szCs w:val="20"/>
                <w:color w:val="auto"/>
              </w:rPr>
            </w:pPr>
            <w:r>
              <w:rPr>
                <w:rFonts w:ascii="Arial" w:cs="Arial" w:eastAsia="Arial" w:hAnsi="Arial"/>
                <w:sz w:val="14"/>
                <w:szCs w:val="14"/>
                <w:b w:val="1"/>
                <w:bCs w:val="1"/>
                <w:color w:val="auto"/>
              </w:rPr>
              <w:t>Additions</w:t>
            </w:r>
          </w:p>
        </w:tc>
        <w:tc>
          <w:tcPr>
            <w:tcW w:w="100" w:type="dxa"/>
            <w:vAlign w:val="bottom"/>
            <w:vMerge w:val="restart"/>
          </w:tcPr>
          <w:p>
            <w:pPr>
              <w:spacing w:after="0"/>
              <w:rPr>
                <w:sz w:val="12"/>
                <w:szCs w:val="12"/>
                <w:color w:val="auto"/>
              </w:rPr>
            </w:pPr>
          </w:p>
        </w:tc>
        <w:tc>
          <w:tcPr>
            <w:tcW w:w="13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Expiration or</w:t>
            </w:r>
          </w:p>
        </w:tc>
        <w:tc>
          <w:tcPr>
            <w:tcW w:w="1460" w:type="dxa"/>
            <w:vAlign w:val="bottom"/>
            <w:gridSpan w:val="4"/>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Long/(Short) June</w:t>
            </w:r>
          </w:p>
        </w:tc>
        <w:tc>
          <w:tcPr>
            <w:tcW w:w="140" w:type="dxa"/>
            <w:vAlign w:val="bottom"/>
          </w:tcPr>
          <w:p>
            <w:pPr>
              <w:spacing w:after="0"/>
              <w:rPr>
                <w:sz w:val="12"/>
                <w:szCs w:val="12"/>
                <w:color w:val="auto"/>
              </w:rPr>
            </w:pPr>
          </w:p>
        </w:tc>
        <w:tc>
          <w:tcPr>
            <w:tcW w:w="1080" w:type="dxa"/>
            <w:vAlign w:val="bottom"/>
          </w:tcPr>
          <w:p>
            <w:pPr>
              <w:jc w:val="center"/>
              <w:ind w:right="83"/>
              <w:spacing w:after="0" w:line="149" w:lineRule="exact"/>
              <w:rPr>
                <w:sz w:val="20"/>
                <w:szCs w:val="20"/>
                <w:color w:val="auto"/>
              </w:rPr>
            </w:pPr>
            <w:r>
              <w:rPr>
                <w:rFonts w:ascii="Arial" w:cs="Arial" w:eastAsia="Arial" w:hAnsi="Arial"/>
                <w:sz w:val="14"/>
                <w:szCs w:val="14"/>
                <w:b w:val="1"/>
                <w:bCs w:val="1"/>
                <w:color w:val="auto"/>
                <w:w w:val="91"/>
              </w:rPr>
              <w:t>Income on</w:t>
            </w:r>
          </w:p>
        </w:tc>
        <w:tc>
          <w:tcPr>
            <w:tcW w:w="0" w:type="dxa"/>
            <w:vAlign w:val="bottom"/>
          </w:tcPr>
          <w:p>
            <w:pPr>
              <w:spacing w:after="0"/>
              <w:rPr>
                <w:sz w:val="1"/>
                <w:szCs w:val="1"/>
                <w:color w:val="auto"/>
              </w:rPr>
            </w:pPr>
          </w:p>
        </w:tc>
      </w:tr>
      <w:tr>
        <w:trPr>
          <w:trHeight w:val="192"/>
        </w:trPr>
        <w:tc>
          <w:tcPr>
            <w:tcW w:w="46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March 31, 2016</w:t>
            </w:r>
          </w:p>
        </w:tc>
        <w:tc>
          <w:tcPr>
            <w:tcW w:w="1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Exercise</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40"/>
              <w:spacing w:after="0"/>
              <w:rPr>
                <w:sz w:val="20"/>
                <w:szCs w:val="20"/>
                <w:color w:val="auto"/>
              </w:rPr>
            </w:pPr>
            <w:r>
              <w:rPr>
                <w:rFonts w:ascii="Arial" w:cs="Arial" w:eastAsia="Arial" w:hAnsi="Arial"/>
                <w:sz w:val="14"/>
                <w:szCs w:val="14"/>
                <w:b w:val="1"/>
                <w:bCs w:val="1"/>
                <w:color w:val="auto"/>
                <w:w w:val="91"/>
              </w:rPr>
              <w:t>30, 2016</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93"/>
              </w:rPr>
              <w:t xml:space="preserve">Derivatives </w:t>
            </w:r>
            <w:r>
              <w:rPr>
                <w:rFonts w:ascii="Arial" w:cs="Arial" w:eastAsia="Arial" w:hAnsi="Arial"/>
                <w:sz w:val="8"/>
                <w:szCs w:val="8"/>
                <w:b w:val="1"/>
                <w:bCs w:val="1"/>
                <w:color w:val="auto"/>
                <w:w w:val="93"/>
              </w:rPr>
              <w:t>1</w:t>
            </w:r>
          </w:p>
        </w:tc>
        <w:tc>
          <w:tcPr>
            <w:tcW w:w="0" w:type="dxa"/>
            <w:vAlign w:val="bottom"/>
          </w:tcPr>
          <w:p>
            <w:pPr>
              <w:spacing w:after="0"/>
              <w:rPr>
                <w:sz w:val="1"/>
                <w:szCs w:val="1"/>
                <w:color w:val="auto"/>
              </w:rPr>
            </w:pPr>
          </w:p>
        </w:tc>
      </w:tr>
      <w:tr>
        <w:trPr>
          <w:trHeight w:val="236"/>
        </w:trPr>
        <w:tc>
          <w:tcPr>
            <w:tcW w:w="4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TBA securities, net</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5,813</w:t>
            </w: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20,066</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(19,123)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6,756</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237"/>
        </w:trPr>
        <w:tc>
          <w:tcPr>
            <w:tcW w:w="4780" w:type="dxa"/>
            <w:vAlign w:val="bottom"/>
            <w:gridSpan w:val="2"/>
          </w:tcPr>
          <w:p>
            <w:pPr>
              <w:ind w:left="20"/>
              <w:spacing w:after="0"/>
              <w:rPr>
                <w:sz w:val="20"/>
                <w:szCs w:val="20"/>
                <w:color w:val="auto"/>
              </w:rPr>
            </w:pPr>
            <w:r>
              <w:rPr>
                <w:rFonts w:ascii="Arial" w:cs="Arial" w:eastAsia="Arial" w:hAnsi="Arial"/>
                <w:sz w:val="16"/>
                <w:szCs w:val="16"/>
                <w:color w:val="auto"/>
              </w:rPr>
              <w:t>Interest rate swaps</w:t>
            </w:r>
          </w:p>
        </w:tc>
        <w:tc>
          <w:tcPr>
            <w:tcW w:w="140" w:type="dxa"/>
            <w:vAlign w:val="bottom"/>
          </w:tcPr>
          <w:p>
            <w:pPr>
              <w:ind w:left="40"/>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(38,175)</w:t>
            </w:r>
          </w:p>
        </w:tc>
        <w:tc>
          <w:tcPr>
            <w:tcW w:w="120" w:type="dxa"/>
            <w:vAlign w:val="bottom"/>
          </w:tcPr>
          <w:p>
            <w:pPr>
              <w:spacing w:after="0"/>
              <w:rPr>
                <w:sz w:val="20"/>
                <w:szCs w:val="20"/>
                <w:color w:val="auto"/>
              </w:rPr>
            </w:pP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(2,550)</w:t>
            </w:r>
          </w:p>
        </w:tc>
        <w:tc>
          <w:tcPr>
            <w:tcW w:w="100" w:type="dxa"/>
            <w:vAlign w:val="bottom"/>
          </w:tcPr>
          <w:p>
            <w:pPr>
              <w:spacing w:after="0"/>
              <w:rPr>
                <w:sz w:val="20"/>
                <w:szCs w:val="20"/>
                <w:color w:val="auto"/>
              </w:rPr>
            </w:pPr>
          </w:p>
        </w:tc>
        <w:tc>
          <w:tcPr>
            <w:tcW w:w="1240" w:type="dxa"/>
            <w:vAlign w:val="bottom"/>
          </w:tcPr>
          <w:p>
            <w:pPr>
              <w:jc w:val="right"/>
              <w:ind w:right="23"/>
              <w:spacing w:after="0"/>
              <w:rPr>
                <w:sz w:val="20"/>
                <w:szCs w:val="20"/>
                <w:color w:val="auto"/>
              </w:rPr>
            </w:pPr>
            <w:r>
              <w:rPr>
                <w:rFonts w:ascii="Arial" w:cs="Arial" w:eastAsia="Arial" w:hAnsi="Arial"/>
                <w:sz w:val="16"/>
                <w:szCs w:val="16"/>
                <w:color w:val="auto"/>
              </w:rPr>
              <w:t>5,600</w:t>
            </w:r>
          </w:p>
        </w:tc>
        <w:tc>
          <w:tcPr>
            <w:tcW w:w="120" w:type="dxa"/>
            <w:vAlign w:val="bottom"/>
          </w:tcPr>
          <w:p>
            <w:pPr>
              <w:spacing w:after="0"/>
              <w:rPr>
                <w:sz w:val="20"/>
                <w:szCs w:val="20"/>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(35,125)</w:t>
            </w:r>
          </w:p>
        </w:tc>
        <w:tc>
          <w:tcPr>
            <w:tcW w:w="12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(356)</w:t>
            </w:r>
          </w:p>
        </w:tc>
        <w:tc>
          <w:tcPr>
            <w:tcW w:w="0" w:type="dxa"/>
            <w:vAlign w:val="bottom"/>
          </w:tcPr>
          <w:p>
            <w:pPr>
              <w:spacing w:after="0"/>
              <w:rPr>
                <w:sz w:val="1"/>
                <w:szCs w:val="1"/>
                <w:color w:val="auto"/>
              </w:rPr>
            </w:pPr>
          </w:p>
        </w:tc>
      </w:tr>
      <w:tr>
        <w:trPr>
          <w:trHeight w:val="33"/>
        </w:trPr>
        <w:tc>
          <w:tcPr>
            <w:tcW w:w="4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Payer swaptions</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(1,750)</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700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(1,050)</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37"/>
        </w:trPr>
        <w:tc>
          <w:tcPr>
            <w:tcW w:w="4780" w:type="dxa"/>
            <w:vAlign w:val="bottom"/>
            <w:gridSpan w:val="2"/>
          </w:tcPr>
          <w:p>
            <w:pPr>
              <w:ind w:left="20"/>
              <w:spacing w:after="0"/>
              <w:rPr>
                <w:sz w:val="20"/>
                <w:szCs w:val="20"/>
                <w:color w:val="auto"/>
              </w:rPr>
            </w:pPr>
            <w:r>
              <w:rPr>
                <w:rFonts w:ascii="Arial" w:cs="Arial" w:eastAsia="Arial" w:hAnsi="Arial"/>
                <w:sz w:val="16"/>
                <w:szCs w:val="16"/>
                <w:color w:val="auto"/>
              </w:rPr>
              <w:t>U.S. Treasury securities - short position</w:t>
            </w:r>
          </w:p>
        </w:tc>
        <w:tc>
          <w:tcPr>
            <w:tcW w:w="140" w:type="dxa"/>
            <w:vAlign w:val="bottom"/>
          </w:tcPr>
          <w:p>
            <w:pPr>
              <w:ind w:left="40"/>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(3,135)</w:t>
            </w:r>
          </w:p>
        </w:tc>
        <w:tc>
          <w:tcPr>
            <w:tcW w:w="120" w:type="dxa"/>
            <w:vAlign w:val="bottom"/>
          </w:tcPr>
          <w:p>
            <w:pPr>
              <w:spacing w:after="0"/>
              <w:rPr>
                <w:sz w:val="20"/>
                <w:szCs w:val="20"/>
                <w:color w:val="auto"/>
              </w:rPr>
            </w:pP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(653)</w:t>
            </w:r>
          </w:p>
        </w:tc>
        <w:tc>
          <w:tcPr>
            <w:tcW w:w="100" w:type="dxa"/>
            <w:vAlign w:val="bottom"/>
          </w:tcPr>
          <w:p>
            <w:pPr>
              <w:spacing w:after="0"/>
              <w:rPr>
                <w:sz w:val="20"/>
                <w:szCs w:val="20"/>
                <w:color w:val="auto"/>
              </w:rPr>
            </w:pPr>
          </w:p>
        </w:tc>
        <w:tc>
          <w:tcPr>
            <w:tcW w:w="1240" w:type="dxa"/>
            <w:vAlign w:val="bottom"/>
          </w:tcPr>
          <w:p>
            <w:pPr>
              <w:jc w:val="right"/>
              <w:ind w:right="23"/>
              <w:spacing w:after="0"/>
              <w:rPr>
                <w:sz w:val="20"/>
                <w:szCs w:val="20"/>
                <w:color w:val="auto"/>
              </w:rPr>
            </w:pPr>
            <w:r>
              <w:rPr>
                <w:rFonts w:ascii="Arial" w:cs="Arial" w:eastAsia="Arial" w:hAnsi="Arial"/>
                <w:sz w:val="16"/>
                <w:szCs w:val="16"/>
                <w:color w:val="auto"/>
              </w:rPr>
              <w:t>858</w:t>
            </w:r>
          </w:p>
        </w:tc>
        <w:tc>
          <w:tcPr>
            <w:tcW w:w="120" w:type="dxa"/>
            <w:vAlign w:val="bottom"/>
          </w:tcPr>
          <w:p>
            <w:pPr>
              <w:spacing w:after="0"/>
              <w:rPr>
                <w:sz w:val="20"/>
                <w:szCs w:val="20"/>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(2,930)</w:t>
            </w:r>
          </w:p>
        </w:tc>
        <w:tc>
          <w:tcPr>
            <w:tcW w:w="12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33"/>
        </w:trPr>
        <w:tc>
          <w:tcPr>
            <w:tcW w:w="4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U.S. Treasury securities - long position</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225</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62</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7"/>
        </w:trPr>
        <w:tc>
          <w:tcPr>
            <w:tcW w:w="4780" w:type="dxa"/>
            <w:vAlign w:val="bottom"/>
            <w:gridSpan w:val="2"/>
          </w:tcPr>
          <w:p>
            <w:pPr>
              <w:ind w:left="20"/>
              <w:spacing w:after="0"/>
              <w:rPr>
                <w:sz w:val="20"/>
                <w:szCs w:val="20"/>
                <w:color w:val="auto"/>
              </w:rPr>
            </w:pPr>
            <w:r>
              <w:rPr>
                <w:rFonts w:ascii="Arial" w:cs="Arial" w:eastAsia="Arial" w:hAnsi="Arial"/>
                <w:sz w:val="16"/>
                <w:szCs w:val="16"/>
                <w:color w:val="auto"/>
              </w:rPr>
              <w:t>U.S. Treasury futures contracts - short position</w:t>
            </w:r>
          </w:p>
        </w:tc>
        <w:tc>
          <w:tcPr>
            <w:tcW w:w="140" w:type="dxa"/>
            <w:vAlign w:val="bottom"/>
          </w:tcPr>
          <w:p>
            <w:pPr>
              <w:ind w:left="40"/>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(1,860)</w:t>
            </w:r>
          </w:p>
        </w:tc>
        <w:tc>
          <w:tcPr>
            <w:tcW w:w="120" w:type="dxa"/>
            <w:vAlign w:val="bottom"/>
          </w:tcPr>
          <w:p>
            <w:pPr>
              <w:spacing w:after="0"/>
              <w:rPr>
                <w:sz w:val="20"/>
                <w:szCs w:val="20"/>
                <w:color w:val="auto"/>
              </w:rPr>
            </w:pP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(2,060)</w:t>
            </w:r>
          </w:p>
        </w:tc>
        <w:tc>
          <w:tcPr>
            <w:tcW w:w="100" w:type="dxa"/>
            <w:vAlign w:val="bottom"/>
          </w:tcPr>
          <w:p>
            <w:pPr>
              <w:spacing w:after="0"/>
              <w:rPr>
                <w:sz w:val="20"/>
                <w:szCs w:val="20"/>
                <w:color w:val="auto"/>
              </w:rPr>
            </w:pPr>
          </w:p>
        </w:tc>
        <w:tc>
          <w:tcPr>
            <w:tcW w:w="1240" w:type="dxa"/>
            <w:vAlign w:val="bottom"/>
          </w:tcPr>
          <w:p>
            <w:pPr>
              <w:jc w:val="right"/>
              <w:ind w:right="23"/>
              <w:spacing w:after="0"/>
              <w:rPr>
                <w:sz w:val="20"/>
                <w:szCs w:val="20"/>
                <w:color w:val="auto"/>
              </w:rPr>
            </w:pPr>
            <w:r>
              <w:rPr>
                <w:rFonts w:ascii="Arial" w:cs="Arial" w:eastAsia="Arial" w:hAnsi="Arial"/>
                <w:sz w:val="16"/>
                <w:szCs w:val="16"/>
                <w:color w:val="auto"/>
              </w:rPr>
              <w:t>1,960</w:t>
            </w:r>
          </w:p>
        </w:tc>
        <w:tc>
          <w:tcPr>
            <w:tcW w:w="120" w:type="dxa"/>
            <w:vAlign w:val="bottom"/>
          </w:tcPr>
          <w:p>
            <w:pPr>
              <w:spacing w:after="0"/>
              <w:rPr>
                <w:sz w:val="20"/>
                <w:szCs w:val="20"/>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(1,960)</w:t>
            </w:r>
          </w:p>
        </w:tc>
        <w:tc>
          <w:tcPr>
            <w:tcW w:w="12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33"/>
        </w:trPr>
        <w:tc>
          <w:tcPr>
            <w:tcW w:w="4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(368)</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bottom w:val="single" w:sz="8" w:color="CCEEFF"/>
            </w:tcBorders>
            <w:vMerge w:val="restart"/>
          </w:tcPr>
          <w:p>
            <w:pPr>
              <w:ind w:left="100"/>
              <w:spacing w:after="0"/>
              <w:rPr>
                <w:sz w:val="20"/>
                <w:szCs w:val="20"/>
                <w:color w:val="auto"/>
              </w:rPr>
            </w:pPr>
            <w:r>
              <w:rPr>
                <w:rFonts w:ascii="Arial" w:cs="Arial" w:eastAsia="Arial" w:hAnsi="Arial"/>
                <w:sz w:val="18"/>
                <w:szCs w:val="18"/>
                <w:color w:val="auto"/>
              </w:rPr>
              <w:t>________________________________</w:t>
            </w: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66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900" w:hanging="568"/>
        <w:spacing w:after="0" w:line="255" w:lineRule="auto"/>
        <w:tabs>
          <w:tab w:leader="none" w:pos="657" w:val="left"/>
        </w:tabs>
        <w:numPr>
          <w:ilvl w:val="0"/>
          <w:numId w:val="11"/>
        </w:numPr>
        <w:rPr>
          <w:rFonts w:ascii="Arial" w:cs="Arial" w:eastAsia="Arial" w:hAnsi="Arial"/>
          <w:sz w:val="14"/>
          <w:szCs w:val="14"/>
          <w:color w:val="auto"/>
        </w:rPr>
      </w:pPr>
      <w:r>
        <w:rPr>
          <w:rFonts w:ascii="Arial" w:cs="Arial" w:eastAsia="Arial" w:hAnsi="Arial"/>
          <w:sz w:val="14"/>
          <w:szCs w:val="14"/>
          <w:color w:val="auto"/>
        </w:rPr>
        <w:t>Excludes a net loss of $1 million from debt of consolidated VIEs and other miscellaneous net gains of $2 million recognized in gain (loss) on derivative instruments and other securities, net in our consolidated statements of comprehensive income.</w:t>
      </w:r>
    </w:p>
    <w:p>
      <w:pPr>
        <w:sectPr>
          <w:pgSz w:w="11900" w:h="16838" w:orient="portrait"/>
          <w:cols w:equalWidth="0" w:num="1">
            <w:col w:w="11420"/>
          </w:cols>
          <w:pgMar w:left="240" w:top="746" w:right="239"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746" w:right="239" w:bottom="1440" w:gutter="0" w:footer="0" w:header="0"/>
          <w:type w:val="continuous"/>
        </w:sectPr>
      </w:pPr>
    </w:p>
    <w:bookmarkStart w:id="19" w:name="page20"/>
    <w:bookmarkEnd w:id="19"/>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80" w:type="dxa"/>
            <w:vAlign w:val="bottom"/>
            <w:tcBorders>
              <w:bottom w:val="single" w:sz="8" w:color="auto"/>
            </w:tcBorders>
            <w:gridSpan w:val="8"/>
          </w:tcPr>
          <w:p>
            <w:pPr>
              <w:ind w:left="940"/>
              <w:spacing w:after="0"/>
              <w:rPr>
                <w:sz w:val="20"/>
                <w:szCs w:val="20"/>
                <w:color w:val="auto"/>
              </w:rPr>
            </w:pPr>
            <w:r>
              <w:rPr>
                <w:rFonts w:ascii="Arial" w:cs="Arial" w:eastAsia="Arial" w:hAnsi="Arial"/>
                <w:sz w:val="14"/>
                <w:szCs w:val="14"/>
                <w:b w:val="1"/>
                <w:bCs w:val="1"/>
                <w:color w:val="auto"/>
              </w:rPr>
              <w:t>Three Months Ended June 30, 2015</w:t>
            </w: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0"/>
              </w:rPr>
              <w:t>Settlement,</w:t>
            </w: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center"/>
              <w:ind w:right="82"/>
              <w:spacing w:after="0" w:line="153" w:lineRule="exact"/>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Notional Amount</w:t>
            </w: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480" w:type="dxa"/>
            <w:vAlign w:val="bottom"/>
            <w:gridSpan w:val="4"/>
            <w:vMerge w:val="restart"/>
          </w:tcPr>
          <w:p>
            <w:pPr>
              <w:jc w:val="center"/>
              <w:ind w:right="220"/>
              <w:spacing w:after="0"/>
              <w:rPr>
                <w:sz w:val="20"/>
                <w:szCs w:val="20"/>
                <w:color w:val="auto"/>
              </w:rPr>
            </w:pPr>
            <w:r>
              <w:rPr>
                <w:rFonts w:ascii="Arial" w:cs="Arial" w:eastAsia="Arial" w:hAnsi="Arial"/>
                <w:sz w:val="14"/>
                <w:szCs w:val="14"/>
                <w:b w:val="1"/>
                <w:bCs w:val="1"/>
                <w:color w:val="auto"/>
                <w:w w:val="93"/>
              </w:rPr>
              <w:t>Notional Amount</w:t>
            </w:r>
          </w:p>
        </w:tc>
        <w:tc>
          <w:tcPr>
            <w:tcW w:w="140" w:type="dxa"/>
            <w:vAlign w:val="bottom"/>
          </w:tcPr>
          <w:p>
            <w:pPr>
              <w:spacing w:after="0"/>
              <w:rPr>
                <w:sz w:val="12"/>
                <w:szCs w:val="12"/>
                <w:color w:val="auto"/>
              </w:rPr>
            </w:pPr>
          </w:p>
        </w:tc>
        <w:tc>
          <w:tcPr>
            <w:tcW w:w="110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93"/>
              </w:rPr>
              <w:t>Gain/(Loss)</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Termination,</w:t>
            </w:r>
          </w:p>
        </w:tc>
        <w:tc>
          <w:tcPr>
            <w:tcW w:w="148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center"/>
              <w:ind w:right="82"/>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0" w:type="dxa"/>
            <w:vAlign w:val="bottom"/>
          </w:tcPr>
          <w:p>
            <w:pPr>
              <w:spacing w:after="0"/>
              <w:rPr>
                <w:sz w:val="1"/>
                <w:szCs w:val="1"/>
                <w:color w:val="auto"/>
              </w:rPr>
            </w:pPr>
          </w:p>
        </w:tc>
      </w:tr>
      <w:tr>
        <w:trPr>
          <w:trHeight w:val="149"/>
        </w:trPr>
        <w:tc>
          <w:tcPr>
            <w:tcW w:w="4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Derivative and Other Hedging Instruments</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Long/(Short)</w:t>
            </w:r>
          </w:p>
        </w:tc>
        <w:tc>
          <w:tcPr>
            <w:tcW w:w="1140" w:type="dxa"/>
            <w:vAlign w:val="bottom"/>
            <w:vMerge w:val="restart"/>
          </w:tcPr>
          <w:p>
            <w:pPr>
              <w:jc w:val="right"/>
              <w:ind w:right="181"/>
              <w:spacing w:after="0"/>
              <w:rPr>
                <w:sz w:val="20"/>
                <w:szCs w:val="20"/>
                <w:color w:val="auto"/>
              </w:rPr>
            </w:pPr>
            <w:r>
              <w:rPr>
                <w:rFonts w:ascii="Arial" w:cs="Arial" w:eastAsia="Arial" w:hAnsi="Arial"/>
                <w:sz w:val="14"/>
                <w:szCs w:val="14"/>
                <w:b w:val="1"/>
                <w:bCs w:val="1"/>
                <w:color w:val="auto"/>
              </w:rPr>
              <w:t>Additions</w:t>
            </w:r>
          </w:p>
        </w:tc>
        <w:tc>
          <w:tcPr>
            <w:tcW w:w="120" w:type="dxa"/>
            <w:vAlign w:val="bottom"/>
            <w:vMerge w:val="restart"/>
          </w:tcPr>
          <w:p>
            <w:pPr>
              <w:spacing w:after="0"/>
              <w:rPr>
                <w:sz w:val="12"/>
                <w:szCs w:val="12"/>
                <w:color w:val="auto"/>
              </w:rPr>
            </w:pP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Expiration or</w:t>
            </w:r>
          </w:p>
        </w:tc>
        <w:tc>
          <w:tcPr>
            <w:tcW w:w="148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Long/(Short) June</w:t>
            </w:r>
          </w:p>
        </w:tc>
        <w:tc>
          <w:tcPr>
            <w:tcW w:w="140" w:type="dxa"/>
            <w:vAlign w:val="bottom"/>
          </w:tcPr>
          <w:p>
            <w:pPr>
              <w:spacing w:after="0"/>
              <w:rPr>
                <w:sz w:val="12"/>
                <w:szCs w:val="12"/>
                <w:color w:val="auto"/>
              </w:rPr>
            </w:pPr>
          </w:p>
        </w:tc>
        <w:tc>
          <w:tcPr>
            <w:tcW w:w="110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91"/>
              </w:rPr>
              <w:t>Income on</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March 31, 2015</w:t>
            </w:r>
          </w:p>
        </w:tc>
        <w:tc>
          <w:tcPr>
            <w:tcW w:w="1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Exercise</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40"/>
              <w:spacing w:after="0"/>
              <w:rPr>
                <w:sz w:val="20"/>
                <w:szCs w:val="20"/>
                <w:color w:val="auto"/>
              </w:rPr>
            </w:pPr>
            <w:r>
              <w:rPr>
                <w:rFonts w:ascii="Arial" w:cs="Arial" w:eastAsia="Arial" w:hAnsi="Arial"/>
                <w:sz w:val="14"/>
                <w:szCs w:val="14"/>
                <w:b w:val="1"/>
                <w:bCs w:val="1"/>
                <w:color w:val="auto"/>
                <w:w w:val="91"/>
              </w:rPr>
              <w:t>30, 2015</w:t>
            </w:r>
          </w:p>
        </w:tc>
        <w:tc>
          <w:tcPr>
            <w:tcW w:w="1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1"/>
              </w:rPr>
              <w:t xml:space="preserve">Derivatives </w:t>
            </w:r>
            <w:r>
              <w:rPr>
                <w:rFonts w:ascii="Arial" w:cs="Arial" w:eastAsia="Arial" w:hAnsi="Arial"/>
                <w:sz w:val="8"/>
                <w:szCs w:val="8"/>
                <w:b w:val="1"/>
                <w:bCs w:val="1"/>
                <w:color w:val="auto"/>
                <w:w w:val="91"/>
              </w:rPr>
              <w:t>1</w:t>
            </w:r>
          </w:p>
        </w:tc>
        <w:tc>
          <w:tcPr>
            <w:tcW w:w="0" w:type="dxa"/>
            <w:vAlign w:val="bottom"/>
          </w:tcPr>
          <w:p>
            <w:pPr>
              <w:spacing w:after="0"/>
              <w:rPr>
                <w:sz w:val="1"/>
                <w:szCs w:val="1"/>
                <w:color w:val="auto"/>
              </w:rPr>
            </w:pPr>
          </w:p>
        </w:tc>
      </w:tr>
      <w:tr>
        <w:trPr>
          <w:trHeight w:val="236"/>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TBA securities, net</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4,873</w:t>
            </w: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18,367</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(16,299)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6,941</w:t>
            </w: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237"/>
        </w:trPr>
        <w:tc>
          <w:tcPr>
            <w:tcW w:w="4820" w:type="dxa"/>
            <w:vAlign w:val="bottom"/>
            <w:gridSpan w:val="2"/>
          </w:tcPr>
          <w:p>
            <w:pPr>
              <w:ind w:left="40"/>
              <w:spacing w:after="0"/>
              <w:rPr>
                <w:sz w:val="20"/>
                <w:szCs w:val="20"/>
                <w:color w:val="auto"/>
              </w:rPr>
            </w:pPr>
            <w:r>
              <w:rPr>
                <w:rFonts w:ascii="Arial" w:cs="Arial" w:eastAsia="Arial" w:hAnsi="Arial"/>
                <w:sz w:val="16"/>
                <w:szCs w:val="16"/>
                <w:color w:val="auto"/>
              </w:rPr>
              <w:t>Interest rate swaps</w:t>
            </w: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(44,925)</w:t>
            </w:r>
          </w:p>
        </w:tc>
        <w:tc>
          <w:tcPr>
            <w:tcW w:w="12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(44,925)</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2"/>
              <w:spacing w:after="0"/>
              <w:rPr>
                <w:sz w:val="20"/>
                <w:szCs w:val="20"/>
                <w:color w:val="auto"/>
              </w:rPr>
            </w:pPr>
            <w:r>
              <w:rPr>
                <w:rFonts w:ascii="Arial" w:cs="Arial" w:eastAsia="Arial" w:hAnsi="Arial"/>
                <w:sz w:val="16"/>
                <w:szCs w:val="16"/>
                <w:color w:val="auto"/>
              </w:rPr>
              <w:t>434</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Payer swaptions</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(5,200)</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(5,450)</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37"/>
        </w:trPr>
        <w:tc>
          <w:tcPr>
            <w:tcW w:w="4820" w:type="dxa"/>
            <w:vAlign w:val="bottom"/>
            <w:gridSpan w:val="2"/>
          </w:tcPr>
          <w:p>
            <w:pPr>
              <w:ind w:left="40"/>
              <w:spacing w:after="0"/>
              <w:rPr>
                <w:sz w:val="20"/>
                <w:szCs w:val="20"/>
                <w:color w:val="auto"/>
              </w:rPr>
            </w:pPr>
            <w:r>
              <w:rPr>
                <w:rFonts w:ascii="Arial" w:cs="Arial" w:eastAsia="Arial" w:hAnsi="Arial"/>
                <w:sz w:val="16"/>
                <w:szCs w:val="16"/>
                <w:color w:val="auto"/>
              </w:rPr>
              <w:t>Receiver swaptions</w:t>
            </w: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750</w:t>
            </w:r>
          </w:p>
        </w:tc>
        <w:tc>
          <w:tcPr>
            <w:tcW w:w="12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(750)</w:t>
            </w:r>
          </w:p>
        </w:tc>
        <w:tc>
          <w:tcPr>
            <w:tcW w:w="100" w:type="dxa"/>
            <w:vAlign w:val="bottom"/>
          </w:tcPr>
          <w:p>
            <w:pPr>
              <w:spacing w:after="0"/>
              <w:rPr>
                <w:sz w:val="20"/>
                <w:szCs w:val="20"/>
                <w:color w:val="auto"/>
              </w:rPr>
            </w:pPr>
          </w:p>
        </w:tc>
        <w:tc>
          <w:tcPr>
            <w:tcW w:w="2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1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U.S. Treasury securities - short position</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(3,353)</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(2,224)</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3,327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(2,250)</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37"/>
        </w:trPr>
        <w:tc>
          <w:tcPr>
            <w:tcW w:w="4820" w:type="dxa"/>
            <w:vAlign w:val="bottom"/>
            <w:gridSpan w:val="2"/>
          </w:tcPr>
          <w:p>
            <w:pPr>
              <w:ind w:left="40"/>
              <w:spacing w:after="0"/>
              <w:rPr>
                <w:sz w:val="20"/>
                <w:szCs w:val="20"/>
                <w:color w:val="auto"/>
              </w:rPr>
            </w:pPr>
            <w:r>
              <w:rPr>
                <w:rFonts w:ascii="Arial" w:cs="Arial" w:eastAsia="Arial" w:hAnsi="Arial"/>
                <w:sz w:val="16"/>
                <w:szCs w:val="16"/>
                <w:color w:val="auto"/>
              </w:rPr>
              <w:t>U.S. Treasury securities - long position</w:t>
            </w: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4,261</w:t>
            </w:r>
          </w:p>
        </w:tc>
        <w:tc>
          <w:tcPr>
            <w:tcW w:w="120" w:type="dxa"/>
            <w:vAlign w:val="bottom"/>
          </w:tcPr>
          <w:p>
            <w:pPr>
              <w:spacing w:after="0"/>
              <w:rPr>
                <w:sz w:val="20"/>
                <w:szCs w:val="20"/>
                <w:color w:val="auto"/>
              </w:rPr>
            </w:pP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11,649</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(10,718)</w:t>
            </w:r>
          </w:p>
        </w:tc>
        <w:tc>
          <w:tcPr>
            <w:tcW w:w="100" w:type="dxa"/>
            <w:vAlign w:val="bottom"/>
          </w:tcPr>
          <w:p>
            <w:pPr>
              <w:spacing w:after="0"/>
              <w:rPr>
                <w:sz w:val="20"/>
                <w:szCs w:val="20"/>
                <w:color w:val="auto"/>
              </w:rPr>
            </w:pPr>
          </w:p>
        </w:tc>
        <w:tc>
          <w:tcPr>
            <w:tcW w:w="2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5,192</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U.S. Treasury futures contracts - short position</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(730)</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(730)</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730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(730)</w:t>
            </w:r>
          </w:p>
        </w:tc>
        <w:tc>
          <w:tcPr>
            <w:tcW w:w="14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7"/>
        </w:trPr>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241</w:t>
            </w:r>
          </w:p>
        </w:tc>
        <w:tc>
          <w:tcPr>
            <w:tcW w:w="0" w:type="dxa"/>
            <w:vAlign w:val="bottom"/>
          </w:tcPr>
          <w:p>
            <w:pPr>
              <w:spacing w:after="0"/>
              <w:rPr>
                <w:sz w:val="1"/>
                <w:szCs w:val="1"/>
                <w:color w:val="auto"/>
              </w:rPr>
            </w:pPr>
          </w:p>
        </w:tc>
      </w:tr>
      <w:tr>
        <w:trPr>
          <w:trHeight w:val="33"/>
        </w:trPr>
        <w:tc>
          <w:tcPr>
            <w:tcW w:w="4700" w:type="dxa"/>
            <w:vAlign w:val="bottom"/>
            <w:vMerge w:val="restart"/>
          </w:tcPr>
          <w:p>
            <w:pPr>
              <w:ind w:left="100"/>
              <w:spacing w:after="0"/>
              <w:rPr>
                <w:sz w:val="20"/>
                <w:szCs w:val="20"/>
                <w:color w:val="auto"/>
              </w:rPr>
            </w:pPr>
            <w:r>
              <w:rPr>
                <w:rFonts w:ascii="Arial" w:cs="Arial" w:eastAsia="Arial" w:hAnsi="Arial"/>
                <w:sz w:val="18"/>
                <w:szCs w:val="18"/>
                <w:color w:val="auto"/>
              </w:rPr>
              <w:t>______________________</w:t>
            </w: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vMerge w:val="continue"/>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70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660" w:hanging="328"/>
        <w:spacing w:after="0" w:line="255" w:lineRule="auto"/>
        <w:tabs>
          <w:tab w:leader="none" w:pos="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Excludes a net loss of $6 million from investments in REIT equity securities, a net gain of $9 million from debt of consolidated VIEs and a net loss of $7 million from interest and principal-only securities recognized in gain (loss) on derivative instruments and other securities, net in our consolidated statements of comprehensive income.</w:t>
      </w:r>
    </w:p>
    <w:p>
      <w:pPr>
        <w:spacing w:after="0" w:line="196"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4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80" w:type="dxa"/>
            <w:vAlign w:val="bottom"/>
            <w:tcBorders>
              <w:bottom w:val="single" w:sz="8" w:color="auto"/>
            </w:tcBorders>
            <w:gridSpan w:val="8"/>
          </w:tcPr>
          <w:p>
            <w:pPr>
              <w:ind w:left="1020"/>
              <w:spacing w:after="0"/>
              <w:rPr>
                <w:sz w:val="20"/>
                <w:szCs w:val="20"/>
                <w:color w:val="auto"/>
              </w:rPr>
            </w:pPr>
            <w:r>
              <w:rPr>
                <w:rFonts w:ascii="Arial" w:cs="Arial" w:eastAsia="Arial" w:hAnsi="Arial"/>
                <w:sz w:val="14"/>
                <w:szCs w:val="14"/>
                <w:b w:val="1"/>
                <w:bCs w:val="1"/>
                <w:color w:val="auto"/>
              </w:rPr>
              <w:t>Six Months Ended June 30, 2016</w:t>
            </w: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Notional Amount</w:t>
            </w: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Settlement,</w:t>
            </w: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jc w:val="center"/>
              <w:ind w:right="63"/>
              <w:spacing w:after="0" w:line="153" w:lineRule="exact"/>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460" w:type="dxa"/>
            <w:vAlign w:val="bottom"/>
            <w:gridSpan w:val="4"/>
            <w:vMerge w:val="restart"/>
          </w:tcPr>
          <w:p>
            <w:pPr>
              <w:jc w:val="center"/>
              <w:ind w:right="240"/>
              <w:spacing w:after="0"/>
              <w:rPr>
                <w:sz w:val="20"/>
                <w:szCs w:val="20"/>
                <w:color w:val="auto"/>
              </w:rPr>
            </w:pPr>
            <w:r>
              <w:rPr>
                <w:rFonts w:ascii="Arial" w:cs="Arial" w:eastAsia="Arial" w:hAnsi="Arial"/>
                <w:sz w:val="14"/>
                <w:szCs w:val="14"/>
                <w:b w:val="1"/>
                <w:bCs w:val="1"/>
                <w:color w:val="auto"/>
                <w:w w:val="93"/>
              </w:rPr>
              <w:t>Notional Amount</w:t>
            </w:r>
          </w:p>
        </w:tc>
        <w:tc>
          <w:tcPr>
            <w:tcW w:w="140" w:type="dxa"/>
            <w:vAlign w:val="bottom"/>
          </w:tcPr>
          <w:p>
            <w:pPr>
              <w:spacing w:after="0"/>
              <w:rPr>
                <w:sz w:val="12"/>
                <w:szCs w:val="12"/>
                <w:color w:val="auto"/>
              </w:rPr>
            </w:pPr>
          </w:p>
        </w:tc>
        <w:tc>
          <w:tcPr>
            <w:tcW w:w="1080" w:type="dxa"/>
            <w:vAlign w:val="bottom"/>
          </w:tcPr>
          <w:p>
            <w:pPr>
              <w:jc w:val="center"/>
              <w:ind w:right="83"/>
              <w:spacing w:after="0" w:line="149" w:lineRule="exact"/>
              <w:rPr>
                <w:sz w:val="20"/>
                <w:szCs w:val="20"/>
                <w:color w:val="auto"/>
              </w:rPr>
            </w:pPr>
            <w:r>
              <w:rPr>
                <w:rFonts w:ascii="Arial" w:cs="Arial" w:eastAsia="Arial" w:hAnsi="Arial"/>
                <w:sz w:val="14"/>
                <w:szCs w:val="14"/>
                <w:b w:val="1"/>
                <w:bCs w:val="1"/>
                <w:color w:val="auto"/>
                <w:w w:val="93"/>
              </w:rPr>
              <w:t>Gain/(Loss)</w:t>
            </w: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Long/(Short)</w:t>
            </w: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Termination,</w:t>
            </w:r>
          </w:p>
        </w:tc>
        <w:tc>
          <w:tcPr>
            <w:tcW w:w="146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center"/>
              <w:ind w:right="63"/>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0" w:type="dxa"/>
            <w:vAlign w:val="bottom"/>
          </w:tcPr>
          <w:p>
            <w:pPr>
              <w:spacing w:after="0"/>
              <w:rPr>
                <w:sz w:val="1"/>
                <w:szCs w:val="1"/>
                <w:color w:val="auto"/>
              </w:rPr>
            </w:pPr>
          </w:p>
        </w:tc>
      </w:tr>
      <w:tr>
        <w:trPr>
          <w:trHeight w:val="149"/>
        </w:trPr>
        <w:tc>
          <w:tcPr>
            <w:tcW w:w="46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Derivative and Other Hedging Instruments</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160" w:type="dxa"/>
            <w:vAlign w:val="bottom"/>
            <w:vMerge w:val="restart"/>
          </w:tcPr>
          <w:p>
            <w:pPr>
              <w:jc w:val="right"/>
              <w:ind w:right="201"/>
              <w:spacing w:after="0"/>
              <w:rPr>
                <w:sz w:val="20"/>
                <w:szCs w:val="20"/>
                <w:color w:val="auto"/>
              </w:rPr>
            </w:pPr>
            <w:r>
              <w:rPr>
                <w:rFonts w:ascii="Arial" w:cs="Arial" w:eastAsia="Arial" w:hAnsi="Arial"/>
                <w:sz w:val="14"/>
                <w:szCs w:val="14"/>
                <w:b w:val="1"/>
                <w:bCs w:val="1"/>
                <w:color w:val="auto"/>
              </w:rPr>
              <w:t>Additions</w:t>
            </w:r>
          </w:p>
        </w:tc>
        <w:tc>
          <w:tcPr>
            <w:tcW w:w="100" w:type="dxa"/>
            <w:vAlign w:val="bottom"/>
            <w:vMerge w:val="restart"/>
          </w:tcPr>
          <w:p>
            <w:pPr>
              <w:spacing w:after="0"/>
              <w:rPr>
                <w:sz w:val="12"/>
                <w:szCs w:val="12"/>
                <w:color w:val="auto"/>
              </w:rPr>
            </w:pPr>
          </w:p>
        </w:tc>
        <w:tc>
          <w:tcPr>
            <w:tcW w:w="13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Expiration or</w:t>
            </w:r>
          </w:p>
        </w:tc>
        <w:tc>
          <w:tcPr>
            <w:tcW w:w="1460" w:type="dxa"/>
            <w:vAlign w:val="bottom"/>
            <w:gridSpan w:val="4"/>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Long/(Short) June</w:t>
            </w:r>
          </w:p>
        </w:tc>
        <w:tc>
          <w:tcPr>
            <w:tcW w:w="140" w:type="dxa"/>
            <w:vAlign w:val="bottom"/>
          </w:tcPr>
          <w:p>
            <w:pPr>
              <w:spacing w:after="0"/>
              <w:rPr>
                <w:sz w:val="12"/>
                <w:szCs w:val="12"/>
                <w:color w:val="auto"/>
              </w:rPr>
            </w:pPr>
          </w:p>
        </w:tc>
        <w:tc>
          <w:tcPr>
            <w:tcW w:w="1080" w:type="dxa"/>
            <w:vAlign w:val="bottom"/>
          </w:tcPr>
          <w:p>
            <w:pPr>
              <w:jc w:val="center"/>
              <w:ind w:right="83"/>
              <w:spacing w:after="0" w:line="149" w:lineRule="exact"/>
              <w:rPr>
                <w:sz w:val="20"/>
                <w:szCs w:val="20"/>
                <w:color w:val="auto"/>
              </w:rPr>
            </w:pPr>
            <w:r>
              <w:rPr>
                <w:rFonts w:ascii="Arial" w:cs="Arial" w:eastAsia="Arial" w:hAnsi="Arial"/>
                <w:sz w:val="14"/>
                <w:szCs w:val="14"/>
                <w:b w:val="1"/>
                <w:bCs w:val="1"/>
                <w:color w:val="auto"/>
                <w:w w:val="91"/>
              </w:rPr>
              <w:t>Income on</w:t>
            </w:r>
          </w:p>
        </w:tc>
        <w:tc>
          <w:tcPr>
            <w:tcW w:w="0" w:type="dxa"/>
            <w:vAlign w:val="bottom"/>
          </w:tcPr>
          <w:p>
            <w:pPr>
              <w:spacing w:after="0"/>
              <w:rPr>
                <w:sz w:val="1"/>
                <w:szCs w:val="1"/>
                <w:color w:val="auto"/>
              </w:rPr>
            </w:pPr>
          </w:p>
        </w:tc>
      </w:tr>
      <w:tr>
        <w:trPr>
          <w:trHeight w:val="192"/>
        </w:trPr>
        <w:tc>
          <w:tcPr>
            <w:tcW w:w="46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89"/>
              </w:rPr>
              <w:t>2015</w:t>
            </w:r>
          </w:p>
        </w:tc>
        <w:tc>
          <w:tcPr>
            <w:tcW w:w="1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Exercise</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40"/>
              <w:spacing w:after="0"/>
              <w:rPr>
                <w:sz w:val="20"/>
                <w:szCs w:val="20"/>
                <w:color w:val="auto"/>
              </w:rPr>
            </w:pPr>
            <w:r>
              <w:rPr>
                <w:rFonts w:ascii="Arial" w:cs="Arial" w:eastAsia="Arial" w:hAnsi="Arial"/>
                <w:sz w:val="14"/>
                <w:szCs w:val="14"/>
                <w:b w:val="1"/>
                <w:bCs w:val="1"/>
                <w:color w:val="auto"/>
                <w:w w:val="91"/>
              </w:rPr>
              <w:t>30, 2016</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93"/>
              </w:rPr>
              <w:t xml:space="preserve">Derivatives </w:t>
            </w:r>
            <w:r>
              <w:rPr>
                <w:rFonts w:ascii="Arial" w:cs="Arial" w:eastAsia="Arial" w:hAnsi="Arial"/>
                <w:sz w:val="8"/>
                <w:szCs w:val="8"/>
                <w:b w:val="1"/>
                <w:bCs w:val="1"/>
                <w:color w:val="auto"/>
                <w:w w:val="93"/>
              </w:rPr>
              <w:t>1</w:t>
            </w:r>
          </w:p>
        </w:tc>
        <w:tc>
          <w:tcPr>
            <w:tcW w:w="0" w:type="dxa"/>
            <w:vAlign w:val="bottom"/>
          </w:tcPr>
          <w:p>
            <w:pPr>
              <w:spacing w:after="0"/>
              <w:rPr>
                <w:sz w:val="1"/>
                <w:szCs w:val="1"/>
                <w:color w:val="auto"/>
              </w:rPr>
            </w:pPr>
          </w:p>
        </w:tc>
      </w:tr>
      <w:tr>
        <w:trPr>
          <w:trHeight w:val="236"/>
        </w:trPr>
        <w:tc>
          <w:tcPr>
            <w:tcW w:w="4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TBA securities, net</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7,295</w:t>
            </w: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38,025</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(38,564)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6,756</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324</w:t>
            </w:r>
          </w:p>
        </w:tc>
        <w:tc>
          <w:tcPr>
            <w:tcW w:w="0" w:type="dxa"/>
            <w:vAlign w:val="bottom"/>
          </w:tcPr>
          <w:p>
            <w:pPr>
              <w:spacing w:after="0"/>
              <w:rPr>
                <w:sz w:val="1"/>
                <w:szCs w:val="1"/>
                <w:color w:val="auto"/>
              </w:rPr>
            </w:pPr>
          </w:p>
        </w:tc>
      </w:tr>
      <w:tr>
        <w:trPr>
          <w:trHeight w:val="237"/>
        </w:trPr>
        <w:tc>
          <w:tcPr>
            <w:tcW w:w="4780" w:type="dxa"/>
            <w:vAlign w:val="bottom"/>
            <w:gridSpan w:val="2"/>
          </w:tcPr>
          <w:p>
            <w:pPr>
              <w:ind w:left="20"/>
              <w:spacing w:after="0"/>
              <w:rPr>
                <w:sz w:val="20"/>
                <w:szCs w:val="20"/>
                <w:color w:val="auto"/>
              </w:rPr>
            </w:pPr>
            <w:r>
              <w:rPr>
                <w:rFonts w:ascii="Arial" w:cs="Arial" w:eastAsia="Arial" w:hAnsi="Arial"/>
                <w:sz w:val="16"/>
                <w:szCs w:val="16"/>
                <w:color w:val="auto"/>
              </w:rPr>
              <w:t>Interest rate swaps</w:t>
            </w:r>
          </w:p>
        </w:tc>
        <w:tc>
          <w:tcPr>
            <w:tcW w:w="140" w:type="dxa"/>
            <w:vAlign w:val="bottom"/>
          </w:tcPr>
          <w:p>
            <w:pPr>
              <w:ind w:left="40"/>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(40,525)</w:t>
            </w:r>
          </w:p>
        </w:tc>
        <w:tc>
          <w:tcPr>
            <w:tcW w:w="120" w:type="dxa"/>
            <w:vAlign w:val="bottom"/>
          </w:tcPr>
          <w:p>
            <w:pPr>
              <w:spacing w:after="0"/>
              <w:rPr>
                <w:sz w:val="20"/>
                <w:szCs w:val="20"/>
                <w:color w:val="auto"/>
              </w:rPr>
            </w:pP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(3,550)</w:t>
            </w:r>
          </w:p>
        </w:tc>
        <w:tc>
          <w:tcPr>
            <w:tcW w:w="100" w:type="dxa"/>
            <w:vAlign w:val="bottom"/>
          </w:tcPr>
          <w:p>
            <w:pPr>
              <w:spacing w:after="0"/>
              <w:rPr>
                <w:sz w:val="20"/>
                <w:szCs w:val="20"/>
                <w:color w:val="auto"/>
              </w:rPr>
            </w:pPr>
          </w:p>
        </w:tc>
        <w:tc>
          <w:tcPr>
            <w:tcW w:w="1240" w:type="dxa"/>
            <w:vAlign w:val="bottom"/>
          </w:tcPr>
          <w:p>
            <w:pPr>
              <w:jc w:val="right"/>
              <w:ind w:right="23"/>
              <w:spacing w:after="0"/>
              <w:rPr>
                <w:sz w:val="20"/>
                <w:szCs w:val="20"/>
                <w:color w:val="auto"/>
              </w:rPr>
            </w:pPr>
            <w:r>
              <w:rPr>
                <w:rFonts w:ascii="Arial" w:cs="Arial" w:eastAsia="Arial" w:hAnsi="Arial"/>
                <w:sz w:val="16"/>
                <w:szCs w:val="16"/>
                <w:color w:val="auto"/>
              </w:rPr>
              <w:t>8,950</w:t>
            </w:r>
          </w:p>
        </w:tc>
        <w:tc>
          <w:tcPr>
            <w:tcW w:w="120" w:type="dxa"/>
            <w:vAlign w:val="bottom"/>
          </w:tcPr>
          <w:p>
            <w:pPr>
              <w:spacing w:after="0"/>
              <w:rPr>
                <w:sz w:val="20"/>
                <w:szCs w:val="20"/>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(35,125)</w:t>
            </w:r>
          </w:p>
        </w:tc>
        <w:tc>
          <w:tcPr>
            <w:tcW w:w="12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(1,361)</w:t>
            </w:r>
          </w:p>
        </w:tc>
        <w:tc>
          <w:tcPr>
            <w:tcW w:w="0" w:type="dxa"/>
            <w:vAlign w:val="bottom"/>
          </w:tcPr>
          <w:p>
            <w:pPr>
              <w:spacing w:after="0"/>
              <w:rPr>
                <w:sz w:val="1"/>
                <w:szCs w:val="1"/>
                <w:color w:val="auto"/>
              </w:rPr>
            </w:pPr>
          </w:p>
        </w:tc>
      </w:tr>
      <w:tr>
        <w:trPr>
          <w:trHeight w:val="33"/>
        </w:trPr>
        <w:tc>
          <w:tcPr>
            <w:tcW w:w="4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Payer swaptions</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(2,150)</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1,100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(1,050)</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37"/>
        </w:trPr>
        <w:tc>
          <w:tcPr>
            <w:tcW w:w="4780" w:type="dxa"/>
            <w:vAlign w:val="bottom"/>
            <w:gridSpan w:val="2"/>
          </w:tcPr>
          <w:p>
            <w:pPr>
              <w:ind w:left="20"/>
              <w:spacing w:after="0"/>
              <w:rPr>
                <w:sz w:val="20"/>
                <w:szCs w:val="20"/>
                <w:color w:val="auto"/>
              </w:rPr>
            </w:pPr>
            <w:r>
              <w:rPr>
                <w:rFonts w:ascii="Arial" w:cs="Arial" w:eastAsia="Arial" w:hAnsi="Arial"/>
                <w:sz w:val="16"/>
                <w:szCs w:val="16"/>
                <w:color w:val="auto"/>
              </w:rPr>
              <w:t>U.S. Treasury securities - short position</w:t>
            </w:r>
          </w:p>
        </w:tc>
        <w:tc>
          <w:tcPr>
            <w:tcW w:w="140" w:type="dxa"/>
            <w:vAlign w:val="bottom"/>
          </w:tcPr>
          <w:p>
            <w:pPr>
              <w:ind w:left="40"/>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(1,714)</w:t>
            </w:r>
          </w:p>
        </w:tc>
        <w:tc>
          <w:tcPr>
            <w:tcW w:w="120" w:type="dxa"/>
            <w:vAlign w:val="bottom"/>
          </w:tcPr>
          <w:p>
            <w:pPr>
              <w:spacing w:after="0"/>
              <w:rPr>
                <w:sz w:val="20"/>
                <w:szCs w:val="20"/>
                <w:color w:val="auto"/>
              </w:rPr>
            </w:pP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(2,633)</w:t>
            </w:r>
          </w:p>
        </w:tc>
        <w:tc>
          <w:tcPr>
            <w:tcW w:w="100" w:type="dxa"/>
            <w:vAlign w:val="bottom"/>
          </w:tcPr>
          <w:p>
            <w:pPr>
              <w:spacing w:after="0"/>
              <w:rPr>
                <w:sz w:val="20"/>
                <w:szCs w:val="20"/>
                <w:color w:val="auto"/>
              </w:rPr>
            </w:pPr>
          </w:p>
        </w:tc>
        <w:tc>
          <w:tcPr>
            <w:tcW w:w="1240" w:type="dxa"/>
            <w:vAlign w:val="bottom"/>
          </w:tcPr>
          <w:p>
            <w:pPr>
              <w:jc w:val="right"/>
              <w:ind w:right="23"/>
              <w:spacing w:after="0"/>
              <w:rPr>
                <w:sz w:val="20"/>
                <w:szCs w:val="20"/>
                <w:color w:val="auto"/>
              </w:rPr>
            </w:pPr>
            <w:r>
              <w:rPr>
                <w:rFonts w:ascii="Arial" w:cs="Arial" w:eastAsia="Arial" w:hAnsi="Arial"/>
                <w:sz w:val="16"/>
                <w:szCs w:val="16"/>
                <w:color w:val="auto"/>
              </w:rPr>
              <w:t>1,417</w:t>
            </w:r>
          </w:p>
        </w:tc>
        <w:tc>
          <w:tcPr>
            <w:tcW w:w="120" w:type="dxa"/>
            <w:vAlign w:val="bottom"/>
          </w:tcPr>
          <w:p>
            <w:pPr>
              <w:spacing w:after="0"/>
              <w:rPr>
                <w:sz w:val="20"/>
                <w:szCs w:val="20"/>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(2,930)</w:t>
            </w:r>
          </w:p>
        </w:tc>
        <w:tc>
          <w:tcPr>
            <w:tcW w:w="12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(156)</w:t>
            </w:r>
          </w:p>
        </w:tc>
        <w:tc>
          <w:tcPr>
            <w:tcW w:w="0" w:type="dxa"/>
            <w:vAlign w:val="bottom"/>
          </w:tcPr>
          <w:p>
            <w:pPr>
              <w:spacing w:after="0"/>
              <w:rPr>
                <w:sz w:val="1"/>
                <w:szCs w:val="1"/>
                <w:color w:val="auto"/>
              </w:rPr>
            </w:pPr>
          </w:p>
        </w:tc>
      </w:tr>
      <w:tr>
        <w:trPr>
          <w:trHeight w:val="33"/>
        </w:trPr>
        <w:tc>
          <w:tcPr>
            <w:tcW w:w="4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U.S. Treasury securities - long position</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405</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62</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37"/>
        </w:trPr>
        <w:tc>
          <w:tcPr>
            <w:tcW w:w="4780" w:type="dxa"/>
            <w:vAlign w:val="bottom"/>
            <w:gridSpan w:val="2"/>
          </w:tcPr>
          <w:p>
            <w:pPr>
              <w:ind w:left="20"/>
              <w:spacing w:after="0"/>
              <w:rPr>
                <w:sz w:val="20"/>
                <w:szCs w:val="20"/>
                <w:color w:val="auto"/>
              </w:rPr>
            </w:pPr>
            <w:r>
              <w:rPr>
                <w:rFonts w:ascii="Arial" w:cs="Arial" w:eastAsia="Arial" w:hAnsi="Arial"/>
                <w:sz w:val="16"/>
                <w:szCs w:val="16"/>
                <w:color w:val="auto"/>
              </w:rPr>
              <w:t>U.S. Treasury futures contracts - short position</w:t>
            </w:r>
          </w:p>
        </w:tc>
        <w:tc>
          <w:tcPr>
            <w:tcW w:w="140" w:type="dxa"/>
            <w:vAlign w:val="bottom"/>
          </w:tcPr>
          <w:p>
            <w:pPr>
              <w:ind w:left="40"/>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(1,860)</w:t>
            </w:r>
          </w:p>
        </w:tc>
        <w:tc>
          <w:tcPr>
            <w:tcW w:w="120" w:type="dxa"/>
            <w:vAlign w:val="bottom"/>
          </w:tcPr>
          <w:p>
            <w:pPr>
              <w:spacing w:after="0"/>
              <w:rPr>
                <w:sz w:val="20"/>
                <w:szCs w:val="20"/>
                <w:color w:val="auto"/>
              </w:rPr>
            </w:pP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(3,920)</w:t>
            </w:r>
          </w:p>
        </w:tc>
        <w:tc>
          <w:tcPr>
            <w:tcW w:w="100" w:type="dxa"/>
            <w:vAlign w:val="bottom"/>
          </w:tcPr>
          <w:p>
            <w:pPr>
              <w:spacing w:after="0"/>
              <w:rPr>
                <w:sz w:val="20"/>
                <w:szCs w:val="20"/>
                <w:color w:val="auto"/>
              </w:rPr>
            </w:pPr>
          </w:p>
        </w:tc>
        <w:tc>
          <w:tcPr>
            <w:tcW w:w="1240" w:type="dxa"/>
            <w:vAlign w:val="bottom"/>
          </w:tcPr>
          <w:p>
            <w:pPr>
              <w:jc w:val="right"/>
              <w:ind w:right="23"/>
              <w:spacing w:after="0"/>
              <w:rPr>
                <w:sz w:val="20"/>
                <w:szCs w:val="20"/>
                <w:color w:val="auto"/>
              </w:rPr>
            </w:pPr>
            <w:r>
              <w:rPr>
                <w:rFonts w:ascii="Arial" w:cs="Arial" w:eastAsia="Arial" w:hAnsi="Arial"/>
                <w:sz w:val="16"/>
                <w:szCs w:val="16"/>
                <w:color w:val="auto"/>
              </w:rPr>
              <w:t>3,820</w:t>
            </w:r>
          </w:p>
        </w:tc>
        <w:tc>
          <w:tcPr>
            <w:tcW w:w="120" w:type="dxa"/>
            <w:vAlign w:val="bottom"/>
          </w:tcPr>
          <w:p>
            <w:pPr>
              <w:spacing w:after="0"/>
              <w:rPr>
                <w:sz w:val="20"/>
                <w:szCs w:val="20"/>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(1,960)</w:t>
            </w:r>
          </w:p>
        </w:tc>
        <w:tc>
          <w:tcPr>
            <w:tcW w:w="12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r>
        <w:trPr>
          <w:trHeight w:val="33"/>
        </w:trPr>
        <w:tc>
          <w:tcPr>
            <w:tcW w:w="4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(1,319)</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bottom w:val="single" w:sz="8" w:color="CCEEFF"/>
            </w:tcBorders>
            <w:vMerge w:val="restart"/>
          </w:tcPr>
          <w:p>
            <w:pPr>
              <w:ind w:left="100"/>
              <w:spacing w:after="0"/>
              <w:rPr>
                <w:sz w:val="20"/>
                <w:szCs w:val="20"/>
                <w:color w:val="auto"/>
              </w:rPr>
            </w:pPr>
            <w:r>
              <w:rPr>
                <w:rFonts w:ascii="Arial" w:cs="Arial" w:eastAsia="Arial" w:hAnsi="Arial"/>
                <w:sz w:val="18"/>
                <w:szCs w:val="18"/>
                <w:color w:val="auto"/>
              </w:rPr>
              <w:t>________________________________</w:t>
            </w: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66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900" w:right="20" w:hanging="568"/>
        <w:spacing w:after="0" w:line="255" w:lineRule="auto"/>
        <w:tabs>
          <w:tab w:leader="none" w:pos="657" w:val="left"/>
        </w:tabs>
        <w:numPr>
          <w:ilvl w:val="0"/>
          <w:numId w:val="13"/>
        </w:numPr>
        <w:rPr>
          <w:rFonts w:ascii="Arial" w:cs="Arial" w:eastAsia="Arial" w:hAnsi="Arial"/>
          <w:sz w:val="14"/>
          <w:szCs w:val="14"/>
          <w:color w:val="auto"/>
        </w:rPr>
      </w:pPr>
      <w:r>
        <w:rPr>
          <w:rFonts w:ascii="Arial" w:cs="Arial" w:eastAsia="Arial" w:hAnsi="Arial"/>
          <w:sz w:val="14"/>
          <w:szCs w:val="14"/>
          <w:color w:val="auto"/>
        </w:rPr>
        <w:t>Excludes a net loss of $6 million from debt of consolidated VIEs, a net gain of $11 million from interest and principal-only securities and other miscellaneous net gains of $14 million recognized in gain (loss) on derivative instruments and other securities, net in our consolidated statements of comprehensive income.</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80" w:type="dxa"/>
            <w:vAlign w:val="bottom"/>
            <w:tcBorders>
              <w:bottom w:val="single" w:sz="8" w:color="auto"/>
            </w:tcBorders>
            <w:gridSpan w:val="8"/>
          </w:tcPr>
          <w:p>
            <w:pPr>
              <w:ind w:left="1020"/>
              <w:spacing w:after="0"/>
              <w:rPr>
                <w:sz w:val="20"/>
                <w:szCs w:val="20"/>
                <w:color w:val="auto"/>
              </w:rPr>
            </w:pPr>
            <w:r>
              <w:rPr>
                <w:rFonts w:ascii="Arial" w:cs="Arial" w:eastAsia="Arial" w:hAnsi="Arial"/>
                <w:sz w:val="14"/>
                <w:szCs w:val="14"/>
                <w:b w:val="1"/>
                <w:bCs w:val="1"/>
                <w:color w:val="auto"/>
              </w:rPr>
              <w:t>Six Months Ended June 30, 2015</w:t>
            </w: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Notional Amount</w:t>
            </w: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0"/>
              </w:rPr>
              <w:t>Settlement,</w:t>
            </w: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center"/>
              <w:ind w:right="82"/>
              <w:spacing w:after="0" w:line="153" w:lineRule="exact"/>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480" w:type="dxa"/>
            <w:vAlign w:val="bottom"/>
            <w:gridSpan w:val="4"/>
            <w:vMerge w:val="restart"/>
          </w:tcPr>
          <w:p>
            <w:pPr>
              <w:jc w:val="center"/>
              <w:ind w:right="220"/>
              <w:spacing w:after="0"/>
              <w:rPr>
                <w:sz w:val="20"/>
                <w:szCs w:val="20"/>
                <w:color w:val="auto"/>
              </w:rPr>
            </w:pPr>
            <w:r>
              <w:rPr>
                <w:rFonts w:ascii="Arial" w:cs="Arial" w:eastAsia="Arial" w:hAnsi="Arial"/>
                <w:sz w:val="14"/>
                <w:szCs w:val="14"/>
                <w:b w:val="1"/>
                <w:bCs w:val="1"/>
                <w:color w:val="auto"/>
                <w:w w:val="93"/>
              </w:rPr>
              <w:t>Notional Amount</w:t>
            </w:r>
          </w:p>
        </w:tc>
        <w:tc>
          <w:tcPr>
            <w:tcW w:w="140" w:type="dxa"/>
            <w:vAlign w:val="bottom"/>
          </w:tcPr>
          <w:p>
            <w:pPr>
              <w:spacing w:after="0"/>
              <w:rPr>
                <w:sz w:val="12"/>
                <w:szCs w:val="12"/>
                <w:color w:val="auto"/>
              </w:rPr>
            </w:pPr>
          </w:p>
        </w:tc>
        <w:tc>
          <w:tcPr>
            <w:tcW w:w="110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93"/>
              </w:rPr>
              <w:t>Gain/(Loss)</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Long/(Short)</w:t>
            </w: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Termination,</w:t>
            </w:r>
          </w:p>
        </w:tc>
        <w:tc>
          <w:tcPr>
            <w:tcW w:w="148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center"/>
              <w:ind w:right="82"/>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0" w:type="dxa"/>
            <w:vAlign w:val="bottom"/>
          </w:tcPr>
          <w:p>
            <w:pPr>
              <w:spacing w:after="0"/>
              <w:rPr>
                <w:sz w:val="1"/>
                <w:szCs w:val="1"/>
                <w:color w:val="auto"/>
              </w:rPr>
            </w:pPr>
          </w:p>
        </w:tc>
      </w:tr>
      <w:tr>
        <w:trPr>
          <w:trHeight w:val="149"/>
        </w:trPr>
        <w:tc>
          <w:tcPr>
            <w:tcW w:w="4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Derivative and Other Hedging Instruments</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140" w:type="dxa"/>
            <w:vAlign w:val="bottom"/>
            <w:vMerge w:val="restart"/>
          </w:tcPr>
          <w:p>
            <w:pPr>
              <w:jc w:val="right"/>
              <w:ind w:right="181"/>
              <w:spacing w:after="0"/>
              <w:rPr>
                <w:sz w:val="20"/>
                <w:szCs w:val="20"/>
                <w:color w:val="auto"/>
              </w:rPr>
            </w:pPr>
            <w:r>
              <w:rPr>
                <w:rFonts w:ascii="Arial" w:cs="Arial" w:eastAsia="Arial" w:hAnsi="Arial"/>
                <w:sz w:val="14"/>
                <w:szCs w:val="14"/>
                <w:b w:val="1"/>
                <w:bCs w:val="1"/>
                <w:color w:val="auto"/>
              </w:rPr>
              <w:t>Additions</w:t>
            </w:r>
          </w:p>
        </w:tc>
        <w:tc>
          <w:tcPr>
            <w:tcW w:w="120" w:type="dxa"/>
            <w:vAlign w:val="bottom"/>
            <w:vMerge w:val="restart"/>
          </w:tcPr>
          <w:p>
            <w:pPr>
              <w:spacing w:after="0"/>
              <w:rPr>
                <w:sz w:val="12"/>
                <w:szCs w:val="12"/>
                <w:color w:val="auto"/>
              </w:rPr>
            </w:pP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Expiration or</w:t>
            </w:r>
          </w:p>
        </w:tc>
        <w:tc>
          <w:tcPr>
            <w:tcW w:w="148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Long/(Short) June</w:t>
            </w:r>
          </w:p>
        </w:tc>
        <w:tc>
          <w:tcPr>
            <w:tcW w:w="140" w:type="dxa"/>
            <w:vAlign w:val="bottom"/>
          </w:tcPr>
          <w:p>
            <w:pPr>
              <w:spacing w:after="0"/>
              <w:rPr>
                <w:sz w:val="12"/>
                <w:szCs w:val="12"/>
                <w:color w:val="auto"/>
              </w:rPr>
            </w:pPr>
          </w:p>
        </w:tc>
        <w:tc>
          <w:tcPr>
            <w:tcW w:w="110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91"/>
              </w:rPr>
              <w:t>Income on</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89"/>
              </w:rPr>
              <w:t>2014</w:t>
            </w:r>
          </w:p>
        </w:tc>
        <w:tc>
          <w:tcPr>
            <w:tcW w:w="1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Exercise</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40"/>
              <w:spacing w:after="0"/>
              <w:rPr>
                <w:sz w:val="20"/>
                <w:szCs w:val="20"/>
                <w:color w:val="auto"/>
              </w:rPr>
            </w:pPr>
            <w:r>
              <w:rPr>
                <w:rFonts w:ascii="Arial" w:cs="Arial" w:eastAsia="Arial" w:hAnsi="Arial"/>
                <w:sz w:val="14"/>
                <w:szCs w:val="14"/>
                <w:b w:val="1"/>
                <w:bCs w:val="1"/>
                <w:color w:val="auto"/>
                <w:w w:val="91"/>
              </w:rPr>
              <w:t>30, 2015</w:t>
            </w:r>
          </w:p>
        </w:tc>
        <w:tc>
          <w:tcPr>
            <w:tcW w:w="1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1"/>
              </w:rPr>
              <w:t xml:space="preserve">Derivatives </w:t>
            </w:r>
            <w:r>
              <w:rPr>
                <w:rFonts w:ascii="Arial" w:cs="Arial" w:eastAsia="Arial" w:hAnsi="Arial"/>
                <w:sz w:val="8"/>
                <w:szCs w:val="8"/>
                <w:b w:val="1"/>
                <w:bCs w:val="1"/>
                <w:color w:val="auto"/>
                <w:w w:val="91"/>
              </w:rPr>
              <w:t>1</w:t>
            </w:r>
          </w:p>
        </w:tc>
        <w:tc>
          <w:tcPr>
            <w:tcW w:w="0" w:type="dxa"/>
            <w:vAlign w:val="bottom"/>
          </w:tcPr>
          <w:p>
            <w:pPr>
              <w:spacing w:after="0"/>
              <w:rPr>
                <w:sz w:val="1"/>
                <w:szCs w:val="1"/>
                <w:color w:val="auto"/>
              </w:rPr>
            </w:pPr>
          </w:p>
        </w:tc>
      </w:tr>
      <w:tr>
        <w:trPr>
          <w:trHeight w:val="236"/>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TBA securities, net</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14,412</w:t>
            </w: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63,867</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(71,338)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6,941</w:t>
            </w: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237"/>
        </w:trPr>
        <w:tc>
          <w:tcPr>
            <w:tcW w:w="4820" w:type="dxa"/>
            <w:vAlign w:val="bottom"/>
            <w:gridSpan w:val="2"/>
          </w:tcPr>
          <w:p>
            <w:pPr>
              <w:ind w:left="40"/>
              <w:spacing w:after="0"/>
              <w:rPr>
                <w:sz w:val="20"/>
                <w:szCs w:val="20"/>
                <w:color w:val="auto"/>
              </w:rPr>
            </w:pPr>
            <w:r>
              <w:rPr>
                <w:rFonts w:ascii="Arial" w:cs="Arial" w:eastAsia="Arial" w:hAnsi="Arial"/>
                <w:sz w:val="16"/>
                <w:szCs w:val="16"/>
                <w:color w:val="auto"/>
              </w:rPr>
              <w:t>Interest rate swaps</w:t>
            </w: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(43,700)</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(3,500)</w:t>
            </w:r>
          </w:p>
        </w:tc>
        <w:tc>
          <w:tcPr>
            <w:tcW w:w="120" w:type="dxa"/>
            <w:vAlign w:val="bottom"/>
          </w:tcPr>
          <w:p>
            <w:pPr>
              <w:spacing w:after="0"/>
              <w:rPr>
                <w:sz w:val="20"/>
                <w:szCs w:val="20"/>
                <w:color w:val="auto"/>
              </w:rPr>
            </w:pPr>
          </w:p>
        </w:tc>
        <w:tc>
          <w:tcPr>
            <w:tcW w:w="1240" w:type="dxa"/>
            <w:vAlign w:val="bottom"/>
          </w:tcPr>
          <w:p>
            <w:pPr>
              <w:jc w:val="right"/>
              <w:ind w:right="42"/>
              <w:spacing w:after="0"/>
              <w:rPr>
                <w:sz w:val="20"/>
                <w:szCs w:val="20"/>
                <w:color w:val="auto"/>
              </w:rPr>
            </w:pPr>
            <w:r>
              <w:rPr>
                <w:rFonts w:ascii="Arial" w:cs="Arial" w:eastAsia="Arial" w:hAnsi="Arial"/>
                <w:sz w:val="16"/>
                <w:szCs w:val="16"/>
                <w:color w:val="auto"/>
              </w:rPr>
              <w:t>2,275</w:t>
            </w:r>
          </w:p>
        </w:tc>
        <w:tc>
          <w:tcPr>
            <w:tcW w:w="100" w:type="dxa"/>
            <w:vAlign w:val="bottom"/>
          </w:tcPr>
          <w:p>
            <w:pPr>
              <w:spacing w:after="0"/>
              <w:rPr>
                <w:sz w:val="20"/>
                <w:szCs w:val="20"/>
                <w:color w:val="auto"/>
              </w:rPr>
            </w:pPr>
          </w:p>
        </w:tc>
        <w:tc>
          <w:tcPr>
            <w:tcW w:w="2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(44,925)</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(312)</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Payer swaptions</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(6,800)</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1,850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(5,450)</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37"/>
        </w:trPr>
        <w:tc>
          <w:tcPr>
            <w:tcW w:w="4820" w:type="dxa"/>
            <w:vAlign w:val="bottom"/>
            <w:gridSpan w:val="2"/>
          </w:tcPr>
          <w:p>
            <w:pPr>
              <w:ind w:left="40"/>
              <w:spacing w:after="0"/>
              <w:rPr>
                <w:sz w:val="20"/>
                <w:szCs w:val="20"/>
                <w:color w:val="auto"/>
              </w:rPr>
            </w:pPr>
            <w:r>
              <w:rPr>
                <w:rFonts w:ascii="Arial" w:cs="Arial" w:eastAsia="Arial" w:hAnsi="Arial"/>
                <w:sz w:val="16"/>
                <w:szCs w:val="16"/>
                <w:color w:val="auto"/>
              </w:rPr>
              <w:t>Receiver swaptions</w:t>
            </w: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2"/>
              <w:spacing w:after="0"/>
              <w:rPr>
                <w:sz w:val="20"/>
                <w:szCs w:val="20"/>
                <w:color w:val="auto"/>
              </w:rPr>
            </w:pPr>
            <w:r>
              <w:rPr>
                <w:rFonts w:ascii="Arial" w:cs="Arial" w:eastAsia="Arial" w:hAnsi="Arial"/>
                <w:sz w:val="16"/>
                <w:szCs w:val="16"/>
                <w:color w:val="auto"/>
              </w:rPr>
              <w:t>4,250</w:t>
            </w:r>
          </w:p>
        </w:tc>
        <w:tc>
          <w:tcPr>
            <w:tcW w:w="12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(4,250)</w:t>
            </w:r>
          </w:p>
        </w:tc>
        <w:tc>
          <w:tcPr>
            <w:tcW w:w="100" w:type="dxa"/>
            <w:vAlign w:val="bottom"/>
          </w:tcPr>
          <w:p>
            <w:pPr>
              <w:spacing w:after="0"/>
              <w:rPr>
                <w:sz w:val="20"/>
                <w:szCs w:val="20"/>
                <w:color w:val="auto"/>
              </w:rPr>
            </w:pPr>
          </w:p>
        </w:tc>
        <w:tc>
          <w:tcPr>
            <w:tcW w:w="2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1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2"/>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U.S. Treasury securities - short position</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(5,392)</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(6,397)</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9,539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(2,250)</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237"/>
        </w:trPr>
        <w:tc>
          <w:tcPr>
            <w:tcW w:w="4820" w:type="dxa"/>
            <w:vAlign w:val="bottom"/>
            <w:gridSpan w:val="2"/>
          </w:tcPr>
          <w:p>
            <w:pPr>
              <w:ind w:left="40"/>
              <w:spacing w:after="0"/>
              <w:rPr>
                <w:sz w:val="20"/>
                <w:szCs w:val="20"/>
                <w:color w:val="auto"/>
              </w:rPr>
            </w:pPr>
            <w:r>
              <w:rPr>
                <w:rFonts w:ascii="Arial" w:cs="Arial" w:eastAsia="Arial" w:hAnsi="Arial"/>
                <w:sz w:val="16"/>
                <w:szCs w:val="16"/>
                <w:color w:val="auto"/>
              </w:rPr>
              <w:t>U.S. Treasury securities - long position</w:t>
            </w: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2"/>
              <w:spacing w:after="0"/>
              <w:rPr>
                <w:sz w:val="20"/>
                <w:szCs w:val="20"/>
                <w:color w:val="auto"/>
              </w:rPr>
            </w:pPr>
            <w:r>
              <w:rPr>
                <w:rFonts w:ascii="Arial" w:cs="Arial" w:eastAsia="Arial" w:hAnsi="Arial"/>
                <w:sz w:val="16"/>
                <w:szCs w:val="16"/>
                <w:color w:val="auto"/>
              </w:rPr>
              <w:t>2,411</w:t>
            </w:r>
          </w:p>
        </w:tc>
        <w:tc>
          <w:tcPr>
            <w:tcW w:w="120" w:type="dxa"/>
            <w:vAlign w:val="bottom"/>
          </w:tcPr>
          <w:p>
            <w:pPr>
              <w:spacing w:after="0"/>
              <w:rPr>
                <w:sz w:val="20"/>
                <w:szCs w:val="20"/>
                <w:color w:val="auto"/>
              </w:rPr>
            </w:pP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27,211</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(24,430)</w:t>
            </w:r>
          </w:p>
        </w:tc>
        <w:tc>
          <w:tcPr>
            <w:tcW w:w="100" w:type="dxa"/>
            <w:vAlign w:val="bottom"/>
          </w:tcPr>
          <w:p>
            <w:pPr>
              <w:spacing w:after="0"/>
              <w:rPr>
                <w:sz w:val="20"/>
                <w:szCs w:val="20"/>
                <w:color w:val="auto"/>
              </w:rPr>
            </w:pPr>
          </w:p>
        </w:tc>
        <w:tc>
          <w:tcPr>
            <w:tcW w:w="2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5,192</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U.S. Treasury futures contracts - short position</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(730)</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(1,460)</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1,460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(730)</w:t>
            </w:r>
          </w:p>
        </w:tc>
        <w:tc>
          <w:tcPr>
            <w:tcW w:w="14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7"/>
        </w:trPr>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(321)</w:t>
            </w:r>
          </w:p>
        </w:tc>
        <w:tc>
          <w:tcPr>
            <w:tcW w:w="0" w:type="dxa"/>
            <w:vAlign w:val="bottom"/>
          </w:tcPr>
          <w:p>
            <w:pPr>
              <w:spacing w:after="0"/>
              <w:rPr>
                <w:sz w:val="1"/>
                <w:szCs w:val="1"/>
                <w:color w:val="auto"/>
              </w:rPr>
            </w:pPr>
          </w:p>
        </w:tc>
      </w:tr>
      <w:tr>
        <w:trPr>
          <w:trHeight w:val="33"/>
        </w:trPr>
        <w:tc>
          <w:tcPr>
            <w:tcW w:w="4700" w:type="dxa"/>
            <w:vAlign w:val="bottom"/>
            <w:vMerge w:val="restart"/>
          </w:tcPr>
          <w:p>
            <w:pPr>
              <w:ind w:left="100"/>
              <w:spacing w:after="0"/>
              <w:rPr>
                <w:sz w:val="20"/>
                <w:szCs w:val="20"/>
                <w:color w:val="auto"/>
              </w:rPr>
            </w:pPr>
            <w:r>
              <w:rPr>
                <w:rFonts w:ascii="Arial" w:cs="Arial" w:eastAsia="Arial" w:hAnsi="Arial"/>
                <w:sz w:val="18"/>
                <w:szCs w:val="18"/>
                <w:color w:val="auto"/>
              </w:rPr>
              <w:t>______________________</w:t>
            </w: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vMerge w:val="continue"/>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70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660" w:hanging="328"/>
        <w:spacing w:after="0" w:line="255" w:lineRule="auto"/>
        <w:tabs>
          <w:tab w:leader="none" w:pos="6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Excludes a net loss of $4 million from investments in REIT equity securities, a net gain of $9 million from debt of consolidate VIEs and a net gain of $4 million from interest and principal-only securities recognized in gain (loss) on derivative instruments and other securities, net in our consolidated statements of comprehensive income.</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806"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Note 7. Pledged Assets</w:t>
      </w:r>
    </w:p>
    <w:p>
      <w:pPr>
        <w:spacing w:after="0" w:line="17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Our funding agreements require us to fully collateralize our obligations under the agreements based upon our counterparties' collateral requirements and their determination of the fair value of the securities pledged as collateral, which fluctuates with changes in interest rates, credit quality and liquidity conditions within the investment banking, mortgage finance and real estate industries. Our derivative contracts similarly require us to fully collateralize our obligations under such agreements, which will vary over time based on similar factors as well as our counterparties' determination of the value of the derivative contract. We are typically required to post initial collateral upon execution of derivative transactions, such as under our interest rate swap agreements and TBA contracts. If we breach our collateral requirements, we will be required to fully settle our obligations under the agreements, which could include a forced liquidation of our pledged collateral.</w:t>
      </w:r>
    </w:p>
    <w:p>
      <w:pPr>
        <w:spacing w:after="0" w:line="135"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Our counterparties also apply a "haircut" to our pledged collateral, which means our collateral is valued at slightly less than market value and limits the amount we can borrow against our securities. This haircut reflects the underlying risk of the specific collateral and protects our counterparty against a change in its value. Our agreements do not specify the haircut; rather haircuts are determined on an individual transaction basis. Additionally, the FHLB of Des Moines may adjust the haircut on our outstanding FHLB advances at any time prior to maturity. As a condition of our membership in the FHLB of Des Moines, we are also obligated to purchase membership stock in the FHLB based upon the total assets of our wholly-owned captive insurance company and activity-based stock in the FHLB based upon the aggregate amount of advances obtained from the FHLB.</w:t>
      </w:r>
    </w:p>
    <w:p>
      <w:pPr>
        <w:spacing w:after="0" w:line="124"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Consequently, our funding agreements and derivative contracts expose us to credit risk relating to potential losses that could be recognized in the event that our counterparties fail to perform their obligations under such agreements. We minimize this risk by limiting our counterparties to major financial institutions with acceptable credit ratings or to registered clearinghouses and U.S. government agencies and we monitor our positions with individual counterparties. In the event of a default by a counterparty we may have difficulty obtaining our assets pledged as collateral to such counterparty and may not receive payments provided for under the terms of our derivative agreements. In the case of centrally cleared instruments, we could be exposed to credit risk if the central clearing agency or a clearing member defaults on its respective obligation to perform under the contract. However, we believe that the risk is minimal due to the clearing exchanges' initial and daily mark to market margin requirements and clearinghouse guarantee funds and other resources that are available in the event of a clearing member default.</w:t>
      </w:r>
    </w:p>
    <w:p>
      <w:pPr>
        <w:spacing w:after="0" w:line="12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Further, each of our International Swaps and Derivatives Association ("ISDA") Master Agreements also contains a cross default provision under which a default under certain of our other indebtedness in excess of certain thresholds causes an event of default under the ISDA Master Agreement. Threshold amounts vary by lender. Following an event of default, we could be required to settle our obligations under the agreements. Additionally, under certain of our ISDA Master Agreements, we could be required to settle our obligations under the agreements if we fail to maintain certain minimum stockholders' equity thresholds or our REIT status or if we fail to comply with limits on our leverage up to certain specified levels. As of June 30, 2016, the fair value of additional collateral that could be required to be posted as a result of the credit-risk-related contingent features being triggered was not material to our financial statements.</w:t>
      </w:r>
    </w:p>
    <w:p>
      <w:pPr>
        <w:spacing w:after="0" w:line="13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 of June 30, 2016, our maximum amount at risk with any counterparty related to our repurchase agreements was less than 4% of our stockholders' equity and our maximum amount at risk with any counterparty related to our interest rate swap and swaption agreements, excluding centrally cleared swaps, was less than 1% of our stockholders' equity.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80"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Assets Pledged to Counterparties</w:t>
      </w:r>
    </w:p>
    <w:p>
      <w:pPr>
        <w:spacing w:after="0" w:line="17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tables summarize our assets pledged as collateral under our funding, derivative and prime broker agreements by type, including securities pledged related to securities sold but not yet settled, as of June 30, 2016 and December 31, 2015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June 30, 2016</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Assets Pledged to Counterparties</w:t>
            </w:r>
          </w:p>
        </w:tc>
        <w:tc>
          <w:tcPr>
            <w:tcW w:w="120" w:type="dxa"/>
            <w:vAlign w:val="bottom"/>
            <w:vMerge w:val="restart"/>
          </w:tcPr>
          <w:p>
            <w:pPr>
              <w:spacing w:after="0"/>
              <w:rPr>
                <w:sz w:val="13"/>
                <w:szCs w:val="13"/>
                <w:color w:val="auto"/>
              </w:rPr>
            </w:pPr>
          </w:p>
        </w:tc>
        <w:tc>
          <w:tcPr>
            <w:tcW w:w="1740" w:type="dxa"/>
            <w:vAlign w:val="bottom"/>
            <w:gridSpan w:val="3"/>
          </w:tcPr>
          <w:p>
            <w:pPr>
              <w:ind w:left="60"/>
              <w:spacing w:after="0" w:line="153" w:lineRule="exact"/>
              <w:rPr>
                <w:sz w:val="20"/>
                <w:szCs w:val="20"/>
                <w:color w:val="auto"/>
              </w:rPr>
            </w:pPr>
            <w:r>
              <w:rPr>
                <w:rFonts w:ascii="Arial" w:cs="Arial" w:eastAsia="Arial" w:hAnsi="Arial"/>
                <w:sz w:val="14"/>
                <w:szCs w:val="14"/>
                <w:b w:val="1"/>
                <w:bCs w:val="1"/>
                <w:color w:val="auto"/>
              </w:rPr>
              <w:t>Repurchase Agreements</w:t>
            </w:r>
          </w:p>
        </w:tc>
        <w:tc>
          <w:tcPr>
            <w:tcW w:w="1360" w:type="dxa"/>
            <w:vAlign w:val="bottom"/>
            <w:gridSpan w:val="2"/>
          </w:tcPr>
          <w:p>
            <w:pPr>
              <w:jc w:val="right"/>
              <w:spacing w:after="0" w:line="153" w:lineRule="exact"/>
              <w:rPr>
                <w:sz w:val="20"/>
                <w:szCs w:val="20"/>
                <w:color w:val="auto"/>
              </w:rPr>
            </w:pPr>
            <w:r>
              <w:rPr>
                <w:rFonts w:ascii="Arial" w:cs="Arial" w:eastAsia="Arial" w:hAnsi="Arial"/>
                <w:sz w:val="14"/>
                <w:szCs w:val="14"/>
                <w:b w:val="1"/>
                <w:bCs w:val="1"/>
                <w:color w:val="auto"/>
                <w:w w:val="93"/>
              </w:rPr>
              <w:t>Debt of Consolidated</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Derivative</w:t>
            </w:r>
          </w:p>
        </w:tc>
        <w:tc>
          <w:tcPr>
            <w:tcW w:w="160" w:type="dxa"/>
            <w:vAlign w:val="bottom"/>
          </w:tcPr>
          <w:p>
            <w:pPr>
              <w:spacing w:after="0"/>
              <w:rPr>
                <w:sz w:val="13"/>
                <w:szCs w:val="13"/>
                <w:color w:val="auto"/>
              </w:rPr>
            </w:pPr>
          </w:p>
        </w:tc>
        <w:tc>
          <w:tcPr>
            <w:tcW w:w="12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Prime Broker</w:t>
            </w:r>
          </w:p>
        </w:tc>
        <w:tc>
          <w:tcPr>
            <w:tcW w:w="260" w:type="dxa"/>
            <w:vAlign w:val="bottom"/>
          </w:tcPr>
          <w:p>
            <w:pPr>
              <w:spacing w:after="0"/>
              <w:rPr>
                <w:sz w:val="13"/>
                <w:szCs w:val="13"/>
                <w:color w:val="auto"/>
              </w:rPr>
            </w:pPr>
          </w:p>
        </w:tc>
        <w:tc>
          <w:tcPr>
            <w:tcW w:w="86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2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5"/>
              </w:rPr>
              <w:t xml:space="preserve">and FHLB Advances </w:t>
            </w:r>
            <w:r>
              <w:rPr>
                <w:rFonts w:ascii="Arial" w:cs="Arial" w:eastAsia="Arial" w:hAnsi="Arial"/>
                <w:sz w:val="8"/>
                <w:szCs w:val="8"/>
                <w:b w:val="1"/>
                <w:bCs w:val="1"/>
                <w:color w:val="auto"/>
                <w:w w:val="95"/>
              </w:rPr>
              <w:t>1</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VIEs</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w w:val="96"/>
              </w:rPr>
              <w:t>Agreements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Agreements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3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Agency MBS - fair value</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47,555</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945</w:t>
            </w:r>
          </w:p>
        </w:tc>
        <w:tc>
          <w:tcPr>
            <w:tcW w:w="3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472</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49,492</w:t>
            </w:r>
          </w:p>
        </w:tc>
        <w:tc>
          <w:tcPr>
            <w:tcW w:w="0" w:type="dxa"/>
            <w:vAlign w:val="bottom"/>
          </w:tcPr>
          <w:p>
            <w:pPr>
              <w:spacing w:after="0"/>
              <w:rPr>
                <w:sz w:val="1"/>
                <w:szCs w:val="1"/>
                <w:color w:val="auto"/>
              </w:rPr>
            </w:pPr>
          </w:p>
        </w:tc>
      </w:tr>
      <w:tr>
        <w:trPr>
          <w:trHeight w:val="264"/>
        </w:trPr>
        <w:tc>
          <w:tcPr>
            <w:tcW w:w="4360" w:type="dxa"/>
            <w:vAlign w:val="bottom"/>
            <w:gridSpan w:val="2"/>
          </w:tcPr>
          <w:p>
            <w:pPr>
              <w:ind w:left="40"/>
              <w:spacing w:after="0"/>
              <w:rPr>
                <w:sz w:val="20"/>
                <w:szCs w:val="20"/>
                <w:color w:val="auto"/>
              </w:rPr>
            </w:pPr>
            <w:r>
              <w:rPr>
                <w:rFonts w:ascii="Arial" w:cs="Arial" w:eastAsia="Arial" w:hAnsi="Arial"/>
                <w:sz w:val="14"/>
                <w:szCs w:val="14"/>
                <w:color w:val="auto"/>
              </w:rPr>
              <w:t>AAA non-agency MBS - fair value</w:t>
            </w:r>
          </w:p>
        </w:tc>
        <w:tc>
          <w:tcPr>
            <w:tcW w:w="100" w:type="dxa"/>
            <w:vAlign w:val="bottom"/>
          </w:tcPr>
          <w:p>
            <w:pPr>
              <w:spacing w:after="0"/>
              <w:rPr>
                <w:sz w:val="22"/>
                <w:szCs w:val="22"/>
                <w:color w:val="auto"/>
              </w:rPr>
            </w:pP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107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276"/>
        </w:trPr>
        <w:tc>
          <w:tcPr>
            <w:tcW w:w="43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U.S. Treasury securities - fair value</w:t>
            </w:r>
          </w:p>
        </w:tc>
        <w:tc>
          <w:tcPr>
            <w:tcW w:w="10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264"/>
        </w:trPr>
        <w:tc>
          <w:tcPr>
            <w:tcW w:w="4360" w:type="dxa"/>
            <w:vAlign w:val="bottom"/>
            <w:gridSpan w:val="2"/>
          </w:tcPr>
          <w:p>
            <w:pPr>
              <w:ind w:left="40"/>
              <w:spacing w:after="0"/>
              <w:rPr>
                <w:sz w:val="20"/>
                <w:szCs w:val="20"/>
                <w:color w:val="auto"/>
              </w:rPr>
            </w:pPr>
            <w:r>
              <w:rPr>
                <w:rFonts w:ascii="Arial" w:cs="Arial" w:eastAsia="Arial" w:hAnsi="Arial"/>
                <w:sz w:val="14"/>
                <w:szCs w:val="14"/>
                <w:color w:val="auto"/>
              </w:rPr>
              <w:t>Accrued interest on pledged securities</w:t>
            </w:r>
          </w:p>
        </w:tc>
        <w:tc>
          <w:tcPr>
            <w:tcW w:w="100" w:type="dxa"/>
            <w:vAlign w:val="bottom"/>
          </w:tcPr>
          <w:p>
            <w:pPr>
              <w:spacing w:after="0"/>
              <w:rPr>
                <w:sz w:val="22"/>
                <w:szCs w:val="22"/>
                <w:color w:val="auto"/>
              </w:rPr>
            </w:pP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132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137</w:t>
            </w:r>
          </w:p>
        </w:tc>
        <w:tc>
          <w:tcPr>
            <w:tcW w:w="0" w:type="dxa"/>
            <w:vAlign w:val="bottom"/>
          </w:tcPr>
          <w:p>
            <w:pPr>
              <w:spacing w:after="0"/>
              <w:rPr>
                <w:sz w:val="1"/>
                <w:szCs w:val="1"/>
                <w:color w:val="auto"/>
              </w:rPr>
            </w:pPr>
          </w:p>
        </w:tc>
      </w:tr>
      <w:tr>
        <w:trPr>
          <w:trHeight w:val="270"/>
        </w:trPr>
        <w:tc>
          <w:tcPr>
            <w:tcW w:w="43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Restricted cash and cash equivalents</w:t>
            </w:r>
          </w:p>
        </w:tc>
        <w:tc>
          <w:tcPr>
            <w:tcW w:w="10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1,393</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1,399</w:t>
            </w:r>
          </w:p>
        </w:tc>
        <w:tc>
          <w:tcPr>
            <w:tcW w:w="0" w:type="dxa"/>
            <w:vAlign w:val="bottom"/>
          </w:tcPr>
          <w:p>
            <w:pPr>
              <w:spacing w:after="0"/>
              <w:rPr>
                <w:sz w:val="1"/>
                <w:szCs w:val="1"/>
                <w:color w:val="auto"/>
              </w:rPr>
            </w:pPr>
          </w:p>
        </w:tc>
      </w:tr>
      <w:tr>
        <w:trPr>
          <w:trHeight w:val="243"/>
        </w:trPr>
        <w:tc>
          <w:tcPr>
            <w:tcW w:w="4360" w:type="dxa"/>
            <w:vAlign w:val="bottom"/>
            <w:gridSpan w:val="2"/>
          </w:tcPr>
          <w:p>
            <w:pPr>
              <w:ind w:left="200"/>
              <w:spacing w:after="0"/>
              <w:rPr>
                <w:sz w:val="20"/>
                <w:szCs w:val="20"/>
                <w:color w:val="auto"/>
              </w:rPr>
            </w:pPr>
            <w:r>
              <w:rPr>
                <w:rFonts w:ascii="Arial" w:cs="Arial" w:eastAsia="Arial" w:hAnsi="Arial"/>
                <w:sz w:val="14"/>
                <w:szCs w:val="14"/>
                <w:color w:val="auto"/>
              </w:rPr>
              <w:t>Total</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47,804</w:t>
            </w:r>
          </w:p>
        </w:tc>
        <w:tc>
          <w:tcPr>
            <w:tcW w:w="120" w:type="dxa"/>
            <w:vAlign w:val="bottom"/>
          </w:tcPr>
          <w:p>
            <w:pPr>
              <w:spacing w:after="0"/>
              <w:rPr>
                <w:sz w:val="21"/>
                <w:szCs w:val="21"/>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948</w:t>
            </w:r>
          </w:p>
        </w:tc>
        <w:tc>
          <w:tcPr>
            <w:tcW w:w="32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1,966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479</w:t>
            </w:r>
          </w:p>
        </w:tc>
        <w:tc>
          <w:tcPr>
            <w:tcW w:w="100" w:type="dxa"/>
            <w:vAlign w:val="bottom"/>
          </w:tcPr>
          <w:p>
            <w:pPr>
              <w:spacing w:after="0"/>
              <w:rPr>
                <w:sz w:val="21"/>
                <w:szCs w:val="21"/>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51,197</w:t>
            </w:r>
          </w:p>
        </w:tc>
        <w:tc>
          <w:tcPr>
            <w:tcW w:w="0" w:type="dxa"/>
            <w:vAlign w:val="bottom"/>
          </w:tcPr>
          <w:p>
            <w:pPr>
              <w:spacing w:after="0"/>
              <w:rPr>
                <w:sz w:val="1"/>
                <w:szCs w:val="1"/>
                <w:color w:val="auto"/>
              </w:rPr>
            </w:pPr>
          </w:p>
        </w:tc>
      </w:tr>
      <w:tr>
        <w:trPr>
          <w:trHeight w:val="20"/>
        </w:trPr>
        <w:tc>
          <w:tcPr>
            <w:tcW w:w="4240" w:type="dxa"/>
            <w:vAlign w:val="bottom"/>
            <w:vMerge w:val="restart"/>
          </w:tcPr>
          <w:p>
            <w:pPr>
              <w:spacing w:after="0"/>
              <w:rPr>
                <w:sz w:val="20"/>
                <w:szCs w:val="20"/>
                <w:color w:val="auto"/>
              </w:rPr>
            </w:pPr>
            <w:r>
              <w:rPr>
                <w:rFonts w:ascii="Arial" w:cs="Arial" w:eastAsia="Arial" w:hAnsi="Arial"/>
                <w:sz w:val="13"/>
                <w:szCs w:val="13"/>
                <w:color w:val="auto"/>
              </w:rPr>
              <w:t>______________________</w:t>
            </w:r>
          </w:p>
        </w:tc>
        <w:tc>
          <w:tcPr>
            <w:tcW w:w="120" w:type="dxa"/>
            <w:vAlign w:val="bottom"/>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4240" w:type="dxa"/>
            <w:vAlign w:val="bottom"/>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1" w:lineRule="exact"/>
        <w:rPr>
          <w:sz w:val="20"/>
          <w:szCs w:val="20"/>
          <w:color w:val="auto"/>
        </w:rPr>
      </w:pPr>
    </w:p>
    <w:p>
      <w:pPr>
        <w:ind w:left="340"/>
        <w:spacing w:after="0"/>
        <w:rPr>
          <w:sz w:val="20"/>
          <w:szCs w:val="20"/>
          <w:color w:val="auto"/>
        </w:rPr>
      </w:pPr>
      <w:r>
        <w:rPr>
          <w:rFonts w:ascii="Arial" w:cs="Arial" w:eastAsia="Arial" w:hAnsi="Arial"/>
          <w:sz w:val="14"/>
          <w:szCs w:val="14"/>
          <w:color w:val="auto"/>
        </w:rPr>
        <w:t>1. Includes $203 million of retained interests in our consolidated VIEs pledged as collateral under repurchase agreements.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5"/>
          </w:tcPr>
          <w:p>
            <w:pPr>
              <w:ind w:left="900"/>
              <w:spacing w:after="0"/>
              <w:rPr>
                <w:sz w:val="20"/>
                <w:szCs w:val="20"/>
                <w:color w:val="auto"/>
              </w:rPr>
            </w:pPr>
            <w:r>
              <w:rPr>
                <w:rFonts w:ascii="Arial" w:cs="Arial" w:eastAsia="Arial" w:hAnsi="Arial"/>
                <w:sz w:val="14"/>
                <w:szCs w:val="14"/>
                <w:b w:val="1"/>
                <w:bCs w:val="1"/>
                <w:color w:val="auto"/>
              </w:rPr>
              <w:t>December 31, 2015</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Assets Pledged to Counterparties</w:t>
            </w:r>
          </w:p>
        </w:tc>
        <w:tc>
          <w:tcPr>
            <w:tcW w:w="120" w:type="dxa"/>
            <w:vAlign w:val="bottom"/>
            <w:vMerge w:val="restart"/>
          </w:tcPr>
          <w:p>
            <w:pPr>
              <w:spacing w:after="0"/>
              <w:rPr>
                <w:sz w:val="13"/>
                <w:szCs w:val="13"/>
                <w:color w:val="auto"/>
              </w:rPr>
            </w:pPr>
          </w:p>
        </w:tc>
        <w:tc>
          <w:tcPr>
            <w:tcW w:w="1740" w:type="dxa"/>
            <w:vAlign w:val="bottom"/>
            <w:gridSpan w:val="3"/>
          </w:tcPr>
          <w:p>
            <w:pPr>
              <w:ind w:left="60"/>
              <w:spacing w:after="0" w:line="153" w:lineRule="exact"/>
              <w:rPr>
                <w:sz w:val="20"/>
                <w:szCs w:val="20"/>
                <w:color w:val="auto"/>
              </w:rPr>
            </w:pPr>
            <w:r>
              <w:rPr>
                <w:rFonts w:ascii="Arial" w:cs="Arial" w:eastAsia="Arial" w:hAnsi="Arial"/>
                <w:sz w:val="14"/>
                <w:szCs w:val="14"/>
                <w:b w:val="1"/>
                <w:bCs w:val="1"/>
                <w:color w:val="auto"/>
              </w:rPr>
              <w:t>Repurchase Agreements</w:t>
            </w:r>
          </w:p>
        </w:tc>
        <w:tc>
          <w:tcPr>
            <w:tcW w:w="1500" w:type="dxa"/>
            <w:vAlign w:val="bottom"/>
            <w:gridSpan w:val="3"/>
          </w:tcPr>
          <w:p>
            <w:pPr>
              <w:ind w:left="40"/>
              <w:spacing w:after="0" w:line="153" w:lineRule="exact"/>
              <w:rPr>
                <w:sz w:val="20"/>
                <w:szCs w:val="20"/>
                <w:color w:val="auto"/>
              </w:rPr>
            </w:pPr>
            <w:r>
              <w:rPr>
                <w:rFonts w:ascii="Arial" w:cs="Arial" w:eastAsia="Arial" w:hAnsi="Arial"/>
                <w:sz w:val="14"/>
                <w:szCs w:val="14"/>
                <w:b w:val="1"/>
                <w:bCs w:val="1"/>
                <w:color w:val="auto"/>
              </w:rPr>
              <w:t>Debt of Consolidated</w:t>
            </w:r>
          </w:p>
        </w:tc>
        <w:tc>
          <w:tcPr>
            <w:tcW w:w="180" w:type="dxa"/>
            <w:vAlign w:val="bottom"/>
          </w:tcPr>
          <w:p>
            <w:pPr>
              <w:spacing w:after="0"/>
              <w:rPr>
                <w:sz w:val="13"/>
                <w:szCs w:val="13"/>
                <w:color w:val="auto"/>
              </w:rPr>
            </w:pPr>
          </w:p>
        </w:tc>
        <w:tc>
          <w:tcPr>
            <w:tcW w:w="116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Derivative</w:t>
            </w:r>
          </w:p>
        </w:tc>
        <w:tc>
          <w:tcPr>
            <w:tcW w:w="160" w:type="dxa"/>
            <w:vAlign w:val="bottom"/>
          </w:tcPr>
          <w:p>
            <w:pPr>
              <w:spacing w:after="0"/>
              <w:rPr>
                <w:sz w:val="13"/>
                <w:szCs w:val="13"/>
                <w:color w:val="auto"/>
              </w:rPr>
            </w:pPr>
          </w:p>
        </w:tc>
        <w:tc>
          <w:tcPr>
            <w:tcW w:w="12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Prime Broker</w:t>
            </w:r>
          </w:p>
        </w:tc>
        <w:tc>
          <w:tcPr>
            <w:tcW w:w="260" w:type="dxa"/>
            <w:vAlign w:val="bottom"/>
          </w:tcPr>
          <w:p>
            <w:pPr>
              <w:spacing w:after="0"/>
              <w:rPr>
                <w:sz w:val="13"/>
                <w:szCs w:val="13"/>
                <w:color w:val="auto"/>
              </w:rPr>
            </w:pPr>
          </w:p>
        </w:tc>
        <w:tc>
          <w:tcPr>
            <w:tcW w:w="86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2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5"/>
              </w:rPr>
              <w:t xml:space="preserve">and FHLB Advances </w:t>
            </w:r>
            <w:r>
              <w:rPr>
                <w:rFonts w:ascii="Arial" w:cs="Arial" w:eastAsia="Arial" w:hAnsi="Arial"/>
                <w:sz w:val="8"/>
                <w:szCs w:val="8"/>
                <w:b w:val="1"/>
                <w:bCs w:val="1"/>
                <w:color w:val="auto"/>
                <w:w w:val="95"/>
              </w:rPr>
              <w:t>1</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VIEs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w w:val="96"/>
              </w:rPr>
              <w:t>Agreements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Agreements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3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Agency MBS - fair value</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47,992</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1,029</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148</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485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49,654</w:t>
            </w:r>
          </w:p>
        </w:tc>
        <w:tc>
          <w:tcPr>
            <w:tcW w:w="0" w:type="dxa"/>
            <w:vAlign w:val="bottom"/>
          </w:tcPr>
          <w:p>
            <w:pPr>
              <w:spacing w:after="0"/>
              <w:rPr>
                <w:sz w:val="1"/>
                <w:szCs w:val="1"/>
                <w:color w:val="auto"/>
              </w:rPr>
            </w:pPr>
          </w:p>
        </w:tc>
      </w:tr>
      <w:tr>
        <w:trPr>
          <w:trHeight w:val="264"/>
        </w:trPr>
        <w:tc>
          <w:tcPr>
            <w:tcW w:w="4360" w:type="dxa"/>
            <w:vAlign w:val="bottom"/>
            <w:gridSpan w:val="2"/>
          </w:tcPr>
          <w:p>
            <w:pPr>
              <w:ind w:left="40"/>
              <w:spacing w:after="0"/>
              <w:rPr>
                <w:sz w:val="20"/>
                <w:szCs w:val="20"/>
                <w:color w:val="auto"/>
              </w:rPr>
            </w:pPr>
            <w:r>
              <w:rPr>
                <w:rFonts w:ascii="Arial" w:cs="Arial" w:eastAsia="Arial" w:hAnsi="Arial"/>
                <w:sz w:val="14"/>
                <w:szCs w:val="14"/>
                <w:color w:val="auto"/>
              </w:rPr>
              <w:t>AAA non-agency MBS - fair value</w:t>
            </w:r>
          </w:p>
        </w:tc>
        <w:tc>
          <w:tcPr>
            <w:tcW w:w="100" w:type="dxa"/>
            <w:vAlign w:val="bottom"/>
          </w:tcPr>
          <w:p>
            <w:pPr>
              <w:spacing w:after="0"/>
              <w:rPr>
                <w:sz w:val="22"/>
                <w:szCs w:val="22"/>
                <w:color w:val="auto"/>
              </w:rPr>
            </w:pP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113</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113</w:t>
            </w:r>
          </w:p>
        </w:tc>
        <w:tc>
          <w:tcPr>
            <w:tcW w:w="0" w:type="dxa"/>
            <w:vAlign w:val="bottom"/>
          </w:tcPr>
          <w:p>
            <w:pPr>
              <w:spacing w:after="0"/>
              <w:rPr>
                <w:sz w:val="1"/>
                <w:szCs w:val="1"/>
                <w:color w:val="auto"/>
              </w:rPr>
            </w:pPr>
          </w:p>
        </w:tc>
      </w:tr>
      <w:tr>
        <w:trPr>
          <w:trHeight w:val="276"/>
        </w:trPr>
        <w:tc>
          <w:tcPr>
            <w:tcW w:w="43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U.S. Treasury securities - fair value</w:t>
            </w:r>
          </w:p>
        </w:tc>
        <w:tc>
          <w:tcPr>
            <w:tcW w:w="10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64"/>
        </w:trPr>
        <w:tc>
          <w:tcPr>
            <w:tcW w:w="4360" w:type="dxa"/>
            <w:vAlign w:val="bottom"/>
            <w:gridSpan w:val="2"/>
          </w:tcPr>
          <w:p>
            <w:pPr>
              <w:ind w:left="40"/>
              <w:spacing w:after="0"/>
              <w:rPr>
                <w:sz w:val="20"/>
                <w:szCs w:val="20"/>
                <w:color w:val="auto"/>
              </w:rPr>
            </w:pPr>
            <w:r>
              <w:rPr>
                <w:rFonts w:ascii="Arial" w:cs="Arial" w:eastAsia="Arial" w:hAnsi="Arial"/>
                <w:sz w:val="14"/>
                <w:szCs w:val="14"/>
                <w:color w:val="auto"/>
              </w:rPr>
              <w:t>Accrued interest on pledged securities</w:t>
            </w:r>
          </w:p>
        </w:tc>
        <w:tc>
          <w:tcPr>
            <w:tcW w:w="100" w:type="dxa"/>
            <w:vAlign w:val="bottom"/>
          </w:tcPr>
          <w:p>
            <w:pPr>
              <w:spacing w:after="0"/>
              <w:rPr>
                <w:sz w:val="22"/>
                <w:szCs w:val="22"/>
                <w:color w:val="auto"/>
              </w:rPr>
            </w:pP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135</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140</w:t>
            </w:r>
          </w:p>
        </w:tc>
        <w:tc>
          <w:tcPr>
            <w:tcW w:w="0" w:type="dxa"/>
            <w:vAlign w:val="bottom"/>
          </w:tcPr>
          <w:p>
            <w:pPr>
              <w:spacing w:after="0"/>
              <w:rPr>
                <w:sz w:val="1"/>
                <w:szCs w:val="1"/>
                <w:color w:val="auto"/>
              </w:rPr>
            </w:pPr>
          </w:p>
        </w:tc>
      </w:tr>
      <w:tr>
        <w:trPr>
          <w:trHeight w:val="270"/>
        </w:trPr>
        <w:tc>
          <w:tcPr>
            <w:tcW w:w="43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Restricted cash and cash equivalents</w:t>
            </w:r>
          </w:p>
        </w:tc>
        <w:tc>
          <w:tcPr>
            <w:tcW w:w="10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1,226</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1,281</w:t>
            </w:r>
          </w:p>
        </w:tc>
        <w:tc>
          <w:tcPr>
            <w:tcW w:w="0" w:type="dxa"/>
            <w:vAlign w:val="bottom"/>
          </w:tcPr>
          <w:p>
            <w:pPr>
              <w:spacing w:after="0"/>
              <w:rPr>
                <w:sz w:val="1"/>
                <w:szCs w:val="1"/>
                <w:color w:val="auto"/>
              </w:rPr>
            </w:pPr>
          </w:p>
        </w:tc>
      </w:tr>
      <w:tr>
        <w:trPr>
          <w:trHeight w:val="243"/>
        </w:trPr>
        <w:tc>
          <w:tcPr>
            <w:tcW w:w="4360" w:type="dxa"/>
            <w:vAlign w:val="bottom"/>
            <w:gridSpan w:val="2"/>
          </w:tcPr>
          <w:p>
            <w:pPr>
              <w:ind w:left="200"/>
              <w:spacing w:after="0"/>
              <w:rPr>
                <w:sz w:val="20"/>
                <w:szCs w:val="20"/>
                <w:color w:val="auto"/>
              </w:rPr>
            </w:pPr>
            <w:r>
              <w:rPr>
                <w:rFonts w:ascii="Arial" w:cs="Arial" w:eastAsia="Arial" w:hAnsi="Arial"/>
                <w:sz w:val="14"/>
                <w:szCs w:val="14"/>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48,288</w:t>
            </w: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1,032</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1,374</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519</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51,213</w:t>
            </w:r>
          </w:p>
        </w:tc>
        <w:tc>
          <w:tcPr>
            <w:tcW w:w="0" w:type="dxa"/>
            <w:vAlign w:val="bottom"/>
          </w:tcPr>
          <w:p>
            <w:pPr>
              <w:spacing w:after="0"/>
              <w:rPr>
                <w:sz w:val="1"/>
                <w:szCs w:val="1"/>
                <w:color w:val="auto"/>
              </w:rPr>
            </w:pPr>
          </w:p>
        </w:tc>
      </w:tr>
      <w:tr>
        <w:trPr>
          <w:trHeight w:val="20"/>
        </w:trPr>
        <w:tc>
          <w:tcPr>
            <w:tcW w:w="4240" w:type="dxa"/>
            <w:vAlign w:val="bottom"/>
            <w:vMerge w:val="restart"/>
          </w:tcPr>
          <w:p>
            <w:pPr>
              <w:spacing w:after="0"/>
              <w:rPr>
                <w:sz w:val="20"/>
                <w:szCs w:val="20"/>
                <w:color w:val="auto"/>
              </w:rPr>
            </w:pPr>
            <w:r>
              <w:rPr>
                <w:rFonts w:ascii="Arial" w:cs="Arial" w:eastAsia="Arial" w:hAnsi="Arial"/>
                <w:sz w:val="13"/>
                <w:szCs w:val="13"/>
                <w:color w:val="auto"/>
              </w:rPr>
              <w:t>______________________</w:t>
            </w:r>
          </w:p>
        </w:tc>
        <w:tc>
          <w:tcPr>
            <w:tcW w:w="12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4240" w:type="dxa"/>
            <w:vAlign w:val="bottom"/>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ind w:left="340"/>
        <w:spacing w:after="0"/>
        <w:rPr>
          <w:sz w:val="20"/>
          <w:szCs w:val="20"/>
          <w:color w:val="auto"/>
        </w:rPr>
      </w:pPr>
      <w:r>
        <w:rPr>
          <w:rFonts w:ascii="Arial" w:cs="Arial" w:eastAsia="Arial" w:hAnsi="Arial"/>
          <w:sz w:val="14"/>
          <w:szCs w:val="14"/>
          <w:color w:val="auto"/>
        </w:rPr>
        <w:t>1. Includes $245 million of retained interests in our consolidated VIEs pledged as collateral under repurchase agreements.</w:t>
      </w:r>
    </w:p>
    <w:p>
      <w:pPr>
        <w:spacing w:after="0" w:line="15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 of June 30, 2016 and December 31, 2015, we held $126 million and $150 million, respectively, of membership and activity-based stock in the FHLB of Des Moines. FHLB stock is reported at cost, which equals par value, in other assets on our accompanying consolidated balance sheets. FHLB stock can only be redeemed or sold at its par value, and only to the FHLB of Des Moines.</w:t>
      </w:r>
    </w:p>
    <w:p>
      <w:pPr>
        <w:spacing w:after="0" w:line="12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cash and cash equivalents and agency securities pledged as collateral under our derivative agreements are included in restricted cash and cash equivalents and agency securities, at fair value, respectively, on our consolidated balance sheets.</w:t>
      </w:r>
    </w:p>
    <w:p>
      <w:pPr>
        <w:spacing w:after="0" w:line="116"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following table summarizes our securities pledged as collateral under our repurchase agreements and FHLB advances by the remaining maturity of our borrowings, including securities pledged related to sold but not yet settled securities, as of June 30, 2016 and December 31, 2015 (in millions). For the corresponding borrowings associated with the following amounts and the interest rates thereon, refer to Note 5</w:t>
      </w:r>
      <w:r>
        <w:rPr>
          <w:rFonts w:ascii="Arial" w:cs="Arial" w:eastAsia="Arial" w:hAnsi="Arial"/>
          <w:sz w:val="17"/>
          <w:szCs w:val="17"/>
          <w:i w:val="1"/>
          <w:iCs w:val="1"/>
          <w:color w:val="auto"/>
        </w:rPr>
        <w: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746" w:right="2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June 30, 2016</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December 31, 2015</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6"/>
              </w:rPr>
              <w:t>Amortized</w:t>
            </w:r>
          </w:p>
        </w:tc>
        <w:tc>
          <w:tcPr>
            <w:tcW w:w="140" w:type="dxa"/>
            <w:vAlign w:val="bottom"/>
          </w:tcPr>
          <w:p>
            <w:pPr>
              <w:spacing w:after="0"/>
              <w:rPr>
                <w:sz w:val="13"/>
                <w:szCs w:val="13"/>
                <w:color w:val="auto"/>
              </w:rPr>
            </w:pPr>
          </w:p>
        </w:tc>
        <w:tc>
          <w:tcPr>
            <w:tcW w:w="98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2"/>
              </w:rPr>
              <w:t>Accrued</w:t>
            </w: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Amortized</w:t>
            </w:r>
          </w:p>
        </w:tc>
        <w:tc>
          <w:tcPr>
            <w:tcW w:w="140" w:type="dxa"/>
            <w:vAlign w:val="bottom"/>
          </w:tcPr>
          <w:p>
            <w:pPr>
              <w:spacing w:after="0"/>
              <w:rPr>
                <w:sz w:val="13"/>
                <w:szCs w:val="13"/>
                <w:color w:val="auto"/>
              </w:rPr>
            </w:pPr>
          </w:p>
        </w:tc>
        <w:tc>
          <w:tcPr>
            <w:tcW w:w="880" w:type="dxa"/>
            <w:vAlign w:val="bottom"/>
          </w:tcPr>
          <w:p>
            <w:pPr>
              <w:jc w:val="center"/>
              <w:ind w:right="42"/>
              <w:spacing w:after="0" w:line="153" w:lineRule="exact"/>
              <w:rPr>
                <w:sz w:val="20"/>
                <w:szCs w:val="20"/>
                <w:color w:val="auto"/>
              </w:rPr>
            </w:pPr>
            <w:r>
              <w:rPr>
                <w:rFonts w:ascii="Arial" w:cs="Arial" w:eastAsia="Arial" w:hAnsi="Arial"/>
                <w:sz w:val="14"/>
                <w:szCs w:val="14"/>
                <w:b w:val="1"/>
                <w:bCs w:val="1"/>
                <w:color w:val="auto"/>
                <w:w w:val="92"/>
              </w:rPr>
              <w:t>Accrued</w:t>
            </w:r>
          </w:p>
        </w:tc>
        <w:tc>
          <w:tcPr>
            <w:tcW w:w="0" w:type="dxa"/>
            <w:vAlign w:val="bottom"/>
          </w:tcPr>
          <w:p>
            <w:pPr>
              <w:spacing w:after="0"/>
              <w:rPr>
                <w:sz w:val="1"/>
                <w:szCs w:val="1"/>
                <w:color w:val="auto"/>
              </w:rPr>
            </w:pPr>
          </w:p>
        </w:tc>
      </w:tr>
      <w:tr>
        <w:trPr>
          <w:trHeight w:val="149"/>
        </w:trPr>
        <w:tc>
          <w:tcPr>
            <w:tcW w:w="40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Securities Pledged by Remaining Maturity of Repurchase</w:t>
            </w:r>
          </w:p>
        </w:tc>
        <w:tc>
          <w:tcPr>
            <w:tcW w:w="180" w:type="dxa"/>
            <w:vAlign w:val="bottom"/>
          </w:tcPr>
          <w:p>
            <w:pPr>
              <w:spacing w:after="0"/>
              <w:rPr>
                <w:sz w:val="12"/>
                <w:szCs w:val="12"/>
                <w:color w:val="auto"/>
              </w:rPr>
            </w:pPr>
          </w:p>
        </w:tc>
        <w:tc>
          <w:tcPr>
            <w:tcW w:w="12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Fair Value of</w:t>
            </w:r>
          </w:p>
        </w:tc>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Interest on</w:t>
            </w:r>
          </w:p>
        </w:tc>
        <w:tc>
          <w:tcPr>
            <w:tcW w:w="180" w:type="dxa"/>
            <w:vAlign w:val="bottom"/>
          </w:tcPr>
          <w:p>
            <w:pPr>
              <w:spacing w:after="0"/>
              <w:rPr>
                <w:sz w:val="12"/>
                <w:szCs w:val="12"/>
                <w:color w:val="auto"/>
              </w:rPr>
            </w:pPr>
          </w:p>
        </w:tc>
        <w:tc>
          <w:tcPr>
            <w:tcW w:w="1040" w:type="dxa"/>
            <w:vAlign w:val="bottom"/>
            <w:vMerge w:val="restart"/>
          </w:tcPr>
          <w:p>
            <w:pPr>
              <w:jc w:val="right"/>
              <w:ind w:right="120"/>
              <w:spacing w:after="0"/>
              <w:rPr>
                <w:sz w:val="20"/>
                <w:szCs w:val="20"/>
                <w:color w:val="auto"/>
              </w:rPr>
            </w:pPr>
            <w:r>
              <w:rPr>
                <w:rFonts w:ascii="Arial" w:cs="Arial" w:eastAsia="Arial" w:hAnsi="Arial"/>
                <w:sz w:val="14"/>
                <w:szCs w:val="14"/>
                <w:b w:val="1"/>
                <w:bCs w:val="1"/>
                <w:color w:val="auto"/>
                <w:w w:val="97"/>
              </w:rPr>
              <w:t>Fair Value of</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92"/>
              </w:rPr>
              <w:t>Interest on</w:t>
            </w:r>
          </w:p>
        </w:tc>
        <w:tc>
          <w:tcPr>
            <w:tcW w:w="0" w:type="dxa"/>
            <w:vAlign w:val="bottom"/>
          </w:tcPr>
          <w:p>
            <w:pPr>
              <w:spacing w:after="0"/>
              <w:rPr>
                <w:sz w:val="1"/>
                <w:szCs w:val="1"/>
                <w:color w:val="auto"/>
              </w:rPr>
            </w:pPr>
          </w:p>
        </w:tc>
      </w:tr>
      <w:tr>
        <w:trPr>
          <w:trHeight w:val="149"/>
        </w:trPr>
        <w:tc>
          <w:tcPr>
            <w:tcW w:w="40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Cost of Pledged</w:t>
            </w: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Pledged</w:t>
            </w:r>
          </w:p>
        </w:tc>
        <w:tc>
          <w:tcPr>
            <w:tcW w:w="18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Cost of Pledged</w:t>
            </w:r>
          </w:p>
        </w:tc>
        <w:tc>
          <w:tcPr>
            <w:tcW w:w="140" w:type="dxa"/>
            <w:vAlign w:val="bottom"/>
          </w:tcPr>
          <w:p>
            <w:pPr>
              <w:spacing w:after="0"/>
              <w:rPr>
                <w:sz w:val="12"/>
                <w:szCs w:val="12"/>
                <w:color w:val="auto"/>
              </w:rPr>
            </w:pPr>
          </w:p>
        </w:tc>
        <w:tc>
          <w:tcPr>
            <w:tcW w:w="88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91"/>
              </w:rPr>
              <w:t>Pledged</w:t>
            </w:r>
          </w:p>
        </w:tc>
        <w:tc>
          <w:tcPr>
            <w:tcW w:w="0" w:type="dxa"/>
            <w:vAlign w:val="bottom"/>
          </w:tcPr>
          <w:p>
            <w:pPr>
              <w:spacing w:after="0"/>
              <w:rPr>
                <w:sz w:val="1"/>
                <w:szCs w:val="1"/>
                <w:color w:val="auto"/>
              </w:rPr>
            </w:pPr>
          </w:p>
        </w:tc>
      </w:tr>
      <w:tr>
        <w:trPr>
          <w:trHeight w:val="192"/>
        </w:trPr>
        <w:tc>
          <w:tcPr>
            <w:tcW w:w="39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Agreements and FHLB Advances</w:t>
            </w:r>
          </w:p>
        </w:tc>
        <w:tc>
          <w:tcPr>
            <w:tcW w:w="12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Pledged Securities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w w:val="89"/>
              </w:rPr>
              <w:t>Securities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89"/>
              </w:rPr>
              <w:t>Securities</w:t>
            </w:r>
          </w:p>
        </w:tc>
        <w:tc>
          <w:tcPr>
            <w:tcW w:w="1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Pledged Securities</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89"/>
              </w:rPr>
              <w:t>Securities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89"/>
              </w:rPr>
              <w:t>Securities</w:t>
            </w:r>
          </w:p>
        </w:tc>
        <w:tc>
          <w:tcPr>
            <w:tcW w:w="0" w:type="dxa"/>
            <w:vAlign w:val="bottom"/>
          </w:tcPr>
          <w:p>
            <w:pPr>
              <w:spacing w:after="0"/>
              <w:rPr>
                <w:sz w:val="1"/>
                <w:szCs w:val="1"/>
                <w:color w:val="auto"/>
              </w:rPr>
            </w:pPr>
          </w:p>
        </w:tc>
      </w:tr>
      <w:tr>
        <w:trPr>
          <w:trHeight w:val="270"/>
        </w:trPr>
        <w:tc>
          <w:tcPr>
            <w:tcW w:w="40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MBS:</w:t>
            </w:r>
            <w:r>
              <w:rPr>
                <w:rFonts w:ascii="Arial" w:cs="Arial" w:eastAsia="Arial" w:hAnsi="Arial"/>
                <w:sz w:val="21"/>
                <w:szCs w:val="21"/>
                <w:color w:val="auto"/>
                <w:vertAlign w:val="superscript"/>
              </w:rPr>
              <w:t>1</w:t>
            </w: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20" w:type="dxa"/>
            <w:vAlign w:val="bottom"/>
            <w:gridSpan w:val="2"/>
          </w:tcPr>
          <w:p>
            <w:pPr>
              <w:ind w:left="120"/>
              <w:spacing w:after="0"/>
              <w:rPr>
                <w:sz w:val="20"/>
                <w:szCs w:val="20"/>
                <w:color w:val="auto"/>
              </w:rPr>
            </w:pPr>
            <w:r>
              <w:rPr>
                <w:rFonts w:ascii="Arial" w:cs="Arial" w:eastAsia="Arial" w:hAnsi="Arial"/>
                <w:sz w:val="16"/>
                <w:szCs w:val="16"/>
                <w:color w:val="auto"/>
              </w:rPr>
              <w:t>≤ 30 days</w:t>
            </w:r>
          </w:p>
        </w:tc>
        <w:tc>
          <w:tcPr>
            <w:tcW w:w="180" w:type="dxa"/>
            <w:vAlign w:val="bottom"/>
          </w:tcPr>
          <w:p>
            <w:pPr>
              <w:jc w:val="right"/>
              <w:ind w:right="2"/>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19,428</w:t>
            </w:r>
          </w:p>
        </w:tc>
        <w:tc>
          <w:tcPr>
            <w:tcW w:w="120" w:type="dxa"/>
            <w:vAlign w:val="bottom"/>
          </w:tcPr>
          <w:p>
            <w:pPr>
              <w:spacing w:after="0"/>
              <w:rPr>
                <w:sz w:val="20"/>
                <w:szCs w:val="20"/>
                <w:color w:val="auto"/>
              </w:rPr>
            </w:pPr>
          </w:p>
        </w:tc>
        <w:tc>
          <w:tcPr>
            <w:tcW w:w="180" w:type="dxa"/>
            <w:vAlign w:val="bottom"/>
          </w:tcPr>
          <w:p>
            <w:pPr>
              <w:ind w:left="4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18,990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20,053</w:t>
            </w:r>
          </w:p>
        </w:tc>
        <w:tc>
          <w:tcPr>
            <w:tcW w:w="3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20,075</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&gt; 30 and ≤ 60 days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6,114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8,311</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8,340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37"/>
        </w:trPr>
        <w:tc>
          <w:tcPr>
            <w:tcW w:w="4020" w:type="dxa"/>
            <w:vAlign w:val="bottom"/>
            <w:gridSpan w:val="2"/>
          </w:tcPr>
          <w:p>
            <w:pPr>
              <w:ind w:left="120"/>
              <w:spacing w:after="0"/>
              <w:rPr>
                <w:sz w:val="20"/>
                <w:szCs w:val="20"/>
                <w:color w:val="auto"/>
              </w:rPr>
            </w:pPr>
            <w:r>
              <w:rPr>
                <w:rFonts w:ascii="Arial" w:cs="Arial" w:eastAsia="Arial" w:hAnsi="Arial"/>
                <w:sz w:val="16"/>
                <w:szCs w:val="16"/>
                <w:color w:val="auto"/>
              </w:rPr>
              <w:t>&gt; 60 and ≤ 90 days</w:t>
            </w:r>
          </w:p>
        </w:tc>
        <w:tc>
          <w:tcPr>
            <w:tcW w:w="180" w:type="dxa"/>
            <w:vAlign w:val="bottom"/>
          </w:tcPr>
          <w:p>
            <w:pPr>
              <w:spacing w:after="0"/>
              <w:rPr>
                <w:sz w:val="20"/>
                <w:szCs w:val="20"/>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4,491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4,408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7,534</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7,525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&gt; 90 days</w:t>
            </w: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17,629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17,231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12,207</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12,187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17"/>
        </w:trPr>
        <w:tc>
          <w:tcPr>
            <w:tcW w:w="4020" w:type="dxa"/>
            <w:vAlign w:val="bottom"/>
            <w:gridSpan w:val="2"/>
          </w:tcPr>
          <w:p>
            <w:pPr>
              <w:ind w:left="380"/>
              <w:spacing w:after="0"/>
              <w:rPr>
                <w:sz w:val="20"/>
                <w:szCs w:val="20"/>
                <w:color w:val="auto"/>
              </w:rPr>
            </w:pPr>
            <w:r>
              <w:rPr>
                <w:rFonts w:ascii="Arial" w:cs="Arial" w:eastAsia="Arial" w:hAnsi="Arial"/>
                <w:sz w:val="16"/>
                <w:szCs w:val="16"/>
                <w:color w:val="auto"/>
              </w:rPr>
              <w:t>Total MBS</w:t>
            </w: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47,662</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46,629</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132</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48,105</w:t>
            </w:r>
          </w:p>
        </w:tc>
        <w:tc>
          <w:tcPr>
            <w:tcW w:w="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48,127</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33"/>
        </w:trPr>
        <w:tc>
          <w:tcPr>
            <w:tcW w:w="3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U.S. Treasury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20" w:type="dxa"/>
            <w:vAlign w:val="bottom"/>
            <w:gridSpan w:val="2"/>
          </w:tcPr>
          <w:p>
            <w:pPr>
              <w:ind w:left="160"/>
              <w:spacing w:after="0"/>
              <w:rPr>
                <w:sz w:val="20"/>
                <w:szCs w:val="20"/>
                <w:color w:val="auto"/>
              </w:rPr>
            </w:pPr>
            <w:r>
              <w:rPr>
                <w:rFonts w:ascii="Arial" w:cs="Arial" w:eastAsia="Arial" w:hAnsi="Arial"/>
                <w:sz w:val="16"/>
                <w:szCs w:val="16"/>
                <w:color w:val="auto"/>
              </w:rPr>
              <w:t>1 day</w:t>
            </w:r>
          </w:p>
        </w:tc>
        <w:tc>
          <w:tcPr>
            <w:tcW w:w="180" w:type="dxa"/>
            <w:vAlign w:val="bottom"/>
          </w:tcPr>
          <w:p>
            <w:pPr>
              <w:spacing w:after="0"/>
              <w:rPr>
                <w:sz w:val="20"/>
                <w:szCs w:val="20"/>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2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Total</w:t>
            </w: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47,672</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46,639</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132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48,130</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48,152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______________________</w:t>
            </w: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9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7" w:lineRule="exact"/>
        <w:rPr>
          <w:sz w:val="20"/>
          <w:szCs w:val="20"/>
          <w:color w:val="auto"/>
        </w:rPr>
      </w:pPr>
    </w:p>
    <w:p>
      <w:pPr>
        <w:ind w:left="660" w:right="280" w:hanging="328"/>
        <w:spacing w:after="0" w:line="273" w:lineRule="auto"/>
        <w:tabs>
          <w:tab w:leader="none" w:pos="6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Includes $203 million and $245 million of retained interests in our consolidated VIEs pledged as collateral under repurchase agreements, as of June 30, 2016 and December 31, 2015, respectively.</w:t>
      </w:r>
    </w:p>
    <w:p>
      <w:pPr>
        <w:spacing w:after="0" w:line="20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June 30, 2016 and December 31, 2015, none of our borrowings backed by MBS were due on demand or mature overnight.</w:t>
      </w:r>
    </w:p>
    <w:p>
      <w:pPr>
        <w:spacing w:after="0" w:line="171"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table above excludes agency securities transferred to our consolidated VIEs. Securities transferred to our consolidated VIEs can only be used to settle the obligations of each respective VIE. However, we may pledge our retained interests in our consolidated VIEs as collateral under our repurchase agreements and derivative contracts. Please refer to Notes 4 and 5 for additional information regarding our consolidated VIEs.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Pledged from Counterparties</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As of June 30, 2016 and December 31, 2015, we had U.S. Treasury securities pledged to us from counterparties as collateral under our reverse repurchase agreements of $3.0 billion and $1.7 billion, respectively. U.S Treasury securities received as collateral under our reverse repurchase agreements that we use to cover short sales of U.S. Treasury securities are accounted for as securities borrowing transactions. We recognize a corresponding obligation to return the borrowed securities at fair value on the accompanying consolidated balance sheets based on the value of the underlying borrowed securities as of the reporting date.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Offsetting Assets and Liabilities</w:t>
      </w:r>
    </w:p>
    <w:p>
      <w:pPr>
        <w:spacing w:after="0" w:line="171"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Certain of our repurchase agreements and derivative transactions are governed by underlying agreements that generally provide for a right of setoff under master netting arrangements (or similar agreements), including in the event of default or in the event of bankruptcy of either party to the transactions. We present our assets and liabilities subject to such arrangements on a gross basis in our consolidated balance sheets.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968" w:right="239" w:bottom="1440" w:gutter="0" w:footer="0" w:header="0"/>
        </w:sectPr>
      </w:pPr>
    </w:p>
    <w:bookmarkStart w:id="23" w:name="page24"/>
    <w:bookmarkEnd w:id="23"/>
    <w:p>
      <w:pPr>
        <w:ind w:firstLine="432"/>
        <w:spacing w:after="0" w:line="277" w:lineRule="auto"/>
        <w:rPr>
          <w:sz w:val="20"/>
          <w:szCs w:val="20"/>
          <w:color w:val="auto"/>
        </w:rPr>
      </w:pPr>
      <w:r>
        <w:rPr>
          <w:rFonts w:ascii="Arial" w:cs="Arial" w:eastAsia="Arial" w:hAnsi="Arial"/>
          <w:sz w:val="18"/>
          <w:szCs w:val="18"/>
          <w:color w:val="auto"/>
        </w:rPr>
        <w:t>The following tables present information about our assets and liabilities that are subject to such arrangements and can potentially be offset on our consolidated balance sheets as of June 30, 2016 and December 31, 2015 (in millions):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11"/>
          </w:tcPr>
          <w:p>
            <w:pPr>
              <w:jc w:val="right"/>
              <w:ind w:right="28"/>
              <w:spacing w:after="0"/>
              <w:rPr>
                <w:sz w:val="20"/>
                <w:szCs w:val="20"/>
                <w:color w:val="auto"/>
              </w:rPr>
            </w:pPr>
            <w:r>
              <w:rPr>
                <w:rFonts w:ascii="Arial" w:cs="Arial" w:eastAsia="Arial" w:hAnsi="Arial"/>
                <w:sz w:val="14"/>
                <w:szCs w:val="14"/>
                <w:b w:val="1"/>
                <w:bCs w:val="1"/>
                <w:color w:val="auto"/>
                <w:w w:val="92"/>
              </w:rPr>
              <w:t>Offsetting of Financial and Derivative Assets</w:t>
            </w: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2"/>
              </w:rPr>
              <w:t>Net Amounts of</w:t>
            </w:r>
          </w:p>
        </w:tc>
        <w:tc>
          <w:tcPr>
            <w:tcW w:w="140" w:type="dxa"/>
            <w:vAlign w:val="bottom"/>
          </w:tcPr>
          <w:p>
            <w:pPr>
              <w:spacing w:after="0"/>
              <w:rPr>
                <w:sz w:val="13"/>
                <w:szCs w:val="13"/>
                <w:color w:val="auto"/>
              </w:rPr>
            </w:pPr>
          </w:p>
        </w:tc>
        <w:tc>
          <w:tcPr>
            <w:tcW w:w="2320" w:type="dxa"/>
            <w:vAlign w:val="bottom"/>
            <w:gridSpan w:val="5"/>
          </w:tcPr>
          <w:p>
            <w:pPr>
              <w:jc w:val="center"/>
              <w:ind w:right="220"/>
              <w:spacing w:after="0" w:line="153" w:lineRule="exact"/>
              <w:rPr>
                <w:sz w:val="20"/>
                <w:szCs w:val="20"/>
                <w:color w:val="auto"/>
              </w:rPr>
            </w:pPr>
            <w:r>
              <w:rPr>
                <w:rFonts w:ascii="Arial" w:cs="Arial" w:eastAsia="Arial" w:hAnsi="Arial"/>
                <w:sz w:val="14"/>
                <w:szCs w:val="14"/>
                <w:b w:val="1"/>
                <w:bCs w:val="1"/>
                <w:color w:val="auto"/>
                <w:w w:val="91"/>
              </w:rPr>
              <w:t>Gross Amounts Not Offset</w:t>
            </w: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3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1280" w:type="dxa"/>
            <w:vAlign w:val="bottom"/>
            <w:gridSpan w:val="3"/>
            <w:vMerge w:val="restart"/>
          </w:tcPr>
          <w:p>
            <w:pPr>
              <w:jc w:val="center"/>
              <w:ind w:left="788"/>
              <w:spacing w:after="0" w:line="149" w:lineRule="exact"/>
              <w:rPr>
                <w:sz w:val="20"/>
                <w:szCs w:val="20"/>
                <w:color w:val="auto"/>
              </w:rPr>
            </w:pPr>
            <w:r>
              <w:rPr>
                <w:rFonts w:ascii="Arial" w:cs="Arial" w:eastAsia="Arial" w:hAnsi="Arial"/>
                <w:sz w:val="14"/>
                <w:szCs w:val="14"/>
                <w:b w:val="1"/>
                <w:bCs w:val="1"/>
                <w:color w:val="auto"/>
                <w:w w:val="90"/>
              </w:rPr>
              <w:t>in the</w:t>
            </w: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3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1"/>
              </w:rPr>
              <w:t>Gross Amounts</w:t>
            </w: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gridSpan w:val="3"/>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Assets Presented</w:t>
            </w:r>
          </w:p>
        </w:tc>
        <w:tc>
          <w:tcPr>
            <w:tcW w:w="140" w:type="dxa"/>
            <w:vAlign w:val="bottom"/>
          </w:tcPr>
          <w:p>
            <w:pPr>
              <w:spacing w:after="0"/>
              <w:rPr>
                <w:sz w:val="7"/>
                <w:szCs w:val="7"/>
                <w:color w:val="auto"/>
              </w:rPr>
            </w:pPr>
          </w:p>
        </w:tc>
        <w:tc>
          <w:tcPr>
            <w:tcW w:w="1280" w:type="dxa"/>
            <w:vAlign w:val="bottom"/>
            <w:gridSpan w:val="3"/>
            <w:vMerge w:val="continue"/>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3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2220" w:type="dxa"/>
            <w:vAlign w:val="bottom"/>
            <w:gridSpan w:val="4"/>
            <w:vMerge w:val="restart"/>
          </w:tcPr>
          <w:p>
            <w:pPr>
              <w:jc w:val="center"/>
              <w:ind w:right="48"/>
              <w:spacing w:after="0"/>
              <w:rPr>
                <w:sz w:val="20"/>
                <w:szCs w:val="20"/>
                <w:color w:val="auto"/>
              </w:rPr>
            </w:pPr>
            <w:r>
              <w:rPr>
                <w:rFonts w:ascii="Arial" w:cs="Arial" w:eastAsia="Arial" w:hAnsi="Arial"/>
                <w:sz w:val="14"/>
                <w:szCs w:val="14"/>
                <w:b w:val="1"/>
                <w:bCs w:val="1"/>
                <w:color w:val="auto"/>
                <w:w w:val="88"/>
              </w:rPr>
              <w:t>Consolidated Balance Sheets</w:t>
            </w:r>
          </w:p>
        </w:tc>
        <w:tc>
          <w:tcPr>
            <w:tcW w:w="10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3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3"/>
          </w:tcPr>
          <w:p>
            <w:pPr>
              <w:jc w:val="center"/>
              <w:spacing w:after="0" w:line="125" w:lineRule="exact"/>
              <w:rPr>
                <w:sz w:val="20"/>
                <w:szCs w:val="20"/>
                <w:color w:val="auto"/>
              </w:rPr>
            </w:pPr>
            <w:r>
              <w:rPr>
                <w:rFonts w:ascii="Arial" w:cs="Arial" w:eastAsia="Arial" w:hAnsi="Arial"/>
                <w:sz w:val="14"/>
                <w:szCs w:val="14"/>
                <w:b w:val="1"/>
                <w:bCs w:val="1"/>
                <w:color w:val="auto"/>
                <w:w w:val="91"/>
              </w:rPr>
              <w:t>Gross Amounts</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92"/>
              </w:rPr>
              <w:t>Offset in the</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2"/>
          </w:tcPr>
          <w:p>
            <w:pPr>
              <w:jc w:val="center"/>
              <w:ind w:right="220"/>
              <w:spacing w:after="0" w:line="125" w:lineRule="exact"/>
              <w:rPr>
                <w:sz w:val="20"/>
                <w:szCs w:val="20"/>
                <w:color w:val="auto"/>
              </w:rPr>
            </w:pPr>
            <w:r>
              <w:rPr>
                <w:rFonts w:ascii="Arial" w:cs="Arial" w:eastAsia="Arial" w:hAnsi="Arial"/>
                <w:sz w:val="14"/>
                <w:szCs w:val="14"/>
                <w:b w:val="1"/>
                <w:bCs w:val="1"/>
                <w:color w:val="auto"/>
                <w:w w:val="96"/>
              </w:rPr>
              <w:t>in the</w:t>
            </w:r>
          </w:p>
        </w:tc>
        <w:tc>
          <w:tcPr>
            <w:tcW w:w="14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gridSpan w:val="4"/>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3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89"/>
              </w:rPr>
              <w:t>of Recognized</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Consolidated</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0"/>
              </w:rPr>
              <w:t>Consolidated</w:t>
            </w:r>
          </w:p>
        </w:tc>
        <w:tc>
          <w:tcPr>
            <w:tcW w:w="140" w:type="dxa"/>
            <w:vAlign w:val="bottom"/>
          </w:tcPr>
          <w:p>
            <w:pPr>
              <w:spacing w:after="0"/>
              <w:rPr>
                <w:sz w:val="13"/>
                <w:szCs w:val="13"/>
                <w:color w:val="auto"/>
              </w:rPr>
            </w:pPr>
          </w:p>
        </w:tc>
        <w:tc>
          <w:tcPr>
            <w:tcW w:w="11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2"/>
              </w:rPr>
              <w:t>Financial</w:t>
            </w:r>
          </w:p>
        </w:tc>
        <w:tc>
          <w:tcPr>
            <w:tcW w:w="180" w:type="dxa"/>
            <w:vAlign w:val="bottom"/>
          </w:tcPr>
          <w:p>
            <w:pPr>
              <w:spacing w:after="0"/>
              <w:rPr>
                <w:sz w:val="13"/>
                <w:szCs w:val="13"/>
                <w:color w:val="auto"/>
              </w:rPr>
            </w:pPr>
          </w:p>
        </w:tc>
        <w:tc>
          <w:tcPr>
            <w:tcW w:w="10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7"/>
              </w:rPr>
              <w:t>Collateral</w:t>
            </w:r>
          </w:p>
        </w:tc>
        <w:tc>
          <w:tcPr>
            <w:tcW w:w="140" w:type="dxa"/>
            <w:vAlign w:val="bottom"/>
          </w:tcPr>
          <w:p>
            <w:pPr>
              <w:spacing w:after="0"/>
              <w:rPr>
                <w:sz w:val="13"/>
                <w:szCs w:val="13"/>
                <w:color w:val="auto"/>
              </w:rPr>
            </w:pPr>
          </w:p>
        </w:tc>
        <w:tc>
          <w:tcPr>
            <w:tcW w:w="9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92"/>
        </w:trPr>
        <w:tc>
          <w:tcPr>
            <w:tcW w:w="3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2"/>
              </w:rPr>
              <w:t>Assets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8"/>
              </w:rPr>
              <w:t>Balance Sheets</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Balance Sheets</w:t>
            </w:r>
          </w:p>
        </w:tc>
        <w:tc>
          <w:tcPr>
            <w:tcW w:w="140" w:type="dxa"/>
            <w:vAlign w:val="bottom"/>
          </w:tcPr>
          <w:p>
            <w:pPr>
              <w:spacing w:after="0"/>
              <w:rPr>
                <w:sz w:val="16"/>
                <w:szCs w:val="16"/>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Instruments</w:t>
            </w:r>
          </w:p>
        </w:tc>
        <w:tc>
          <w:tcPr>
            <w:tcW w:w="180" w:type="dxa"/>
            <w:vAlign w:val="bottom"/>
          </w:tcPr>
          <w:p>
            <w:pPr>
              <w:spacing w:after="0"/>
              <w:rPr>
                <w:sz w:val="16"/>
                <w:szCs w:val="16"/>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 xml:space="preserve">Received </w:t>
            </w:r>
            <w:r>
              <w:rPr>
                <w:rFonts w:ascii="Arial" w:cs="Arial" w:eastAsia="Arial" w:hAnsi="Arial"/>
                <w:sz w:val="8"/>
                <w:szCs w:val="8"/>
                <w:b w:val="1"/>
                <w:bCs w:val="1"/>
                <w:color w:val="auto"/>
                <w:w w:val="88"/>
              </w:rPr>
              <w:t>2</w:t>
            </w:r>
          </w:p>
        </w:tc>
        <w:tc>
          <w:tcPr>
            <w:tcW w:w="1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000" w:type="dxa"/>
            <w:vAlign w:val="bottom"/>
            <w:tcBorders>
              <w:top w:val="single" w:sz="8" w:color="auto"/>
            </w:tcBorders>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June 30, 2016</w:t>
            </w:r>
          </w:p>
        </w:tc>
        <w:tc>
          <w:tcPr>
            <w:tcW w:w="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80" w:type="dxa"/>
            <w:vAlign w:val="bottom"/>
            <w:tcBorders>
              <w:top w:val="single" w:sz="8" w:color="auto"/>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10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000" w:type="dxa"/>
            <w:vAlign w:val="bottom"/>
            <w:gridSpan w:val="2"/>
          </w:tcPr>
          <w:p>
            <w:pPr>
              <w:ind w:left="180"/>
              <w:spacing w:after="0"/>
              <w:rPr>
                <w:sz w:val="20"/>
                <w:szCs w:val="20"/>
                <w:color w:val="auto"/>
              </w:rPr>
            </w:pPr>
            <w:r>
              <w:rPr>
                <w:rFonts w:ascii="Arial" w:cs="Arial" w:eastAsia="Arial" w:hAnsi="Arial"/>
                <w:sz w:val="14"/>
                <w:szCs w:val="14"/>
                <w:color w:val="auto"/>
              </w:rPr>
              <w:t xml:space="preserve">Interest rate swap and swaption agreements, at fair value </w:t>
            </w:r>
            <w:r>
              <w:rPr>
                <w:rFonts w:ascii="Arial" w:cs="Arial" w:eastAsia="Arial" w:hAnsi="Arial"/>
                <w:sz w:val="8"/>
                <w:szCs w:val="8"/>
                <w:color w:val="auto"/>
              </w:rPr>
              <w:t>1</w:t>
            </w:r>
          </w:p>
        </w:tc>
        <w:tc>
          <w:tcPr>
            <w:tcW w:w="2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ind w:left="800"/>
              <w:spacing w:after="0"/>
              <w:rPr>
                <w:sz w:val="20"/>
                <w:szCs w:val="20"/>
                <w:color w:val="auto"/>
              </w:rPr>
            </w:pPr>
            <w:r>
              <w:rPr>
                <w:rFonts w:ascii="Arial" w:cs="Arial" w:eastAsia="Arial" w:hAnsi="Arial"/>
                <w:sz w:val="14"/>
                <w:szCs w:val="14"/>
                <w:color w:val="auto"/>
              </w:rPr>
              <w:t>—</w:t>
            </w:r>
          </w:p>
        </w:tc>
        <w:tc>
          <w:tcPr>
            <w:tcW w:w="320" w:type="dxa"/>
            <w:vAlign w:val="bottom"/>
            <w:gridSpan w:val="5"/>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2"/>
                <w:szCs w:val="22"/>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ind w:left="7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40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Receivable under reverse repurchase agreements</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2,982</w:t>
            </w:r>
          </w:p>
        </w:tc>
        <w:tc>
          <w:tcPr>
            <w:tcW w:w="100" w:type="dxa"/>
            <w:vAlign w:val="bottom"/>
            <w:tcBorders>
              <w:bottom w:val="single" w:sz="8" w:color="auto"/>
            </w:tcBorders>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2,982</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(2,576)</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(406)</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3"/>
        </w:trPr>
        <w:tc>
          <w:tcPr>
            <w:tcW w:w="4000" w:type="dxa"/>
            <w:vAlign w:val="bottom"/>
            <w:gridSpan w:val="2"/>
          </w:tcPr>
          <w:p>
            <w:pPr>
              <w:ind w:left="280"/>
              <w:spacing w:after="0"/>
              <w:rPr>
                <w:sz w:val="20"/>
                <w:szCs w:val="20"/>
                <w:color w:val="auto"/>
              </w:rPr>
            </w:pPr>
            <w:r>
              <w:rPr>
                <w:rFonts w:ascii="Arial" w:cs="Arial" w:eastAsia="Arial" w:hAnsi="Arial"/>
                <w:sz w:val="14"/>
                <w:szCs w:val="14"/>
                <w:color w:val="auto"/>
              </w:rPr>
              <w:t>Total</w:t>
            </w:r>
          </w:p>
        </w:tc>
        <w:tc>
          <w:tcPr>
            <w:tcW w:w="2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2,990</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ind w:left="800"/>
              <w:spacing w:after="0"/>
              <w:rPr>
                <w:sz w:val="20"/>
                <w:szCs w:val="20"/>
                <w:color w:val="auto"/>
              </w:rPr>
            </w:pPr>
            <w:r>
              <w:rPr>
                <w:rFonts w:ascii="Arial" w:cs="Arial" w:eastAsia="Arial" w:hAnsi="Arial"/>
                <w:sz w:val="14"/>
                <w:szCs w:val="14"/>
                <w:color w:val="auto"/>
              </w:rPr>
              <w:t>—</w:t>
            </w:r>
          </w:p>
        </w:tc>
        <w:tc>
          <w:tcPr>
            <w:tcW w:w="320" w:type="dxa"/>
            <w:vAlign w:val="bottom"/>
            <w:gridSpan w:val="5"/>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2,990</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(2,584)</w:t>
            </w:r>
          </w:p>
        </w:tc>
        <w:tc>
          <w:tcPr>
            <w:tcW w:w="120" w:type="dxa"/>
            <w:vAlign w:val="bottom"/>
          </w:tcPr>
          <w:p>
            <w:pPr>
              <w:spacing w:after="0"/>
              <w:rPr>
                <w:sz w:val="24"/>
                <w:szCs w:val="24"/>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(406)</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ind w:left="7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39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8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spacing w:after="0"/>
              <w:rPr>
                <w:sz w:val="22"/>
                <w:szCs w:val="22"/>
                <w:color w:val="auto"/>
              </w:rPr>
            </w:pPr>
          </w:p>
        </w:tc>
        <w:tc>
          <w:tcPr>
            <w:tcW w:w="80" w:type="dxa"/>
            <w:vAlign w:val="bottom"/>
            <w:tcBorders>
              <w:top w:val="single" w:sz="8" w:color="auto"/>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00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2015</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0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 xml:space="preserve">Interest rate swap and swaption agreements, at fair value </w:t>
            </w:r>
            <w:r>
              <w:rPr>
                <w:rFonts w:ascii="Arial" w:cs="Arial" w:eastAsia="Arial" w:hAnsi="Arial"/>
                <w:sz w:val="8"/>
                <w:szCs w:val="8"/>
                <w:color w:val="auto"/>
              </w:rPr>
              <w:t>1</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320" w:type="dxa"/>
            <w:vAlign w:val="bottom"/>
            <w:gridSpan w:val="5"/>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ind w:left="720"/>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264"/>
        </w:trPr>
        <w:tc>
          <w:tcPr>
            <w:tcW w:w="400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Receivable under reverse repurchase agreements</w:t>
            </w: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1,713</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ind w:left="80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1,713</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(1,356)</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(357)</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ind w:left="7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40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4"/>
                <w:szCs w:val="14"/>
                <w:color w:val="auto"/>
              </w:rPr>
              <w:t>Total</w:t>
            </w:r>
          </w:p>
        </w:tc>
        <w:tc>
          <w:tcPr>
            <w:tcW w:w="120" w:type="dxa"/>
            <w:vAlign w:val="bottom"/>
            <w:tcBorders>
              <w:bottom w:val="single" w:sz="8" w:color="CCEEFF"/>
            </w:tcBorders>
            <w:gridSpan w:val="2"/>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1,761</w:t>
            </w:r>
          </w:p>
        </w:tc>
        <w:tc>
          <w:tcPr>
            <w:tcW w:w="10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spacing w:after="0"/>
              <w:rPr>
                <w:sz w:val="21"/>
                <w:szCs w:val="21"/>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1,761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8"/>
        </w:trPr>
        <w:tc>
          <w:tcPr>
            <w:tcW w:w="3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gridSpan w:val="12"/>
          </w:tcPr>
          <w:p>
            <w:pPr>
              <w:ind w:left="840"/>
              <w:spacing w:after="0"/>
              <w:rPr>
                <w:sz w:val="20"/>
                <w:szCs w:val="20"/>
                <w:color w:val="auto"/>
              </w:rPr>
            </w:pPr>
            <w:r>
              <w:rPr>
                <w:rFonts w:ascii="Arial" w:cs="Arial" w:eastAsia="Arial" w:hAnsi="Arial"/>
                <w:sz w:val="14"/>
                <w:szCs w:val="14"/>
                <w:b w:val="1"/>
                <w:bCs w:val="1"/>
                <w:color w:val="auto"/>
                <w:w w:val="94"/>
              </w:rPr>
              <w:t>Offsetting of Financial and Derivative Liabilities</w:t>
            </w: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2"/>
              </w:rPr>
              <w:t>Net Amounts of</w:t>
            </w:r>
          </w:p>
        </w:tc>
        <w:tc>
          <w:tcPr>
            <w:tcW w:w="140" w:type="dxa"/>
            <w:vAlign w:val="bottom"/>
          </w:tcPr>
          <w:p>
            <w:pPr>
              <w:spacing w:after="0"/>
              <w:rPr>
                <w:sz w:val="13"/>
                <w:szCs w:val="13"/>
                <w:color w:val="auto"/>
              </w:rPr>
            </w:pPr>
          </w:p>
        </w:tc>
        <w:tc>
          <w:tcPr>
            <w:tcW w:w="2320" w:type="dxa"/>
            <w:vAlign w:val="bottom"/>
            <w:gridSpan w:val="5"/>
          </w:tcPr>
          <w:p>
            <w:pPr>
              <w:jc w:val="center"/>
              <w:ind w:right="220"/>
              <w:spacing w:after="0" w:line="153" w:lineRule="exact"/>
              <w:rPr>
                <w:sz w:val="20"/>
                <w:szCs w:val="20"/>
                <w:color w:val="auto"/>
              </w:rPr>
            </w:pPr>
            <w:r>
              <w:rPr>
                <w:rFonts w:ascii="Arial" w:cs="Arial" w:eastAsia="Arial" w:hAnsi="Arial"/>
                <w:sz w:val="14"/>
                <w:szCs w:val="14"/>
                <w:b w:val="1"/>
                <w:bCs w:val="1"/>
                <w:color w:val="auto"/>
                <w:w w:val="91"/>
              </w:rPr>
              <w:t>Gross Amounts Not Offset</w:t>
            </w: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3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1280" w:type="dxa"/>
            <w:vAlign w:val="bottom"/>
            <w:gridSpan w:val="3"/>
            <w:vMerge w:val="restart"/>
          </w:tcPr>
          <w:p>
            <w:pPr>
              <w:jc w:val="center"/>
              <w:ind w:left="788"/>
              <w:spacing w:after="0" w:line="149" w:lineRule="exact"/>
              <w:rPr>
                <w:sz w:val="20"/>
                <w:szCs w:val="20"/>
                <w:color w:val="auto"/>
              </w:rPr>
            </w:pPr>
            <w:r>
              <w:rPr>
                <w:rFonts w:ascii="Arial" w:cs="Arial" w:eastAsia="Arial" w:hAnsi="Arial"/>
                <w:sz w:val="14"/>
                <w:szCs w:val="14"/>
                <w:b w:val="1"/>
                <w:bCs w:val="1"/>
                <w:color w:val="auto"/>
                <w:w w:val="90"/>
              </w:rPr>
              <w:t>in the</w:t>
            </w: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3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b w:val="1"/>
                <w:bCs w:val="1"/>
                <w:color w:val="auto"/>
                <w:w w:val="91"/>
              </w:rPr>
              <w:t>Gross Amounts</w:t>
            </w: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Liabilities</w:t>
            </w:r>
          </w:p>
        </w:tc>
        <w:tc>
          <w:tcPr>
            <w:tcW w:w="140" w:type="dxa"/>
            <w:vAlign w:val="bottom"/>
          </w:tcPr>
          <w:p>
            <w:pPr>
              <w:spacing w:after="0"/>
              <w:rPr>
                <w:sz w:val="7"/>
                <w:szCs w:val="7"/>
                <w:color w:val="auto"/>
              </w:rPr>
            </w:pPr>
          </w:p>
        </w:tc>
        <w:tc>
          <w:tcPr>
            <w:tcW w:w="1280" w:type="dxa"/>
            <w:vAlign w:val="bottom"/>
            <w:gridSpan w:val="3"/>
            <w:vMerge w:val="continue"/>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3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2220" w:type="dxa"/>
            <w:vAlign w:val="bottom"/>
            <w:gridSpan w:val="4"/>
            <w:vMerge w:val="restart"/>
          </w:tcPr>
          <w:p>
            <w:pPr>
              <w:jc w:val="center"/>
              <w:ind w:right="48"/>
              <w:spacing w:after="0"/>
              <w:rPr>
                <w:sz w:val="20"/>
                <w:szCs w:val="20"/>
                <w:color w:val="auto"/>
              </w:rPr>
            </w:pPr>
            <w:r>
              <w:rPr>
                <w:rFonts w:ascii="Arial" w:cs="Arial" w:eastAsia="Arial" w:hAnsi="Arial"/>
                <w:sz w:val="14"/>
                <w:szCs w:val="14"/>
                <w:b w:val="1"/>
                <w:bCs w:val="1"/>
                <w:color w:val="auto"/>
                <w:w w:val="88"/>
              </w:rPr>
              <w:t>Consolidated Balance Sheets</w:t>
            </w:r>
          </w:p>
        </w:tc>
        <w:tc>
          <w:tcPr>
            <w:tcW w:w="10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3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gridSpan w:val="4"/>
          </w:tcPr>
          <w:p>
            <w:pPr>
              <w:jc w:val="center"/>
              <w:ind w:right="120"/>
              <w:spacing w:after="0" w:line="125" w:lineRule="exact"/>
              <w:rPr>
                <w:sz w:val="20"/>
                <w:szCs w:val="20"/>
                <w:color w:val="auto"/>
              </w:rPr>
            </w:pPr>
            <w:r>
              <w:rPr>
                <w:rFonts w:ascii="Arial" w:cs="Arial" w:eastAsia="Arial" w:hAnsi="Arial"/>
                <w:sz w:val="14"/>
                <w:szCs w:val="14"/>
                <w:b w:val="1"/>
                <w:bCs w:val="1"/>
                <w:color w:val="auto"/>
                <w:w w:val="91"/>
              </w:rPr>
              <w:t>Gross Amounts</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jc w:val="center"/>
              <w:ind w:right="28"/>
              <w:spacing w:after="0" w:line="125" w:lineRule="exact"/>
              <w:rPr>
                <w:sz w:val="20"/>
                <w:szCs w:val="20"/>
                <w:color w:val="auto"/>
              </w:rPr>
            </w:pPr>
            <w:r>
              <w:rPr>
                <w:rFonts w:ascii="Arial" w:cs="Arial" w:eastAsia="Arial" w:hAnsi="Arial"/>
                <w:sz w:val="14"/>
                <w:szCs w:val="14"/>
                <w:b w:val="1"/>
                <w:bCs w:val="1"/>
                <w:color w:val="auto"/>
                <w:w w:val="92"/>
              </w:rPr>
              <w:t>Offset in the</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40" w:type="dxa"/>
            <w:vAlign w:val="bottom"/>
            <w:gridSpan w:val="3"/>
          </w:tcPr>
          <w:p>
            <w:pPr>
              <w:jc w:val="center"/>
              <w:ind w:right="100"/>
              <w:spacing w:after="0" w:line="125" w:lineRule="exact"/>
              <w:rPr>
                <w:sz w:val="20"/>
                <w:szCs w:val="20"/>
                <w:color w:val="auto"/>
              </w:rPr>
            </w:pPr>
            <w:r>
              <w:rPr>
                <w:rFonts w:ascii="Arial" w:cs="Arial" w:eastAsia="Arial" w:hAnsi="Arial"/>
                <w:sz w:val="14"/>
                <w:szCs w:val="14"/>
                <w:b w:val="1"/>
                <w:bCs w:val="1"/>
                <w:color w:val="auto"/>
                <w:w w:val="89"/>
              </w:rPr>
              <w:t>Presented in the</w:t>
            </w:r>
          </w:p>
        </w:tc>
        <w:tc>
          <w:tcPr>
            <w:tcW w:w="14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gridSpan w:val="4"/>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3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gridSpan w:val="4"/>
          </w:tcPr>
          <w:p>
            <w:pPr>
              <w:jc w:val="center"/>
              <w:ind w:right="100"/>
              <w:spacing w:after="0" w:line="153" w:lineRule="exact"/>
              <w:rPr>
                <w:sz w:val="20"/>
                <w:szCs w:val="20"/>
                <w:color w:val="auto"/>
              </w:rPr>
            </w:pPr>
            <w:r>
              <w:rPr>
                <w:rFonts w:ascii="Arial" w:cs="Arial" w:eastAsia="Arial" w:hAnsi="Arial"/>
                <w:sz w:val="14"/>
                <w:szCs w:val="14"/>
                <w:b w:val="1"/>
                <w:bCs w:val="1"/>
                <w:color w:val="auto"/>
                <w:w w:val="89"/>
              </w:rPr>
              <w:t>of Recognized</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center"/>
              <w:ind w:right="28"/>
              <w:spacing w:after="0" w:line="153" w:lineRule="exact"/>
              <w:rPr>
                <w:sz w:val="20"/>
                <w:szCs w:val="20"/>
                <w:color w:val="auto"/>
              </w:rPr>
            </w:pPr>
            <w:r>
              <w:rPr>
                <w:rFonts w:ascii="Arial" w:cs="Arial" w:eastAsia="Arial" w:hAnsi="Arial"/>
                <w:sz w:val="14"/>
                <w:szCs w:val="14"/>
                <w:b w:val="1"/>
                <w:bCs w:val="1"/>
                <w:color w:val="auto"/>
                <w:w w:val="90"/>
              </w:rPr>
              <w:t>Consolidated</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0"/>
              </w:rPr>
              <w:t>Consolidated</w:t>
            </w:r>
          </w:p>
        </w:tc>
        <w:tc>
          <w:tcPr>
            <w:tcW w:w="140" w:type="dxa"/>
            <w:vAlign w:val="bottom"/>
          </w:tcPr>
          <w:p>
            <w:pPr>
              <w:spacing w:after="0"/>
              <w:rPr>
                <w:sz w:val="13"/>
                <w:szCs w:val="13"/>
                <w:color w:val="auto"/>
              </w:rPr>
            </w:pPr>
          </w:p>
        </w:tc>
        <w:tc>
          <w:tcPr>
            <w:tcW w:w="11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2"/>
              </w:rPr>
              <w:t>Financial</w:t>
            </w:r>
          </w:p>
        </w:tc>
        <w:tc>
          <w:tcPr>
            <w:tcW w:w="180" w:type="dxa"/>
            <w:vAlign w:val="bottom"/>
          </w:tcPr>
          <w:p>
            <w:pPr>
              <w:spacing w:after="0"/>
              <w:rPr>
                <w:sz w:val="13"/>
                <w:szCs w:val="13"/>
                <w:color w:val="auto"/>
              </w:rPr>
            </w:pPr>
          </w:p>
        </w:tc>
        <w:tc>
          <w:tcPr>
            <w:tcW w:w="10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7"/>
              </w:rPr>
              <w:t>Collateral</w:t>
            </w:r>
          </w:p>
        </w:tc>
        <w:tc>
          <w:tcPr>
            <w:tcW w:w="140" w:type="dxa"/>
            <w:vAlign w:val="bottom"/>
          </w:tcPr>
          <w:p>
            <w:pPr>
              <w:spacing w:after="0"/>
              <w:rPr>
                <w:sz w:val="13"/>
                <w:szCs w:val="13"/>
                <w:color w:val="auto"/>
              </w:rPr>
            </w:pPr>
          </w:p>
        </w:tc>
        <w:tc>
          <w:tcPr>
            <w:tcW w:w="9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92"/>
        </w:trPr>
        <w:tc>
          <w:tcPr>
            <w:tcW w:w="39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95"/>
              </w:rPr>
              <w:t>Liabilities</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Balance Sheets</w:t>
            </w: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88"/>
              </w:rPr>
              <w:t>Balance Sheets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4"/>
              </w:rPr>
              <w:t>Instruments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92"/>
              </w:rPr>
              <w:t xml:space="preserve">Pledged </w:t>
            </w:r>
            <w:r>
              <w:rPr>
                <w:rFonts w:ascii="Arial" w:cs="Arial" w:eastAsia="Arial" w:hAnsi="Arial"/>
                <w:sz w:val="8"/>
                <w:szCs w:val="8"/>
                <w:b w:val="1"/>
                <w:bCs w:val="1"/>
                <w:color w:val="auto"/>
                <w:w w:val="92"/>
              </w:rPr>
              <w:t>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00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June 30, 2016</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000" w:type="dxa"/>
            <w:vAlign w:val="bottom"/>
            <w:gridSpan w:val="2"/>
          </w:tcPr>
          <w:p>
            <w:pPr>
              <w:ind w:left="180"/>
              <w:spacing w:after="0"/>
              <w:rPr>
                <w:sz w:val="20"/>
                <w:szCs w:val="20"/>
                <w:color w:val="auto"/>
              </w:rPr>
            </w:pPr>
            <w:r>
              <w:rPr>
                <w:rFonts w:ascii="Arial" w:cs="Arial" w:eastAsia="Arial" w:hAnsi="Arial"/>
                <w:sz w:val="14"/>
                <w:szCs w:val="14"/>
                <w:color w:val="auto"/>
              </w:rPr>
              <w:t xml:space="preserve">Interest rate swap agreements, at fair value </w:t>
            </w:r>
            <w:r>
              <w:rPr>
                <w:rFonts w:ascii="Arial" w:cs="Arial" w:eastAsia="Arial" w:hAnsi="Arial"/>
                <w:sz w:val="8"/>
                <w:szCs w:val="8"/>
                <w:color w:val="auto"/>
              </w:rPr>
              <w:t>1</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1,455</w:t>
            </w:r>
          </w:p>
        </w:tc>
        <w:tc>
          <w:tcPr>
            <w:tcW w:w="100" w:type="dxa"/>
            <w:vAlign w:val="bottom"/>
          </w:tcPr>
          <w:p>
            <w:pPr>
              <w:spacing w:after="0"/>
              <w:rPr>
                <w:sz w:val="22"/>
                <w:szCs w:val="22"/>
                <w:color w:val="auto"/>
              </w:rPr>
            </w:pP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80" w:type="dxa"/>
            <w:vAlign w:val="bottom"/>
          </w:tcPr>
          <w:p>
            <w:pPr>
              <w:ind w:left="820"/>
              <w:spacing w:after="0"/>
              <w:rPr>
                <w:sz w:val="20"/>
                <w:szCs w:val="20"/>
                <w:color w:val="auto"/>
              </w:rPr>
            </w:pPr>
            <w:r>
              <w:rPr>
                <w:rFonts w:ascii="Arial" w:cs="Arial" w:eastAsia="Arial" w:hAnsi="Arial"/>
                <w:sz w:val="14"/>
                <w:szCs w:val="14"/>
                <w:color w:val="auto"/>
                <w:w w:val="99"/>
              </w:rPr>
              <w:t>—</w:t>
            </w:r>
          </w:p>
        </w:tc>
        <w:tc>
          <w:tcPr>
            <w:tcW w:w="320" w:type="dxa"/>
            <w:vAlign w:val="bottom"/>
            <w:gridSpan w:val="5"/>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1,455</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2"/>
                <w:szCs w:val="22"/>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(1,447)</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ind w:left="7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40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Repurchase agreements and FHLB advances</w:t>
            </w:r>
          </w:p>
        </w:tc>
        <w:tc>
          <w:tcPr>
            <w:tcW w:w="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44,984</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4"/>
                <w:szCs w:val="14"/>
                <w:color w:val="auto"/>
                <w:w w:val="99"/>
              </w:rPr>
              <w:t>—</w:t>
            </w:r>
          </w:p>
        </w:tc>
        <w:tc>
          <w:tcPr>
            <w:tcW w:w="80" w:type="dxa"/>
            <w:vAlign w:val="bottom"/>
            <w:tcBorders>
              <w:bottom w:val="single" w:sz="8" w:color="auto"/>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44,984</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(2,576)</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(42,408)</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3"/>
        </w:trPr>
        <w:tc>
          <w:tcPr>
            <w:tcW w:w="4000" w:type="dxa"/>
            <w:vAlign w:val="bottom"/>
            <w:gridSpan w:val="2"/>
          </w:tcPr>
          <w:p>
            <w:pPr>
              <w:ind w:left="280"/>
              <w:spacing w:after="0"/>
              <w:rPr>
                <w:sz w:val="20"/>
                <w:szCs w:val="20"/>
                <w:color w:val="auto"/>
              </w:rPr>
            </w:pPr>
            <w:r>
              <w:rPr>
                <w:rFonts w:ascii="Arial" w:cs="Arial" w:eastAsia="Arial" w:hAnsi="Arial"/>
                <w:sz w:val="14"/>
                <w:szCs w:val="14"/>
                <w:color w:val="auto"/>
              </w:rPr>
              <w:t>Total</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46,439</w:t>
            </w:r>
          </w:p>
        </w:tc>
        <w:tc>
          <w:tcPr>
            <w:tcW w:w="100" w:type="dxa"/>
            <w:vAlign w:val="bottom"/>
          </w:tcPr>
          <w:p>
            <w:pPr>
              <w:spacing w:after="0"/>
              <w:rPr>
                <w:sz w:val="24"/>
                <w:szCs w:val="24"/>
                <w:color w:val="auto"/>
              </w:rPr>
            </w:pP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980" w:type="dxa"/>
            <w:vAlign w:val="bottom"/>
          </w:tcPr>
          <w:p>
            <w:pPr>
              <w:ind w:left="820"/>
              <w:spacing w:after="0"/>
              <w:rPr>
                <w:sz w:val="20"/>
                <w:szCs w:val="20"/>
                <w:color w:val="auto"/>
              </w:rPr>
            </w:pPr>
            <w:r>
              <w:rPr>
                <w:rFonts w:ascii="Arial" w:cs="Arial" w:eastAsia="Arial" w:hAnsi="Arial"/>
                <w:sz w:val="14"/>
                <w:szCs w:val="14"/>
                <w:color w:val="auto"/>
                <w:w w:val="99"/>
              </w:rPr>
              <w:t>—</w:t>
            </w:r>
          </w:p>
        </w:tc>
        <w:tc>
          <w:tcPr>
            <w:tcW w:w="320" w:type="dxa"/>
            <w:vAlign w:val="bottom"/>
            <w:gridSpan w:val="5"/>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46,439</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(2,584)</w:t>
            </w:r>
          </w:p>
        </w:tc>
        <w:tc>
          <w:tcPr>
            <w:tcW w:w="120" w:type="dxa"/>
            <w:vAlign w:val="bottom"/>
          </w:tcPr>
          <w:p>
            <w:pPr>
              <w:spacing w:after="0"/>
              <w:rPr>
                <w:sz w:val="24"/>
                <w:szCs w:val="24"/>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(43,855)</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ind w:left="7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39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8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spacing w:after="0"/>
              <w:rPr>
                <w:sz w:val="22"/>
                <w:szCs w:val="22"/>
                <w:color w:val="auto"/>
              </w:rPr>
            </w:pPr>
          </w:p>
        </w:tc>
        <w:tc>
          <w:tcPr>
            <w:tcW w:w="80" w:type="dxa"/>
            <w:vAlign w:val="bottom"/>
            <w:tcBorders>
              <w:top w:val="single" w:sz="8" w:color="auto"/>
            </w:tcBorders>
            <w:shd w:val="clear" w:color="auto" w:fill="CCEEFF"/>
          </w:tcPr>
          <w:p>
            <w:pPr>
              <w:spacing w:after="0"/>
              <w:rPr>
                <w:sz w:val="22"/>
                <w:szCs w:val="22"/>
                <w:color w:val="auto"/>
              </w:rPr>
            </w:pPr>
          </w:p>
        </w:tc>
        <w:tc>
          <w:tcPr>
            <w:tcW w:w="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00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2015</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0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 xml:space="preserve">Interest rate swap agreements, at fair value </w:t>
            </w:r>
            <w:r>
              <w:rPr>
                <w:rFonts w:ascii="Arial" w:cs="Arial" w:eastAsia="Arial" w:hAnsi="Arial"/>
                <w:sz w:val="8"/>
                <w:szCs w:val="8"/>
                <w:color w:val="auto"/>
              </w:rPr>
              <w:t>1</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920</w:t>
            </w:r>
          </w:p>
        </w:tc>
        <w:tc>
          <w:tcPr>
            <w:tcW w:w="100" w:type="dxa"/>
            <w:vAlign w:val="bottom"/>
            <w:shd w:val="clear" w:color="auto" w:fill="CCEEFF"/>
          </w:tcPr>
          <w:p>
            <w:pPr>
              <w:spacing w:after="0"/>
              <w:rPr>
                <w:sz w:val="24"/>
                <w:szCs w:val="24"/>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ind w:left="820"/>
              <w:spacing w:after="0"/>
              <w:rPr>
                <w:sz w:val="20"/>
                <w:szCs w:val="20"/>
                <w:color w:val="auto"/>
              </w:rPr>
            </w:pPr>
            <w:r>
              <w:rPr>
                <w:rFonts w:ascii="Arial" w:cs="Arial" w:eastAsia="Arial" w:hAnsi="Arial"/>
                <w:sz w:val="14"/>
                <w:szCs w:val="14"/>
                <w:color w:val="auto"/>
                <w:w w:val="99"/>
              </w:rPr>
              <w:t>—</w:t>
            </w:r>
          </w:p>
        </w:tc>
        <w:tc>
          <w:tcPr>
            <w:tcW w:w="320" w:type="dxa"/>
            <w:vAlign w:val="bottom"/>
            <w:gridSpan w:val="5"/>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920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00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Repurchase agreements</w:t>
            </w: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45,507</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ind w:left="820"/>
              <w:spacing w:after="0"/>
              <w:rPr>
                <w:sz w:val="20"/>
                <w:szCs w:val="20"/>
                <w:color w:val="auto"/>
              </w:rPr>
            </w:pPr>
            <w:r>
              <w:rPr>
                <w:rFonts w:ascii="Arial" w:cs="Arial" w:eastAsia="Arial" w:hAnsi="Arial"/>
                <w:sz w:val="14"/>
                <w:szCs w:val="14"/>
                <w:color w:val="auto"/>
                <w:w w:val="99"/>
              </w:rPr>
              <w:t>—</w:t>
            </w: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45,507</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(1,356)</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(44,151)</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ind w:left="7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400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Total</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46,427</w:t>
            </w:r>
          </w:p>
        </w:tc>
        <w:tc>
          <w:tcPr>
            <w:tcW w:w="100" w:type="dxa"/>
            <w:vAlign w:val="bottom"/>
            <w:shd w:val="clear" w:color="auto" w:fill="CCEEFF"/>
          </w:tcPr>
          <w:p>
            <w:pPr>
              <w:spacing w:after="0"/>
              <w:rPr>
                <w:sz w:val="21"/>
                <w:szCs w:val="21"/>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ind w:left="820"/>
              <w:spacing w:after="0"/>
              <w:rPr>
                <w:sz w:val="20"/>
                <w:szCs w:val="20"/>
                <w:color w:val="auto"/>
              </w:rPr>
            </w:pPr>
            <w:r>
              <w:rPr>
                <w:rFonts w:ascii="Arial" w:cs="Arial" w:eastAsia="Arial" w:hAnsi="Arial"/>
                <w:sz w:val="14"/>
                <w:szCs w:val="14"/>
                <w:color w:val="auto"/>
                <w:w w:val="99"/>
              </w:rPr>
              <w:t>—</w:t>
            </w:r>
          </w:p>
        </w:tc>
        <w:tc>
          <w:tcPr>
            <w:tcW w:w="320" w:type="dxa"/>
            <w:vAlign w:val="bottom"/>
            <w:gridSpan w:val="5"/>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46,427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(1,387)</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(45,040)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_______________________</w:t>
            </w: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90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660" w:right="320" w:hanging="328"/>
        <w:spacing w:after="0" w:line="241" w:lineRule="auto"/>
        <w:tabs>
          <w:tab w:leader="none" w:pos="6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Reported under derivative assets / liabilities, at fair value in the accompanying consolidated balance sheets. Refer to Note 6 for a reconciliation of derivative assets / liabilities, at fair value to their sub-components.</w:t>
      </w:r>
    </w:p>
    <w:p>
      <w:pPr>
        <w:ind w:left="660" w:right="240" w:hanging="328"/>
        <w:spacing w:after="0" w:line="255" w:lineRule="auto"/>
        <w:tabs>
          <w:tab w:leader="none" w:pos="6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Includes cash and securities pledged / received as collateral, at fair value. Amounts presented are limited to collateral pledged sufficient to reduce the net amount to zero for individual counterparties, as applicable.</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746"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Note 8. Fair Value Measurements</w:t>
      </w:r>
    </w:p>
    <w:p>
      <w:pPr>
        <w:spacing w:after="0" w:line="229"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We determine the fair value of our investment securities and debt of consolidated VIEs based upon fair value estimates obtained from multiple third party pricing services and dealers. In determining fair value, third party pricing sources use various valuation approaches, including market and income approaches. Factors used by third party sources in estimating the fair value of an instrument may include observable inputs such as coupons, primary and secondary mortgage rates, pricing information, credit data, volatility statistics, and other market data that are current as of the measurement date. The availability of observable inputs can vary by instrument and is affected by a wide variety of factors, including the type of instrument, whether the instrument is new and not yet established in the marketplace and other characteristics particular to the instrument. Third party pricing sources may also use certain unobservable inputs, such as assumptions of future levels of prepayment, defaults and foreclosures, especially when estimating fair values for securities with lower levels of recent trading activity. We make inquiries of third party pricing sources to understand the significant inputs and assumptions they used to determine their prices. For further information regarding valuation of our derivative instruments, please refer to the discussion of derivative and other hedging instruments in Note 3.</w:t>
      </w:r>
    </w:p>
    <w:p>
      <w:pPr>
        <w:spacing w:after="0" w:line="21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review the various third party fair value estimates and perform procedures to validate their reasonableness, including an analysis of the range of third party estimates for each position, comparison to recent trade activity for similar securities, and management review for consistency with market conditions observed as of the measurement date. While we do not adjust prices we obtain from third party pricing sources, we will exclude third party prices for securities from our determination of fair value if we determine (based on our validation procedures and our market knowledge and expertise) that the price is significantly different from observable market data would indicate and we cannot obtain an understanding from the third party source as to the significant inputs used to determine the price.</w:t>
      </w:r>
    </w:p>
    <w:p>
      <w:pPr>
        <w:spacing w:after="0" w:line="23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validation procedures described above also influence our determination of the appropriate fair value measurement classification. We utilize a three-level valuation hierarchy for disclosure of fair value measurement. The valuation hierarchy is based upon the transparency of inputs to the valuation of an asset or liability as of the measurement date. A financial instrument's categorization within the hierarchy is based upon the lowest level of input that is significant to the fair value measurement. There were no transfers between hierarchy levels during the three and six months ended June 30, 2016. The three levels of hierarchy are defined as follows:</w:t>
      </w:r>
    </w:p>
    <w:p>
      <w:pPr>
        <w:spacing w:after="0" w:line="134" w:lineRule="exact"/>
        <w:rPr>
          <w:sz w:val="20"/>
          <w:szCs w:val="20"/>
          <w:color w:val="auto"/>
        </w:rPr>
      </w:pPr>
    </w:p>
    <w:p>
      <w:pPr>
        <w:ind w:left="6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Level 1 Inputs —Quoted prices (unadjusted) for identical unrestricted assets and liabilities in active markets that are accessible at the measurement date.</w:t>
      </w:r>
    </w:p>
    <w:p>
      <w:pPr>
        <w:spacing w:after="0" w:line="116"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Level 2 Inputs —Quoted prices for similar assets and liabilities in active markets; quoted prices for identical or similar instruments in markets that are not active; and model-derived valuations whose inputs are observable or whose significant value drivers are observable.</w:t>
      </w:r>
    </w:p>
    <w:p>
      <w:pPr>
        <w:spacing w:after="0" w:line="92" w:lineRule="exact"/>
        <w:rPr>
          <w:rFonts w:ascii="Arial" w:cs="Arial" w:eastAsia="Arial" w:hAnsi="Arial"/>
          <w:sz w:val="17"/>
          <w:szCs w:val="17"/>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Level 3 Inputs —Instruments with primarily unobservable market data that cannot be corroborated.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80" w:right="239" w:bottom="1440" w:gutter="0" w:footer="0" w:header="0"/>
        </w:sectPr>
      </w:pPr>
    </w:p>
    <w:bookmarkStart w:id="25" w:name="page26"/>
    <w:bookmarkEnd w:id="25"/>
    <w:p>
      <w:pPr>
        <w:ind w:left="440"/>
        <w:spacing w:after="0"/>
        <w:rPr>
          <w:sz w:val="20"/>
          <w:szCs w:val="20"/>
          <w:color w:val="auto"/>
        </w:rPr>
      </w:pPr>
      <w:r>
        <w:rPr>
          <w:rFonts w:ascii="Arial" w:cs="Arial" w:eastAsia="Arial" w:hAnsi="Arial"/>
          <w:sz w:val="17"/>
          <w:szCs w:val="17"/>
          <w:color w:val="auto"/>
        </w:rPr>
        <w:t>The following table provides a summary of our assets and liabilities that are measured at fair value on a recurring basis as of June 30, 2016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2015 (in millions):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June 30, 2016</w:t>
            </w: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2015</w:t>
            </w: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22"/>
                <w:szCs w:val="22"/>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Level 2</w:t>
            </w:r>
          </w:p>
        </w:tc>
        <w:tc>
          <w:tcPr>
            <w:tcW w:w="180" w:type="dxa"/>
            <w:vAlign w:val="bottom"/>
          </w:tcPr>
          <w:p>
            <w:pPr>
              <w:spacing w:after="0"/>
              <w:rPr>
                <w:sz w:val="22"/>
                <w:szCs w:val="22"/>
                <w:color w:val="auto"/>
              </w:rPr>
            </w:pPr>
          </w:p>
        </w:tc>
        <w:tc>
          <w:tcPr>
            <w:tcW w:w="104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3</w:t>
            </w:r>
          </w:p>
        </w:tc>
        <w:tc>
          <w:tcPr>
            <w:tcW w:w="200" w:type="dxa"/>
            <w:vAlign w:val="bottom"/>
          </w:tcPr>
          <w:p>
            <w:pPr>
              <w:spacing w:after="0"/>
              <w:rPr>
                <w:sz w:val="22"/>
                <w:szCs w:val="22"/>
                <w:color w:val="auto"/>
              </w:rPr>
            </w:pPr>
          </w:p>
        </w:tc>
        <w:tc>
          <w:tcPr>
            <w:tcW w:w="820" w:type="dxa"/>
            <w:vAlign w:val="bottom"/>
          </w:tcPr>
          <w:p>
            <w:pPr>
              <w:jc w:val="right"/>
              <w:ind w:right="208"/>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Level 2</w:t>
            </w:r>
          </w:p>
        </w:tc>
        <w:tc>
          <w:tcPr>
            <w:tcW w:w="200" w:type="dxa"/>
            <w:vAlign w:val="bottom"/>
          </w:tcPr>
          <w:p>
            <w:pPr>
              <w:spacing w:after="0"/>
              <w:rPr>
                <w:sz w:val="22"/>
                <w:szCs w:val="22"/>
                <w:color w:val="auto"/>
              </w:rPr>
            </w:pPr>
          </w:p>
        </w:tc>
        <w:tc>
          <w:tcPr>
            <w:tcW w:w="820" w:type="dxa"/>
            <w:vAlign w:val="bottom"/>
          </w:tcPr>
          <w:p>
            <w:pPr>
              <w:ind w:left="10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70"/>
        </w:trPr>
        <w:tc>
          <w:tcPr>
            <w:tcW w:w="45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20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2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580" w:type="dxa"/>
            <w:vAlign w:val="bottom"/>
          </w:tcPr>
          <w:p>
            <w:pPr>
              <w:ind w:left="200"/>
              <w:spacing w:after="0"/>
              <w:rPr>
                <w:sz w:val="20"/>
                <w:szCs w:val="20"/>
                <w:color w:val="auto"/>
              </w:rPr>
            </w:pPr>
            <w:r>
              <w:rPr>
                <w:rFonts w:ascii="Arial" w:cs="Arial" w:eastAsia="Arial" w:hAnsi="Arial"/>
                <w:sz w:val="14"/>
                <w:szCs w:val="14"/>
                <w:color w:val="auto"/>
              </w:rPr>
              <w:t>Agency securities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53,418</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51,331</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5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Agency securities transferred to consolidated VIEs</w:t>
            </w:r>
          </w:p>
        </w:tc>
        <w:tc>
          <w:tcPr>
            <w:tcW w:w="20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945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1,029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580" w:type="dxa"/>
            <w:vAlign w:val="bottom"/>
          </w:tcPr>
          <w:p>
            <w:pPr>
              <w:ind w:left="200"/>
              <w:spacing w:after="0"/>
              <w:rPr>
                <w:sz w:val="20"/>
                <w:szCs w:val="20"/>
                <w:color w:val="auto"/>
              </w:rPr>
            </w:pPr>
            <w:r>
              <w:rPr>
                <w:rFonts w:ascii="Arial" w:cs="Arial" w:eastAsia="Arial" w:hAnsi="Arial"/>
                <w:sz w:val="14"/>
                <w:szCs w:val="14"/>
                <w:color w:val="auto"/>
              </w:rPr>
              <w:t>Non-agency securities</w:t>
            </w:r>
          </w:p>
        </w:tc>
        <w:tc>
          <w:tcPr>
            <w:tcW w:w="200" w:type="dxa"/>
            <w:vAlign w:val="bottom"/>
          </w:tcPr>
          <w:p>
            <w:pPr>
              <w:spacing w:after="0"/>
              <w:rPr>
                <w:sz w:val="22"/>
                <w:szCs w:val="22"/>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107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113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5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U.S. Treasury securities</w:t>
            </w:r>
          </w:p>
        </w:tc>
        <w:tc>
          <w:tcPr>
            <w:tcW w:w="2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580" w:type="dxa"/>
            <w:vAlign w:val="bottom"/>
          </w:tcPr>
          <w:p>
            <w:pPr>
              <w:ind w:left="200"/>
              <w:spacing w:after="0"/>
              <w:rPr>
                <w:sz w:val="20"/>
                <w:szCs w:val="20"/>
                <w:color w:val="auto"/>
              </w:rPr>
            </w:pPr>
            <w:r>
              <w:rPr>
                <w:rFonts w:ascii="Arial" w:cs="Arial" w:eastAsia="Arial" w:hAnsi="Arial"/>
                <w:sz w:val="14"/>
                <w:szCs w:val="14"/>
                <w:color w:val="auto"/>
              </w:rPr>
              <w:t>Interest rate swaps</w:t>
            </w:r>
          </w:p>
        </w:tc>
        <w:tc>
          <w:tcPr>
            <w:tcW w:w="200" w:type="dxa"/>
            <w:vAlign w:val="bottom"/>
          </w:tcPr>
          <w:p>
            <w:pPr>
              <w:spacing w:after="0"/>
              <w:rPr>
                <w:sz w:val="22"/>
                <w:szCs w:val="22"/>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5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Swaptions</w:t>
            </w:r>
          </w:p>
        </w:tc>
        <w:tc>
          <w:tcPr>
            <w:tcW w:w="20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580" w:type="dxa"/>
            <w:vAlign w:val="bottom"/>
          </w:tcPr>
          <w:p>
            <w:pPr>
              <w:ind w:left="200"/>
              <w:spacing w:after="0"/>
              <w:rPr>
                <w:sz w:val="20"/>
                <w:szCs w:val="20"/>
                <w:color w:val="auto"/>
              </w:rPr>
            </w:pPr>
            <w:r>
              <w:rPr>
                <w:rFonts w:ascii="Arial" w:cs="Arial" w:eastAsia="Arial" w:hAnsi="Arial"/>
                <w:sz w:val="14"/>
                <w:szCs w:val="14"/>
                <w:color w:val="auto"/>
              </w:rPr>
              <w:t>REIT equity securities</w:t>
            </w:r>
          </w:p>
        </w:tc>
        <w:tc>
          <w:tcPr>
            <w:tcW w:w="20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5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TBA securities</w:t>
            </w:r>
          </w:p>
        </w:tc>
        <w:tc>
          <w:tcPr>
            <w:tcW w:w="20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580" w:type="dxa"/>
            <w:vAlign w:val="bottom"/>
            <w:tcBorders>
              <w:bottom w:val="single" w:sz="8" w:color="CCEEFF"/>
            </w:tcBorders>
          </w:tcPr>
          <w:p>
            <w:pPr>
              <w:ind w:left="200"/>
              <w:spacing w:after="0"/>
              <w:rPr>
                <w:sz w:val="20"/>
                <w:szCs w:val="20"/>
                <w:color w:val="auto"/>
              </w:rPr>
            </w:pPr>
            <w:r>
              <w:rPr>
                <w:rFonts w:ascii="Arial" w:cs="Arial" w:eastAsia="Arial" w:hAnsi="Arial"/>
                <w:sz w:val="14"/>
                <w:szCs w:val="14"/>
                <w:color w:val="auto"/>
              </w:rPr>
              <w:t>U.S. Treasury futures</w:t>
            </w:r>
          </w:p>
        </w:tc>
        <w:tc>
          <w:tcPr>
            <w:tcW w:w="2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ind w:left="58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ind w:left="5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4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81</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54,581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52,550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4"/>
                <w:szCs w:val="14"/>
                <w:color w:val="auto"/>
              </w:rPr>
              <w:t>Liabilities: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458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5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Debt of consolidated VIEs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528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4580" w:type="dxa"/>
            <w:vAlign w:val="bottom"/>
          </w:tcPr>
          <w:p>
            <w:pPr>
              <w:ind w:left="200"/>
              <w:spacing w:after="0" w:line="157" w:lineRule="exact"/>
              <w:rPr>
                <w:sz w:val="20"/>
                <w:szCs w:val="20"/>
                <w:color w:val="auto"/>
              </w:rPr>
            </w:pPr>
            <w:r>
              <w:rPr>
                <w:rFonts w:ascii="Arial" w:cs="Arial" w:eastAsia="Arial" w:hAnsi="Arial"/>
                <w:sz w:val="14"/>
                <w:szCs w:val="14"/>
                <w:color w:val="auto"/>
              </w:rPr>
              <w:t>Obligation to return U.S. Treasury securities borrowed under reverse</w:t>
            </w: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580" w:type="dxa"/>
            <w:vAlign w:val="bottom"/>
          </w:tcPr>
          <w:p>
            <w:pPr>
              <w:ind w:left="200"/>
              <w:spacing w:after="0"/>
              <w:rPr>
                <w:sz w:val="20"/>
                <w:szCs w:val="20"/>
                <w:color w:val="auto"/>
              </w:rPr>
            </w:pPr>
            <w:r>
              <w:rPr>
                <w:rFonts w:ascii="Arial" w:cs="Arial" w:eastAsia="Arial" w:hAnsi="Arial"/>
                <w:sz w:val="14"/>
                <w:szCs w:val="14"/>
                <w:color w:val="auto"/>
              </w:rPr>
              <w:t>repurchase agreements</w:t>
            </w:r>
          </w:p>
        </w:tc>
        <w:tc>
          <w:tcPr>
            <w:tcW w:w="200" w:type="dxa"/>
            <w:vAlign w:val="bottom"/>
          </w:tcPr>
          <w:p>
            <w:pPr>
              <w:spacing w:after="0"/>
              <w:rPr>
                <w:sz w:val="16"/>
                <w:szCs w:val="16"/>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3,017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0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1,696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5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Interest rate swaps</w:t>
            </w:r>
          </w:p>
        </w:tc>
        <w:tc>
          <w:tcPr>
            <w:tcW w:w="20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1,455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920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580" w:type="dxa"/>
            <w:vAlign w:val="bottom"/>
          </w:tcPr>
          <w:p>
            <w:pPr>
              <w:ind w:left="200"/>
              <w:spacing w:after="0"/>
              <w:rPr>
                <w:sz w:val="20"/>
                <w:szCs w:val="20"/>
                <w:color w:val="auto"/>
              </w:rPr>
            </w:pPr>
            <w:r>
              <w:rPr>
                <w:rFonts w:ascii="Arial" w:cs="Arial" w:eastAsia="Arial" w:hAnsi="Arial"/>
                <w:sz w:val="14"/>
                <w:szCs w:val="14"/>
                <w:color w:val="auto"/>
              </w:rPr>
              <w:t>TBA securities</w:t>
            </w:r>
          </w:p>
        </w:tc>
        <w:tc>
          <w:tcPr>
            <w:tcW w:w="200" w:type="dxa"/>
            <w:vAlign w:val="bottom"/>
          </w:tcPr>
          <w:p>
            <w:pPr>
              <w:spacing w:after="0"/>
              <w:rPr>
                <w:sz w:val="22"/>
                <w:szCs w:val="22"/>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45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U.S. Treasury futures</w:t>
            </w:r>
          </w:p>
        </w:tc>
        <w:tc>
          <w:tcPr>
            <w:tcW w:w="20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58</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4"/>
                <w:szCs w:val="14"/>
                <w:color w:val="auto"/>
              </w:rPr>
              <w:t>Total</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3,075</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1,989</w:t>
            </w:r>
          </w:p>
        </w:tc>
        <w:tc>
          <w:tcPr>
            <w:tcW w:w="12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1,696</w:t>
            </w: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1,530</w:t>
            </w:r>
          </w:p>
        </w:tc>
        <w:tc>
          <w:tcPr>
            <w:tcW w:w="100" w:type="dxa"/>
            <w:vAlign w:val="bottom"/>
          </w:tcPr>
          <w:p>
            <w:pPr>
              <w:spacing w:after="0"/>
              <w:rPr>
                <w:sz w:val="21"/>
                <w:szCs w:val="21"/>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We elected the option to account for debt of consolidated VIEs at fair value with changes in fair value reflected in earnings during the period in which they occur, because we believe this election more appropriately reflects our financial position as both the consolidated agency securities and consolidated debt are presented in a consistent manner, at fair value, on our consolidated balance sheets. We estimate the fair value of the consolidated debt based on the fair value of the MBS transferred to consolidated VIEs, less the fair value of our retained interests, which are based on valuations obtained from third-party pricing services and non-binding dealer quotes derived from common market pricing methods using "Level 2" inputs.</w:t>
      </w:r>
    </w:p>
    <w:p>
      <w:pPr>
        <w:spacing w:after="0" w:line="10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Excluded from the table above are financial instruments, including cash and cash equivalents, restricted cash and cash equivalents, receivables, payables and borrowings under repurchase agreements and FHLB advances, which are presented in our consolidated financial statements at cost. The cost basis of these instruments is determined to approximate fair value due to their short duration or, in the case of longer-term repo and FHLB advances, due to floating rates of interest based on an index plus or minus a fixed spread which is consistent with fixed spreads demanded in the market. We estimate the fair value of these instruments using "Level 2" inputs.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Stockholders' Equity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Pursuant to our amended and restated certificate of incorporation, we are authorized to designate and issue up to 10.0 million shares of preferred stock in one or more classes or series. Our Board of Directors has designated 6.9 million shares as 8.000% Series A Cumulative Redeemable Preferred Stock ("Series A Preferred Stock") and 8,050 shares as 7.750% Series B Cumulative Redeemable Preferred Stock ("Series B Preferred Stock"). As of June 30, 2016, we had 3.1 million shares of authorized but unissued shares of preferred stock. Our Board of Directors may designate additional series of authorized preferred stock ranking junior to or in parity with the Series A or Series B Preferred Stock or designate additional shares of the Series A or Series B Preferred Stock and authorize the issuance of such shares.</w:t>
      </w:r>
    </w:p>
    <w:p>
      <w:pPr>
        <w:spacing w:after="0" w:line="13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April 2012, we completed a public offering in which 6.9 million shares of our Series A Preferred Stock were sold to the underwriters at a price of $24.2125 per share for proceeds, net of offering expenses, of $167 million. In May 2014, we completed a public offering in which 7.0 million depositary shares were sold to the underwriters at a price of $24.2125 per depositary share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746" w:right="239" w:bottom="1440" w:gutter="0" w:footer="0" w:header="0"/>
        </w:sectPr>
      </w:pPr>
    </w:p>
    <w:bookmarkStart w:id="26" w:name="page27"/>
    <w:bookmarkEnd w:id="26"/>
    <w:p>
      <w:pPr>
        <w:spacing w:after="0"/>
        <w:rPr>
          <w:sz w:val="20"/>
          <w:szCs w:val="20"/>
          <w:color w:val="auto"/>
        </w:rPr>
      </w:pPr>
      <w:r>
        <w:rPr>
          <w:rFonts w:ascii="Arial" w:cs="Arial" w:eastAsia="Arial" w:hAnsi="Arial"/>
          <w:sz w:val="16"/>
          <w:szCs w:val="16"/>
          <w:color w:val="auto"/>
        </w:rPr>
        <w:t>for proceeds, net of offering expenses, of $169 million. Each depositary share represents a 1/1,000th interest in a share of our Series B Preferred Stock.</w:t>
      </w:r>
    </w:p>
    <w:p>
      <w:pPr>
        <w:spacing w:after="0" w:line="194"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Our Series A and Series B Preferred Stock have no stated maturity, are not subject to any sinking fund or mandatory redemption and rank on parity with each other. Under certain circumstances upon a change of control, our Series A and Series B Preferred Stock are convertible to shares of our common stock. Holders of our Series A Preferred Stock and depository shares underlying our Series B Preferred Stock have no voting rights, except under limited conditions, and are entitled to receive cumulative cash dividends at a rate of 8.000% and 7.750% per annum, respectively, of their $25.00 per share and $25.00 per depositary share liquidation preference, respectively, before holders of our common stock are entitled to receive any dividends. Shares of our Series A Preferred Stock and depository shares underlying our Series B Preferred Stock are each redeemable at $25.00 per share, plus accumulated and unpaid dividends (whether or not declared) exclusively at our option commencing on April 5, 2017 and May 8, 2019, respectively, or earlier under certain circumstances intended to preserve our qualification as a REIT for federal income tax purposes. Dividends are payable quarterly in arrears on the 15th day of each January, April, July and October. As of June 30, 2016, we had declared all required quarterly dividends on our Series A and Series B Preferred Stock.</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Repurchase Program</w:t>
      </w:r>
    </w:p>
    <w:p>
      <w:pPr>
        <w:spacing w:after="0" w:line="171"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Our Board of Directors adopted a program that authorizes repurchases of our common stock up to $2 billion. In October 2015, our Board of Directors extended its authorization through December 31, 2016. Shares of our common stock may be purchased in the open market, including through block purchases, or through privately negotiated transactions, or pursuant to any trading plan that may be adopted in accordance with Rule 10b5-1 of the Securities Exchange Act of 1934, as amended. The timing, manner, price and amount of any repurchases will be determined at our discretion and the program may be suspended, terminated or modified at any time for any reason. Among other factors, we intend to only consider repurchasing shares of our common stock when the purchase price is less than our estimate of our current net asset value per common share. Generally, when we repurchase our common stock at a discount to our net asset value, the net asset value of our remaining shares of common stock outstanding increases. In addition, we do not intend to repurchase any shares from directors, officers or other affiliates. The program does not obligate us to acquire any specific number of shares, and all repurchases will be made in accordance with Rule 10b-18, which sets certain restrictions on the method, timing, price and volume of stock repurchases.</w:t>
      </w:r>
    </w:p>
    <w:p>
      <w:pPr>
        <w:spacing w:after="0" w:line="113"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We did not repurchase any shares of our common stock during the three months ended June 30, 2016. During the six months ended June 30, 2016, we repurchased 6.5 million shares of our common stock at an average repurchase price of $17.89 per share, including expenses, totaling $116 million. During the three and six months ended June 30, 2015 we repurchased 4.0 million shares of our common stock at an average repurchase price of $19.86 per share, including expenses, totaling $79 million. As of June 30, 2016, the total remaining amount authorized for repurchases of our common stock was $0.6 billion.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746"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changes to accumulated OCI for the three and six months ended June 30, 2016 and 2015 (in millions):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Net Unrealized Gain</w:t>
            </w:r>
          </w:p>
        </w:tc>
        <w:tc>
          <w:tcPr>
            <w:tcW w:w="14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Net Unrealized</w:t>
            </w: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w w:val="94"/>
              </w:rPr>
              <w:t>Total Accumulated</w:t>
            </w:r>
          </w:p>
        </w:tc>
        <w:tc>
          <w:tcPr>
            <w:tcW w:w="0" w:type="dxa"/>
            <w:vAlign w:val="bottom"/>
          </w:tcPr>
          <w:p>
            <w:pPr>
              <w:spacing w:after="0"/>
              <w:rPr>
                <w:sz w:val="1"/>
                <w:szCs w:val="1"/>
                <w:color w:val="auto"/>
              </w:rPr>
            </w:pPr>
          </w:p>
        </w:tc>
      </w:tr>
      <w:tr>
        <w:trPr>
          <w:trHeight w:val="149"/>
        </w:trPr>
        <w:tc>
          <w:tcPr>
            <w:tcW w:w="70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Accumulated Other Comprehensive Income (Loss)</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(Loss) on Available-</w:t>
            </w:r>
          </w:p>
        </w:tc>
        <w:tc>
          <w:tcPr>
            <w:tcW w:w="140" w:type="dxa"/>
            <w:vAlign w:val="bottom"/>
          </w:tcPr>
          <w:p>
            <w:pPr>
              <w:spacing w:after="0"/>
              <w:rPr>
                <w:sz w:val="12"/>
                <w:szCs w:val="12"/>
                <w:color w:val="auto"/>
              </w:rPr>
            </w:pPr>
          </w:p>
        </w:tc>
        <w:tc>
          <w:tcPr>
            <w:tcW w:w="12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Gain (Loss) on</w:t>
            </w:r>
          </w:p>
        </w:tc>
        <w:tc>
          <w:tcPr>
            <w:tcW w:w="240" w:type="dxa"/>
            <w:vAlign w:val="bottom"/>
          </w:tcPr>
          <w:p>
            <w:pPr>
              <w:spacing w:after="0"/>
              <w:rPr>
                <w:sz w:val="12"/>
                <w:szCs w:val="12"/>
                <w:color w:val="auto"/>
              </w:rPr>
            </w:pPr>
          </w:p>
        </w:tc>
        <w:tc>
          <w:tcPr>
            <w:tcW w:w="1000" w:type="dxa"/>
            <w:vAlign w:val="bottom"/>
          </w:tcPr>
          <w:p>
            <w:pPr>
              <w:jc w:val="right"/>
              <w:ind w:right="400"/>
              <w:spacing w:after="0" w:line="149" w:lineRule="exact"/>
              <w:rPr>
                <w:sz w:val="20"/>
                <w:szCs w:val="20"/>
                <w:color w:val="auto"/>
              </w:rPr>
            </w:pPr>
            <w:r>
              <w:rPr>
                <w:rFonts w:ascii="Arial" w:cs="Arial" w:eastAsia="Arial" w:hAnsi="Arial"/>
                <w:sz w:val="14"/>
                <w:szCs w:val="14"/>
                <w:b w:val="1"/>
                <w:bCs w:val="1"/>
                <w:color w:val="auto"/>
              </w:rPr>
              <w:t>OCI</w:t>
            </w:r>
          </w:p>
        </w:tc>
        <w:tc>
          <w:tcPr>
            <w:tcW w:w="0" w:type="dxa"/>
            <w:vAlign w:val="bottom"/>
          </w:tcPr>
          <w:p>
            <w:pPr>
              <w:spacing w:after="0"/>
              <w:rPr>
                <w:sz w:val="1"/>
                <w:szCs w:val="1"/>
                <w:color w:val="auto"/>
              </w:rPr>
            </w:pPr>
          </w:p>
        </w:tc>
      </w:tr>
      <w:tr>
        <w:trPr>
          <w:trHeight w:val="192"/>
        </w:trPr>
        <w:tc>
          <w:tcPr>
            <w:tcW w:w="70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96"/>
              </w:rPr>
              <w:t>for-Sale MBS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85"/>
              </w:rPr>
              <w:t>Swaps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Three Months Ended June 30, 2016</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200" w:type="dxa"/>
            <w:vAlign w:val="bottom"/>
            <w:gridSpan w:val="2"/>
          </w:tcPr>
          <w:p>
            <w:pPr>
              <w:ind w:left="40"/>
              <w:spacing w:after="0"/>
              <w:rPr>
                <w:sz w:val="20"/>
                <w:szCs w:val="20"/>
                <w:color w:val="auto"/>
              </w:rPr>
            </w:pPr>
            <w:r>
              <w:rPr>
                <w:rFonts w:ascii="Arial" w:cs="Arial" w:eastAsia="Arial" w:hAnsi="Arial"/>
                <w:sz w:val="16"/>
                <w:szCs w:val="16"/>
                <w:color w:val="auto"/>
              </w:rPr>
              <w:t>Balance as of March 31, 2016</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738</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0"/>
                <w:szCs w:val="20"/>
                <w:color w:val="auto"/>
              </w:rPr>
            </w:pP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718</w:t>
            </w: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OCI before reclassifications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425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425</w:t>
            </w:r>
          </w:p>
        </w:tc>
        <w:tc>
          <w:tcPr>
            <w:tcW w:w="0" w:type="dxa"/>
            <w:vAlign w:val="bottom"/>
          </w:tcPr>
          <w:p>
            <w:pPr>
              <w:spacing w:after="0"/>
              <w:rPr>
                <w:sz w:val="1"/>
                <w:szCs w:val="1"/>
                <w:color w:val="auto"/>
              </w:rPr>
            </w:pPr>
          </w:p>
        </w:tc>
      </w:tr>
      <w:tr>
        <w:trPr>
          <w:trHeight w:val="237"/>
        </w:trPr>
        <w:tc>
          <w:tcPr>
            <w:tcW w:w="7200" w:type="dxa"/>
            <w:vAlign w:val="bottom"/>
            <w:gridSpan w:val="2"/>
          </w:tcPr>
          <w:p>
            <w:pPr>
              <w:ind w:left="200"/>
              <w:spacing w:after="0"/>
              <w:rPr>
                <w:sz w:val="20"/>
                <w:szCs w:val="20"/>
                <w:color w:val="auto"/>
              </w:rPr>
            </w:pPr>
            <w:r>
              <w:rPr>
                <w:rFonts w:ascii="Arial" w:cs="Arial" w:eastAsia="Arial" w:hAnsi="Arial"/>
                <w:sz w:val="16"/>
                <w:szCs w:val="16"/>
                <w:color w:val="auto"/>
              </w:rPr>
              <w:t>Amounts reclassified from accumulated OCI</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33"/>
        </w:trPr>
        <w:tc>
          <w:tcPr>
            <w:tcW w:w="7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Balance as of June 30, 2016</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1,108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1,100</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7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Three Months Ended June 30, 2015</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200" w:type="dxa"/>
            <w:vAlign w:val="bottom"/>
            <w:gridSpan w:val="2"/>
          </w:tcPr>
          <w:p>
            <w:pPr>
              <w:ind w:left="40"/>
              <w:spacing w:after="0"/>
              <w:rPr>
                <w:sz w:val="20"/>
                <w:szCs w:val="20"/>
                <w:color w:val="auto"/>
              </w:rPr>
            </w:pPr>
            <w:r>
              <w:rPr>
                <w:rFonts w:ascii="Arial" w:cs="Arial" w:eastAsia="Arial" w:hAnsi="Arial"/>
                <w:sz w:val="16"/>
                <w:szCs w:val="16"/>
                <w:color w:val="auto"/>
              </w:rPr>
              <w:t>Balance as of March 31, 2015</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961</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(111)</w:t>
            </w:r>
          </w:p>
        </w:tc>
        <w:tc>
          <w:tcPr>
            <w:tcW w:w="120" w:type="dxa"/>
            <w:vAlign w:val="bottom"/>
          </w:tcPr>
          <w:p>
            <w:pPr>
              <w:spacing w:after="0"/>
              <w:rPr>
                <w:sz w:val="20"/>
                <w:szCs w:val="20"/>
                <w:color w:val="auto"/>
              </w:rPr>
            </w:pP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850</w:t>
            </w: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OCI before reclassifications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(894)</w:t>
            </w:r>
          </w:p>
        </w:tc>
        <w:tc>
          <w:tcPr>
            <w:tcW w:w="0" w:type="dxa"/>
            <w:vAlign w:val="bottom"/>
          </w:tcPr>
          <w:p>
            <w:pPr>
              <w:spacing w:after="0"/>
              <w:rPr>
                <w:sz w:val="1"/>
                <w:szCs w:val="1"/>
                <w:color w:val="auto"/>
              </w:rPr>
            </w:pPr>
          </w:p>
        </w:tc>
      </w:tr>
      <w:tr>
        <w:trPr>
          <w:trHeight w:val="237"/>
        </w:trPr>
        <w:tc>
          <w:tcPr>
            <w:tcW w:w="7200" w:type="dxa"/>
            <w:vAlign w:val="bottom"/>
            <w:gridSpan w:val="2"/>
          </w:tcPr>
          <w:p>
            <w:pPr>
              <w:ind w:left="200"/>
              <w:spacing w:after="0"/>
              <w:rPr>
                <w:sz w:val="20"/>
                <w:szCs w:val="20"/>
                <w:color w:val="auto"/>
              </w:rPr>
            </w:pPr>
            <w:r>
              <w:rPr>
                <w:rFonts w:ascii="Arial" w:cs="Arial" w:eastAsia="Arial" w:hAnsi="Arial"/>
                <w:sz w:val="16"/>
                <w:szCs w:val="16"/>
                <w:color w:val="auto"/>
              </w:rPr>
              <w:t>Amounts reclassified from accumulated OCI</w:t>
            </w:r>
          </w:p>
        </w:tc>
        <w:tc>
          <w:tcPr>
            <w:tcW w:w="12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33"/>
        </w:trPr>
        <w:tc>
          <w:tcPr>
            <w:tcW w:w="7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Balance as of June 30, 2015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89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7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Six Months Ended June 30, 2016</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200" w:type="dxa"/>
            <w:vAlign w:val="bottom"/>
            <w:gridSpan w:val="2"/>
          </w:tcPr>
          <w:p>
            <w:pPr>
              <w:ind w:left="40"/>
              <w:spacing w:after="0"/>
              <w:rPr>
                <w:sz w:val="20"/>
                <w:szCs w:val="20"/>
                <w:color w:val="auto"/>
              </w:rPr>
            </w:pPr>
            <w:r>
              <w:rPr>
                <w:rFonts w:ascii="Arial" w:cs="Arial" w:eastAsia="Arial" w:hAnsi="Arial"/>
                <w:sz w:val="16"/>
                <w:szCs w:val="16"/>
                <w:color w:val="auto"/>
              </w:rPr>
              <w:t>Balance as of December 31, 2015</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20"/>
                <w:szCs w:val="20"/>
                <w:color w:val="auto"/>
              </w:rPr>
            </w:pP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OCI before reclassifications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1,188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1,188</w:t>
            </w:r>
          </w:p>
        </w:tc>
        <w:tc>
          <w:tcPr>
            <w:tcW w:w="0" w:type="dxa"/>
            <w:vAlign w:val="bottom"/>
          </w:tcPr>
          <w:p>
            <w:pPr>
              <w:spacing w:after="0"/>
              <w:rPr>
                <w:sz w:val="1"/>
                <w:szCs w:val="1"/>
                <w:color w:val="auto"/>
              </w:rPr>
            </w:pPr>
          </w:p>
        </w:tc>
      </w:tr>
      <w:tr>
        <w:trPr>
          <w:trHeight w:val="237"/>
        </w:trPr>
        <w:tc>
          <w:tcPr>
            <w:tcW w:w="7200" w:type="dxa"/>
            <w:vAlign w:val="bottom"/>
            <w:gridSpan w:val="2"/>
          </w:tcPr>
          <w:p>
            <w:pPr>
              <w:ind w:left="200"/>
              <w:spacing w:after="0"/>
              <w:rPr>
                <w:sz w:val="20"/>
                <w:szCs w:val="20"/>
                <w:color w:val="auto"/>
              </w:rPr>
            </w:pPr>
            <w:r>
              <w:rPr>
                <w:rFonts w:ascii="Arial" w:cs="Arial" w:eastAsia="Arial" w:hAnsi="Arial"/>
                <w:sz w:val="16"/>
                <w:szCs w:val="16"/>
                <w:color w:val="auto"/>
              </w:rPr>
              <w:t>Amounts reclassified from accumulated OCI</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33"/>
        </w:trPr>
        <w:tc>
          <w:tcPr>
            <w:tcW w:w="7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Balance as of June 30, 2016</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1,108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1,100</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7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Six Months Ended June 30, 2015</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200" w:type="dxa"/>
            <w:vAlign w:val="bottom"/>
            <w:gridSpan w:val="2"/>
          </w:tcPr>
          <w:p>
            <w:pPr>
              <w:ind w:left="40"/>
              <w:spacing w:after="0"/>
              <w:rPr>
                <w:sz w:val="20"/>
                <w:szCs w:val="20"/>
                <w:color w:val="auto"/>
              </w:rPr>
            </w:pPr>
            <w:r>
              <w:rPr>
                <w:rFonts w:ascii="Arial" w:cs="Arial" w:eastAsia="Arial" w:hAnsi="Arial"/>
                <w:sz w:val="16"/>
                <w:szCs w:val="16"/>
                <w:color w:val="auto"/>
              </w:rPr>
              <w:t>Balance as of December 31, 2014</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570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(140)</w:t>
            </w:r>
          </w:p>
        </w:tc>
        <w:tc>
          <w:tcPr>
            <w:tcW w:w="120" w:type="dxa"/>
            <w:vAlign w:val="bottom"/>
          </w:tcPr>
          <w:p>
            <w:pPr>
              <w:spacing w:after="0"/>
              <w:rPr>
                <w:sz w:val="20"/>
                <w:szCs w:val="20"/>
                <w:color w:val="auto"/>
              </w:rPr>
            </w:pP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430</w:t>
            </w: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OCI before reclassifications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(467)</w:t>
            </w:r>
          </w:p>
        </w:tc>
        <w:tc>
          <w:tcPr>
            <w:tcW w:w="0" w:type="dxa"/>
            <w:vAlign w:val="bottom"/>
          </w:tcPr>
          <w:p>
            <w:pPr>
              <w:spacing w:after="0"/>
              <w:rPr>
                <w:sz w:val="1"/>
                <w:szCs w:val="1"/>
                <w:color w:val="auto"/>
              </w:rPr>
            </w:pPr>
          </w:p>
        </w:tc>
      </w:tr>
      <w:tr>
        <w:trPr>
          <w:trHeight w:val="237"/>
        </w:trPr>
        <w:tc>
          <w:tcPr>
            <w:tcW w:w="7200" w:type="dxa"/>
            <w:vAlign w:val="bottom"/>
            <w:gridSpan w:val="2"/>
          </w:tcPr>
          <w:p>
            <w:pPr>
              <w:ind w:left="200"/>
              <w:spacing w:after="0"/>
              <w:rPr>
                <w:sz w:val="20"/>
                <w:szCs w:val="20"/>
                <w:color w:val="auto"/>
              </w:rPr>
            </w:pPr>
            <w:r>
              <w:rPr>
                <w:rFonts w:ascii="Arial" w:cs="Arial" w:eastAsia="Arial" w:hAnsi="Arial"/>
                <w:sz w:val="16"/>
                <w:szCs w:val="16"/>
                <w:color w:val="auto"/>
              </w:rPr>
              <w:t>Amounts reclassified from accumulated OCI</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33"/>
        </w:trPr>
        <w:tc>
          <w:tcPr>
            <w:tcW w:w="7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Balance as of June 30, 2015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89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summarizes reclassifications out of accumulated OCI for the three and six months ended June 30, 2016 and 2015 (in millions):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5"/>
          </w:tcPr>
          <w:p>
            <w:pPr>
              <w:jc w:val="right"/>
              <w:spacing w:after="0"/>
              <w:rPr>
                <w:sz w:val="20"/>
                <w:szCs w:val="20"/>
                <w:color w:val="auto"/>
              </w:rPr>
            </w:pPr>
            <w:r>
              <w:rPr>
                <w:rFonts w:ascii="Arial" w:cs="Arial" w:eastAsia="Arial" w:hAnsi="Arial"/>
                <w:sz w:val="14"/>
                <w:szCs w:val="14"/>
                <w:b w:val="1"/>
                <w:bCs w:val="1"/>
                <w:color w:val="auto"/>
                <w:w w:val="95"/>
              </w:rPr>
              <w:t>Three Months Ended June 30,</w:t>
            </w:r>
          </w:p>
        </w:tc>
        <w:tc>
          <w:tcPr>
            <w:tcW w:w="120" w:type="dxa"/>
            <w:vAlign w:val="bottom"/>
          </w:tcPr>
          <w:p>
            <w:pPr>
              <w:spacing w:after="0"/>
              <w:rPr>
                <w:sz w:val="14"/>
                <w:szCs w:val="14"/>
                <w:color w:val="auto"/>
              </w:rPr>
            </w:pPr>
          </w:p>
        </w:tc>
        <w:tc>
          <w:tcPr>
            <w:tcW w:w="3980" w:type="dxa"/>
            <w:vAlign w:val="bottom"/>
          </w:tcPr>
          <w:p>
            <w:pPr>
              <w:jc w:val="center"/>
              <w:spacing w:after="0"/>
              <w:rPr>
                <w:sz w:val="20"/>
                <w:szCs w:val="20"/>
                <w:color w:val="auto"/>
              </w:rPr>
            </w:pPr>
            <w:r>
              <w:rPr>
                <w:rFonts w:ascii="Arial" w:cs="Arial" w:eastAsia="Arial" w:hAnsi="Arial"/>
                <w:sz w:val="14"/>
                <w:szCs w:val="14"/>
                <w:b w:val="1"/>
                <w:bCs w:val="1"/>
                <w:color w:val="auto"/>
                <w:w w:val="93"/>
              </w:rPr>
              <w:t>Line Item in the Consolidated</w:t>
            </w:r>
          </w:p>
        </w:tc>
        <w:tc>
          <w:tcPr>
            <w:tcW w:w="0" w:type="dxa"/>
            <w:vAlign w:val="bottom"/>
          </w:tcPr>
          <w:p>
            <w:pPr>
              <w:spacing w:after="0"/>
              <w:rPr>
                <w:sz w:val="1"/>
                <w:szCs w:val="1"/>
                <w:color w:val="auto"/>
              </w:rPr>
            </w:pPr>
          </w:p>
        </w:tc>
      </w:tr>
      <w:tr>
        <w:trPr>
          <w:trHeight w:val="54"/>
        </w:trPr>
        <w:tc>
          <w:tcPr>
            <w:tcW w:w="5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98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w w:val="91"/>
              </w:rPr>
              <w:t>Statements of Comprehensive Income</w:t>
            </w:r>
          </w:p>
        </w:tc>
        <w:tc>
          <w:tcPr>
            <w:tcW w:w="0" w:type="dxa"/>
            <w:vAlign w:val="bottom"/>
          </w:tcPr>
          <w:p>
            <w:pPr>
              <w:spacing w:after="0"/>
              <w:rPr>
                <w:sz w:val="1"/>
                <w:szCs w:val="1"/>
                <w:color w:val="auto"/>
              </w:rPr>
            </w:pPr>
          </w:p>
        </w:tc>
      </w:tr>
      <w:tr>
        <w:trPr>
          <w:trHeight w:val="65"/>
        </w:trPr>
        <w:tc>
          <w:tcPr>
            <w:tcW w:w="52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Amounts Reclassified from Accumulated OCI</w:t>
            </w:r>
          </w:p>
        </w:tc>
        <w:tc>
          <w:tcPr>
            <w:tcW w:w="120" w:type="dxa"/>
            <w:vAlign w:val="bottom"/>
            <w:vMerge w:val="restart"/>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vMerge w:val="restart"/>
          </w:tcPr>
          <w:p>
            <w:pPr>
              <w:jc w:val="right"/>
              <w:ind w:right="242"/>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80" w:type="dxa"/>
            <w:vAlign w:val="bottom"/>
            <w:vMerge w:val="restart"/>
          </w:tcPr>
          <w:p>
            <w:pPr>
              <w:jc w:val="right"/>
              <w:ind w:right="221"/>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5"/>
                <w:szCs w:val="5"/>
                <w:color w:val="auto"/>
              </w:rPr>
            </w:pPr>
          </w:p>
        </w:tc>
        <w:tc>
          <w:tcPr>
            <w:tcW w:w="3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52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Where Net Income is Presented</w:t>
            </w:r>
          </w:p>
        </w:tc>
        <w:tc>
          <w:tcPr>
            <w:tcW w:w="0" w:type="dxa"/>
            <w:vAlign w:val="bottom"/>
          </w:tcPr>
          <w:p>
            <w:pPr>
              <w:spacing w:after="0"/>
              <w:rPr>
                <w:sz w:val="1"/>
                <w:szCs w:val="1"/>
                <w:color w:val="auto"/>
              </w:rPr>
            </w:pPr>
          </w:p>
        </w:tc>
      </w:tr>
      <w:tr>
        <w:trPr>
          <w:trHeight w:val="219"/>
        </w:trPr>
        <w:tc>
          <w:tcPr>
            <w:tcW w:w="53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w w:val="98"/>
              </w:rPr>
              <w:t>(Gain) loss amounts reclassified from accumulated OCI for available-for-sale</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MBS upon realization</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(55)</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19"/>
                <w:szCs w:val="19"/>
                <w:color w:val="auto"/>
              </w:rPr>
            </w:pPr>
          </w:p>
        </w:tc>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Gain (loss) on sale of mortgage-backed securities, net</w:t>
            </w:r>
          </w:p>
        </w:tc>
        <w:tc>
          <w:tcPr>
            <w:tcW w:w="0" w:type="dxa"/>
            <w:vAlign w:val="bottom"/>
          </w:tcPr>
          <w:p>
            <w:pPr>
              <w:spacing w:after="0"/>
              <w:rPr>
                <w:sz w:val="1"/>
                <w:szCs w:val="1"/>
                <w:color w:val="auto"/>
              </w:rPr>
            </w:pPr>
          </w:p>
        </w:tc>
      </w:tr>
      <w:tr>
        <w:trPr>
          <w:trHeight w:val="220"/>
        </w:trPr>
        <w:tc>
          <w:tcPr>
            <w:tcW w:w="5380" w:type="dxa"/>
            <w:vAlign w:val="bottom"/>
            <w:gridSpan w:val="2"/>
          </w:tcPr>
          <w:p>
            <w:pPr>
              <w:ind w:left="40"/>
              <w:spacing w:after="0"/>
              <w:rPr>
                <w:sz w:val="20"/>
                <w:szCs w:val="20"/>
                <w:color w:val="auto"/>
              </w:rPr>
            </w:pPr>
            <w:r>
              <w:rPr>
                <w:rFonts w:ascii="Arial" w:cs="Arial" w:eastAsia="Arial" w:hAnsi="Arial"/>
                <w:sz w:val="16"/>
                <w:szCs w:val="16"/>
                <w:color w:val="auto"/>
                <w:w w:val="96"/>
              </w:rPr>
              <w:t>Periodic interest costs of interest rate swaps previously designated as hedges</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5380" w:type="dxa"/>
            <w:vAlign w:val="bottom"/>
            <w:gridSpan w:val="2"/>
          </w:tcPr>
          <w:p>
            <w:pPr>
              <w:ind w:left="40"/>
              <w:spacing w:after="0"/>
              <w:rPr>
                <w:sz w:val="20"/>
                <w:szCs w:val="20"/>
                <w:color w:val="auto"/>
              </w:rPr>
            </w:pPr>
            <w:r>
              <w:rPr>
                <w:rFonts w:ascii="Arial" w:cs="Arial" w:eastAsia="Arial" w:hAnsi="Arial"/>
                <w:sz w:val="16"/>
                <w:szCs w:val="16"/>
                <w:color w:val="auto"/>
              </w:rPr>
              <w:t>under GAAP, net</w:t>
            </w:r>
          </w:p>
        </w:tc>
        <w:tc>
          <w:tcPr>
            <w:tcW w:w="120" w:type="dxa"/>
            <w:vAlign w:val="bottom"/>
          </w:tcPr>
          <w:p>
            <w:pPr>
              <w:spacing w:after="0"/>
              <w:rPr>
                <w:sz w:val="17"/>
                <w:szCs w:val="17"/>
                <w:color w:val="auto"/>
              </w:rPr>
            </w:pPr>
          </w:p>
        </w:tc>
        <w:tc>
          <w:tcPr>
            <w:tcW w:w="820" w:type="dxa"/>
            <w:vAlign w:val="bottom"/>
          </w:tcPr>
          <w:p>
            <w:pPr>
              <w:jc w:val="right"/>
              <w:ind w:right="42"/>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21"/>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17"/>
                <w:szCs w:val="17"/>
                <w:color w:val="auto"/>
              </w:rPr>
            </w:pPr>
          </w:p>
        </w:tc>
        <w:tc>
          <w:tcPr>
            <w:tcW w:w="398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0" w:type="dxa"/>
            <w:vAlign w:val="bottom"/>
          </w:tcPr>
          <w:p>
            <w:pPr>
              <w:spacing w:after="0"/>
              <w:rPr>
                <w:sz w:val="1"/>
                <w:szCs w:val="1"/>
                <w:color w:val="auto"/>
              </w:rPr>
            </w:pPr>
          </w:p>
        </w:tc>
      </w:tr>
      <w:tr>
        <w:trPr>
          <w:trHeight w:val="33"/>
        </w:trPr>
        <w:tc>
          <w:tcPr>
            <w:tcW w:w="5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9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Total reclassifications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3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Line Item in the Consolidated</w:t>
            </w:r>
          </w:p>
        </w:tc>
        <w:tc>
          <w:tcPr>
            <w:tcW w:w="0" w:type="dxa"/>
            <w:vAlign w:val="bottom"/>
          </w:tcPr>
          <w:p>
            <w:pPr>
              <w:spacing w:after="0" w:line="20" w:lineRule="exact"/>
              <w:rPr>
                <w:sz w:val="1"/>
                <w:szCs w:val="1"/>
                <w:color w:val="auto"/>
              </w:rPr>
            </w:pPr>
          </w:p>
        </w:tc>
      </w:tr>
      <w:tr>
        <w:trPr>
          <w:trHeight w:val="392"/>
        </w:trPr>
        <w:tc>
          <w:tcPr>
            <w:tcW w:w="5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gridSpan w:val="4"/>
          </w:tcPr>
          <w:p>
            <w:pPr>
              <w:jc w:val="right"/>
              <w:ind w:right="21"/>
              <w:spacing w:after="0"/>
              <w:rPr>
                <w:sz w:val="20"/>
                <w:szCs w:val="20"/>
                <w:color w:val="auto"/>
              </w:rPr>
            </w:pPr>
            <w:r>
              <w:rPr>
                <w:rFonts w:ascii="Arial" w:cs="Arial" w:eastAsia="Arial" w:hAnsi="Arial"/>
                <w:sz w:val="14"/>
                <w:szCs w:val="14"/>
                <w:b w:val="1"/>
                <w:bCs w:val="1"/>
                <w:color w:val="auto"/>
                <w:w w:val="93"/>
              </w:rPr>
              <w:t>Six Months Ended June 30,</w:t>
            </w:r>
          </w:p>
        </w:tc>
        <w:tc>
          <w:tcPr>
            <w:tcW w:w="120" w:type="dxa"/>
            <w:vAlign w:val="bottom"/>
          </w:tcPr>
          <w:p>
            <w:pPr>
              <w:spacing w:after="0"/>
              <w:rPr>
                <w:sz w:val="24"/>
                <w:szCs w:val="24"/>
                <w:color w:val="auto"/>
              </w:rPr>
            </w:pPr>
          </w:p>
        </w:tc>
        <w:tc>
          <w:tcPr>
            <w:tcW w:w="39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5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98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w w:val="91"/>
              </w:rPr>
              <w:t>Statements of Comprehensive Income</w:t>
            </w:r>
          </w:p>
        </w:tc>
        <w:tc>
          <w:tcPr>
            <w:tcW w:w="0" w:type="dxa"/>
            <w:vAlign w:val="bottom"/>
          </w:tcPr>
          <w:p>
            <w:pPr>
              <w:spacing w:after="0"/>
              <w:rPr>
                <w:sz w:val="1"/>
                <w:szCs w:val="1"/>
                <w:color w:val="auto"/>
              </w:rPr>
            </w:pPr>
          </w:p>
        </w:tc>
      </w:tr>
      <w:tr>
        <w:trPr>
          <w:trHeight w:val="65"/>
        </w:trPr>
        <w:tc>
          <w:tcPr>
            <w:tcW w:w="52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Amounts Reclassified from Accumulated OCI</w:t>
            </w:r>
          </w:p>
        </w:tc>
        <w:tc>
          <w:tcPr>
            <w:tcW w:w="120" w:type="dxa"/>
            <w:vAlign w:val="bottom"/>
            <w:vMerge w:val="restart"/>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vMerge w:val="restart"/>
          </w:tcPr>
          <w:p>
            <w:pPr>
              <w:jc w:val="right"/>
              <w:ind w:right="242"/>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80" w:type="dxa"/>
            <w:vAlign w:val="bottom"/>
            <w:vMerge w:val="restart"/>
          </w:tcPr>
          <w:p>
            <w:pPr>
              <w:jc w:val="right"/>
              <w:ind w:right="221"/>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5"/>
                <w:szCs w:val="5"/>
                <w:color w:val="auto"/>
              </w:rPr>
            </w:pPr>
          </w:p>
        </w:tc>
        <w:tc>
          <w:tcPr>
            <w:tcW w:w="3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52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Where Net Income is Presented</w:t>
            </w:r>
          </w:p>
        </w:tc>
        <w:tc>
          <w:tcPr>
            <w:tcW w:w="0" w:type="dxa"/>
            <w:vAlign w:val="bottom"/>
          </w:tcPr>
          <w:p>
            <w:pPr>
              <w:spacing w:after="0"/>
              <w:rPr>
                <w:sz w:val="1"/>
                <w:szCs w:val="1"/>
                <w:color w:val="auto"/>
              </w:rPr>
            </w:pPr>
          </w:p>
        </w:tc>
      </w:tr>
      <w:tr>
        <w:trPr>
          <w:trHeight w:val="219"/>
        </w:trPr>
        <w:tc>
          <w:tcPr>
            <w:tcW w:w="53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w w:val="98"/>
              </w:rPr>
              <w:t>(Gain) loss amounts reclassified from accumulated OCI for available-for-sale</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MBS upon realization</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(53)</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19"/>
                <w:szCs w:val="19"/>
                <w:color w:val="auto"/>
              </w:rPr>
            </w:pPr>
          </w:p>
        </w:tc>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Gain (loss) on sale of mortgage-backed securities, net</w:t>
            </w:r>
          </w:p>
        </w:tc>
        <w:tc>
          <w:tcPr>
            <w:tcW w:w="0" w:type="dxa"/>
            <w:vAlign w:val="bottom"/>
          </w:tcPr>
          <w:p>
            <w:pPr>
              <w:spacing w:after="0"/>
              <w:rPr>
                <w:sz w:val="1"/>
                <w:szCs w:val="1"/>
                <w:color w:val="auto"/>
              </w:rPr>
            </w:pPr>
          </w:p>
        </w:tc>
      </w:tr>
      <w:tr>
        <w:trPr>
          <w:trHeight w:val="220"/>
        </w:trPr>
        <w:tc>
          <w:tcPr>
            <w:tcW w:w="5380" w:type="dxa"/>
            <w:vAlign w:val="bottom"/>
            <w:gridSpan w:val="2"/>
          </w:tcPr>
          <w:p>
            <w:pPr>
              <w:ind w:left="40"/>
              <w:spacing w:after="0"/>
              <w:rPr>
                <w:sz w:val="20"/>
                <w:szCs w:val="20"/>
                <w:color w:val="auto"/>
              </w:rPr>
            </w:pPr>
            <w:r>
              <w:rPr>
                <w:rFonts w:ascii="Arial" w:cs="Arial" w:eastAsia="Arial" w:hAnsi="Arial"/>
                <w:sz w:val="16"/>
                <w:szCs w:val="16"/>
                <w:color w:val="auto"/>
                <w:w w:val="96"/>
              </w:rPr>
              <w:t>Periodic interest costs of interest rate swaps previously designated as hedges</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5380" w:type="dxa"/>
            <w:vAlign w:val="bottom"/>
            <w:gridSpan w:val="2"/>
          </w:tcPr>
          <w:p>
            <w:pPr>
              <w:ind w:left="40"/>
              <w:spacing w:after="0"/>
              <w:rPr>
                <w:sz w:val="20"/>
                <w:szCs w:val="20"/>
                <w:color w:val="auto"/>
              </w:rPr>
            </w:pPr>
            <w:r>
              <w:rPr>
                <w:rFonts w:ascii="Arial" w:cs="Arial" w:eastAsia="Arial" w:hAnsi="Arial"/>
                <w:sz w:val="16"/>
                <w:szCs w:val="16"/>
                <w:color w:val="auto"/>
              </w:rPr>
              <w:t>under GAAP, net</w:t>
            </w:r>
          </w:p>
        </w:tc>
        <w:tc>
          <w:tcPr>
            <w:tcW w:w="120" w:type="dxa"/>
            <w:vAlign w:val="bottom"/>
          </w:tcPr>
          <w:p>
            <w:pPr>
              <w:spacing w:after="0"/>
              <w:rPr>
                <w:sz w:val="17"/>
                <w:szCs w:val="17"/>
                <w:color w:val="auto"/>
              </w:rPr>
            </w:pPr>
          </w:p>
        </w:tc>
        <w:tc>
          <w:tcPr>
            <w:tcW w:w="820" w:type="dxa"/>
            <w:vAlign w:val="bottom"/>
          </w:tcPr>
          <w:p>
            <w:pPr>
              <w:jc w:val="right"/>
              <w:ind w:right="42"/>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21"/>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17"/>
                <w:szCs w:val="17"/>
                <w:color w:val="auto"/>
              </w:rPr>
            </w:pPr>
          </w:p>
        </w:tc>
        <w:tc>
          <w:tcPr>
            <w:tcW w:w="398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0" w:type="dxa"/>
            <w:vAlign w:val="bottom"/>
          </w:tcPr>
          <w:p>
            <w:pPr>
              <w:spacing w:after="0"/>
              <w:rPr>
                <w:sz w:val="1"/>
                <w:szCs w:val="1"/>
                <w:color w:val="auto"/>
              </w:rPr>
            </w:pPr>
          </w:p>
        </w:tc>
      </w:tr>
      <w:tr>
        <w:trPr>
          <w:trHeight w:val="33"/>
        </w:trPr>
        <w:tc>
          <w:tcPr>
            <w:tcW w:w="538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9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Total reclassifications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3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46" w:right="239" w:bottom="1440" w:gutter="0" w:footer="0" w:header="0"/>
        </w:sect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746" w:right="2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Note 10. Subsequent Events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American Capital Mortgage Management, LLC</w:t>
      </w:r>
    </w:p>
    <w:p>
      <w:pPr>
        <w:spacing w:after="0" w:line="17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On July 1, 2016, we completed our acquisition of all of the outstanding membership interests of ACMM from ACAM, a wholly owned portfolio company of ACAS, for a purchase price of $562 million in cash. ACMM is the parent company of our Manager and the manager of MTGE. Following the closing of the acquisition, we became internally managed and are no longer affiliated with ACAS. We believe internalizing our management function will result in lower operating costs as well as management fee income from MTGE.</w:t>
      </w:r>
    </w:p>
    <w:p>
      <w:pPr>
        <w:spacing w:after="0" w:line="133"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We will account for our acquisition of ACMM as a business combination using the acquisition method of accounting in accordance with applicable U.S. GAAP, whereby the total purchase price will be allocated to tangible and intangible assets acquired and liabilities assumed based on their respective fair values as of the acquisition date. Goodwill is calculated as the excess of the consideration transferred over the net assets recognized and represents the estimated future economic benefits arising from other assets acquired that could not be individually identified and separately recognized. The principal assets of ACMM at the acquisition date were our management agreement, the MTGE management agreement, an assembled workforce, cash of $7 million, certain non-compete agreements with executive officers and other miscellaneous assets. ACMM did not have any significant liabilities as of the acquisition date.</w:t>
      </w:r>
    </w:p>
    <w:p>
      <w:pPr>
        <w:spacing w:after="0" w:line="111"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We are still in the process of completing our purchase price allocation and other items. We do not expect to recognize a gain or loss associated with the effective settlement of our pre-existing management agreement with our Manager on the acquisition date, and we expect that the substantial majority of the acquisition price will be recognized as goodwill attributable to intangible assets that do not qualify for separate recognition, largely consisting of our management agreement and assembled workforce. Goodwill is expected to be deductible for income tax purposes over a 15 year amortization period.</w:t>
      </w:r>
    </w:p>
    <w:p>
      <w:pPr>
        <w:spacing w:after="0" w:line="10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recognized $9 million of transaction related costs that were expensed during the three and six months ended June 30, 2016. These costs are included in general, administrative and other expenses in our consolidated statements of comprehensive income.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On July 14, 2016, our Board of Directors declared a monthly dividend of $0.20 per common share, which will be paid on August 8, 2016, to common stockholders of record as of July 29, 2016. On July 27, 2016, our Board of Directors declared a monthly dividend of $0.18 per common share, which will be paid on September 9, 2016, to common stockholders of record as of August 31, 2016.</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80"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9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Management's Discussion and Analysis of Financial Condition and Results of Operations ("MD&amp;A") is designed to provide a reader of American Capital Agency Corp.'s consolidated financial statements with a narrative from the perspective of management, and should be read in conjunction with the consolidated financial statements and accompanying notes included in this Quarterly Report on Form 10-Q for the three months ended June 30, 2016. Our MD&amp;A is presented in six sections:</w:t>
      </w:r>
    </w:p>
    <w:p>
      <w:pPr>
        <w:spacing w:after="0" w:line="52"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Executive Overview</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Financial Condition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Off-Balance Sheet Arrangements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Forward-Looking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17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American Capital Agency Corp. ("AGNC," the "Company," "we," "us" and "our") was organized on January 7, 2008 and commenced operations on May 20, 2008 following the completion of our initial public offering. Our common stock is traded on The NASDAQ Global Select Market ("NASDAQ") under the symbol "AGNC."</w:t>
      </w:r>
    </w:p>
    <w:p>
      <w:pPr>
        <w:spacing w:after="0" w:line="12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operate so as to qualify to be taxed as a real estate investment trust ("REIT") under the Internal Revenue Code of 1986, as amended (the "Internal Revenue Code"). As such, we are required to distribute annually 90% of our taxable net income. As long as we qualify as a REIT, we will generally not be subject to U.S. federal or state corporate taxes on our taxable net income to the extent that we distribute our annual taxable net income to our stockholders in a timely manner. It is our intention to distribute 100% of our taxable net income, after application of available tax attributes, within the limits prescribed by the Internal Revenue Code, which may extend into the subsequent taxable year.</w:t>
      </w:r>
    </w:p>
    <w:p>
      <w:pPr>
        <w:spacing w:after="0" w:line="134" w:lineRule="exact"/>
        <w:rPr>
          <w:sz w:val="20"/>
          <w:szCs w:val="20"/>
          <w:color w:val="auto"/>
        </w:rPr>
      </w:pPr>
    </w:p>
    <w:p>
      <w:pPr>
        <w:jc w:val="both"/>
        <w:ind w:firstLine="392"/>
        <w:spacing w:after="0" w:line="255" w:lineRule="auto"/>
        <w:rPr>
          <w:sz w:val="20"/>
          <w:szCs w:val="20"/>
          <w:color w:val="auto"/>
        </w:rPr>
      </w:pPr>
      <w:r>
        <w:rPr>
          <w:rFonts w:ascii="Arial" w:cs="Arial" w:eastAsia="Arial" w:hAnsi="Arial"/>
          <w:sz w:val="18"/>
          <w:szCs w:val="18"/>
          <w:color w:val="auto"/>
        </w:rPr>
        <w:t>We earn income primarily from investing in agency mortgage-backed securities ("agency MBS") on a leveraged basis. These investments consist of residential mortgage pass-through securities and collateralized mortgage obligations ("CMOs") for which the principal and interest payments are guaranteed by a government-sponsored enterprise, such as the Federal National Mortgage Association ("Fannie Mae") and the Federal Home Loan Mortgage Corporation ("Freddie Mac"), or by a U.S. Government agency, such as the Government National Mortgage Association ("Ginnie Mae") (collectively referred to as "GSEs"). We may also invest in other assets reasonably related to agency securities and up to 10% of our assets in AAA non-agency and commercial mortgage-backed securities (collectively referred to as "AAA non-agency MBS").</w:t>
      </w:r>
    </w:p>
    <w:p>
      <w:pPr>
        <w:spacing w:after="0" w:line="139"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Our principal objective is to generate attractive risk-adjusted returns for distribution to our stockholders through regular monthly dividends from our net interest income and net realized gains and losses on our investments and hedging activities, while preserving our net book value (also referred to as "net asset value", "NAV" and "stockholders' equity"). We fund our investments primarily through borrowings structured as repurchase agreements ("repo").</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Internalization</w:t>
      </w:r>
    </w:p>
    <w:p>
      <w:pPr>
        <w:spacing w:after="0" w:line="229"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On July 1, 2016, we completed the acquisition of American Capital Mortgage Management, LLC ("ACMM") from American Capital Asset Management, LLC ("ACAM"), a wholly owned portfolio company of American Capital, Ltd. ("ACAS") for a purchase price of $562 million in cash. ACMM is the parent company of our Manager and of American Capital MTGE Management, LLC ("MTGE Manager"), the external manager of American Capital Mortgage Investment Corp. ("MTGE"). Following the closing of the acquisition of ACMM (the "Internalization"), we became internally managed and are no longer affiliated with ACAS. We believe that the acquisition represents an important milestone for the Company, and we expect that it will result in lower operating costs for AGNC and management fee income from MTGE. As of July 31, 2016, we had 52 full-time employees, and all of our significant business functions are fully staffed. As part of the Internalization, the Company and ACMM entered into a Transition Services Agreement with ACAS and ACAM, pursuant to which ACAS and ACAM will provide certain transition services for a limited period of time following the Internalization.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 Strategy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investment strategy is designed to:</w:t>
      </w:r>
    </w:p>
    <w:p>
      <w:pPr>
        <w:spacing w:after="0" w:line="225" w:lineRule="exact"/>
        <w:rPr>
          <w:sz w:val="20"/>
          <w:szCs w:val="20"/>
          <w:color w:val="auto"/>
        </w:rPr>
      </w:pPr>
    </w:p>
    <w:p>
      <w:pPr>
        <w:ind w:left="760" w:hanging="347"/>
        <w:spacing w:after="0"/>
        <w:tabs>
          <w:tab w:leader="none" w:pos="7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manage an investment portfolio consisting primarily of agency securities with the objective of generating attractive risk-adjusted returns;</w:t>
      </w:r>
    </w:p>
    <w:p>
      <w:pPr>
        <w:spacing w:after="0" w:line="74" w:lineRule="exact"/>
        <w:rPr>
          <w:rFonts w:ascii="Arial" w:cs="Arial" w:eastAsia="Arial" w:hAnsi="Arial"/>
          <w:sz w:val="17"/>
          <w:szCs w:val="17"/>
          <w:color w:val="auto"/>
        </w:rPr>
      </w:pPr>
    </w:p>
    <w:p>
      <w:pPr>
        <w:ind w:left="760" w:hanging="347"/>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capitalize on discrepancies in the relative valuations in the agency and AAA non-agency securities market;</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742" w:right="239" w:bottom="1440" w:gutter="0" w:footer="0" w:header="0"/>
        </w:sectPr>
      </w:pPr>
    </w:p>
    <w:bookmarkStart w:id="30" w:name="page31"/>
    <w:bookmarkEnd w:id="30"/>
    <w:p>
      <w:pPr>
        <w:ind w:left="760" w:hanging="347"/>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manage a wide range of risks including financing, interest rate, prepayment and extension risks;</w:t>
      </w:r>
    </w:p>
    <w:p>
      <w:pPr>
        <w:spacing w:after="0" w:line="63" w:lineRule="exact"/>
        <w:rPr>
          <w:rFonts w:ascii="Arial" w:cs="Arial" w:eastAsia="Arial" w:hAnsi="Arial"/>
          <w:sz w:val="18"/>
          <w:szCs w:val="18"/>
          <w:color w:val="auto"/>
        </w:rPr>
      </w:pPr>
    </w:p>
    <w:p>
      <w:pPr>
        <w:ind w:left="760" w:hanging="347"/>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preserve our net book value;</w:t>
      </w:r>
    </w:p>
    <w:p>
      <w:pPr>
        <w:spacing w:after="0" w:line="63" w:lineRule="exact"/>
        <w:rPr>
          <w:rFonts w:ascii="Arial" w:cs="Arial" w:eastAsia="Arial" w:hAnsi="Arial"/>
          <w:sz w:val="18"/>
          <w:szCs w:val="18"/>
          <w:color w:val="auto"/>
        </w:rPr>
      </w:pPr>
    </w:p>
    <w:p>
      <w:pPr>
        <w:ind w:left="760" w:hanging="347"/>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provide regular monthly distributions to our stockholders;</w:t>
      </w:r>
    </w:p>
    <w:p>
      <w:pPr>
        <w:spacing w:after="0" w:line="63" w:lineRule="exact"/>
        <w:rPr>
          <w:rFonts w:ascii="Arial" w:cs="Arial" w:eastAsia="Arial" w:hAnsi="Arial"/>
          <w:sz w:val="18"/>
          <w:szCs w:val="18"/>
          <w:color w:val="auto"/>
        </w:rPr>
      </w:pPr>
    </w:p>
    <w:p>
      <w:pPr>
        <w:ind w:left="760" w:hanging="347"/>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continue to qualify as a REIT; and</w:t>
      </w:r>
    </w:p>
    <w:p>
      <w:pPr>
        <w:spacing w:after="0" w:line="63" w:lineRule="exact"/>
        <w:rPr>
          <w:rFonts w:ascii="Arial" w:cs="Arial" w:eastAsia="Arial" w:hAnsi="Arial"/>
          <w:sz w:val="18"/>
          <w:szCs w:val="18"/>
          <w:color w:val="auto"/>
        </w:rPr>
      </w:pPr>
    </w:p>
    <w:p>
      <w:pPr>
        <w:ind w:left="760" w:hanging="347"/>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remain exempt from the requirements of the Investment Company Act of 1940, as amended (the "Investment Company Act").</w:t>
      </w:r>
    </w:p>
    <w:p>
      <w:pPr>
        <w:spacing w:after="0" w:line="22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size and composition of our investment portfolio depends on investment strategies we implement, the availability of investment capital and overall market conditions, including the availability of attractively priced investments and suitable financing to appropriately leverage our investment portfolio. Market conditions are influenced by, among other things, current levels of and expectations for future levels of interest rates, mortgage prepayments, market liquidity, housing prices, unemployment rates, general economic conditions, government participation in the mortgage market and evolving regulations or legal settlements that impact servicing practices or other mortgage related activities.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Risk Management Strategy</w:t>
      </w:r>
    </w:p>
    <w:p>
      <w:pPr>
        <w:spacing w:after="0" w:line="17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use a variety of strategies to hedge a portion of our exposure to market risks, including interest rate, prepayment, extension and liquidity risk. Our investment and risk management strategy incorporates the cost of hedging transactions and our intention to qualify as a REIT. Consequently, while we use interest rate swaps and other hedges to attempt to protect our net book value against moves in interest rates, we may not hedge certain interest rate, prepayment or extension risks if we believe that bearing such risks enhances our return relative to our risk/return profile, or the hedging transaction would negatively impact our REIT status.</w:t>
      </w:r>
    </w:p>
    <w:p>
      <w:pPr>
        <w:spacing w:after="0" w:line="134"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The risk management actions we take may lower our earnings and dividends in the short term to further our objective of maintaining attractive levels of earnings and dividends over the long term. In addition, some of our hedges are intended to provide protection against larger rate moves and as a result may be relatively ineffective for smaller changes in interest rates. There can also be no certainty that our projections of our exposures to interest rates, prepayments, extension or other risks will be accurate or that our hedging activities will be effective and, therefore, actual results could differ materially. Furthermore, since our hedging strategies are generally not designed to protect our net book value from spread risk, wider spreads between the market yield on our investment securities and benchmark interests underlying our interest rate hedges will typically cause our net book value to decline and can occur independent of changes in benchmark interest rates. For further discussion of our market risks and risk management strategy, please refer to "Quantitative and Qualitative Disclosures about Market Risk" under Item 3 of this Quarterly Report on Form 10-Q.</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and Recent Market Impacts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First and Second Quarter Highlights</w:t>
      </w:r>
    </w:p>
    <w:p>
      <w:pPr>
        <w:spacing w:after="0" w:line="171"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Following the Federal Reserve's (the "Fed") first Federal Funds Rate increase in nearly ten years in December 2015, interest rates across much of the yield curve fell materially during the first quarter of 2016, as concerns regarding global economic weakness dampened the market’s expectations with respect to U.S. economic growth, inflation and the pace of monetary policy normalization. Consistent with this weaker outlook, at its March meeting, the Fed significantly reduced its expectations for future short term interest rate increases and explicitly acknowledged the potential downside risk to the U.S. economy associated with the deteriorating global landscape. The weaker global growth outlook also led to significant additional easing measures by the European Central Bank and the Bank of Japan, with the latter instituting negative interest rates for the first time during the first quarter.</w:t>
      </w:r>
    </w:p>
    <w:p>
      <w:pPr>
        <w:spacing w:after="0" w:line="124"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Early in the second quarter as the U.S. economy showed signs of improvement, communication from the Fed became decidedly more "hawkish" with respect to its stance on monetary policy. The Fed’s more upbeat assessment of the U.S. economy led the market to believe there was an increased likelihood of additional Fed rate hikes, thus causing interest rates more broadly to rise and retrace some of the rate decline experienced in the first quarter. This trend was subsequently reversed later in the second quarter, as the combination of weaker economic data in the U.S. and the surprise vote by the United Kingdom to withdraw from the European Union drove interest rates to historically low levels.</w:t>
      </w:r>
    </w:p>
    <w:p>
      <w:pPr>
        <w:spacing w:after="0" w:line="11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Against this backdrop, the 10 year swap rate in the U.S. declined significantly during the first two quarters of the year, falling 55 basis points during the first quarter to 1.64% as of March 31, 2016 and another 26 basis point during the second quarter, ending the second quarter near its all-time record low at 1.38% as of June 30, 2016. The 10 year U.S. Treasury rate experienced a similar decline, falling a total of 78 basis points during the first two quarters of the year to 1.49% as of June 30, 2016.</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584" w:right="239" w:bottom="1440" w:gutter="0" w:footer="0" w:header="0"/>
        </w:sectPr>
      </w:pPr>
    </w:p>
    <w:bookmarkStart w:id="31" w:name="page32"/>
    <w:bookmarkEnd w:id="31"/>
    <w:p>
      <w:pPr>
        <w:jc w:val="both"/>
        <w:ind w:firstLine="405"/>
        <w:spacing w:after="0" w:line="257" w:lineRule="auto"/>
        <w:rPr>
          <w:sz w:val="20"/>
          <w:szCs w:val="20"/>
          <w:color w:val="auto"/>
        </w:rPr>
      </w:pPr>
      <w:r>
        <w:rPr>
          <w:rFonts w:ascii="Arial" w:cs="Arial" w:eastAsia="Arial" w:hAnsi="Arial"/>
          <w:sz w:val="18"/>
          <w:szCs w:val="18"/>
          <w:color w:val="auto"/>
        </w:rPr>
        <w:t>The aggregate spread differential between the market yield on agency MBS and the benchmark interest rates underlying our interest rate hedges widened modestly during the first quarter and was the primary driver of the 2.2% decline in our NAV per common share during the quarter to $22.09 as of March 31, 2016. Our NAV per common share improved slightly during the second quarter due to modest tightening of this spread, resulting in a 0.6% increase in our NAV per common share to $22.22 as of June 30, 2016. Taking into account quarterly dividends of $0.60 per common share, our economic returns were 0.4% and 3.3% for the first and second quarters, respectively.</w:t>
      </w:r>
    </w:p>
    <w:p>
      <w:pPr>
        <w:spacing w:after="0" w:line="134"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The average projected CPR on our portfolio increased to 10.8% as of June 30, 2016, from 10.2% as of March 31, 2016 and 8.4% as of December 31, 2015, as prepayment expectations increased consistent with the decline in long-term interest rates. Although prepayment risk is elevated following the significant decline in rates, we do not presently expect a major increase in mortgage refinance activity comparable to 2012 due to a number of factors, including a reduced benefit of refinancing to borrowers relative to 2012 and borrower refinance "burnout," which refers to mortgage borrowers' declining likelihood of refinancing mortgages with continued availability of similar rate incentives. Nevertheless, given the current environment of elevated prepayment risk, careful asset selection will likely be an important determinant of actual prepayment speeds. As such, during the second quarter we increased our concentration in securities backed by loans with favorable prepayment characteristics and positioned our TBA securities in lower coupon holdings, which provide better protection against prepayments. As of June 30, 2016, 68% of our fixed-rate securities, excluding our net TBA position, consisted of securities backed by loans with favorable prepayment characteristics, which we categorize as lower loan balance mortgages with original loan balances of up to $150,000 and loans originated under the U.S. Government sponsored Home Affordable Refinance Program ("HARP") backed by 100% refinance loans with original loan-to-values of ≥ 80%. This compares to 62% and 63% of our fixed-rate securities, excluding our net TBA position, as of March 31, 2016 and December 31, 2015, respectively.</w:t>
      </w:r>
    </w:p>
    <w:p>
      <w:pPr>
        <w:spacing w:after="0" w:line="126"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Given our view that rates in the U.S. will remain relatively range bound, during the first two quarters of the year, we adjusted the composition of our hedge portfolio and lowered our hedge ratio to 79% of our funding liabilities and net TBA position as of June 30, 2016, compared to 83% and 87% as of March 31, 2016 and December 31, 2015, respectively. Our net "duration gap," which is a measure of the risk due to mismatches that can occur between our assets and liabilities, inclusive of hedges, caused by an instantaneous parallel shift in interest rates, also declined from 0.8 years as of December 31, 2015 to a net duration gap of zero as of the end of the first and second quarters. Coupled with attractive investment opportunities in agency MBS, we also chose to increase our "at risk" leverage to an average of 7.2x during the first two quarters, compared to 6.8x as of December 31, 2015 and a low of 6.1x as of June 30, 2015.</w:t>
      </w:r>
    </w:p>
    <w:p>
      <w:pPr>
        <w:spacing w:after="0" w:line="13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For the estimated impact of changes in interests rates and mortgage spreads on our net book value please refer to "Quantitative and Qualitative Disclosures about Market Risk" under Item 3 of this Quarterly Report on Form 10-Q.</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746"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Market Information</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interest rates and prices of generic fixed rate agency MBS as of each date presented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June 30,</w:t>
            </w: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Sept. 30,</w:t>
            </w:r>
          </w:p>
        </w:tc>
        <w:tc>
          <w:tcPr>
            <w:tcW w:w="7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Dec. 31,</w:t>
            </w: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Mar. 31,</w:t>
            </w:r>
          </w:p>
        </w:tc>
        <w:tc>
          <w:tcPr>
            <w:tcW w:w="7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June 30,</w:t>
            </w:r>
          </w:p>
        </w:tc>
        <w:tc>
          <w:tcPr>
            <w:tcW w:w="13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2"/>
              </w:rPr>
              <w:t>June 30, 2016</w:t>
            </w:r>
          </w:p>
        </w:tc>
        <w:tc>
          <w:tcPr>
            <w:tcW w:w="1220" w:type="dxa"/>
            <w:vAlign w:val="bottom"/>
            <w:gridSpan w:val="2"/>
          </w:tcPr>
          <w:p>
            <w:pPr>
              <w:jc w:val="right"/>
              <w:ind w:right="108"/>
              <w:spacing w:after="0"/>
              <w:rPr>
                <w:sz w:val="20"/>
                <w:szCs w:val="20"/>
                <w:color w:val="auto"/>
              </w:rPr>
            </w:pPr>
            <w:r>
              <w:rPr>
                <w:rFonts w:ascii="Arial" w:cs="Arial" w:eastAsia="Arial" w:hAnsi="Arial"/>
                <w:sz w:val="14"/>
                <w:szCs w:val="14"/>
                <w:b w:val="1"/>
                <w:bCs w:val="1"/>
                <w:color w:val="auto"/>
              </w:rPr>
              <w:t>June 30, 2016</w:t>
            </w:r>
          </w:p>
        </w:tc>
        <w:tc>
          <w:tcPr>
            <w:tcW w:w="0" w:type="dxa"/>
            <w:vAlign w:val="bottom"/>
          </w:tcPr>
          <w:p>
            <w:pPr>
              <w:spacing w:after="0"/>
              <w:rPr>
                <w:sz w:val="1"/>
                <w:szCs w:val="1"/>
                <w:color w:val="auto"/>
              </w:rPr>
            </w:pPr>
          </w:p>
        </w:tc>
      </w:tr>
      <w:tr>
        <w:trPr>
          <w:trHeight w:val="149"/>
        </w:trPr>
        <w:tc>
          <w:tcPr>
            <w:tcW w:w="246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 xml:space="preserve">Interest Rate/Security Price </w:t>
            </w:r>
            <w:r>
              <w:rPr>
                <w:rFonts w:ascii="Arial" w:cs="Arial" w:eastAsia="Arial" w:hAnsi="Arial"/>
                <w:sz w:val="8"/>
                <w:szCs w:val="8"/>
                <w:b w:val="1"/>
                <w:bCs w:val="1"/>
                <w:color w:val="auto"/>
              </w:rPr>
              <w:t>1</w:t>
            </w:r>
          </w:p>
        </w:tc>
        <w:tc>
          <w:tcPr>
            <w:tcW w:w="100" w:type="dxa"/>
            <w:vAlign w:val="bottom"/>
            <w:vMerge w:val="restart"/>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30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76"/>
              </w:rPr>
              <w:t>vs</w:t>
            </w:r>
          </w:p>
        </w:tc>
        <w:tc>
          <w:tcPr>
            <w:tcW w:w="1220" w:type="dxa"/>
            <w:vAlign w:val="bottom"/>
            <w:gridSpan w:val="2"/>
          </w:tcPr>
          <w:p>
            <w:pPr>
              <w:jc w:val="right"/>
              <w:ind w:right="468"/>
              <w:spacing w:after="0" w:line="149" w:lineRule="exact"/>
              <w:rPr>
                <w:sz w:val="20"/>
                <w:szCs w:val="20"/>
                <w:color w:val="auto"/>
              </w:rPr>
            </w:pPr>
            <w:r>
              <w:rPr>
                <w:rFonts w:ascii="Arial" w:cs="Arial" w:eastAsia="Arial" w:hAnsi="Arial"/>
                <w:sz w:val="14"/>
                <w:szCs w:val="14"/>
                <w:b w:val="1"/>
                <w:bCs w:val="1"/>
                <w:color w:val="auto"/>
              </w:rPr>
              <w:t>vs</w:t>
            </w:r>
          </w:p>
        </w:tc>
        <w:tc>
          <w:tcPr>
            <w:tcW w:w="0" w:type="dxa"/>
            <w:vAlign w:val="bottom"/>
          </w:tcPr>
          <w:p>
            <w:pPr>
              <w:spacing w:after="0"/>
              <w:rPr>
                <w:sz w:val="1"/>
                <w:szCs w:val="1"/>
                <w:color w:val="auto"/>
              </w:rPr>
            </w:pPr>
          </w:p>
        </w:tc>
      </w:tr>
      <w:tr>
        <w:trPr>
          <w:trHeight w:val="192"/>
        </w:trPr>
        <w:tc>
          <w:tcPr>
            <w:tcW w:w="24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c>
          <w:tcPr>
            <w:tcW w:w="12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Mar. 31, 2016</w:t>
            </w:r>
          </w:p>
        </w:tc>
        <w:tc>
          <w:tcPr>
            <w:tcW w:w="1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Dec. 31, 2015</w:t>
            </w:r>
          </w:p>
        </w:tc>
        <w:tc>
          <w:tcPr>
            <w:tcW w:w="0" w:type="dxa"/>
            <w:vAlign w:val="bottom"/>
          </w:tcPr>
          <w:p>
            <w:pPr>
              <w:spacing w:after="0"/>
              <w:rPr>
                <w:sz w:val="1"/>
                <w:szCs w:val="1"/>
                <w:color w:val="auto"/>
              </w:rPr>
            </w:pPr>
          </w:p>
        </w:tc>
      </w:tr>
      <w:tr>
        <w:trPr>
          <w:trHeight w:val="270"/>
        </w:trPr>
        <w:tc>
          <w:tcPr>
            <w:tcW w:w="256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LIBOR:</w:t>
            </w:r>
          </w:p>
        </w:tc>
        <w:tc>
          <w:tcPr>
            <w:tcW w:w="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560" w:type="dxa"/>
            <w:vAlign w:val="bottom"/>
            <w:gridSpan w:val="2"/>
          </w:tcPr>
          <w:p>
            <w:pPr>
              <w:ind w:left="200"/>
              <w:spacing w:after="0"/>
              <w:rPr>
                <w:sz w:val="20"/>
                <w:szCs w:val="20"/>
                <w:color w:val="auto"/>
              </w:rPr>
            </w:pPr>
            <w:r>
              <w:rPr>
                <w:rFonts w:ascii="Arial" w:cs="Arial" w:eastAsia="Arial" w:hAnsi="Arial"/>
                <w:sz w:val="14"/>
                <w:szCs w:val="14"/>
                <w:color w:val="auto"/>
              </w:rPr>
              <w:t>1-Month</w:t>
            </w:r>
          </w:p>
        </w:tc>
        <w:tc>
          <w:tcPr>
            <w:tcW w:w="600" w:type="dxa"/>
            <w:vAlign w:val="bottom"/>
          </w:tcPr>
          <w:p>
            <w:pPr>
              <w:jc w:val="center"/>
              <w:spacing w:after="0"/>
              <w:rPr>
                <w:sz w:val="20"/>
                <w:szCs w:val="20"/>
                <w:color w:val="auto"/>
              </w:rPr>
            </w:pPr>
            <w:r>
              <w:rPr>
                <w:rFonts w:ascii="Arial" w:cs="Arial" w:eastAsia="Arial" w:hAnsi="Arial"/>
                <w:sz w:val="14"/>
                <w:szCs w:val="14"/>
                <w:color w:val="auto"/>
                <w:w w:val="95"/>
              </w:rPr>
              <w:t>0.19%</w:t>
            </w:r>
          </w:p>
        </w:tc>
        <w:tc>
          <w:tcPr>
            <w:tcW w:w="120" w:type="dxa"/>
            <w:vAlign w:val="bottom"/>
          </w:tcPr>
          <w:p>
            <w:pPr>
              <w:spacing w:after="0"/>
              <w:rPr>
                <w:sz w:val="22"/>
                <w:szCs w:val="22"/>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95"/>
              </w:rPr>
              <w:t>0.19%</w:t>
            </w:r>
          </w:p>
        </w:tc>
        <w:tc>
          <w:tcPr>
            <w:tcW w:w="100" w:type="dxa"/>
            <w:vAlign w:val="bottom"/>
          </w:tcPr>
          <w:p>
            <w:pPr>
              <w:spacing w:after="0"/>
              <w:rPr>
                <w:sz w:val="22"/>
                <w:szCs w:val="22"/>
                <w:color w:val="auto"/>
              </w:rPr>
            </w:pPr>
          </w:p>
        </w:tc>
        <w:tc>
          <w:tcPr>
            <w:tcW w:w="600" w:type="dxa"/>
            <w:vAlign w:val="bottom"/>
          </w:tcPr>
          <w:p>
            <w:pPr>
              <w:jc w:val="center"/>
              <w:spacing w:after="0"/>
              <w:rPr>
                <w:sz w:val="20"/>
                <w:szCs w:val="20"/>
                <w:color w:val="auto"/>
              </w:rPr>
            </w:pPr>
            <w:r>
              <w:rPr>
                <w:rFonts w:ascii="Arial" w:cs="Arial" w:eastAsia="Arial" w:hAnsi="Arial"/>
                <w:sz w:val="14"/>
                <w:szCs w:val="14"/>
                <w:color w:val="auto"/>
                <w:w w:val="90"/>
              </w:rPr>
              <w:t>0.43%</w:t>
            </w:r>
          </w:p>
        </w:tc>
        <w:tc>
          <w:tcPr>
            <w:tcW w:w="100" w:type="dxa"/>
            <w:vAlign w:val="bottom"/>
          </w:tcPr>
          <w:p>
            <w:pPr>
              <w:spacing w:after="0"/>
              <w:rPr>
                <w:sz w:val="22"/>
                <w:szCs w:val="22"/>
                <w:color w:val="auto"/>
              </w:rPr>
            </w:pPr>
          </w:p>
        </w:tc>
        <w:tc>
          <w:tcPr>
            <w:tcW w:w="600" w:type="dxa"/>
            <w:vAlign w:val="bottom"/>
          </w:tcPr>
          <w:p>
            <w:pPr>
              <w:jc w:val="center"/>
              <w:spacing w:after="0"/>
              <w:rPr>
                <w:sz w:val="20"/>
                <w:szCs w:val="20"/>
                <w:color w:val="auto"/>
              </w:rPr>
            </w:pPr>
            <w:r>
              <w:rPr>
                <w:rFonts w:ascii="Arial" w:cs="Arial" w:eastAsia="Arial" w:hAnsi="Arial"/>
                <w:sz w:val="14"/>
                <w:szCs w:val="14"/>
                <w:color w:val="auto"/>
                <w:w w:val="95"/>
              </w:rPr>
              <w:t>0.44%</w:t>
            </w:r>
          </w:p>
        </w:tc>
        <w:tc>
          <w:tcPr>
            <w:tcW w:w="120" w:type="dxa"/>
            <w:vAlign w:val="bottom"/>
          </w:tcPr>
          <w:p>
            <w:pPr>
              <w:spacing w:after="0"/>
              <w:rPr>
                <w:sz w:val="22"/>
                <w:szCs w:val="22"/>
                <w:color w:val="auto"/>
              </w:rPr>
            </w:pPr>
          </w:p>
        </w:tc>
        <w:tc>
          <w:tcPr>
            <w:tcW w:w="600" w:type="dxa"/>
            <w:vAlign w:val="bottom"/>
          </w:tcPr>
          <w:p>
            <w:pPr>
              <w:jc w:val="center"/>
              <w:spacing w:after="0"/>
              <w:rPr>
                <w:sz w:val="20"/>
                <w:szCs w:val="20"/>
                <w:color w:val="auto"/>
              </w:rPr>
            </w:pPr>
            <w:r>
              <w:rPr>
                <w:rFonts w:ascii="Arial" w:cs="Arial" w:eastAsia="Arial" w:hAnsi="Arial"/>
                <w:sz w:val="14"/>
                <w:szCs w:val="14"/>
                <w:color w:val="auto"/>
                <w:w w:val="95"/>
              </w:rPr>
              <w:t>0.47%</w:t>
            </w: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+0.03</w:t>
            </w:r>
          </w:p>
        </w:tc>
        <w:tc>
          <w:tcPr>
            <w:tcW w:w="720" w:type="dxa"/>
            <w:vAlign w:val="bottom"/>
            <w:gridSpan w:val="2"/>
          </w:tcPr>
          <w:p>
            <w:pPr>
              <w:jc w:val="right"/>
              <w:ind w:right="480"/>
              <w:spacing w:after="0"/>
              <w:rPr>
                <w:sz w:val="20"/>
                <w:szCs w:val="20"/>
                <w:color w:val="auto"/>
              </w:rPr>
            </w:pPr>
            <w:r>
              <w:rPr>
                <w:rFonts w:ascii="Arial" w:cs="Arial" w:eastAsia="Arial" w:hAnsi="Arial"/>
                <w:sz w:val="14"/>
                <w:szCs w:val="14"/>
                <w:color w:val="auto"/>
                <w:w w:val="97"/>
              </w:rPr>
              <w:t>bps</w:t>
            </w:r>
          </w:p>
        </w:tc>
        <w:tc>
          <w:tcPr>
            <w:tcW w:w="600" w:type="dxa"/>
            <w:vAlign w:val="bottom"/>
          </w:tcPr>
          <w:p>
            <w:pPr>
              <w:ind w:left="240"/>
              <w:spacing w:after="0"/>
              <w:rPr>
                <w:sz w:val="20"/>
                <w:szCs w:val="20"/>
                <w:color w:val="auto"/>
              </w:rPr>
            </w:pPr>
            <w:r>
              <w:rPr>
                <w:rFonts w:ascii="Arial" w:cs="Arial" w:eastAsia="Arial" w:hAnsi="Arial"/>
                <w:sz w:val="14"/>
                <w:szCs w:val="14"/>
                <w:color w:val="auto"/>
                <w:w w:val="95"/>
              </w:rPr>
              <w:t>+0.04</w:t>
            </w:r>
          </w:p>
        </w:tc>
        <w:tc>
          <w:tcPr>
            <w:tcW w:w="620" w:type="dxa"/>
            <w:vAlign w:val="bottom"/>
          </w:tcPr>
          <w:p>
            <w:pPr>
              <w:jc w:val="right"/>
              <w:ind w:right="308"/>
              <w:spacing w:after="0"/>
              <w:rPr>
                <w:sz w:val="20"/>
                <w:szCs w:val="20"/>
                <w:color w:val="auto"/>
              </w:rPr>
            </w:pPr>
            <w:r>
              <w:rPr>
                <w:rFonts w:ascii="Arial" w:cs="Arial" w:eastAsia="Arial" w:hAnsi="Arial"/>
                <w:sz w:val="14"/>
                <w:szCs w:val="14"/>
                <w:color w:val="auto"/>
                <w:w w:val="97"/>
              </w:rPr>
              <w:t>bps</w:t>
            </w:r>
          </w:p>
        </w:tc>
        <w:tc>
          <w:tcPr>
            <w:tcW w:w="0" w:type="dxa"/>
            <w:vAlign w:val="bottom"/>
          </w:tcPr>
          <w:p>
            <w:pPr>
              <w:spacing w:after="0"/>
              <w:rPr>
                <w:sz w:val="1"/>
                <w:szCs w:val="1"/>
                <w:color w:val="auto"/>
              </w:rPr>
            </w:pPr>
          </w:p>
        </w:tc>
      </w:tr>
      <w:tr>
        <w:trPr>
          <w:trHeight w:val="276"/>
        </w:trPr>
        <w:tc>
          <w:tcPr>
            <w:tcW w:w="25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3-Month</w:t>
            </w:r>
          </w:p>
        </w:tc>
        <w:tc>
          <w:tcPr>
            <w:tcW w:w="6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0.28%</w:t>
            </w: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0.33%</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0.61%</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0.63%</w:t>
            </w: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0.65%</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+0.02</w:t>
            </w:r>
          </w:p>
        </w:tc>
        <w:tc>
          <w:tcPr>
            <w:tcW w:w="720" w:type="dxa"/>
            <w:vAlign w:val="bottom"/>
            <w:gridSpan w:val="2"/>
            <w:shd w:val="clear" w:color="auto" w:fill="CCEEFF"/>
          </w:tcPr>
          <w:p>
            <w:pPr>
              <w:jc w:val="right"/>
              <w:ind w:right="480"/>
              <w:spacing w:after="0"/>
              <w:rPr>
                <w:sz w:val="20"/>
                <w:szCs w:val="20"/>
                <w:color w:val="auto"/>
              </w:rPr>
            </w:pPr>
            <w:r>
              <w:rPr>
                <w:rFonts w:ascii="Arial" w:cs="Arial" w:eastAsia="Arial" w:hAnsi="Arial"/>
                <w:sz w:val="14"/>
                <w:szCs w:val="14"/>
                <w:color w:val="auto"/>
                <w:w w:val="97"/>
              </w:rPr>
              <w:t>bps</w:t>
            </w:r>
          </w:p>
        </w:tc>
        <w:tc>
          <w:tcPr>
            <w:tcW w:w="600" w:type="dxa"/>
            <w:vAlign w:val="bottom"/>
            <w:shd w:val="clear" w:color="auto" w:fill="CCEEFF"/>
          </w:tcPr>
          <w:p>
            <w:pPr>
              <w:ind w:left="240"/>
              <w:spacing w:after="0"/>
              <w:rPr>
                <w:sz w:val="20"/>
                <w:szCs w:val="20"/>
                <w:color w:val="auto"/>
              </w:rPr>
            </w:pPr>
            <w:r>
              <w:rPr>
                <w:rFonts w:ascii="Arial" w:cs="Arial" w:eastAsia="Arial" w:hAnsi="Arial"/>
                <w:sz w:val="14"/>
                <w:szCs w:val="14"/>
                <w:color w:val="auto"/>
                <w:w w:val="95"/>
              </w:rPr>
              <w:t>+0.04</w:t>
            </w:r>
          </w:p>
        </w:tc>
        <w:tc>
          <w:tcPr>
            <w:tcW w:w="62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w w:val="97"/>
              </w:rPr>
              <w:t>bps</w:t>
            </w:r>
          </w:p>
        </w:tc>
        <w:tc>
          <w:tcPr>
            <w:tcW w:w="0" w:type="dxa"/>
            <w:vAlign w:val="bottom"/>
          </w:tcPr>
          <w:p>
            <w:pPr>
              <w:spacing w:after="0"/>
              <w:rPr>
                <w:sz w:val="1"/>
                <w:szCs w:val="1"/>
                <w:color w:val="auto"/>
              </w:rPr>
            </w:pPr>
          </w:p>
        </w:tc>
      </w:tr>
      <w:tr>
        <w:trPr>
          <w:trHeight w:val="264"/>
        </w:trPr>
        <w:tc>
          <w:tcPr>
            <w:tcW w:w="2560" w:type="dxa"/>
            <w:vAlign w:val="bottom"/>
            <w:gridSpan w:val="2"/>
          </w:tcPr>
          <w:p>
            <w:pPr>
              <w:ind w:left="200"/>
              <w:spacing w:after="0"/>
              <w:rPr>
                <w:sz w:val="20"/>
                <w:szCs w:val="20"/>
                <w:color w:val="auto"/>
              </w:rPr>
            </w:pPr>
            <w:r>
              <w:rPr>
                <w:rFonts w:ascii="Arial" w:cs="Arial" w:eastAsia="Arial" w:hAnsi="Arial"/>
                <w:sz w:val="14"/>
                <w:szCs w:val="14"/>
                <w:color w:val="auto"/>
              </w:rPr>
              <w:t>6-Month</w:t>
            </w:r>
          </w:p>
        </w:tc>
        <w:tc>
          <w:tcPr>
            <w:tcW w:w="600" w:type="dxa"/>
            <w:vAlign w:val="bottom"/>
          </w:tcPr>
          <w:p>
            <w:pPr>
              <w:jc w:val="center"/>
              <w:spacing w:after="0"/>
              <w:rPr>
                <w:sz w:val="20"/>
                <w:szCs w:val="20"/>
                <w:color w:val="auto"/>
              </w:rPr>
            </w:pPr>
            <w:r>
              <w:rPr>
                <w:rFonts w:ascii="Arial" w:cs="Arial" w:eastAsia="Arial" w:hAnsi="Arial"/>
                <w:sz w:val="14"/>
                <w:szCs w:val="14"/>
                <w:color w:val="auto"/>
                <w:w w:val="95"/>
              </w:rPr>
              <w:t>0.44%</w:t>
            </w:r>
          </w:p>
        </w:tc>
        <w:tc>
          <w:tcPr>
            <w:tcW w:w="120" w:type="dxa"/>
            <w:vAlign w:val="bottom"/>
          </w:tcPr>
          <w:p>
            <w:pPr>
              <w:spacing w:after="0"/>
              <w:rPr>
                <w:sz w:val="22"/>
                <w:szCs w:val="22"/>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95"/>
              </w:rPr>
              <w:t>0.53%</w:t>
            </w:r>
          </w:p>
        </w:tc>
        <w:tc>
          <w:tcPr>
            <w:tcW w:w="100" w:type="dxa"/>
            <w:vAlign w:val="bottom"/>
          </w:tcPr>
          <w:p>
            <w:pPr>
              <w:spacing w:after="0"/>
              <w:rPr>
                <w:sz w:val="22"/>
                <w:szCs w:val="22"/>
                <w:color w:val="auto"/>
              </w:rPr>
            </w:pPr>
          </w:p>
        </w:tc>
        <w:tc>
          <w:tcPr>
            <w:tcW w:w="600" w:type="dxa"/>
            <w:vAlign w:val="bottom"/>
          </w:tcPr>
          <w:p>
            <w:pPr>
              <w:jc w:val="center"/>
              <w:spacing w:after="0"/>
              <w:rPr>
                <w:sz w:val="20"/>
                <w:szCs w:val="20"/>
                <w:color w:val="auto"/>
              </w:rPr>
            </w:pPr>
            <w:r>
              <w:rPr>
                <w:rFonts w:ascii="Arial" w:cs="Arial" w:eastAsia="Arial" w:hAnsi="Arial"/>
                <w:sz w:val="14"/>
                <w:szCs w:val="14"/>
                <w:color w:val="auto"/>
                <w:w w:val="90"/>
              </w:rPr>
              <w:t>0.85%</w:t>
            </w:r>
          </w:p>
        </w:tc>
        <w:tc>
          <w:tcPr>
            <w:tcW w:w="100" w:type="dxa"/>
            <w:vAlign w:val="bottom"/>
          </w:tcPr>
          <w:p>
            <w:pPr>
              <w:spacing w:after="0"/>
              <w:rPr>
                <w:sz w:val="22"/>
                <w:szCs w:val="22"/>
                <w:color w:val="auto"/>
              </w:rPr>
            </w:pPr>
          </w:p>
        </w:tc>
        <w:tc>
          <w:tcPr>
            <w:tcW w:w="600" w:type="dxa"/>
            <w:vAlign w:val="bottom"/>
          </w:tcPr>
          <w:p>
            <w:pPr>
              <w:jc w:val="center"/>
              <w:spacing w:after="0"/>
              <w:rPr>
                <w:sz w:val="20"/>
                <w:szCs w:val="20"/>
                <w:color w:val="auto"/>
              </w:rPr>
            </w:pPr>
            <w:r>
              <w:rPr>
                <w:rFonts w:ascii="Arial" w:cs="Arial" w:eastAsia="Arial" w:hAnsi="Arial"/>
                <w:sz w:val="14"/>
                <w:szCs w:val="14"/>
                <w:color w:val="auto"/>
                <w:w w:val="95"/>
              </w:rPr>
              <w:t>0.90%</w:t>
            </w:r>
          </w:p>
        </w:tc>
        <w:tc>
          <w:tcPr>
            <w:tcW w:w="120" w:type="dxa"/>
            <w:vAlign w:val="bottom"/>
          </w:tcPr>
          <w:p>
            <w:pPr>
              <w:spacing w:after="0"/>
              <w:rPr>
                <w:sz w:val="22"/>
                <w:szCs w:val="22"/>
                <w:color w:val="auto"/>
              </w:rPr>
            </w:pPr>
          </w:p>
        </w:tc>
        <w:tc>
          <w:tcPr>
            <w:tcW w:w="600" w:type="dxa"/>
            <w:vAlign w:val="bottom"/>
          </w:tcPr>
          <w:p>
            <w:pPr>
              <w:jc w:val="center"/>
              <w:spacing w:after="0"/>
              <w:rPr>
                <w:sz w:val="20"/>
                <w:szCs w:val="20"/>
                <w:color w:val="auto"/>
              </w:rPr>
            </w:pPr>
            <w:r>
              <w:rPr>
                <w:rFonts w:ascii="Arial" w:cs="Arial" w:eastAsia="Arial" w:hAnsi="Arial"/>
                <w:sz w:val="14"/>
                <w:szCs w:val="14"/>
                <w:color w:val="auto"/>
                <w:w w:val="95"/>
              </w:rPr>
              <w:t>0.92%</w:t>
            </w: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+0.02</w:t>
            </w:r>
          </w:p>
        </w:tc>
        <w:tc>
          <w:tcPr>
            <w:tcW w:w="720" w:type="dxa"/>
            <w:vAlign w:val="bottom"/>
            <w:gridSpan w:val="2"/>
          </w:tcPr>
          <w:p>
            <w:pPr>
              <w:jc w:val="right"/>
              <w:ind w:right="480"/>
              <w:spacing w:after="0"/>
              <w:rPr>
                <w:sz w:val="20"/>
                <w:szCs w:val="20"/>
                <w:color w:val="auto"/>
              </w:rPr>
            </w:pPr>
            <w:r>
              <w:rPr>
                <w:rFonts w:ascii="Arial" w:cs="Arial" w:eastAsia="Arial" w:hAnsi="Arial"/>
                <w:sz w:val="14"/>
                <w:szCs w:val="14"/>
                <w:color w:val="auto"/>
                <w:w w:val="97"/>
              </w:rPr>
              <w:t>bps</w:t>
            </w:r>
          </w:p>
        </w:tc>
        <w:tc>
          <w:tcPr>
            <w:tcW w:w="600" w:type="dxa"/>
            <w:vAlign w:val="bottom"/>
          </w:tcPr>
          <w:p>
            <w:pPr>
              <w:ind w:left="240"/>
              <w:spacing w:after="0"/>
              <w:rPr>
                <w:sz w:val="20"/>
                <w:szCs w:val="20"/>
                <w:color w:val="auto"/>
              </w:rPr>
            </w:pPr>
            <w:r>
              <w:rPr>
                <w:rFonts w:ascii="Arial" w:cs="Arial" w:eastAsia="Arial" w:hAnsi="Arial"/>
                <w:sz w:val="14"/>
                <w:szCs w:val="14"/>
                <w:color w:val="auto"/>
                <w:w w:val="95"/>
              </w:rPr>
              <w:t>+0.07</w:t>
            </w:r>
          </w:p>
        </w:tc>
        <w:tc>
          <w:tcPr>
            <w:tcW w:w="620" w:type="dxa"/>
            <w:vAlign w:val="bottom"/>
          </w:tcPr>
          <w:p>
            <w:pPr>
              <w:jc w:val="right"/>
              <w:ind w:right="308"/>
              <w:spacing w:after="0"/>
              <w:rPr>
                <w:sz w:val="20"/>
                <w:szCs w:val="20"/>
                <w:color w:val="auto"/>
              </w:rPr>
            </w:pPr>
            <w:r>
              <w:rPr>
                <w:rFonts w:ascii="Arial" w:cs="Arial" w:eastAsia="Arial" w:hAnsi="Arial"/>
                <w:sz w:val="14"/>
                <w:szCs w:val="14"/>
                <w:color w:val="auto"/>
                <w:w w:val="97"/>
              </w:rPr>
              <w:t>bps</w:t>
            </w:r>
          </w:p>
        </w:tc>
        <w:tc>
          <w:tcPr>
            <w:tcW w:w="0" w:type="dxa"/>
            <w:vAlign w:val="bottom"/>
          </w:tcPr>
          <w:p>
            <w:pPr>
              <w:spacing w:after="0"/>
              <w:rPr>
                <w:sz w:val="1"/>
                <w:szCs w:val="1"/>
                <w:color w:val="auto"/>
              </w:rPr>
            </w:pPr>
          </w:p>
        </w:tc>
      </w:tr>
      <w:tr>
        <w:trPr>
          <w:trHeight w:val="276"/>
        </w:trPr>
        <w:tc>
          <w:tcPr>
            <w:tcW w:w="256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U.S. Treasury Security Rate:</w:t>
            </w: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560" w:type="dxa"/>
            <w:vAlign w:val="bottom"/>
            <w:gridSpan w:val="2"/>
          </w:tcPr>
          <w:p>
            <w:pPr>
              <w:ind w:left="200"/>
              <w:spacing w:after="0"/>
              <w:rPr>
                <w:sz w:val="20"/>
                <w:szCs w:val="20"/>
                <w:color w:val="auto"/>
              </w:rPr>
            </w:pPr>
            <w:r>
              <w:rPr>
                <w:rFonts w:ascii="Arial" w:cs="Arial" w:eastAsia="Arial" w:hAnsi="Arial"/>
                <w:sz w:val="14"/>
                <w:szCs w:val="14"/>
                <w:color w:val="auto"/>
              </w:rPr>
              <w:t>2-Year U.S. Treasury</w:t>
            </w:r>
          </w:p>
        </w:tc>
        <w:tc>
          <w:tcPr>
            <w:tcW w:w="600" w:type="dxa"/>
            <w:vAlign w:val="bottom"/>
          </w:tcPr>
          <w:p>
            <w:pPr>
              <w:jc w:val="center"/>
              <w:spacing w:after="0"/>
              <w:rPr>
                <w:sz w:val="20"/>
                <w:szCs w:val="20"/>
                <w:color w:val="auto"/>
              </w:rPr>
            </w:pPr>
            <w:r>
              <w:rPr>
                <w:rFonts w:ascii="Arial" w:cs="Arial" w:eastAsia="Arial" w:hAnsi="Arial"/>
                <w:sz w:val="14"/>
                <w:szCs w:val="14"/>
                <w:color w:val="auto"/>
                <w:w w:val="95"/>
              </w:rPr>
              <w:t>0.64%</w:t>
            </w:r>
          </w:p>
        </w:tc>
        <w:tc>
          <w:tcPr>
            <w:tcW w:w="120" w:type="dxa"/>
            <w:vAlign w:val="bottom"/>
          </w:tcPr>
          <w:p>
            <w:pPr>
              <w:spacing w:after="0"/>
              <w:rPr>
                <w:sz w:val="22"/>
                <w:szCs w:val="22"/>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95"/>
              </w:rPr>
              <w:t>0.64%</w:t>
            </w:r>
          </w:p>
        </w:tc>
        <w:tc>
          <w:tcPr>
            <w:tcW w:w="100" w:type="dxa"/>
            <w:vAlign w:val="bottom"/>
          </w:tcPr>
          <w:p>
            <w:pPr>
              <w:spacing w:after="0"/>
              <w:rPr>
                <w:sz w:val="22"/>
                <w:szCs w:val="22"/>
                <w:color w:val="auto"/>
              </w:rPr>
            </w:pPr>
          </w:p>
        </w:tc>
        <w:tc>
          <w:tcPr>
            <w:tcW w:w="600" w:type="dxa"/>
            <w:vAlign w:val="bottom"/>
          </w:tcPr>
          <w:p>
            <w:pPr>
              <w:jc w:val="center"/>
              <w:spacing w:after="0"/>
              <w:rPr>
                <w:sz w:val="20"/>
                <w:szCs w:val="20"/>
                <w:color w:val="auto"/>
              </w:rPr>
            </w:pPr>
            <w:r>
              <w:rPr>
                <w:rFonts w:ascii="Arial" w:cs="Arial" w:eastAsia="Arial" w:hAnsi="Arial"/>
                <w:sz w:val="14"/>
                <w:szCs w:val="14"/>
                <w:color w:val="auto"/>
                <w:w w:val="90"/>
              </w:rPr>
              <w:t>1.06%</w:t>
            </w:r>
          </w:p>
        </w:tc>
        <w:tc>
          <w:tcPr>
            <w:tcW w:w="100" w:type="dxa"/>
            <w:vAlign w:val="bottom"/>
          </w:tcPr>
          <w:p>
            <w:pPr>
              <w:spacing w:after="0"/>
              <w:rPr>
                <w:sz w:val="22"/>
                <w:szCs w:val="22"/>
                <w:color w:val="auto"/>
              </w:rPr>
            </w:pPr>
          </w:p>
        </w:tc>
        <w:tc>
          <w:tcPr>
            <w:tcW w:w="600" w:type="dxa"/>
            <w:vAlign w:val="bottom"/>
          </w:tcPr>
          <w:p>
            <w:pPr>
              <w:jc w:val="center"/>
              <w:spacing w:after="0"/>
              <w:rPr>
                <w:sz w:val="20"/>
                <w:szCs w:val="20"/>
                <w:color w:val="auto"/>
              </w:rPr>
            </w:pPr>
            <w:r>
              <w:rPr>
                <w:rFonts w:ascii="Arial" w:cs="Arial" w:eastAsia="Arial" w:hAnsi="Arial"/>
                <w:sz w:val="14"/>
                <w:szCs w:val="14"/>
                <w:color w:val="auto"/>
                <w:w w:val="95"/>
              </w:rPr>
              <w:t>0.73%</w:t>
            </w:r>
          </w:p>
        </w:tc>
        <w:tc>
          <w:tcPr>
            <w:tcW w:w="120" w:type="dxa"/>
            <w:vAlign w:val="bottom"/>
          </w:tcPr>
          <w:p>
            <w:pPr>
              <w:spacing w:after="0"/>
              <w:rPr>
                <w:sz w:val="22"/>
                <w:szCs w:val="22"/>
                <w:color w:val="auto"/>
              </w:rPr>
            </w:pPr>
          </w:p>
        </w:tc>
        <w:tc>
          <w:tcPr>
            <w:tcW w:w="600" w:type="dxa"/>
            <w:vAlign w:val="bottom"/>
          </w:tcPr>
          <w:p>
            <w:pPr>
              <w:jc w:val="center"/>
              <w:spacing w:after="0"/>
              <w:rPr>
                <w:sz w:val="20"/>
                <w:szCs w:val="20"/>
                <w:color w:val="auto"/>
              </w:rPr>
            </w:pPr>
            <w:r>
              <w:rPr>
                <w:rFonts w:ascii="Arial" w:cs="Arial" w:eastAsia="Arial" w:hAnsi="Arial"/>
                <w:sz w:val="14"/>
                <w:szCs w:val="14"/>
                <w:color w:val="auto"/>
                <w:w w:val="95"/>
              </w:rPr>
              <w:t>0.59%</w:t>
            </w:r>
          </w:p>
        </w:tc>
        <w:tc>
          <w:tcPr>
            <w:tcW w:w="100" w:type="dxa"/>
            <w:vAlign w:val="bottom"/>
          </w:tcPr>
          <w:p>
            <w:pPr>
              <w:spacing w:after="0"/>
              <w:rPr>
                <w:sz w:val="22"/>
                <w:szCs w:val="22"/>
                <w:color w:val="auto"/>
              </w:rPr>
            </w:pPr>
          </w:p>
        </w:tc>
        <w:tc>
          <w:tcPr>
            <w:tcW w:w="1300" w:type="dxa"/>
            <w:vAlign w:val="bottom"/>
            <w:gridSpan w:val="3"/>
          </w:tcPr>
          <w:p>
            <w:pPr>
              <w:jc w:val="right"/>
              <w:ind w:right="480"/>
              <w:spacing w:after="0"/>
              <w:rPr>
                <w:sz w:val="20"/>
                <w:szCs w:val="20"/>
                <w:color w:val="auto"/>
              </w:rPr>
            </w:pPr>
            <w:r>
              <w:rPr>
                <w:rFonts w:ascii="Arial" w:cs="Arial" w:eastAsia="Arial" w:hAnsi="Arial"/>
                <w:sz w:val="14"/>
                <w:szCs w:val="14"/>
                <w:color w:val="auto"/>
              </w:rPr>
              <w:t>-0.14 bps</w:t>
            </w:r>
          </w:p>
        </w:tc>
        <w:tc>
          <w:tcPr>
            <w:tcW w:w="1220" w:type="dxa"/>
            <w:vAlign w:val="bottom"/>
            <w:gridSpan w:val="2"/>
          </w:tcPr>
          <w:p>
            <w:pPr>
              <w:jc w:val="right"/>
              <w:ind w:right="308"/>
              <w:spacing w:after="0"/>
              <w:rPr>
                <w:sz w:val="20"/>
                <w:szCs w:val="20"/>
                <w:color w:val="auto"/>
              </w:rPr>
            </w:pPr>
            <w:r>
              <w:rPr>
                <w:rFonts w:ascii="Arial" w:cs="Arial" w:eastAsia="Arial" w:hAnsi="Arial"/>
                <w:sz w:val="14"/>
                <w:szCs w:val="14"/>
                <w:color w:val="auto"/>
              </w:rPr>
              <w:t>-0.47 bps</w:t>
            </w:r>
          </w:p>
        </w:tc>
        <w:tc>
          <w:tcPr>
            <w:tcW w:w="0" w:type="dxa"/>
            <w:vAlign w:val="bottom"/>
          </w:tcPr>
          <w:p>
            <w:pPr>
              <w:spacing w:after="0"/>
              <w:rPr>
                <w:sz w:val="1"/>
                <w:szCs w:val="1"/>
                <w:color w:val="auto"/>
              </w:rPr>
            </w:pPr>
          </w:p>
        </w:tc>
      </w:tr>
      <w:tr>
        <w:trPr>
          <w:trHeight w:val="276"/>
        </w:trPr>
        <w:tc>
          <w:tcPr>
            <w:tcW w:w="25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3-Year U.S. Treasury</w:t>
            </w:r>
          </w:p>
        </w:tc>
        <w:tc>
          <w:tcPr>
            <w:tcW w:w="6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0.99%</w:t>
            </w: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0.92%</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1.32%</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0.86%</w:t>
            </w: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0.70%</w:t>
            </w:r>
          </w:p>
        </w:tc>
        <w:tc>
          <w:tcPr>
            <w:tcW w:w="100" w:type="dxa"/>
            <w:vAlign w:val="bottom"/>
            <w:shd w:val="clear" w:color="auto" w:fill="CCEEFF"/>
          </w:tcPr>
          <w:p>
            <w:pPr>
              <w:spacing w:after="0"/>
              <w:rPr>
                <w:sz w:val="24"/>
                <w:szCs w:val="24"/>
                <w:color w:val="auto"/>
              </w:rPr>
            </w:pPr>
          </w:p>
        </w:tc>
        <w:tc>
          <w:tcPr>
            <w:tcW w:w="1300" w:type="dxa"/>
            <w:vAlign w:val="bottom"/>
            <w:gridSpan w:val="3"/>
            <w:shd w:val="clear" w:color="auto" w:fill="CCEEFF"/>
          </w:tcPr>
          <w:p>
            <w:pPr>
              <w:jc w:val="right"/>
              <w:ind w:right="480"/>
              <w:spacing w:after="0"/>
              <w:rPr>
                <w:sz w:val="20"/>
                <w:szCs w:val="20"/>
                <w:color w:val="auto"/>
              </w:rPr>
            </w:pPr>
            <w:r>
              <w:rPr>
                <w:rFonts w:ascii="Arial" w:cs="Arial" w:eastAsia="Arial" w:hAnsi="Arial"/>
                <w:sz w:val="14"/>
                <w:szCs w:val="14"/>
                <w:color w:val="auto"/>
              </w:rPr>
              <w:t>-0.16 bps</w:t>
            </w:r>
          </w:p>
        </w:tc>
        <w:tc>
          <w:tcPr>
            <w:tcW w:w="1220" w:type="dxa"/>
            <w:vAlign w:val="bottom"/>
            <w:gridSpan w:val="2"/>
            <w:shd w:val="clear" w:color="auto" w:fill="CCEEFF"/>
          </w:tcPr>
          <w:p>
            <w:pPr>
              <w:jc w:val="right"/>
              <w:ind w:right="308"/>
              <w:spacing w:after="0"/>
              <w:rPr>
                <w:sz w:val="20"/>
                <w:szCs w:val="20"/>
                <w:color w:val="auto"/>
              </w:rPr>
            </w:pPr>
            <w:r>
              <w:rPr>
                <w:rFonts w:ascii="Arial" w:cs="Arial" w:eastAsia="Arial" w:hAnsi="Arial"/>
                <w:sz w:val="14"/>
                <w:szCs w:val="14"/>
                <w:color w:val="auto"/>
              </w:rPr>
              <w:t>-0.62 bps</w:t>
            </w:r>
          </w:p>
        </w:tc>
        <w:tc>
          <w:tcPr>
            <w:tcW w:w="0" w:type="dxa"/>
            <w:vAlign w:val="bottom"/>
          </w:tcPr>
          <w:p>
            <w:pPr>
              <w:spacing w:after="0"/>
              <w:rPr>
                <w:sz w:val="1"/>
                <w:szCs w:val="1"/>
                <w:color w:val="auto"/>
              </w:rPr>
            </w:pPr>
          </w:p>
        </w:tc>
      </w:tr>
      <w:tr>
        <w:trPr>
          <w:trHeight w:val="264"/>
        </w:trPr>
        <w:tc>
          <w:tcPr>
            <w:tcW w:w="2560" w:type="dxa"/>
            <w:vAlign w:val="bottom"/>
            <w:gridSpan w:val="2"/>
          </w:tcPr>
          <w:p>
            <w:pPr>
              <w:ind w:left="200"/>
              <w:spacing w:after="0"/>
              <w:rPr>
                <w:sz w:val="20"/>
                <w:szCs w:val="20"/>
                <w:color w:val="auto"/>
              </w:rPr>
            </w:pPr>
            <w:r>
              <w:rPr>
                <w:rFonts w:ascii="Arial" w:cs="Arial" w:eastAsia="Arial" w:hAnsi="Arial"/>
                <w:sz w:val="14"/>
                <w:szCs w:val="14"/>
                <w:color w:val="auto"/>
              </w:rPr>
              <w:t>5-Year U.S. Treasury</w:t>
            </w:r>
          </w:p>
        </w:tc>
        <w:tc>
          <w:tcPr>
            <w:tcW w:w="600" w:type="dxa"/>
            <w:vAlign w:val="bottom"/>
          </w:tcPr>
          <w:p>
            <w:pPr>
              <w:jc w:val="center"/>
              <w:spacing w:after="0"/>
              <w:rPr>
                <w:sz w:val="20"/>
                <w:szCs w:val="20"/>
                <w:color w:val="auto"/>
              </w:rPr>
            </w:pPr>
            <w:r>
              <w:rPr>
                <w:rFonts w:ascii="Arial" w:cs="Arial" w:eastAsia="Arial" w:hAnsi="Arial"/>
                <w:sz w:val="14"/>
                <w:szCs w:val="14"/>
                <w:color w:val="auto"/>
                <w:w w:val="95"/>
              </w:rPr>
              <w:t>1.63%</w:t>
            </w:r>
          </w:p>
        </w:tc>
        <w:tc>
          <w:tcPr>
            <w:tcW w:w="120" w:type="dxa"/>
            <w:vAlign w:val="bottom"/>
          </w:tcPr>
          <w:p>
            <w:pPr>
              <w:spacing w:after="0"/>
              <w:rPr>
                <w:sz w:val="22"/>
                <w:szCs w:val="22"/>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95"/>
              </w:rPr>
              <w:t>1.37%</w:t>
            </w:r>
          </w:p>
        </w:tc>
        <w:tc>
          <w:tcPr>
            <w:tcW w:w="100" w:type="dxa"/>
            <w:vAlign w:val="bottom"/>
          </w:tcPr>
          <w:p>
            <w:pPr>
              <w:spacing w:after="0"/>
              <w:rPr>
                <w:sz w:val="22"/>
                <w:szCs w:val="22"/>
                <w:color w:val="auto"/>
              </w:rPr>
            </w:pPr>
          </w:p>
        </w:tc>
        <w:tc>
          <w:tcPr>
            <w:tcW w:w="600" w:type="dxa"/>
            <w:vAlign w:val="bottom"/>
          </w:tcPr>
          <w:p>
            <w:pPr>
              <w:jc w:val="center"/>
              <w:spacing w:after="0"/>
              <w:rPr>
                <w:sz w:val="20"/>
                <w:szCs w:val="20"/>
                <w:color w:val="auto"/>
              </w:rPr>
            </w:pPr>
            <w:r>
              <w:rPr>
                <w:rFonts w:ascii="Arial" w:cs="Arial" w:eastAsia="Arial" w:hAnsi="Arial"/>
                <w:sz w:val="14"/>
                <w:szCs w:val="14"/>
                <w:color w:val="auto"/>
                <w:w w:val="90"/>
              </w:rPr>
              <w:t>1.77%</w:t>
            </w:r>
          </w:p>
        </w:tc>
        <w:tc>
          <w:tcPr>
            <w:tcW w:w="100" w:type="dxa"/>
            <w:vAlign w:val="bottom"/>
          </w:tcPr>
          <w:p>
            <w:pPr>
              <w:spacing w:after="0"/>
              <w:rPr>
                <w:sz w:val="22"/>
                <w:szCs w:val="22"/>
                <w:color w:val="auto"/>
              </w:rPr>
            </w:pPr>
          </w:p>
        </w:tc>
        <w:tc>
          <w:tcPr>
            <w:tcW w:w="600" w:type="dxa"/>
            <w:vAlign w:val="bottom"/>
          </w:tcPr>
          <w:p>
            <w:pPr>
              <w:jc w:val="center"/>
              <w:spacing w:after="0"/>
              <w:rPr>
                <w:sz w:val="20"/>
                <w:szCs w:val="20"/>
                <w:color w:val="auto"/>
              </w:rPr>
            </w:pPr>
            <w:r>
              <w:rPr>
                <w:rFonts w:ascii="Arial" w:cs="Arial" w:eastAsia="Arial" w:hAnsi="Arial"/>
                <w:sz w:val="14"/>
                <w:szCs w:val="14"/>
                <w:color w:val="auto"/>
                <w:w w:val="95"/>
              </w:rPr>
              <w:t>1.22%</w:t>
            </w:r>
          </w:p>
        </w:tc>
        <w:tc>
          <w:tcPr>
            <w:tcW w:w="120" w:type="dxa"/>
            <w:vAlign w:val="bottom"/>
          </w:tcPr>
          <w:p>
            <w:pPr>
              <w:spacing w:after="0"/>
              <w:rPr>
                <w:sz w:val="22"/>
                <w:szCs w:val="22"/>
                <w:color w:val="auto"/>
              </w:rPr>
            </w:pPr>
          </w:p>
        </w:tc>
        <w:tc>
          <w:tcPr>
            <w:tcW w:w="600" w:type="dxa"/>
            <w:vAlign w:val="bottom"/>
          </w:tcPr>
          <w:p>
            <w:pPr>
              <w:jc w:val="center"/>
              <w:spacing w:after="0"/>
              <w:rPr>
                <w:sz w:val="20"/>
                <w:szCs w:val="20"/>
                <w:color w:val="auto"/>
              </w:rPr>
            </w:pPr>
            <w:r>
              <w:rPr>
                <w:rFonts w:ascii="Arial" w:cs="Arial" w:eastAsia="Arial" w:hAnsi="Arial"/>
                <w:sz w:val="14"/>
                <w:szCs w:val="14"/>
                <w:color w:val="auto"/>
                <w:w w:val="95"/>
              </w:rPr>
              <w:t>1.01%</w:t>
            </w:r>
          </w:p>
        </w:tc>
        <w:tc>
          <w:tcPr>
            <w:tcW w:w="100" w:type="dxa"/>
            <w:vAlign w:val="bottom"/>
          </w:tcPr>
          <w:p>
            <w:pPr>
              <w:spacing w:after="0"/>
              <w:rPr>
                <w:sz w:val="22"/>
                <w:szCs w:val="22"/>
                <w:color w:val="auto"/>
              </w:rPr>
            </w:pPr>
          </w:p>
        </w:tc>
        <w:tc>
          <w:tcPr>
            <w:tcW w:w="1300" w:type="dxa"/>
            <w:vAlign w:val="bottom"/>
            <w:gridSpan w:val="3"/>
          </w:tcPr>
          <w:p>
            <w:pPr>
              <w:jc w:val="right"/>
              <w:ind w:right="480"/>
              <w:spacing w:after="0"/>
              <w:rPr>
                <w:sz w:val="20"/>
                <w:szCs w:val="20"/>
                <w:color w:val="auto"/>
              </w:rPr>
            </w:pPr>
            <w:r>
              <w:rPr>
                <w:rFonts w:ascii="Arial" w:cs="Arial" w:eastAsia="Arial" w:hAnsi="Arial"/>
                <w:sz w:val="14"/>
                <w:szCs w:val="14"/>
                <w:color w:val="auto"/>
              </w:rPr>
              <w:t>-0.21 bps</w:t>
            </w:r>
          </w:p>
        </w:tc>
        <w:tc>
          <w:tcPr>
            <w:tcW w:w="1220" w:type="dxa"/>
            <w:vAlign w:val="bottom"/>
            <w:gridSpan w:val="2"/>
          </w:tcPr>
          <w:p>
            <w:pPr>
              <w:jc w:val="right"/>
              <w:ind w:right="308"/>
              <w:spacing w:after="0"/>
              <w:rPr>
                <w:sz w:val="20"/>
                <w:szCs w:val="20"/>
                <w:color w:val="auto"/>
              </w:rPr>
            </w:pPr>
            <w:r>
              <w:rPr>
                <w:rFonts w:ascii="Arial" w:cs="Arial" w:eastAsia="Arial" w:hAnsi="Arial"/>
                <w:sz w:val="14"/>
                <w:szCs w:val="14"/>
                <w:color w:val="auto"/>
              </w:rPr>
              <w:t>-0.76 bps</w:t>
            </w:r>
          </w:p>
        </w:tc>
        <w:tc>
          <w:tcPr>
            <w:tcW w:w="0" w:type="dxa"/>
            <w:vAlign w:val="bottom"/>
          </w:tcPr>
          <w:p>
            <w:pPr>
              <w:spacing w:after="0"/>
              <w:rPr>
                <w:sz w:val="1"/>
                <w:szCs w:val="1"/>
                <w:color w:val="auto"/>
              </w:rPr>
            </w:pPr>
          </w:p>
        </w:tc>
      </w:tr>
      <w:tr>
        <w:trPr>
          <w:trHeight w:val="276"/>
        </w:trPr>
        <w:tc>
          <w:tcPr>
            <w:tcW w:w="25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10-Year U.S. Treasury</w:t>
            </w:r>
          </w:p>
        </w:tc>
        <w:tc>
          <w:tcPr>
            <w:tcW w:w="6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2.33%</w:t>
            </w: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2.06%</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2.27%</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1.78%</w:t>
            </w: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1.49%</w:t>
            </w:r>
          </w:p>
        </w:tc>
        <w:tc>
          <w:tcPr>
            <w:tcW w:w="100" w:type="dxa"/>
            <w:vAlign w:val="bottom"/>
            <w:shd w:val="clear" w:color="auto" w:fill="CCEEFF"/>
          </w:tcPr>
          <w:p>
            <w:pPr>
              <w:spacing w:after="0"/>
              <w:rPr>
                <w:sz w:val="24"/>
                <w:szCs w:val="24"/>
                <w:color w:val="auto"/>
              </w:rPr>
            </w:pPr>
          </w:p>
        </w:tc>
        <w:tc>
          <w:tcPr>
            <w:tcW w:w="1300" w:type="dxa"/>
            <w:vAlign w:val="bottom"/>
            <w:gridSpan w:val="3"/>
            <w:shd w:val="clear" w:color="auto" w:fill="CCEEFF"/>
          </w:tcPr>
          <w:p>
            <w:pPr>
              <w:jc w:val="right"/>
              <w:ind w:right="480"/>
              <w:spacing w:after="0"/>
              <w:rPr>
                <w:sz w:val="20"/>
                <w:szCs w:val="20"/>
                <w:color w:val="auto"/>
              </w:rPr>
            </w:pPr>
            <w:r>
              <w:rPr>
                <w:rFonts w:ascii="Arial" w:cs="Arial" w:eastAsia="Arial" w:hAnsi="Arial"/>
                <w:sz w:val="14"/>
                <w:szCs w:val="14"/>
                <w:color w:val="auto"/>
              </w:rPr>
              <w:t>-0.29 bps</w:t>
            </w:r>
          </w:p>
        </w:tc>
        <w:tc>
          <w:tcPr>
            <w:tcW w:w="1220" w:type="dxa"/>
            <w:vAlign w:val="bottom"/>
            <w:gridSpan w:val="2"/>
            <w:shd w:val="clear" w:color="auto" w:fill="CCEEFF"/>
          </w:tcPr>
          <w:p>
            <w:pPr>
              <w:jc w:val="right"/>
              <w:ind w:right="308"/>
              <w:spacing w:after="0"/>
              <w:rPr>
                <w:sz w:val="20"/>
                <w:szCs w:val="20"/>
                <w:color w:val="auto"/>
              </w:rPr>
            </w:pPr>
            <w:r>
              <w:rPr>
                <w:rFonts w:ascii="Arial" w:cs="Arial" w:eastAsia="Arial" w:hAnsi="Arial"/>
                <w:sz w:val="14"/>
                <w:szCs w:val="14"/>
                <w:color w:val="auto"/>
              </w:rPr>
              <w:t>-0.78 bps</w:t>
            </w:r>
          </w:p>
        </w:tc>
        <w:tc>
          <w:tcPr>
            <w:tcW w:w="0" w:type="dxa"/>
            <w:vAlign w:val="bottom"/>
          </w:tcPr>
          <w:p>
            <w:pPr>
              <w:spacing w:after="0"/>
              <w:rPr>
                <w:sz w:val="1"/>
                <w:szCs w:val="1"/>
                <w:color w:val="auto"/>
              </w:rPr>
            </w:pPr>
          </w:p>
        </w:tc>
      </w:tr>
      <w:tr>
        <w:trPr>
          <w:trHeight w:val="264"/>
        </w:trPr>
        <w:tc>
          <w:tcPr>
            <w:tcW w:w="2560" w:type="dxa"/>
            <w:vAlign w:val="bottom"/>
            <w:gridSpan w:val="2"/>
          </w:tcPr>
          <w:p>
            <w:pPr>
              <w:ind w:left="200"/>
              <w:spacing w:after="0"/>
              <w:rPr>
                <w:sz w:val="20"/>
                <w:szCs w:val="20"/>
                <w:color w:val="auto"/>
              </w:rPr>
            </w:pPr>
            <w:r>
              <w:rPr>
                <w:rFonts w:ascii="Arial" w:cs="Arial" w:eastAsia="Arial" w:hAnsi="Arial"/>
                <w:sz w:val="14"/>
                <w:szCs w:val="14"/>
                <w:color w:val="auto"/>
              </w:rPr>
              <w:t>30-Year U.S. Treasury</w:t>
            </w:r>
          </w:p>
        </w:tc>
        <w:tc>
          <w:tcPr>
            <w:tcW w:w="600" w:type="dxa"/>
            <w:vAlign w:val="bottom"/>
          </w:tcPr>
          <w:p>
            <w:pPr>
              <w:jc w:val="center"/>
              <w:spacing w:after="0"/>
              <w:rPr>
                <w:sz w:val="20"/>
                <w:szCs w:val="20"/>
                <w:color w:val="auto"/>
              </w:rPr>
            </w:pPr>
            <w:r>
              <w:rPr>
                <w:rFonts w:ascii="Arial" w:cs="Arial" w:eastAsia="Arial" w:hAnsi="Arial"/>
                <w:sz w:val="14"/>
                <w:szCs w:val="14"/>
                <w:color w:val="auto"/>
                <w:w w:val="95"/>
              </w:rPr>
              <w:t>3.10%</w:t>
            </w:r>
          </w:p>
        </w:tc>
        <w:tc>
          <w:tcPr>
            <w:tcW w:w="120" w:type="dxa"/>
            <w:vAlign w:val="bottom"/>
          </w:tcPr>
          <w:p>
            <w:pPr>
              <w:spacing w:after="0"/>
              <w:rPr>
                <w:sz w:val="22"/>
                <w:szCs w:val="22"/>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95"/>
              </w:rPr>
              <w:t>2.88%</w:t>
            </w:r>
          </w:p>
        </w:tc>
        <w:tc>
          <w:tcPr>
            <w:tcW w:w="100" w:type="dxa"/>
            <w:vAlign w:val="bottom"/>
          </w:tcPr>
          <w:p>
            <w:pPr>
              <w:spacing w:after="0"/>
              <w:rPr>
                <w:sz w:val="22"/>
                <w:szCs w:val="22"/>
                <w:color w:val="auto"/>
              </w:rPr>
            </w:pPr>
          </w:p>
        </w:tc>
        <w:tc>
          <w:tcPr>
            <w:tcW w:w="600" w:type="dxa"/>
            <w:vAlign w:val="bottom"/>
          </w:tcPr>
          <w:p>
            <w:pPr>
              <w:jc w:val="center"/>
              <w:spacing w:after="0"/>
              <w:rPr>
                <w:sz w:val="20"/>
                <w:szCs w:val="20"/>
                <w:color w:val="auto"/>
              </w:rPr>
            </w:pPr>
            <w:r>
              <w:rPr>
                <w:rFonts w:ascii="Arial" w:cs="Arial" w:eastAsia="Arial" w:hAnsi="Arial"/>
                <w:sz w:val="14"/>
                <w:szCs w:val="14"/>
                <w:color w:val="auto"/>
                <w:w w:val="90"/>
              </w:rPr>
              <w:t>3.01%</w:t>
            </w:r>
          </w:p>
        </w:tc>
        <w:tc>
          <w:tcPr>
            <w:tcW w:w="100" w:type="dxa"/>
            <w:vAlign w:val="bottom"/>
          </w:tcPr>
          <w:p>
            <w:pPr>
              <w:spacing w:after="0"/>
              <w:rPr>
                <w:sz w:val="22"/>
                <w:szCs w:val="22"/>
                <w:color w:val="auto"/>
              </w:rPr>
            </w:pPr>
          </w:p>
        </w:tc>
        <w:tc>
          <w:tcPr>
            <w:tcW w:w="600" w:type="dxa"/>
            <w:vAlign w:val="bottom"/>
          </w:tcPr>
          <w:p>
            <w:pPr>
              <w:jc w:val="center"/>
              <w:spacing w:after="0"/>
              <w:rPr>
                <w:sz w:val="20"/>
                <w:szCs w:val="20"/>
                <w:color w:val="auto"/>
              </w:rPr>
            </w:pPr>
            <w:r>
              <w:rPr>
                <w:rFonts w:ascii="Arial" w:cs="Arial" w:eastAsia="Arial" w:hAnsi="Arial"/>
                <w:sz w:val="14"/>
                <w:szCs w:val="14"/>
                <w:color w:val="auto"/>
                <w:w w:val="95"/>
              </w:rPr>
              <w:t>2.62%</w:t>
            </w:r>
          </w:p>
        </w:tc>
        <w:tc>
          <w:tcPr>
            <w:tcW w:w="120" w:type="dxa"/>
            <w:vAlign w:val="bottom"/>
          </w:tcPr>
          <w:p>
            <w:pPr>
              <w:spacing w:after="0"/>
              <w:rPr>
                <w:sz w:val="22"/>
                <w:szCs w:val="22"/>
                <w:color w:val="auto"/>
              </w:rPr>
            </w:pPr>
          </w:p>
        </w:tc>
        <w:tc>
          <w:tcPr>
            <w:tcW w:w="600" w:type="dxa"/>
            <w:vAlign w:val="bottom"/>
          </w:tcPr>
          <w:p>
            <w:pPr>
              <w:jc w:val="center"/>
              <w:spacing w:after="0"/>
              <w:rPr>
                <w:sz w:val="20"/>
                <w:szCs w:val="20"/>
                <w:color w:val="auto"/>
              </w:rPr>
            </w:pPr>
            <w:r>
              <w:rPr>
                <w:rFonts w:ascii="Arial" w:cs="Arial" w:eastAsia="Arial" w:hAnsi="Arial"/>
                <w:sz w:val="14"/>
                <w:szCs w:val="14"/>
                <w:color w:val="auto"/>
                <w:w w:val="95"/>
              </w:rPr>
              <w:t>2.31%</w:t>
            </w:r>
          </w:p>
        </w:tc>
        <w:tc>
          <w:tcPr>
            <w:tcW w:w="100" w:type="dxa"/>
            <w:vAlign w:val="bottom"/>
          </w:tcPr>
          <w:p>
            <w:pPr>
              <w:spacing w:after="0"/>
              <w:rPr>
                <w:sz w:val="22"/>
                <w:szCs w:val="22"/>
                <w:color w:val="auto"/>
              </w:rPr>
            </w:pPr>
          </w:p>
        </w:tc>
        <w:tc>
          <w:tcPr>
            <w:tcW w:w="1300" w:type="dxa"/>
            <w:vAlign w:val="bottom"/>
            <w:gridSpan w:val="3"/>
          </w:tcPr>
          <w:p>
            <w:pPr>
              <w:jc w:val="right"/>
              <w:ind w:right="480"/>
              <w:spacing w:after="0"/>
              <w:rPr>
                <w:sz w:val="20"/>
                <w:szCs w:val="20"/>
                <w:color w:val="auto"/>
              </w:rPr>
            </w:pPr>
            <w:r>
              <w:rPr>
                <w:rFonts w:ascii="Arial" w:cs="Arial" w:eastAsia="Arial" w:hAnsi="Arial"/>
                <w:sz w:val="14"/>
                <w:szCs w:val="14"/>
                <w:color w:val="auto"/>
              </w:rPr>
              <w:t>-0.31 bps</w:t>
            </w:r>
          </w:p>
        </w:tc>
        <w:tc>
          <w:tcPr>
            <w:tcW w:w="1220" w:type="dxa"/>
            <w:vAlign w:val="bottom"/>
            <w:gridSpan w:val="2"/>
          </w:tcPr>
          <w:p>
            <w:pPr>
              <w:jc w:val="right"/>
              <w:ind w:right="308"/>
              <w:spacing w:after="0"/>
              <w:rPr>
                <w:sz w:val="20"/>
                <w:szCs w:val="20"/>
                <w:color w:val="auto"/>
              </w:rPr>
            </w:pPr>
            <w:r>
              <w:rPr>
                <w:rFonts w:ascii="Arial" w:cs="Arial" w:eastAsia="Arial" w:hAnsi="Arial"/>
                <w:sz w:val="14"/>
                <w:szCs w:val="14"/>
                <w:color w:val="auto"/>
              </w:rPr>
              <w:t>-0.70 bps</w:t>
            </w:r>
          </w:p>
        </w:tc>
        <w:tc>
          <w:tcPr>
            <w:tcW w:w="0" w:type="dxa"/>
            <w:vAlign w:val="bottom"/>
          </w:tcPr>
          <w:p>
            <w:pPr>
              <w:spacing w:after="0"/>
              <w:rPr>
                <w:sz w:val="1"/>
                <w:szCs w:val="1"/>
                <w:color w:val="auto"/>
              </w:rPr>
            </w:pPr>
          </w:p>
        </w:tc>
      </w:tr>
      <w:tr>
        <w:trPr>
          <w:trHeight w:val="276"/>
        </w:trPr>
        <w:tc>
          <w:tcPr>
            <w:tcW w:w="256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Interest Rate Swap Rate:</w:t>
            </w: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560" w:type="dxa"/>
            <w:vAlign w:val="bottom"/>
            <w:gridSpan w:val="2"/>
          </w:tcPr>
          <w:p>
            <w:pPr>
              <w:ind w:left="200"/>
              <w:spacing w:after="0"/>
              <w:rPr>
                <w:sz w:val="20"/>
                <w:szCs w:val="20"/>
                <w:color w:val="auto"/>
              </w:rPr>
            </w:pPr>
            <w:r>
              <w:rPr>
                <w:rFonts w:ascii="Arial" w:cs="Arial" w:eastAsia="Arial" w:hAnsi="Arial"/>
                <w:sz w:val="14"/>
                <w:szCs w:val="14"/>
                <w:color w:val="auto"/>
              </w:rPr>
              <w:t>2-Year Swap</w:t>
            </w:r>
          </w:p>
        </w:tc>
        <w:tc>
          <w:tcPr>
            <w:tcW w:w="600" w:type="dxa"/>
            <w:vAlign w:val="bottom"/>
          </w:tcPr>
          <w:p>
            <w:pPr>
              <w:jc w:val="center"/>
              <w:spacing w:after="0"/>
              <w:rPr>
                <w:sz w:val="20"/>
                <w:szCs w:val="20"/>
                <w:color w:val="auto"/>
              </w:rPr>
            </w:pPr>
            <w:r>
              <w:rPr>
                <w:rFonts w:ascii="Arial" w:cs="Arial" w:eastAsia="Arial" w:hAnsi="Arial"/>
                <w:sz w:val="14"/>
                <w:szCs w:val="14"/>
                <w:color w:val="auto"/>
                <w:w w:val="95"/>
              </w:rPr>
              <w:t>0.89%</w:t>
            </w:r>
          </w:p>
        </w:tc>
        <w:tc>
          <w:tcPr>
            <w:tcW w:w="120" w:type="dxa"/>
            <w:vAlign w:val="bottom"/>
          </w:tcPr>
          <w:p>
            <w:pPr>
              <w:spacing w:after="0"/>
              <w:rPr>
                <w:sz w:val="22"/>
                <w:szCs w:val="22"/>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95"/>
              </w:rPr>
              <w:t>0.76%</w:t>
            </w:r>
          </w:p>
        </w:tc>
        <w:tc>
          <w:tcPr>
            <w:tcW w:w="100" w:type="dxa"/>
            <w:vAlign w:val="bottom"/>
          </w:tcPr>
          <w:p>
            <w:pPr>
              <w:spacing w:after="0"/>
              <w:rPr>
                <w:sz w:val="22"/>
                <w:szCs w:val="22"/>
                <w:color w:val="auto"/>
              </w:rPr>
            </w:pPr>
          </w:p>
        </w:tc>
        <w:tc>
          <w:tcPr>
            <w:tcW w:w="600" w:type="dxa"/>
            <w:vAlign w:val="bottom"/>
          </w:tcPr>
          <w:p>
            <w:pPr>
              <w:jc w:val="center"/>
              <w:spacing w:after="0"/>
              <w:rPr>
                <w:sz w:val="20"/>
                <w:szCs w:val="20"/>
                <w:color w:val="auto"/>
              </w:rPr>
            </w:pPr>
            <w:r>
              <w:rPr>
                <w:rFonts w:ascii="Arial" w:cs="Arial" w:eastAsia="Arial" w:hAnsi="Arial"/>
                <w:sz w:val="14"/>
                <w:szCs w:val="14"/>
                <w:color w:val="auto"/>
                <w:w w:val="90"/>
              </w:rPr>
              <w:t>1.17%</w:t>
            </w:r>
          </w:p>
        </w:tc>
        <w:tc>
          <w:tcPr>
            <w:tcW w:w="100" w:type="dxa"/>
            <w:vAlign w:val="bottom"/>
          </w:tcPr>
          <w:p>
            <w:pPr>
              <w:spacing w:after="0"/>
              <w:rPr>
                <w:sz w:val="22"/>
                <w:szCs w:val="22"/>
                <w:color w:val="auto"/>
              </w:rPr>
            </w:pPr>
          </w:p>
        </w:tc>
        <w:tc>
          <w:tcPr>
            <w:tcW w:w="600" w:type="dxa"/>
            <w:vAlign w:val="bottom"/>
          </w:tcPr>
          <w:p>
            <w:pPr>
              <w:jc w:val="center"/>
              <w:spacing w:after="0"/>
              <w:rPr>
                <w:sz w:val="20"/>
                <w:szCs w:val="20"/>
                <w:color w:val="auto"/>
              </w:rPr>
            </w:pPr>
            <w:r>
              <w:rPr>
                <w:rFonts w:ascii="Arial" w:cs="Arial" w:eastAsia="Arial" w:hAnsi="Arial"/>
                <w:sz w:val="14"/>
                <w:szCs w:val="14"/>
                <w:color w:val="auto"/>
                <w:w w:val="95"/>
              </w:rPr>
              <w:t>0.85%</w:t>
            </w:r>
          </w:p>
        </w:tc>
        <w:tc>
          <w:tcPr>
            <w:tcW w:w="120" w:type="dxa"/>
            <w:vAlign w:val="bottom"/>
          </w:tcPr>
          <w:p>
            <w:pPr>
              <w:spacing w:after="0"/>
              <w:rPr>
                <w:sz w:val="22"/>
                <w:szCs w:val="22"/>
                <w:color w:val="auto"/>
              </w:rPr>
            </w:pPr>
          </w:p>
        </w:tc>
        <w:tc>
          <w:tcPr>
            <w:tcW w:w="600" w:type="dxa"/>
            <w:vAlign w:val="bottom"/>
          </w:tcPr>
          <w:p>
            <w:pPr>
              <w:jc w:val="center"/>
              <w:spacing w:after="0"/>
              <w:rPr>
                <w:sz w:val="20"/>
                <w:szCs w:val="20"/>
                <w:color w:val="auto"/>
              </w:rPr>
            </w:pPr>
            <w:r>
              <w:rPr>
                <w:rFonts w:ascii="Arial" w:cs="Arial" w:eastAsia="Arial" w:hAnsi="Arial"/>
                <w:sz w:val="14"/>
                <w:szCs w:val="14"/>
                <w:color w:val="auto"/>
                <w:w w:val="95"/>
              </w:rPr>
              <w:t>0.74%</w:t>
            </w:r>
          </w:p>
        </w:tc>
        <w:tc>
          <w:tcPr>
            <w:tcW w:w="100" w:type="dxa"/>
            <w:vAlign w:val="bottom"/>
          </w:tcPr>
          <w:p>
            <w:pPr>
              <w:spacing w:after="0"/>
              <w:rPr>
                <w:sz w:val="22"/>
                <w:szCs w:val="22"/>
                <w:color w:val="auto"/>
              </w:rPr>
            </w:pPr>
          </w:p>
        </w:tc>
        <w:tc>
          <w:tcPr>
            <w:tcW w:w="1300" w:type="dxa"/>
            <w:vAlign w:val="bottom"/>
            <w:gridSpan w:val="3"/>
          </w:tcPr>
          <w:p>
            <w:pPr>
              <w:jc w:val="right"/>
              <w:ind w:right="480"/>
              <w:spacing w:after="0"/>
              <w:rPr>
                <w:sz w:val="20"/>
                <w:szCs w:val="20"/>
                <w:color w:val="auto"/>
              </w:rPr>
            </w:pPr>
            <w:r>
              <w:rPr>
                <w:rFonts w:ascii="Arial" w:cs="Arial" w:eastAsia="Arial" w:hAnsi="Arial"/>
                <w:sz w:val="14"/>
                <w:szCs w:val="14"/>
                <w:color w:val="auto"/>
              </w:rPr>
              <w:t>-0.11 bps</w:t>
            </w:r>
          </w:p>
        </w:tc>
        <w:tc>
          <w:tcPr>
            <w:tcW w:w="1220" w:type="dxa"/>
            <w:vAlign w:val="bottom"/>
            <w:gridSpan w:val="2"/>
          </w:tcPr>
          <w:p>
            <w:pPr>
              <w:jc w:val="right"/>
              <w:ind w:right="308"/>
              <w:spacing w:after="0"/>
              <w:rPr>
                <w:sz w:val="20"/>
                <w:szCs w:val="20"/>
                <w:color w:val="auto"/>
              </w:rPr>
            </w:pPr>
            <w:r>
              <w:rPr>
                <w:rFonts w:ascii="Arial" w:cs="Arial" w:eastAsia="Arial" w:hAnsi="Arial"/>
                <w:sz w:val="14"/>
                <w:szCs w:val="14"/>
                <w:color w:val="auto"/>
              </w:rPr>
              <w:t>-0.43 bps</w:t>
            </w:r>
          </w:p>
        </w:tc>
        <w:tc>
          <w:tcPr>
            <w:tcW w:w="0" w:type="dxa"/>
            <w:vAlign w:val="bottom"/>
          </w:tcPr>
          <w:p>
            <w:pPr>
              <w:spacing w:after="0"/>
              <w:rPr>
                <w:sz w:val="1"/>
                <w:szCs w:val="1"/>
                <w:color w:val="auto"/>
              </w:rPr>
            </w:pPr>
          </w:p>
        </w:tc>
      </w:tr>
      <w:tr>
        <w:trPr>
          <w:trHeight w:val="276"/>
        </w:trPr>
        <w:tc>
          <w:tcPr>
            <w:tcW w:w="25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3-Year Swap</w:t>
            </w:r>
          </w:p>
        </w:tc>
        <w:tc>
          <w:tcPr>
            <w:tcW w:w="6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1.24%</w:t>
            </w: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0.99%</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1.41%</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0.96%</w:t>
            </w: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0.81%</w:t>
            </w:r>
          </w:p>
        </w:tc>
        <w:tc>
          <w:tcPr>
            <w:tcW w:w="100" w:type="dxa"/>
            <w:vAlign w:val="bottom"/>
            <w:shd w:val="clear" w:color="auto" w:fill="CCEEFF"/>
          </w:tcPr>
          <w:p>
            <w:pPr>
              <w:spacing w:after="0"/>
              <w:rPr>
                <w:sz w:val="24"/>
                <w:szCs w:val="24"/>
                <w:color w:val="auto"/>
              </w:rPr>
            </w:pPr>
          </w:p>
        </w:tc>
        <w:tc>
          <w:tcPr>
            <w:tcW w:w="1300" w:type="dxa"/>
            <w:vAlign w:val="bottom"/>
            <w:gridSpan w:val="3"/>
            <w:shd w:val="clear" w:color="auto" w:fill="CCEEFF"/>
          </w:tcPr>
          <w:p>
            <w:pPr>
              <w:jc w:val="right"/>
              <w:ind w:right="480"/>
              <w:spacing w:after="0"/>
              <w:rPr>
                <w:sz w:val="20"/>
                <w:szCs w:val="20"/>
                <w:color w:val="auto"/>
              </w:rPr>
            </w:pPr>
            <w:r>
              <w:rPr>
                <w:rFonts w:ascii="Arial" w:cs="Arial" w:eastAsia="Arial" w:hAnsi="Arial"/>
                <w:sz w:val="14"/>
                <w:szCs w:val="14"/>
                <w:color w:val="auto"/>
              </w:rPr>
              <w:t>-0.15 bps</w:t>
            </w:r>
          </w:p>
        </w:tc>
        <w:tc>
          <w:tcPr>
            <w:tcW w:w="1220" w:type="dxa"/>
            <w:vAlign w:val="bottom"/>
            <w:gridSpan w:val="2"/>
            <w:shd w:val="clear" w:color="auto" w:fill="CCEEFF"/>
          </w:tcPr>
          <w:p>
            <w:pPr>
              <w:jc w:val="right"/>
              <w:ind w:right="308"/>
              <w:spacing w:after="0"/>
              <w:rPr>
                <w:sz w:val="20"/>
                <w:szCs w:val="20"/>
                <w:color w:val="auto"/>
              </w:rPr>
            </w:pPr>
            <w:r>
              <w:rPr>
                <w:rFonts w:ascii="Arial" w:cs="Arial" w:eastAsia="Arial" w:hAnsi="Arial"/>
                <w:sz w:val="14"/>
                <w:szCs w:val="14"/>
                <w:color w:val="auto"/>
              </w:rPr>
              <w:t>-0.60 bps</w:t>
            </w:r>
          </w:p>
        </w:tc>
        <w:tc>
          <w:tcPr>
            <w:tcW w:w="0" w:type="dxa"/>
            <w:vAlign w:val="bottom"/>
          </w:tcPr>
          <w:p>
            <w:pPr>
              <w:spacing w:after="0"/>
              <w:rPr>
                <w:sz w:val="1"/>
                <w:szCs w:val="1"/>
                <w:color w:val="auto"/>
              </w:rPr>
            </w:pPr>
          </w:p>
        </w:tc>
      </w:tr>
      <w:tr>
        <w:trPr>
          <w:trHeight w:val="264"/>
        </w:trPr>
        <w:tc>
          <w:tcPr>
            <w:tcW w:w="2560" w:type="dxa"/>
            <w:vAlign w:val="bottom"/>
            <w:gridSpan w:val="2"/>
          </w:tcPr>
          <w:p>
            <w:pPr>
              <w:ind w:left="200"/>
              <w:spacing w:after="0"/>
              <w:rPr>
                <w:sz w:val="20"/>
                <w:szCs w:val="20"/>
                <w:color w:val="auto"/>
              </w:rPr>
            </w:pPr>
            <w:r>
              <w:rPr>
                <w:rFonts w:ascii="Arial" w:cs="Arial" w:eastAsia="Arial" w:hAnsi="Arial"/>
                <w:sz w:val="14"/>
                <w:szCs w:val="14"/>
                <w:color w:val="auto"/>
              </w:rPr>
              <w:t>5-Year Swap</w:t>
            </w:r>
          </w:p>
        </w:tc>
        <w:tc>
          <w:tcPr>
            <w:tcW w:w="600" w:type="dxa"/>
            <w:vAlign w:val="bottom"/>
          </w:tcPr>
          <w:p>
            <w:pPr>
              <w:jc w:val="center"/>
              <w:spacing w:after="0"/>
              <w:rPr>
                <w:sz w:val="20"/>
                <w:szCs w:val="20"/>
                <w:color w:val="auto"/>
              </w:rPr>
            </w:pPr>
            <w:r>
              <w:rPr>
                <w:rFonts w:ascii="Arial" w:cs="Arial" w:eastAsia="Arial" w:hAnsi="Arial"/>
                <w:sz w:val="14"/>
                <w:szCs w:val="14"/>
                <w:color w:val="auto"/>
                <w:w w:val="95"/>
              </w:rPr>
              <w:t>1.77%</w:t>
            </w:r>
          </w:p>
        </w:tc>
        <w:tc>
          <w:tcPr>
            <w:tcW w:w="120" w:type="dxa"/>
            <w:vAlign w:val="bottom"/>
          </w:tcPr>
          <w:p>
            <w:pPr>
              <w:spacing w:after="0"/>
              <w:rPr>
                <w:sz w:val="22"/>
                <w:szCs w:val="22"/>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95"/>
              </w:rPr>
              <w:t>1.40%</w:t>
            </w:r>
          </w:p>
        </w:tc>
        <w:tc>
          <w:tcPr>
            <w:tcW w:w="100" w:type="dxa"/>
            <w:vAlign w:val="bottom"/>
          </w:tcPr>
          <w:p>
            <w:pPr>
              <w:spacing w:after="0"/>
              <w:rPr>
                <w:sz w:val="22"/>
                <w:szCs w:val="22"/>
                <w:color w:val="auto"/>
              </w:rPr>
            </w:pPr>
          </w:p>
        </w:tc>
        <w:tc>
          <w:tcPr>
            <w:tcW w:w="600" w:type="dxa"/>
            <w:vAlign w:val="bottom"/>
          </w:tcPr>
          <w:p>
            <w:pPr>
              <w:jc w:val="center"/>
              <w:spacing w:after="0"/>
              <w:rPr>
                <w:sz w:val="20"/>
                <w:szCs w:val="20"/>
                <w:color w:val="auto"/>
              </w:rPr>
            </w:pPr>
            <w:r>
              <w:rPr>
                <w:rFonts w:ascii="Arial" w:cs="Arial" w:eastAsia="Arial" w:hAnsi="Arial"/>
                <w:sz w:val="14"/>
                <w:szCs w:val="14"/>
                <w:color w:val="auto"/>
                <w:w w:val="90"/>
              </w:rPr>
              <w:t>1.73%</w:t>
            </w:r>
          </w:p>
        </w:tc>
        <w:tc>
          <w:tcPr>
            <w:tcW w:w="100" w:type="dxa"/>
            <w:vAlign w:val="bottom"/>
          </w:tcPr>
          <w:p>
            <w:pPr>
              <w:spacing w:after="0"/>
              <w:rPr>
                <w:sz w:val="22"/>
                <w:szCs w:val="22"/>
                <w:color w:val="auto"/>
              </w:rPr>
            </w:pPr>
          </w:p>
        </w:tc>
        <w:tc>
          <w:tcPr>
            <w:tcW w:w="600" w:type="dxa"/>
            <w:vAlign w:val="bottom"/>
          </w:tcPr>
          <w:p>
            <w:pPr>
              <w:jc w:val="center"/>
              <w:spacing w:after="0"/>
              <w:rPr>
                <w:sz w:val="20"/>
                <w:szCs w:val="20"/>
                <w:color w:val="auto"/>
              </w:rPr>
            </w:pPr>
            <w:r>
              <w:rPr>
                <w:rFonts w:ascii="Arial" w:cs="Arial" w:eastAsia="Arial" w:hAnsi="Arial"/>
                <w:sz w:val="14"/>
                <w:szCs w:val="14"/>
                <w:color w:val="auto"/>
                <w:w w:val="95"/>
              </w:rPr>
              <w:t>1.18%</w:t>
            </w:r>
          </w:p>
        </w:tc>
        <w:tc>
          <w:tcPr>
            <w:tcW w:w="120" w:type="dxa"/>
            <w:vAlign w:val="bottom"/>
          </w:tcPr>
          <w:p>
            <w:pPr>
              <w:spacing w:after="0"/>
              <w:rPr>
                <w:sz w:val="22"/>
                <w:szCs w:val="22"/>
                <w:color w:val="auto"/>
              </w:rPr>
            </w:pPr>
          </w:p>
        </w:tc>
        <w:tc>
          <w:tcPr>
            <w:tcW w:w="600" w:type="dxa"/>
            <w:vAlign w:val="bottom"/>
          </w:tcPr>
          <w:p>
            <w:pPr>
              <w:jc w:val="center"/>
              <w:spacing w:after="0"/>
              <w:rPr>
                <w:sz w:val="20"/>
                <w:szCs w:val="20"/>
                <w:color w:val="auto"/>
              </w:rPr>
            </w:pPr>
            <w:r>
              <w:rPr>
                <w:rFonts w:ascii="Arial" w:cs="Arial" w:eastAsia="Arial" w:hAnsi="Arial"/>
                <w:sz w:val="14"/>
                <w:szCs w:val="14"/>
                <w:color w:val="auto"/>
                <w:w w:val="95"/>
              </w:rPr>
              <w:t>0.99%</w:t>
            </w:r>
          </w:p>
        </w:tc>
        <w:tc>
          <w:tcPr>
            <w:tcW w:w="100" w:type="dxa"/>
            <w:vAlign w:val="bottom"/>
          </w:tcPr>
          <w:p>
            <w:pPr>
              <w:spacing w:after="0"/>
              <w:rPr>
                <w:sz w:val="22"/>
                <w:szCs w:val="22"/>
                <w:color w:val="auto"/>
              </w:rPr>
            </w:pPr>
          </w:p>
        </w:tc>
        <w:tc>
          <w:tcPr>
            <w:tcW w:w="1300" w:type="dxa"/>
            <w:vAlign w:val="bottom"/>
            <w:gridSpan w:val="3"/>
          </w:tcPr>
          <w:p>
            <w:pPr>
              <w:jc w:val="right"/>
              <w:ind w:right="480"/>
              <w:spacing w:after="0"/>
              <w:rPr>
                <w:sz w:val="20"/>
                <w:szCs w:val="20"/>
                <w:color w:val="auto"/>
              </w:rPr>
            </w:pPr>
            <w:r>
              <w:rPr>
                <w:rFonts w:ascii="Arial" w:cs="Arial" w:eastAsia="Arial" w:hAnsi="Arial"/>
                <w:sz w:val="14"/>
                <w:szCs w:val="14"/>
                <w:color w:val="auto"/>
              </w:rPr>
              <w:t>-0.19 bps</w:t>
            </w:r>
          </w:p>
        </w:tc>
        <w:tc>
          <w:tcPr>
            <w:tcW w:w="1220" w:type="dxa"/>
            <w:vAlign w:val="bottom"/>
            <w:gridSpan w:val="2"/>
          </w:tcPr>
          <w:p>
            <w:pPr>
              <w:jc w:val="right"/>
              <w:ind w:right="308"/>
              <w:spacing w:after="0"/>
              <w:rPr>
                <w:sz w:val="20"/>
                <w:szCs w:val="20"/>
                <w:color w:val="auto"/>
              </w:rPr>
            </w:pPr>
            <w:r>
              <w:rPr>
                <w:rFonts w:ascii="Arial" w:cs="Arial" w:eastAsia="Arial" w:hAnsi="Arial"/>
                <w:sz w:val="14"/>
                <w:szCs w:val="14"/>
                <w:color w:val="auto"/>
              </w:rPr>
              <w:t>-0.74 bps</w:t>
            </w:r>
          </w:p>
        </w:tc>
        <w:tc>
          <w:tcPr>
            <w:tcW w:w="0" w:type="dxa"/>
            <w:vAlign w:val="bottom"/>
          </w:tcPr>
          <w:p>
            <w:pPr>
              <w:spacing w:after="0"/>
              <w:rPr>
                <w:sz w:val="1"/>
                <w:szCs w:val="1"/>
                <w:color w:val="auto"/>
              </w:rPr>
            </w:pPr>
          </w:p>
        </w:tc>
      </w:tr>
      <w:tr>
        <w:trPr>
          <w:trHeight w:val="276"/>
        </w:trPr>
        <w:tc>
          <w:tcPr>
            <w:tcW w:w="25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10-Year Swap</w:t>
            </w:r>
          </w:p>
        </w:tc>
        <w:tc>
          <w:tcPr>
            <w:tcW w:w="6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2.44%</w:t>
            </w: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2.01%</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2.19%</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1.64%</w:t>
            </w: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1.38%</w:t>
            </w:r>
          </w:p>
        </w:tc>
        <w:tc>
          <w:tcPr>
            <w:tcW w:w="100" w:type="dxa"/>
            <w:vAlign w:val="bottom"/>
            <w:shd w:val="clear" w:color="auto" w:fill="CCEEFF"/>
          </w:tcPr>
          <w:p>
            <w:pPr>
              <w:spacing w:after="0"/>
              <w:rPr>
                <w:sz w:val="24"/>
                <w:szCs w:val="24"/>
                <w:color w:val="auto"/>
              </w:rPr>
            </w:pPr>
          </w:p>
        </w:tc>
        <w:tc>
          <w:tcPr>
            <w:tcW w:w="1300" w:type="dxa"/>
            <w:vAlign w:val="bottom"/>
            <w:gridSpan w:val="3"/>
            <w:shd w:val="clear" w:color="auto" w:fill="CCEEFF"/>
          </w:tcPr>
          <w:p>
            <w:pPr>
              <w:jc w:val="right"/>
              <w:ind w:right="480"/>
              <w:spacing w:after="0"/>
              <w:rPr>
                <w:sz w:val="20"/>
                <w:szCs w:val="20"/>
                <w:color w:val="auto"/>
              </w:rPr>
            </w:pPr>
            <w:r>
              <w:rPr>
                <w:rFonts w:ascii="Arial" w:cs="Arial" w:eastAsia="Arial" w:hAnsi="Arial"/>
                <w:sz w:val="14"/>
                <w:szCs w:val="14"/>
                <w:color w:val="auto"/>
              </w:rPr>
              <w:t>-0.26 bps</w:t>
            </w:r>
          </w:p>
        </w:tc>
        <w:tc>
          <w:tcPr>
            <w:tcW w:w="1220" w:type="dxa"/>
            <w:vAlign w:val="bottom"/>
            <w:gridSpan w:val="2"/>
            <w:shd w:val="clear" w:color="auto" w:fill="CCEEFF"/>
          </w:tcPr>
          <w:p>
            <w:pPr>
              <w:jc w:val="right"/>
              <w:ind w:right="308"/>
              <w:spacing w:after="0"/>
              <w:rPr>
                <w:sz w:val="20"/>
                <w:szCs w:val="20"/>
                <w:color w:val="auto"/>
              </w:rPr>
            </w:pPr>
            <w:r>
              <w:rPr>
                <w:rFonts w:ascii="Arial" w:cs="Arial" w:eastAsia="Arial" w:hAnsi="Arial"/>
                <w:sz w:val="14"/>
                <w:szCs w:val="14"/>
                <w:color w:val="auto"/>
              </w:rPr>
              <w:t>-0.81 bps</w:t>
            </w:r>
          </w:p>
        </w:tc>
        <w:tc>
          <w:tcPr>
            <w:tcW w:w="0" w:type="dxa"/>
            <w:vAlign w:val="bottom"/>
          </w:tcPr>
          <w:p>
            <w:pPr>
              <w:spacing w:after="0"/>
              <w:rPr>
                <w:sz w:val="1"/>
                <w:szCs w:val="1"/>
                <w:color w:val="auto"/>
              </w:rPr>
            </w:pPr>
          </w:p>
        </w:tc>
      </w:tr>
      <w:tr>
        <w:trPr>
          <w:trHeight w:val="264"/>
        </w:trPr>
        <w:tc>
          <w:tcPr>
            <w:tcW w:w="2560" w:type="dxa"/>
            <w:vAlign w:val="bottom"/>
            <w:gridSpan w:val="2"/>
          </w:tcPr>
          <w:p>
            <w:pPr>
              <w:ind w:left="200"/>
              <w:spacing w:after="0"/>
              <w:rPr>
                <w:sz w:val="20"/>
                <w:szCs w:val="20"/>
                <w:color w:val="auto"/>
              </w:rPr>
            </w:pPr>
            <w:r>
              <w:rPr>
                <w:rFonts w:ascii="Arial" w:cs="Arial" w:eastAsia="Arial" w:hAnsi="Arial"/>
                <w:sz w:val="14"/>
                <w:szCs w:val="14"/>
                <w:color w:val="auto"/>
              </w:rPr>
              <w:t>30-Year Swap</w:t>
            </w:r>
          </w:p>
        </w:tc>
        <w:tc>
          <w:tcPr>
            <w:tcW w:w="600" w:type="dxa"/>
            <w:vAlign w:val="bottom"/>
          </w:tcPr>
          <w:p>
            <w:pPr>
              <w:jc w:val="center"/>
              <w:spacing w:after="0"/>
              <w:rPr>
                <w:sz w:val="20"/>
                <w:szCs w:val="20"/>
                <w:color w:val="auto"/>
              </w:rPr>
            </w:pPr>
            <w:r>
              <w:rPr>
                <w:rFonts w:ascii="Arial" w:cs="Arial" w:eastAsia="Arial" w:hAnsi="Arial"/>
                <w:sz w:val="14"/>
                <w:szCs w:val="14"/>
                <w:color w:val="auto"/>
                <w:w w:val="95"/>
              </w:rPr>
              <w:t>2.92%</w:t>
            </w:r>
          </w:p>
        </w:tc>
        <w:tc>
          <w:tcPr>
            <w:tcW w:w="120" w:type="dxa"/>
            <w:vAlign w:val="bottom"/>
          </w:tcPr>
          <w:p>
            <w:pPr>
              <w:spacing w:after="0"/>
              <w:rPr>
                <w:sz w:val="22"/>
                <w:szCs w:val="22"/>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95"/>
              </w:rPr>
              <w:t>2.53%</w:t>
            </w:r>
          </w:p>
        </w:tc>
        <w:tc>
          <w:tcPr>
            <w:tcW w:w="100" w:type="dxa"/>
            <w:vAlign w:val="bottom"/>
          </w:tcPr>
          <w:p>
            <w:pPr>
              <w:spacing w:after="0"/>
              <w:rPr>
                <w:sz w:val="22"/>
                <w:szCs w:val="22"/>
                <w:color w:val="auto"/>
              </w:rPr>
            </w:pPr>
          </w:p>
        </w:tc>
        <w:tc>
          <w:tcPr>
            <w:tcW w:w="600" w:type="dxa"/>
            <w:vAlign w:val="bottom"/>
          </w:tcPr>
          <w:p>
            <w:pPr>
              <w:jc w:val="center"/>
              <w:spacing w:after="0"/>
              <w:rPr>
                <w:sz w:val="20"/>
                <w:szCs w:val="20"/>
                <w:color w:val="auto"/>
              </w:rPr>
            </w:pPr>
            <w:r>
              <w:rPr>
                <w:rFonts w:ascii="Arial" w:cs="Arial" w:eastAsia="Arial" w:hAnsi="Arial"/>
                <w:sz w:val="14"/>
                <w:szCs w:val="14"/>
                <w:color w:val="auto"/>
                <w:w w:val="90"/>
              </w:rPr>
              <w:t>2.62%</w:t>
            </w:r>
          </w:p>
        </w:tc>
        <w:tc>
          <w:tcPr>
            <w:tcW w:w="100" w:type="dxa"/>
            <w:vAlign w:val="bottom"/>
          </w:tcPr>
          <w:p>
            <w:pPr>
              <w:spacing w:after="0"/>
              <w:rPr>
                <w:sz w:val="22"/>
                <w:szCs w:val="22"/>
                <w:color w:val="auto"/>
              </w:rPr>
            </w:pPr>
          </w:p>
        </w:tc>
        <w:tc>
          <w:tcPr>
            <w:tcW w:w="600" w:type="dxa"/>
            <w:vAlign w:val="bottom"/>
          </w:tcPr>
          <w:p>
            <w:pPr>
              <w:jc w:val="center"/>
              <w:spacing w:after="0"/>
              <w:rPr>
                <w:sz w:val="20"/>
                <w:szCs w:val="20"/>
                <w:color w:val="auto"/>
              </w:rPr>
            </w:pPr>
            <w:r>
              <w:rPr>
                <w:rFonts w:ascii="Arial" w:cs="Arial" w:eastAsia="Arial" w:hAnsi="Arial"/>
                <w:sz w:val="14"/>
                <w:szCs w:val="14"/>
                <w:color w:val="auto"/>
                <w:w w:val="95"/>
              </w:rPr>
              <w:t>2.13%</w:t>
            </w:r>
          </w:p>
        </w:tc>
        <w:tc>
          <w:tcPr>
            <w:tcW w:w="120" w:type="dxa"/>
            <w:vAlign w:val="bottom"/>
          </w:tcPr>
          <w:p>
            <w:pPr>
              <w:spacing w:after="0"/>
              <w:rPr>
                <w:sz w:val="22"/>
                <w:szCs w:val="22"/>
                <w:color w:val="auto"/>
              </w:rPr>
            </w:pPr>
          </w:p>
        </w:tc>
        <w:tc>
          <w:tcPr>
            <w:tcW w:w="600" w:type="dxa"/>
            <w:vAlign w:val="bottom"/>
          </w:tcPr>
          <w:p>
            <w:pPr>
              <w:jc w:val="center"/>
              <w:spacing w:after="0"/>
              <w:rPr>
                <w:sz w:val="20"/>
                <w:szCs w:val="20"/>
                <w:color w:val="auto"/>
              </w:rPr>
            </w:pPr>
            <w:r>
              <w:rPr>
                <w:rFonts w:ascii="Arial" w:cs="Arial" w:eastAsia="Arial" w:hAnsi="Arial"/>
                <w:sz w:val="14"/>
                <w:szCs w:val="14"/>
                <w:color w:val="auto"/>
                <w:w w:val="95"/>
              </w:rPr>
              <w:t>1.84%</w:t>
            </w:r>
          </w:p>
        </w:tc>
        <w:tc>
          <w:tcPr>
            <w:tcW w:w="100" w:type="dxa"/>
            <w:vAlign w:val="bottom"/>
          </w:tcPr>
          <w:p>
            <w:pPr>
              <w:spacing w:after="0"/>
              <w:rPr>
                <w:sz w:val="22"/>
                <w:szCs w:val="22"/>
                <w:color w:val="auto"/>
              </w:rPr>
            </w:pPr>
          </w:p>
        </w:tc>
        <w:tc>
          <w:tcPr>
            <w:tcW w:w="1300" w:type="dxa"/>
            <w:vAlign w:val="bottom"/>
            <w:gridSpan w:val="3"/>
          </w:tcPr>
          <w:p>
            <w:pPr>
              <w:jc w:val="right"/>
              <w:ind w:right="480"/>
              <w:spacing w:after="0"/>
              <w:rPr>
                <w:sz w:val="20"/>
                <w:szCs w:val="20"/>
                <w:color w:val="auto"/>
              </w:rPr>
            </w:pPr>
            <w:r>
              <w:rPr>
                <w:rFonts w:ascii="Arial" w:cs="Arial" w:eastAsia="Arial" w:hAnsi="Arial"/>
                <w:sz w:val="14"/>
                <w:szCs w:val="14"/>
                <w:color w:val="auto"/>
              </w:rPr>
              <w:t>-0.29 bps</w:t>
            </w:r>
          </w:p>
        </w:tc>
        <w:tc>
          <w:tcPr>
            <w:tcW w:w="1220" w:type="dxa"/>
            <w:vAlign w:val="bottom"/>
            <w:gridSpan w:val="2"/>
          </w:tcPr>
          <w:p>
            <w:pPr>
              <w:jc w:val="right"/>
              <w:ind w:right="308"/>
              <w:spacing w:after="0"/>
              <w:rPr>
                <w:sz w:val="20"/>
                <w:szCs w:val="20"/>
                <w:color w:val="auto"/>
              </w:rPr>
            </w:pPr>
            <w:r>
              <w:rPr>
                <w:rFonts w:ascii="Arial" w:cs="Arial" w:eastAsia="Arial" w:hAnsi="Arial"/>
                <w:sz w:val="14"/>
                <w:szCs w:val="14"/>
                <w:color w:val="auto"/>
              </w:rPr>
              <w:t>-0.78 bps</w:t>
            </w:r>
          </w:p>
        </w:tc>
        <w:tc>
          <w:tcPr>
            <w:tcW w:w="0" w:type="dxa"/>
            <w:vAlign w:val="bottom"/>
          </w:tcPr>
          <w:p>
            <w:pPr>
              <w:spacing w:after="0"/>
              <w:rPr>
                <w:sz w:val="1"/>
                <w:szCs w:val="1"/>
                <w:color w:val="auto"/>
              </w:rPr>
            </w:pPr>
          </w:p>
        </w:tc>
      </w:tr>
      <w:tr>
        <w:trPr>
          <w:trHeight w:val="276"/>
        </w:trPr>
        <w:tc>
          <w:tcPr>
            <w:tcW w:w="256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30-Year Fixed Rate MBS Price:</w:t>
            </w: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460" w:type="dxa"/>
            <w:vAlign w:val="bottom"/>
          </w:tcPr>
          <w:p>
            <w:pPr>
              <w:ind w:left="200"/>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22"/>
                <w:szCs w:val="22"/>
                <w:color w:val="auto"/>
              </w:rPr>
            </w:pPr>
          </w:p>
        </w:tc>
        <w:tc>
          <w:tcPr>
            <w:tcW w:w="600" w:type="dxa"/>
            <w:vAlign w:val="bottom"/>
          </w:tcPr>
          <w:p>
            <w:pPr>
              <w:jc w:val="center"/>
              <w:spacing w:after="0"/>
              <w:rPr>
                <w:sz w:val="20"/>
                <w:szCs w:val="20"/>
                <w:color w:val="auto"/>
              </w:rPr>
            </w:pPr>
            <w:r>
              <w:rPr>
                <w:rFonts w:ascii="Arial" w:cs="Arial" w:eastAsia="Arial" w:hAnsi="Arial"/>
                <w:sz w:val="14"/>
                <w:szCs w:val="14"/>
                <w:color w:val="auto"/>
                <w:w w:val="93"/>
              </w:rPr>
              <w:t>$99.58</w:t>
            </w:r>
          </w:p>
        </w:tc>
        <w:tc>
          <w:tcPr>
            <w:tcW w:w="120" w:type="dxa"/>
            <w:vAlign w:val="bottom"/>
          </w:tcPr>
          <w:p>
            <w:pPr>
              <w:spacing w:after="0"/>
              <w:rPr>
                <w:sz w:val="22"/>
                <w:szCs w:val="22"/>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90"/>
              </w:rPr>
              <w:t>$101.34</w:t>
            </w:r>
          </w:p>
        </w:tc>
        <w:tc>
          <w:tcPr>
            <w:tcW w:w="100" w:type="dxa"/>
            <w:vAlign w:val="bottom"/>
          </w:tcPr>
          <w:p>
            <w:pPr>
              <w:spacing w:after="0"/>
              <w:rPr>
                <w:sz w:val="22"/>
                <w:szCs w:val="22"/>
                <w:color w:val="auto"/>
              </w:rPr>
            </w:pPr>
          </w:p>
        </w:tc>
        <w:tc>
          <w:tcPr>
            <w:tcW w:w="600" w:type="dxa"/>
            <w:vAlign w:val="bottom"/>
          </w:tcPr>
          <w:p>
            <w:pPr>
              <w:jc w:val="center"/>
              <w:spacing w:after="0"/>
              <w:rPr>
                <w:sz w:val="20"/>
                <w:szCs w:val="20"/>
                <w:color w:val="auto"/>
              </w:rPr>
            </w:pPr>
            <w:r>
              <w:rPr>
                <w:rFonts w:ascii="Arial" w:cs="Arial" w:eastAsia="Arial" w:hAnsi="Arial"/>
                <w:sz w:val="14"/>
                <w:szCs w:val="14"/>
                <w:color w:val="auto"/>
                <w:w w:val="94"/>
              </w:rPr>
              <w:t>$100.01</w:t>
            </w:r>
          </w:p>
        </w:tc>
        <w:tc>
          <w:tcPr>
            <w:tcW w:w="100" w:type="dxa"/>
            <w:vAlign w:val="bottom"/>
          </w:tcPr>
          <w:p>
            <w:pPr>
              <w:spacing w:after="0"/>
              <w:rPr>
                <w:sz w:val="22"/>
                <w:szCs w:val="22"/>
                <w:color w:val="auto"/>
              </w:rPr>
            </w:pPr>
          </w:p>
        </w:tc>
        <w:tc>
          <w:tcPr>
            <w:tcW w:w="600" w:type="dxa"/>
            <w:vAlign w:val="bottom"/>
          </w:tcPr>
          <w:p>
            <w:pPr>
              <w:jc w:val="center"/>
              <w:spacing w:after="0"/>
              <w:rPr>
                <w:sz w:val="20"/>
                <w:szCs w:val="20"/>
                <w:color w:val="auto"/>
              </w:rPr>
            </w:pPr>
            <w:r>
              <w:rPr>
                <w:rFonts w:ascii="Arial" w:cs="Arial" w:eastAsia="Arial" w:hAnsi="Arial"/>
                <w:sz w:val="14"/>
                <w:szCs w:val="14"/>
                <w:color w:val="auto"/>
                <w:w w:val="90"/>
              </w:rPr>
              <w:t>$102.59</w:t>
            </w:r>
          </w:p>
        </w:tc>
        <w:tc>
          <w:tcPr>
            <w:tcW w:w="120" w:type="dxa"/>
            <w:vAlign w:val="bottom"/>
          </w:tcPr>
          <w:p>
            <w:pPr>
              <w:spacing w:after="0"/>
              <w:rPr>
                <w:sz w:val="22"/>
                <w:szCs w:val="22"/>
                <w:color w:val="auto"/>
              </w:rPr>
            </w:pPr>
          </w:p>
        </w:tc>
        <w:tc>
          <w:tcPr>
            <w:tcW w:w="600" w:type="dxa"/>
            <w:vAlign w:val="bottom"/>
          </w:tcPr>
          <w:p>
            <w:pPr>
              <w:jc w:val="center"/>
              <w:spacing w:after="0"/>
              <w:rPr>
                <w:sz w:val="20"/>
                <w:szCs w:val="20"/>
                <w:color w:val="auto"/>
              </w:rPr>
            </w:pPr>
            <w:r>
              <w:rPr>
                <w:rFonts w:ascii="Arial" w:cs="Arial" w:eastAsia="Arial" w:hAnsi="Arial"/>
                <w:sz w:val="14"/>
                <w:szCs w:val="14"/>
                <w:color w:val="auto"/>
                <w:w w:val="90"/>
              </w:rPr>
              <w:t>$103.75</w:t>
            </w:r>
          </w:p>
        </w:tc>
        <w:tc>
          <w:tcPr>
            <w:tcW w:w="100" w:type="dxa"/>
            <w:vAlign w:val="bottom"/>
          </w:tcPr>
          <w:p>
            <w:pPr>
              <w:spacing w:after="0"/>
              <w:rPr>
                <w:sz w:val="22"/>
                <w:szCs w:val="22"/>
                <w:color w:val="auto"/>
              </w:rPr>
            </w:pPr>
          </w:p>
        </w:tc>
        <w:tc>
          <w:tcPr>
            <w:tcW w:w="1200" w:type="dxa"/>
            <w:vAlign w:val="bottom"/>
            <w:gridSpan w:val="2"/>
          </w:tcPr>
          <w:p>
            <w:pPr>
              <w:jc w:val="center"/>
              <w:spacing w:after="0"/>
              <w:rPr>
                <w:sz w:val="20"/>
                <w:szCs w:val="20"/>
                <w:color w:val="auto"/>
              </w:rPr>
            </w:pPr>
            <w:r>
              <w:rPr>
                <w:rFonts w:ascii="Arial" w:cs="Arial" w:eastAsia="Arial" w:hAnsi="Arial"/>
                <w:sz w:val="14"/>
                <w:szCs w:val="14"/>
                <w:color w:val="auto"/>
                <w:w w:val="92"/>
              </w:rPr>
              <w:t>+$1.16</w:t>
            </w:r>
          </w:p>
        </w:tc>
        <w:tc>
          <w:tcPr>
            <w:tcW w:w="100" w:type="dxa"/>
            <w:vAlign w:val="bottom"/>
          </w:tcPr>
          <w:p>
            <w:pPr>
              <w:spacing w:after="0"/>
              <w:rPr>
                <w:sz w:val="22"/>
                <w:szCs w:val="22"/>
                <w:color w:val="auto"/>
              </w:rPr>
            </w:pPr>
          </w:p>
        </w:tc>
        <w:tc>
          <w:tcPr>
            <w:tcW w:w="1220" w:type="dxa"/>
            <w:vAlign w:val="bottom"/>
            <w:gridSpan w:val="2"/>
          </w:tcPr>
          <w:p>
            <w:pPr>
              <w:jc w:val="center"/>
              <w:spacing w:after="0"/>
              <w:rPr>
                <w:sz w:val="20"/>
                <w:szCs w:val="20"/>
                <w:color w:val="auto"/>
              </w:rPr>
            </w:pPr>
            <w:r>
              <w:rPr>
                <w:rFonts w:ascii="Arial" w:cs="Arial" w:eastAsia="Arial" w:hAnsi="Arial"/>
                <w:sz w:val="14"/>
                <w:szCs w:val="14"/>
                <w:color w:val="auto"/>
                <w:w w:val="92"/>
              </w:rPr>
              <w:t>+$3.74</w:t>
            </w:r>
          </w:p>
        </w:tc>
        <w:tc>
          <w:tcPr>
            <w:tcW w:w="0" w:type="dxa"/>
            <w:vAlign w:val="bottom"/>
          </w:tcPr>
          <w:p>
            <w:pPr>
              <w:spacing w:after="0"/>
              <w:rPr>
                <w:sz w:val="1"/>
                <w:szCs w:val="1"/>
                <w:color w:val="auto"/>
              </w:rPr>
            </w:pPr>
          </w:p>
        </w:tc>
      </w:tr>
      <w:tr>
        <w:trPr>
          <w:trHeight w:val="276"/>
        </w:trPr>
        <w:tc>
          <w:tcPr>
            <w:tcW w:w="24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$103.02</w:t>
            </w: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$104.31</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$103.18</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$104.86</w:t>
            </w: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$105.50</w:t>
            </w:r>
          </w:p>
        </w:tc>
        <w:tc>
          <w:tcPr>
            <w:tcW w:w="10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2"/>
              </w:rPr>
              <w:t>+$0.64</w:t>
            </w:r>
          </w:p>
        </w:tc>
        <w:tc>
          <w:tcPr>
            <w:tcW w:w="10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2"/>
              </w:rPr>
              <w:t>+$2.32</w:t>
            </w:r>
          </w:p>
        </w:tc>
        <w:tc>
          <w:tcPr>
            <w:tcW w:w="0" w:type="dxa"/>
            <w:vAlign w:val="bottom"/>
          </w:tcPr>
          <w:p>
            <w:pPr>
              <w:spacing w:after="0"/>
              <w:rPr>
                <w:sz w:val="1"/>
                <w:szCs w:val="1"/>
                <w:color w:val="auto"/>
              </w:rPr>
            </w:pPr>
          </w:p>
        </w:tc>
      </w:tr>
      <w:tr>
        <w:trPr>
          <w:trHeight w:val="264"/>
        </w:trPr>
        <w:tc>
          <w:tcPr>
            <w:tcW w:w="2460" w:type="dxa"/>
            <w:vAlign w:val="bottom"/>
          </w:tcPr>
          <w:p>
            <w:pPr>
              <w:ind w:left="200"/>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22"/>
                <w:szCs w:val="22"/>
                <w:color w:val="auto"/>
              </w:rPr>
            </w:pPr>
          </w:p>
        </w:tc>
        <w:tc>
          <w:tcPr>
            <w:tcW w:w="600" w:type="dxa"/>
            <w:vAlign w:val="bottom"/>
          </w:tcPr>
          <w:p>
            <w:pPr>
              <w:jc w:val="center"/>
              <w:spacing w:after="0"/>
              <w:rPr>
                <w:sz w:val="20"/>
                <w:szCs w:val="20"/>
                <w:color w:val="auto"/>
              </w:rPr>
            </w:pPr>
            <w:r>
              <w:rPr>
                <w:rFonts w:ascii="Arial" w:cs="Arial" w:eastAsia="Arial" w:hAnsi="Arial"/>
                <w:sz w:val="14"/>
                <w:szCs w:val="14"/>
                <w:color w:val="auto"/>
                <w:w w:val="90"/>
              </w:rPr>
              <w:t>$105.91</w:t>
            </w:r>
          </w:p>
        </w:tc>
        <w:tc>
          <w:tcPr>
            <w:tcW w:w="120" w:type="dxa"/>
            <w:vAlign w:val="bottom"/>
          </w:tcPr>
          <w:p>
            <w:pPr>
              <w:spacing w:after="0"/>
              <w:rPr>
                <w:sz w:val="22"/>
                <w:szCs w:val="22"/>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90"/>
              </w:rPr>
              <w:t>$106.67</w:t>
            </w:r>
          </w:p>
        </w:tc>
        <w:tc>
          <w:tcPr>
            <w:tcW w:w="100" w:type="dxa"/>
            <w:vAlign w:val="bottom"/>
          </w:tcPr>
          <w:p>
            <w:pPr>
              <w:spacing w:after="0"/>
              <w:rPr>
                <w:sz w:val="22"/>
                <w:szCs w:val="22"/>
                <w:color w:val="auto"/>
              </w:rPr>
            </w:pPr>
          </w:p>
        </w:tc>
        <w:tc>
          <w:tcPr>
            <w:tcW w:w="600" w:type="dxa"/>
            <w:vAlign w:val="bottom"/>
          </w:tcPr>
          <w:p>
            <w:pPr>
              <w:jc w:val="center"/>
              <w:spacing w:after="0"/>
              <w:rPr>
                <w:sz w:val="20"/>
                <w:szCs w:val="20"/>
                <w:color w:val="auto"/>
              </w:rPr>
            </w:pPr>
            <w:r>
              <w:rPr>
                <w:rFonts w:ascii="Arial" w:cs="Arial" w:eastAsia="Arial" w:hAnsi="Arial"/>
                <w:sz w:val="14"/>
                <w:szCs w:val="14"/>
                <w:color w:val="auto"/>
                <w:w w:val="94"/>
              </w:rPr>
              <w:t>$105.83</w:t>
            </w:r>
          </w:p>
        </w:tc>
        <w:tc>
          <w:tcPr>
            <w:tcW w:w="100" w:type="dxa"/>
            <w:vAlign w:val="bottom"/>
          </w:tcPr>
          <w:p>
            <w:pPr>
              <w:spacing w:after="0"/>
              <w:rPr>
                <w:sz w:val="22"/>
                <w:szCs w:val="22"/>
                <w:color w:val="auto"/>
              </w:rPr>
            </w:pPr>
          </w:p>
        </w:tc>
        <w:tc>
          <w:tcPr>
            <w:tcW w:w="600" w:type="dxa"/>
            <w:vAlign w:val="bottom"/>
          </w:tcPr>
          <w:p>
            <w:pPr>
              <w:jc w:val="center"/>
              <w:spacing w:after="0"/>
              <w:rPr>
                <w:sz w:val="20"/>
                <w:szCs w:val="20"/>
                <w:color w:val="auto"/>
              </w:rPr>
            </w:pPr>
            <w:r>
              <w:rPr>
                <w:rFonts w:ascii="Arial" w:cs="Arial" w:eastAsia="Arial" w:hAnsi="Arial"/>
                <w:sz w:val="14"/>
                <w:szCs w:val="14"/>
                <w:color w:val="auto"/>
                <w:w w:val="90"/>
              </w:rPr>
              <w:t>$106.86</w:t>
            </w:r>
          </w:p>
        </w:tc>
        <w:tc>
          <w:tcPr>
            <w:tcW w:w="120" w:type="dxa"/>
            <w:vAlign w:val="bottom"/>
          </w:tcPr>
          <w:p>
            <w:pPr>
              <w:spacing w:after="0"/>
              <w:rPr>
                <w:sz w:val="22"/>
                <w:szCs w:val="22"/>
                <w:color w:val="auto"/>
              </w:rPr>
            </w:pPr>
          </w:p>
        </w:tc>
        <w:tc>
          <w:tcPr>
            <w:tcW w:w="600" w:type="dxa"/>
            <w:vAlign w:val="bottom"/>
          </w:tcPr>
          <w:p>
            <w:pPr>
              <w:jc w:val="center"/>
              <w:spacing w:after="0"/>
              <w:rPr>
                <w:sz w:val="20"/>
                <w:szCs w:val="20"/>
                <w:color w:val="auto"/>
              </w:rPr>
            </w:pPr>
            <w:r>
              <w:rPr>
                <w:rFonts w:ascii="Arial" w:cs="Arial" w:eastAsia="Arial" w:hAnsi="Arial"/>
                <w:sz w:val="14"/>
                <w:szCs w:val="14"/>
                <w:color w:val="auto"/>
                <w:w w:val="90"/>
              </w:rPr>
              <w:t>$107.23</w:t>
            </w:r>
          </w:p>
        </w:tc>
        <w:tc>
          <w:tcPr>
            <w:tcW w:w="100" w:type="dxa"/>
            <w:vAlign w:val="bottom"/>
          </w:tcPr>
          <w:p>
            <w:pPr>
              <w:spacing w:after="0"/>
              <w:rPr>
                <w:sz w:val="22"/>
                <w:szCs w:val="22"/>
                <w:color w:val="auto"/>
              </w:rPr>
            </w:pPr>
          </w:p>
        </w:tc>
        <w:tc>
          <w:tcPr>
            <w:tcW w:w="1200" w:type="dxa"/>
            <w:vAlign w:val="bottom"/>
            <w:gridSpan w:val="2"/>
          </w:tcPr>
          <w:p>
            <w:pPr>
              <w:jc w:val="center"/>
              <w:spacing w:after="0"/>
              <w:rPr>
                <w:sz w:val="20"/>
                <w:szCs w:val="20"/>
                <w:color w:val="auto"/>
              </w:rPr>
            </w:pPr>
            <w:r>
              <w:rPr>
                <w:rFonts w:ascii="Arial" w:cs="Arial" w:eastAsia="Arial" w:hAnsi="Arial"/>
                <w:sz w:val="14"/>
                <w:szCs w:val="14"/>
                <w:color w:val="auto"/>
                <w:w w:val="92"/>
              </w:rPr>
              <w:t>+$0.37</w:t>
            </w:r>
          </w:p>
        </w:tc>
        <w:tc>
          <w:tcPr>
            <w:tcW w:w="100" w:type="dxa"/>
            <w:vAlign w:val="bottom"/>
          </w:tcPr>
          <w:p>
            <w:pPr>
              <w:spacing w:after="0"/>
              <w:rPr>
                <w:sz w:val="22"/>
                <w:szCs w:val="22"/>
                <w:color w:val="auto"/>
              </w:rPr>
            </w:pPr>
          </w:p>
        </w:tc>
        <w:tc>
          <w:tcPr>
            <w:tcW w:w="1220" w:type="dxa"/>
            <w:vAlign w:val="bottom"/>
            <w:gridSpan w:val="2"/>
          </w:tcPr>
          <w:p>
            <w:pPr>
              <w:jc w:val="center"/>
              <w:spacing w:after="0"/>
              <w:rPr>
                <w:sz w:val="20"/>
                <w:szCs w:val="20"/>
                <w:color w:val="auto"/>
              </w:rPr>
            </w:pPr>
            <w:r>
              <w:rPr>
                <w:rFonts w:ascii="Arial" w:cs="Arial" w:eastAsia="Arial" w:hAnsi="Arial"/>
                <w:sz w:val="14"/>
                <w:szCs w:val="14"/>
                <w:color w:val="auto"/>
                <w:w w:val="92"/>
              </w:rPr>
              <w:t>+$1.40</w:t>
            </w:r>
          </w:p>
        </w:tc>
        <w:tc>
          <w:tcPr>
            <w:tcW w:w="0" w:type="dxa"/>
            <w:vAlign w:val="bottom"/>
          </w:tcPr>
          <w:p>
            <w:pPr>
              <w:spacing w:after="0"/>
              <w:rPr>
                <w:sz w:val="1"/>
                <w:szCs w:val="1"/>
                <w:color w:val="auto"/>
              </w:rPr>
            </w:pPr>
          </w:p>
        </w:tc>
      </w:tr>
      <w:tr>
        <w:trPr>
          <w:trHeight w:val="276"/>
        </w:trPr>
        <w:tc>
          <w:tcPr>
            <w:tcW w:w="24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4.5%</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$108.09</w:t>
            </w: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$108.41</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$108.00</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$108.82</w:t>
            </w: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$109.17</w:t>
            </w:r>
          </w:p>
        </w:tc>
        <w:tc>
          <w:tcPr>
            <w:tcW w:w="10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2"/>
              </w:rPr>
              <w:t>+$0.35</w:t>
            </w:r>
          </w:p>
        </w:tc>
        <w:tc>
          <w:tcPr>
            <w:tcW w:w="10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2"/>
              </w:rPr>
              <w:t>+$1.17</w:t>
            </w:r>
          </w:p>
        </w:tc>
        <w:tc>
          <w:tcPr>
            <w:tcW w:w="0" w:type="dxa"/>
            <w:vAlign w:val="bottom"/>
          </w:tcPr>
          <w:p>
            <w:pPr>
              <w:spacing w:after="0"/>
              <w:rPr>
                <w:sz w:val="1"/>
                <w:szCs w:val="1"/>
                <w:color w:val="auto"/>
              </w:rPr>
            </w:pPr>
          </w:p>
        </w:tc>
      </w:tr>
      <w:tr>
        <w:trPr>
          <w:trHeight w:val="264"/>
        </w:trPr>
        <w:tc>
          <w:tcPr>
            <w:tcW w:w="2560" w:type="dxa"/>
            <w:vAlign w:val="bottom"/>
            <w:gridSpan w:val="2"/>
          </w:tcPr>
          <w:p>
            <w:pPr>
              <w:ind w:left="40"/>
              <w:spacing w:after="0"/>
              <w:rPr>
                <w:sz w:val="20"/>
                <w:szCs w:val="20"/>
                <w:color w:val="auto"/>
              </w:rPr>
            </w:pPr>
            <w:r>
              <w:rPr>
                <w:rFonts w:ascii="Arial" w:cs="Arial" w:eastAsia="Arial" w:hAnsi="Arial"/>
                <w:sz w:val="14"/>
                <w:szCs w:val="14"/>
                <w:b w:val="1"/>
                <w:bCs w:val="1"/>
                <w:color w:val="auto"/>
              </w:rPr>
              <w:t>15-Year Fixed Rate MBS Price:</w:t>
            </w: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4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$101.17</w:t>
            </w: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$101.94</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$100.80</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$102.66</w:t>
            </w: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$103.48</w:t>
            </w:r>
          </w:p>
        </w:tc>
        <w:tc>
          <w:tcPr>
            <w:tcW w:w="10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2"/>
              </w:rPr>
              <w:t>+$0.82</w:t>
            </w:r>
          </w:p>
        </w:tc>
        <w:tc>
          <w:tcPr>
            <w:tcW w:w="10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2"/>
              </w:rPr>
              <w:t>+$2.68</w:t>
            </w:r>
          </w:p>
        </w:tc>
        <w:tc>
          <w:tcPr>
            <w:tcW w:w="0" w:type="dxa"/>
            <w:vAlign w:val="bottom"/>
          </w:tcPr>
          <w:p>
            <w:pPr>
              <w:spacing w:after="0"/>
              <w:rPr>
                <w:sz w:val="1"/>
                <w:szCs w:val="1"/>
                <w:color w:val="auto"/>
              </w:rPr>
            </w:pPr>
          </w:p>
        </w:tc>
      </w:tr>
      <w:tr>
        <w:trPr>
          <w:trHeight w:val="264"/>
        </w:trPr>
        <w:tc>
          <w:tcPr>
            <w:tcW w:w="2460" w:type="dxa"/>
            <w:vAlign w:val="bottom"/>
          </w:tcPr>
          <w:p>
            <w:pPr>
              <w:ind w:left="200"/>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22"/>
                <w:szCs w:val="22"/>
                <w:color w:val="auto"/>
              </w:rPr>
            </w:pPr>
          </w:p>
        </w:tc>
        <w:tc>
          <w:tcPr>
            <w:tcW w:w="600" w:type="dxa"/>
            <w:vAlign w:val="bottom"/>
          </w:tcPr>
          <w:p>
            <w:pPr>
              <w:jc w:val="center"/>
              <w:spacing w:after="0"/>
              <w:rPr>
                <w:sz w:val="20"/>
                <w:szCs w:val="20"/>
                <w:color w:val="auto"/>
              </w:rPr>
            </w:pPr>
            <w:r>
              <w:rPr>
                <w:rFonts w:ascii="Arial" w:cs="Arial" w:eastAsia="Arial" w:hAnsi="Arial"/>
                <w:sz w:val="14"/>
                <w:szCs w:val="14"/>
                <w:color w:val="auto"/>
                <w:w w:val="90"/>
              </w:rPr>
              <w:t>$103.57</w:t>
            </w:r>
          </w:p>
        </w:tc>
        <w:tc>
          <w:tcPr>
            <w:tcW w:w="120" w:type="dxa"/>
            <w:vAlign w:val="bottom"/>
          </w:tcPr>
          <w:p>
            <w:pPr>
              <w:spacing w:after="0"/>
              <w:rPr>
                <w:sz w:val="22"/>
                <w:szCs w:val="22"/>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90"/>
              </w:rPr>
              <w:t>$104.11</w:t>
            </w:r>
          </w:p>
        </w:tc>
        <w:tc>
          <w:tcPr>
            <w:tcW w:w="100" w:type="dxa"/>
            <w:vAlign w:val="bottom"/>
          </w:tcPr>
          <w:p>
            <w:pPr>
              <w:spacing w:after="0"/>
              <w:rPr>
                <w:sz w:val="22"/>
                <w:szCs w:val="22"/>
                <w:color w:val="auto"/>
              </w:rPr>
            </w:pPr>
          </w:p>
        </w:tc>
        <w:tc>
          <w:tcPr>
            <w:tcW w:w="600" w:type="dxa"/>
            <w:vAlign w:val="bottom"/>
          </w:tcPr>
          <w:p>
            <w:pPr>
              <w:jc w:val="center"/>
              <w:spacing w:after="0"/>
              <w:rPr>
                <w:sz w:val="20"/>
                <w:szCs w:val="20"/>
                <w:color w:val="auto"/>
              </w:rPr>
            </w:pPr>
            <w:r>
              <w:rPr>
                <w:rFonts w:ascii="Arial" w:cs="Arial" w:eastAsia="Arial" w:hAnsi="Arial"/>
                <w:sz w:val="14"/>
                <w:szCs w:val="14"/>
                <w:color w:val="auto"/>
                <w:w w:val="94"/>
              </w:rPr>
              <w:t>$103.02</w:t>
            </w:r>
          </w:p>
        </w:tc>
        <w:tc>
          <w:tcPr>
            <w:tcW w:w="100" w:type="dxa"/>
            <w:vAlign w:val="bottom"/>
          </w:tcPr>
          <w:p>
            <w:pPr>
              <w:spacing w:after="0"/>
              <w:rPr>
                <w:sz w:val="22"/>
                <w:szCs w:val="22"/>
                <w:color w:val="auto"/>
              </w:rPr>
            </w:pPr>
          </w:p>
        </w:tc>
        <w:tc>
          <w:tcPr>
            <w:tcW w:w="600" w:type="dxa"/>
            <w:vAlign w:val="bottom"/>
          </w:tcPr>
          <w:p>
            <w:pPr>
              <w:jc w:val="center"/>
              <w:spacing w:after="0"/>
              <w:rPr>
                <w:sz w:val="20"/>
                <w:szCs w:val="20"/>
                <w:color w:val="auto"/>
              </w:rPr>
            </w:pPr>
            <w:r>
              <w:rPr>
                <w:rFonts w:ascii="Arial" w:cs="Arial" w:eastAsia="Arial" w:hAnsi="Arial"/>
                <w:sz w:val="14"/>
                <w:szCs w:val="14"/>
                <w:color w:val="auto"/>
                <w:w w:val="90"/>
              </w:rPr>
              <w:t>$104.47</w:t>
            </w:r>
          </w:p>
        </w:tc>
        <w:tc>
          <w:tcPr>
            <w:tcW w:w="120" w:type="dxa"/>
            <w:vAlign w:val="bottom"/>
          </w:tcPr>
          <w:p>
            <w:pPr>
              <w:spacing w:after="0"/>
              <w:rPr>
                <w:sz w:val="22"/>
                <w:szCs w:val="22"/>
                <w:color w:val="auto"/>
              </w:rPr>
            </w:pPr>
          </w:p>
        </w:tc>
        <w:tc>
          <w:tcPr>
            <w:tcW w:w="600" w:type="dxa"/>
            <w:vAlign w:val="bottom"/>
          </w:tcPr>
          <w:p>
            <w:pPr>
              <w:jc w:val="center"/>
              <w:spacing w:after="0"/>
              <w:rPr>
                <w:sz w:val="20"/>
                <w:szCs w:val="20"/>
                <w:color w:val="auto"/>
              </w:rPr>
            </w:pPr>
            <w:r>
              <w:rPr>
                <w:rFonts w:ascii="Arial" w:cs="Arial" w:eastAsia="Arial" w:hAnsi="Arial"/>
                <w:sz w:val="14"/>
                <w:szCs w:val="14"/>
                <w:color w:val="auto"/>
                <w:w w:val="90"/>
              </w:rPr>
              <w:t>$104.84</w:t>
            </w:r>
          </w:p>
        </w:tc>
        <w:tc>
          <w:tcPr>
            <w:tcW w:w="100" w:type="dxa"/>
            <w:vAlign w:val="bottom"/>
          </w:tcPr>
          <w:p>
            <w:pPr>
              <w:spacing w:after="0"/>
              <w:rPr>
                <w:sz w:val="22"/>
                <w:szCs w:val="22"/>
                <w:color w:val="auto"/>
              </w:rPr>
            </w:pPr>
          </w:p>
        </w:tc>
        <w:tc>
          <w:tcPr>
            <w:tcW w:w="1200" w:type="dxa"/>
            <w:vAlign w:val="bottom"/>
            <w:gridSpan w:val="2"/>
          </w:tcPr>
          <w:p>
            <w:pPr>
              <w:jc w:val="center"/>
              <w:spacing w:after="0"/>
              <w:rPr>
                <w:sz w:val="20"/>
                <w:szCs w:val="20"/>
                <w:color w:val="auto"/>
              </w:rPr>
            </w:pPr>
            <w:r>
              <w:rPr>
                <w:rFonts w:ascii="Arial" w:cs="Arial" w:eastAsia="Arial" w:hAnsi="Arial"/>
                <w:sz w:val="14"/>
                <w:szCs w:val="14"/>
                <w:color w:val="auto"/>
                <w:w w:val="92"/>
              </w:rPr>
              <w:t>+$0.37</w:t>
            </w:r>
          </w:p>
        </w:tc>
        <w:tc>
          <w:tcPr>
            <w:tcW w:w="100" w:type="dxa"/>
            <w:vAlign w:val="bottom"/>
          </w:tcPr>
          <w:p>
            <w:pPr>
              <w:spacing w:after="0"/>
              <w:rPr>
                <w:sz w:val="22"/>
                <w:szCs w:val="22"/>
                <w:color w:val="auto"/>
              </w:rPr>
            </w:pPr>
          </w:p>
        </w:tc>
        <w:tc>
          <w:tcPr>
            <w:tcW w:w="1220" w:type="dxa"/>
            <w:vAlign w:val="bottom"/>
            <w:gridSpan w:val="2"/>
          </w:tcPr>
          <w:p>
            <w:pPr>
              <w:jc w:val="center"/>
              <w:spacing w:after="0"/>
              <w:rPr>
                <w:sz w:val="20"/>
                <w:szCs w:val="20"/>
                <w:color w:val="auto"/>
              </w:rPr>
            </w:pPr>
            <w:r>
              <w:rPr>
                <w:rFonts w:ascii="Arial" w:cs="Arial" w:eastAsia="Arial" w:hAnsi="Arial"/>
                <w:sz w:val="14"/>
                <w:szCs w:val="14"/>
                <w:color w:val="auto"/>
                <w:w w:val="92"/>
              </w:rPr>
              <w:t>+$1.82</w:t>
            </w:r>
          </w:p>
        </w:tc>
        <w:tc>
          <w:tcPr>
            <w:tcW w:w="0" w:type="dxa"/>
            <w:vAlign w:val="bottom"/>
          </w:tcPr>
          <w:p>
            <w:pPr>
              <w:spacing w:after="0"/>
              <w:rPr>
                <w:sz w:val="1"/>
                <w:szCs w:val="1"/>
                <w:color w:val="auto"/>
              </w:rPr>
            </w:pPr>
          </w:p>
        </w:tc>
      </w:tr>
      <w:tr>
        <w:trPr>
          <w:trHeight w:val="276"/>
        </w:trPr>
        <w:tc>
          <w:tcPr>
            <w:tcW w:w="24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$105.44</w:t>
            </w: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$105.61</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$104.72</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$105.59</w:t>
            </w: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$105.97</w:t>
            </w:r>
          </w:p>
        </w:tc>
        <w:tc>
          <w:tcPr>
            <w:tcW w:w="10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2"/>
              </w:rPr>
              <w:t>+$0.38</w:t>
            </w:r>
          </w:p>
        </w:tc>
        <w:tc>
          <w:tcPr>
            <w:tcW w:w="10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2"/>
              </w:rPr>
              <w:t>+$1.25</w:t>
            </w:r>
          </w:p>
        </w:tc>
        <w:tc>
          <w:tcPr>
            <w:tcW w:w="0" w:type="dxa"/>
            <w:vAlign w:val="bottom"/>
          </w:tcPr>
          <w:p>
            <w:pPr>
              <w:spacing w:after="0"/>
              <w:rPr>
                <w:sz w:val="1"/>
                <w:szCs w:val="1"/>
                <w:color w:val="auto"/>
              </w:rPr>
            </w:pPr>
          </w:p>
        </w:tc>
      </w:tr>
      <w:tr>
        <w:trPr>
          <w:trHeight w:val="256"/>
        </w:trPr>
        <w:tc>
          <w:tcPr>
            <w:tcW w:w="2460" w:type="dxa"/>
            <w:vAlign w:val="bottom"/>
          </w:tcPr>
          <w:p>
            <w:pPr>
              <w:ind w:left="200"/>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22"/>
                <w:szCs w:val="22"/>
                <w:color w:val="auto"/>
              </w:rPr>
            </w:pPr>
          </w:p>
        </w:tc>
        <w:tc>
          <w:tcPr>
            <w:tcW w:w="600" w:type="dxa"/>
            <w:vAlign w:val="bottom"/>
          </w:tcPr>
          <w:p>
            <w:pPr>
              <w:jc w:val="center"/>
              <w:spacing w:after="0"/>
              <w:rPr>
                <w:sz w:val="20"/>
                <w:szCs w:val="20"/>
                <w:color w:val="auto"/>
              </w:rPr>
            </w:pPr>
            <w:r>
              <w:rPr>
                <w:rFonts w:ascii="Arial" w:cs="Arial" w:eastAsia="Arial" w:hAnsi="Arial"/>
                <w:sz w:val="14"/>
                <w:szCs w:val="14"/>
                <w:color w:val="auto"/>
                <w:w w:val="90"/>
              </w:rPr>
              <w:t>$105.06</w:t>
            </w:r>
          </w:p>
        </w:tc>
        <w:tc>
          <w:tcPr>
            <w:tcW w:w="120" w:type="dxa"/>
            <w:vAlign w:val="bottom"/>
          </w:tcPr>
          <w:p>
            <w:pPr>
              <w:spacing w:after="0"/>
              <w:rPr>
                <w:sz w:val="22"/>
                <w:szCs w:val="22"/>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90"/>
              </w:rPr>
              <w:t>$104.77</w:t>
            </w:r>
          </w:p>
        </w:tc>
        <w:tc>
          <w:tcPr>
            <w:tcW w:w="100" w:type="dxa"/>
            <w:vAlign w:val="bottom"/>
          </w:tcPr>
          <w:p>
            <w:pPr>
              <w:spacing w:after="0"/>
              <w:rPr>
                <w:sz w:val="22"/>
                <w:szCs w:val="22"/>
                <w:color w:val="auto"/>
              </w:rPr>
            </w:pPr>
          </w:p>
        </w:tc>
        <w:tc>
          <w:tcPr>
            <w:tcW w:w="600" w:type="dxa"/>
            <w:vAlign w:val="bottom"/>
          </w:tcPr>
          <w:p>
            <w:pPr>
              <w:jc w:val="center"/>
              <w:spacing w:after="0"/>
              <w:rPr>
                <w:sz w:val="20"/>
                <w:szCs w:val="20"/>
                <w:color w:val="auto"/>
              </w:rPr>
            </w:pPr>
            <w:r>
              <w:rPr>
                <w:rFonts w:ascii="Arial" w:cs="Arial" w:eastAsia="Arial" w:hAnsi="Arial"/>
                <w:sz w:val="14"/>
                <w:szCs w:val="14"/>
                <w:color w:val="auto"/>
                <w:w w:val="94"/>
              </w:rPr>
              <w:t>$104.41</w:t>
            </w:r>
          </w:p>
        </w:tc>
        <w:tc>
          <w:tcPr>
            <w:tcW w:w="100" w:type="dxa"/>
            <w:vAlign w:val="bottom"/>
          </w:tcPr>
          <w:p>
            <w:pPr>
              <w:spacing w:after="0"/>
              <w:rPr>
                <w:sz w:val="22"/>
                <w:szCs w:val="22"/>
                <w:color w:val="auto"/>
              </w:rPr>
            </w:pPr>
          </w:p>
        </w:tc>
        <w:tc>
          <w:tcPr>
            <w:tcW w:w="600" w:type="dxa"/>
            <w:vAlign w:val="bottom"/>
          </w:tcPr>
          <w:p>
            <w:pPr>
              <w:jc w:val="center"/>
              <w:spacing w:after="0"/>
              <w:rPr>
                <w:sz w:val="20"/>
                <w:szCs w:val="20"/>
                <w:color w:val="auto"/>
              </w:rPr>
            </w:pPr>
            <w:r>
              <w:rPr>
                <w:rFonts w:ascii="Arial" w:cs="Arial" w:eastAsia="Arial" w:hAnsi="Arial"/>
                <w:sz w:val="14"/>
                <w:szCs w:val="14"/>
                <w:color w:val="auto"/>
                <w:w w:val="90"/>
              </w:rPr>
              <w:t>$104.31</w:t>
            </w:r>
          </w:p>
        </w:tc>
        <w:tc>
          <w:tcPr>
            <w:tcW w:w="120" w:type="dxa"/>
            <w:vAlign w:val="bottom"/>
          </w:tcPr>
          <w:p>
            <w:pPr>
              <w:spacing w:after="0"/>
              <w:rPr>
                <w:sz w:val="22"/>
                <w:szCs w:val="22"/>
                <w:color w:val="auto"/>
              </w:rPr>
            </w:pPr>
          </w:p>
        </w:tc>
        <w:tc>
          <w:tcPr>
            <w:tcW w:w="600" w:type="dxa"/>
            <w:vAlign w:val="bottom"/>
          </w:tcPr>
          <w:p>
            <w:pPr>
              <w:jc w:val="center"/>
              <w:spacing w:after="0"/>
              <w:rPr>
                <w:sz w:val="20"/>
                <w:szCs w:val="20"/>
                <w:color w:val="auto"/>
              </w:rPr>
            </w:pPr>
            <w:r>
              <w:rPr>
                <w:rFonts w:ascii="Arial" w:cs="Arial" w:eastAsia="Arial" w:hAnsi="Arial"/>
                <w:sz w:val="14"/>
                <w:szCs w:val="14"/>
                <w:color w:val="auto"/>
                <w:w w:val="90"/>
              </w:rPr>
              <w:t>$103.81</w:t>
            </w:r>
          </w:p>
        </w:tc>
        <w:tc>
          <w:tcPr>
            <w:tcW w:w="100" w:type="dxa"/>
            <w:vAlign w:val="bottom"/>
          </w:tcPr>
          <w:p>
            <w:pPr>
              <w:spacing w:after="0"/>
              <w:rPr>
                <w:sz w:val="22"/>
                <w:szCs w:val="22"/>
                <w:color w:val="auto"/>
              </w:rPr>
            </w:pPr>
          </w:p>
        </w:tc>
        <w:tc>
          <w:tcPr>
            <w:tcW w:w="1200" w:type="dxa"/>
            <w:vAlign w:val="bottom"/>
            <w:gridSpan w:val="2"/>
          </w:tcPr>
          <w:p>
            <w:pPr>
              <w:jc w:val="center"/>
              <w:spacing w:after="0"/>
              <w:rPr>
                <w:sz w:val="20"/>
                <w:szCs w:val="20"/>
                <w:color w:val="auto"/>
              </w:rPr>
            </w:pPr>
            <w:r>
              <w:rPr>
                <w:rFonts w:ascii="Arial" w:cs="Arial" w:eastAsia="Arial" w:hAnsi="Arial"/>
                <w:sz w:val="14"/>
                <w:szCs w:val="14"/>
                <w:color w:val="auto"/>
                <w:w w:val="95"/>
              </w:rPr>
              <w:t>-$0.50</w:t>
            </w:r>
          </w:p>
        </w:tc>
        <w:tc>
          <w:tcPr>
            <w:tcW w:w="100" w:type="dxa"/>
            <w:vAlign w:val="bottom"/>
          </w:tcPr>
          <w:p>
            <w:pPr>
              <w:spacing w:after="0"/>
              <w:rPr>
                <w:sz w:val="22"/>
                <w:szCs w:val="22"/>
                <w:color w:val="auto"/>
              </w:rPr>
            </w:pPr>
          </w:p>
        </w:tc>
        <w:tc>
          <w:tcPr>
            <w:tcW w:w="1220" w:type="dxa"/>
            <w:vAlign w:val="bottom"/>
            <w:gridSpan w:val="2"/>
          </w:tcPr>
          <w:p>
            <w:pPr>
              <w:jc w:val="center"/>
              <w:spacing w:after="0"/>
              <w:rPr>
                <w:sz w:val="20"/>
                <w:szCs w:val="20"/>
                <w:color w:val="auto"/>
              </w:rPr>
            </w:pPr>
            <w:r>
              <w:rPr>
                <w:rFonts w:ascii="Arial" w:cs="Arial" w:eastAsia="Arial" w:hAnsi="Arial"/>
                <w:sz w:val="14"/>
                <w:szCs w:val="14"/>
                <w:color w:val="auto"/>
                <w:w w:val="90"/>
              </w:rPr>
              <w:t>-$0.60</w:t>
            </w:r>
          </w:p>
        </w:tc>
        <w:tc>
          <w:tcPr>
            <w:tcW w:w="0" w:type="dxa"/>
            <w:vAlign w:val="bottom"/>
          </w:tcPr>
          <w:p>
            <w:pPr>
              <w:spacing w:after="0"/>
              <w:rPr>
                <w:sz w:val="1"/>
                <w:szCs w:val="1"/>
                <w:color w:val="auto"/>
              </w:rPr>
            </w:pPr>
          </w:p>
        </w:tc>
      </w:tr>
      <w:tr>
        <w:trPr>
          <w:trHeight w:val="224"/>
        </w:trPr>
        <w:tc>
          <w:tcPr>
            <w:tcW w:w="2460" w:type="dxa"/>
            <w:vAlign w:val="bottom"/>
          </w:tcPr>
          <w:p>
            <w:pPr>
              <w:spacing w:after="0"/>
              <w:rPr>
                <w:sz w:val="20"/>
                <w:szCs w:val="20"/>
                <w:color w:val="auto"/>
              </w:rPr>
            </w:pPr>
            <w:r>
              <w:rPr>
                <w:rFonts w:ascii="Arial" w:cs="Arial" w:eastAsia="Arial" w:hAnsi="Arial"/>
                <w:sz w:val="18"/>
                <w:szCs w:val="18"/>
                <w:color w:val="auto"/>
              </w:rPr>
              <w:t>_______________________</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660" w:hanging="328"/>
        <w:spacing w:after="0" w:line="255" w:lineRule="auto"/>
        <w:tabs>
          <w:tab w:leader="none" w:pos="6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Price information is for generic instruments only and is not reflective of our specific portfolio holdings. Price information is as of 3:00 p.m. (EST) on such date and can vary by source. Prices and interest rates in the table above were obtained from Barclays. LIBOR rates were obtained from Bloomberg.</w:t>
      </w:r>
    </w:p>
    <w:p>
      <w:pPr>
        <w:spacing w:after="0" w:line="136"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following table summarizes the weighted average actual one-month annualized constant prepayment rates on our investment portfolio for the six months ended June 30, 2016.</w:t>
      </w:r>
    </w:p>
    <w:p>
      <w:pPr>
        <w:spacing w:after="0" w:line="258" w:lineRule="exact"/>
        <w:rPr>
          <w:sz w:val="20"/>
          <w:szCs w:val="20"/>
          <w:color w:val="auto"/>
        </w:rPr>
      </w:pPr>
    </w:p>
    <w:tbl>
      <w:tblPr>
        <w:tblLayout w:type="fixed"/>
        <w:tblInd w:w="1040" w:type="dxa"/>
        <w:tblCellMar>
          <w:top w:w="0" w:type="dxa"/>
          <w:left w:w="0" w:type="dxa"/>
          <w:bottom w:w="0" w:type="dxa"/>
          <w:right w:w="0" w:type="dxa"/>
        </w:tblCellMar>
      </w:tblPr>
      <w:tr>
        <w:trPr>
          <w:trHeight w:val="161"/>
        </w:trPr>
        <w:tc>
          <w:tcPr>
            <w:tcW w:w="54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xml:space="preserve">Annualized Monthly Constant Prepayment Rates </w:t>
            </w:r>
            <w:r>
              <w:rPr>
                <w:rFonts w:ascii="Arial" w:cs="Arial" w:eastAsia="Arial" w:hAnsi="Arial"/>
                <w:sz w:val="8"/>
                <w:szCs w:val="8"/>
                <w:b w:val="1"/>
                <w:bCs w:val="1"/>
                <w:color w:val="auto"/>
              </w:rPr>
              <w:t>1</w:t>
            </w:r>
          </w:p>
        </w:tc>
        <w:tc>
          <w:tcPr>
            <w:tcW w:w="120" w:type="dxa"/>
            <w:vAlign w:val="bottom"/>
            <w:vMerge w:val="restart"/>
          </w:tcPr>
          <w:p>
            <w:pPr>
              <w:spacing w:after="0"/>
              <w:rPr>
                <w:sz w:val="14"/>
                <w:szCs w:val="14"/>
                <w:color w:val="auto"/>
              </w:rPr>
            </w:pPr>
          </w:p>
        </w:tc>
        <w:tc>
          <w:tcPr>
            <w:tcW w:w="660" w:type="dxa"/>
            <w:vAlign w:val="bottom"/>
            <w:gridSpan w:val="2"/>
          </w:tcPr>
          <w:p>
            <w:pPr>
              <w:ind w:left="140"/>
              <w:spacing w:after="0"/>
              <w:rPr>
                <w:sz w:val="20"/>
                <w:szCs w:val="20"/>
                <w:color w:val="auto"/>
              </w:rPr>
            </w:pPr>
            <w:r>
              <w:rPr>
                <w:rFonts w:ascii="Arial" w:cs="Arial" w:eastAsia="Arial" w:hAnsi="Arial"/>
                <w:sz w:val="14"/>
                <w:szCs w:val="14"/>
                <w:b w:val="1"/>
                <w:bCs w:val="1"/>
                <w:color w:val="auto"/>
              </w:rPr>
              <w:t>Jan.</w:t>
            </w:r>
          </w:p>
        </w:tc>
        <w:tc>
          <w:tcPr>
            <w:tcW w:w="660" w:type="dxa"/>
            <w:vAlign w:val="bottom"/>
            <w:gridSpan w:val="2"/>
          </w:tcPr>
          <w:p>
            <w:pPr>
              <w:ind w:left="140"/>
              <w:spacing w:after="0"/>
              <w:rPr>
                <w:sz w:val="20"/>
                <w:szCs w:val="20"/>
                <w:color w:val="auto"/>
              </w:rPr>
            </w:pPr>
            <w:r>
              <w:rPr>
                <w:rFonts w:ascii="Arial" w:cs="Arial" w:eastAsia="Arial" w:hAnsi="Arial"/>
                <w:sz w:val="14"/>
                <w:szCs w:val="14"/>
                <w:b w:val="1"/>
                <w:bCs w:val="1"/>
                <w:color w:val="auto"/>
              </w:rPr>
              <w:t>Feb.</w:t>
            </w:r>
          </w:p>
        </w:tc>
        <w:tc>
          <w:tcPr>
            <w:tcW w:w="66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w:t>
            </w:r>
          </w:p>
        </w:tc>
        <w:tc>
          <w:tcPr>
            <w:tcW w:w="660" w:type="dxa"/>
            <w:vAlign w:val="bottom"/>
            <w:gridSpan w:val="2"/>
          </w:tcPr>
          <w:p>
            <w:pPr>
              <w:ind w:left="140"/>
              <w:spacing w:after="0"/>
              <w:rPr>
                <w:sz w:val="20"/>
                <w:szCs w:val="20"/>
                <w:color w:val="auto"/>
              </w:rPr>
            </w:pPr>
            <w:r>
              <w:rPr>
                <w:rFonts w:ascii="Arial" w:cs="Arial" w:eastAsia="Arial" w:hAnsi="Arial"/>
                <w:sz w:val="14"/>
                <w:szCs w:val="14"/>
                <w:b w:val="1"/>
                <w:bCs w:val="1"/>
                <w:color w:val="auto"/>
              </w:rPr>
              <w:t>Apr.</w:t>
            </w:r>
          </w:p>
        </w:tc>
        <w:tc>
          <w:tcPr>
            <w:tcW w:w="660" w:type="dxa"/>
            <w:vAlign w:val="bottom"/>
            <w:gridSpan w:val="2"/>
          </w:tcPr>
          <w:p>
            <w:pPr>
              <w:ind w:left="140"/>
              <w:spacing w:after="0"/>
              <w:rPr>
                <w:sz w:val="20"/>
                <w:szCs w:val="20"/>
                <w:color w:val="auto"/>
              </w:rPr>
            </w:pPr>
            <w:r>
              <w:rPr>
                <w:rFonts w:ascii="Arial" w:cs="Arial" w:eastAsia="Arial" w:hAnsi="Arial"/>
                <w:sz w:val="14"/>
                <w:szCs w:val="14"/>
                <w:b w:val="1"/>
                <w:bCs w:val="1"/>
                <w:color w:val="auto"/>
              </w:rPr>
              <w:t>May</w:t>
            </w:r>
          </w:p>
        </w:tc>
        <w:tc>
          <w:tcPr>
            <w:tcW w:w="560" w:type="dxa"/>
            <w:vAlign w:val="bottom"/>
          </w:tcPr>
          <w:p>
            <w:pPr>
              <w:ind w:left="120"/>
              <w:spacing w:after="0"/>
              <w:rPr>
                <w:sz w:val="20"/>
                <w:szCs w:val="20"/>
                <w:color w:val="auto"/>
              </w:rPr>
            </w:pPr>
            <w:r>
              <w:rPr>
                <w:rFonts w:ascii="Arial" w:cs="Arial" w:eastAsia="Arial" w:hAnsi="Arial"/>
                <w:sz w:val="14"/>
                <w:szCs w:val="14"/>
                <w:b w:val="1"/>
                <w:bCs w:val="1"/>
                <w:color w:val="auto"/>
              </w:rPr>
              <w:t>June</w:t>
            </w:r>
          </w:p>
        </w:tc>
        <w:tc>
          <w:tcPr>
            <w:tcW w:w="0" w:type="dxa"/>
            <w:vAlign w:val="bottom"/>
          </w:tcPr>
          <w:p>
            <w:pPr>
              <w:spacing w:after="0"/>
              <w:rPr>
                <w:sz w:val="1"/>
                <w:szCs w:val="1"/>
                <w:color w:val="auto"/>
              </w:rPr>
            </w:pPr>
          </w:p>
        </w:tc>
      </w:tr>
      <w:tr>
        <w:trPr>
          <w:trHeight w:val="192"/>
        </w:trPr>
        <w:tc>
          <w:tcPr>
            <w:tcW w:w="54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5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6"/>
                <w:szCs w:val="16"/>
                <w:color w:val="auto"/>
              </w:rPr>
            </w:pPr>
          </w:p>
        </w:tc>
        <w:tc>
          <w:tcPr>
            <w:tcW w:w="5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6"/>
                <w:szCs w:val="16"/>
                <w:color w:val="auto"/>
              </w:rPr>
            </w:pPr>
          </w:p>
        </w:tc>
        <w:tc>
          <w:tcPr>
            <w:tcW w:w="5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6"/>
                <w:szCs w:val="16"/>
                <w:color w:val="auto"/>
              </w:rPr>
            </w:pPr>
          </w:p>
        </w:tc>
        <w:tc>
          <w:tcPr>
            <w:tcW w:w="5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5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5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44"/>
        </w:trPr>
        <w:tc>
          <w:tcPr>
            <w:tcW w:w="5580" w:type="dxa"/>
            <w:vAlign w:val="bottom"/>
            <w:gridSpan w:val="2"/>
          </w:tcPr>
          <w:p>
            <w:pPr>
              <w:ind w:left="20"/>
              <w:spacing w:after="0"/>
              <w:rPr>
                <w:sz w:val="20"/>
                <w:szCs w:val="20"/>
                <w:color w:val="auto"/>
              </w:rPr>
            </w:pPr>
            <w:r>
              <w:rPr>
                <w:rFonts w:ascii="Arial" w:cs="Arial" w:eastAsia="Arial" w:hAnsi="Arial"/>
                <w:sz w:val="14"/>
                <w:szCs w:val="14"/>
                <w:color w:val="auto"/>
              </w:rPr>
              <w:t>AGNC portfolio</w:t>
            </w:r>
          </w:p>
        </w:tc>
        <w:tc>
          <w:tcPr>
            <w:tcW w:w="540" w:type="dxa"/>
            <w:vAlign w:val="bottom"/>
          </w:tcPr>
          <w:p>
            <w:pPr>
              <w:jc w:val="right"/>
              <w:ind w:right="68"/>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1"/>
                <w:szCs w:val="21"/>
                <w:color w:val="auto"/>
              </w:rPr>
            </w:pPr>
          </w:p>
        </w:tc>
        <w:tc>
          <w:tcPr>
            <w:tcW w:w="540" w:type="dxa"/>
            <w:vAlign w:val="bottom"/>
          </w:tcPr>
          <w:p>
            <w:pPr>
              <w:jc w:val="right"/>
              <w:ind w:right="108"/>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1"/>
                <w:szCs w:val="21"/>
                <w:color w:val="auto"/>
              </w:rPr>
            </w:pPr>
          </w:p>
        </w:tc>
        <w:tc>
          <w:tcPr>
            <w:tcW w:w="540" w:type="dxa"/>
            <w:vAlign w:val="bottom"/>
          </w:tcPr>
          <w:p>
            <w:pPr>
              <w:jc w:val="right"/>
              <w:ind w:right="108"/>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21"/>
                <w:szCs w:val="21"/>
                <w:color w:val="auto"/>
              </w:rPr>
            </w:pPr>
          </w:p>
        </w:tc>
        <w:tc>
          <w:tcPr>
            <w:tcW w:w="560" w:type="dxa"/>
            <w:vAlign w:val="bottom"/>
          </w:tcPr>
          <w:p>
            <w:pPr>
              <w:jc w:val="right"/>
              <w:ind w:right="88"/>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1"/>
                <w:szCs w:val="21"/>
                <w:color w:val="auto"/>
              </w:rPr>
            </w:pPr>
          </w:p>
        </w:tc>
        <w:tc>
          <w:tcPr>
            <w:tcW w:w="560" w:type="dxa"/>
            <w:vAlign w:val="bottom"/>
          </w:tcPr>
          <w:p>
            <w:pPr>
              <w:jc w:val="right"/>
              <w:ind w:right="88"/>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1"/>
                <w:szCs w:val="21"/>
                <w:color w:val="auto"/>
              </w:rPr>
            </w:pPr>
          </w:p>
        </w:tc>
        <w:tc>
          <w:tcPr>
            <w:tcW w:w="560" w:type="dxa"/>
            <w:vAlign w:val="bottom"/>
          </w:tcPr>
          <w:p>
            <w:pPr>
              <w:jc w:val="right"/>
              <w:ind w:right="88"/>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-163195</wp:posOffset>
            </wp:positionV>
            <wp:extent cx="599440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94400" cy="171450"/>
                    </a:xfrm>
                    <a:prstGeom prst="rect">
                      <a:avLst/>
                    </a:prstGeom>
                    <a:noFill/>
                  </pic:spPr>
                </pic:pic>
              </a:graphicData>
            </a:graphic>
          </wp:anchor>
        </w:drawing>
      </w:r>
    </w:p>
    <w:p>
      <w:pPr>
        <w:ind w:left="40"/>
        <w:spacing w:after="0"/>
        <w:rPr>
          <w:sz w:val="20"/>
          <w:szCs w:val="20"/>
          <w:color w:val="auto"/>
        </w:rPr>
      </w:pPr>
      <w:r>
        <w:rPr>
          <w:rFonts w:ascii="Arial" w:cs="Arial" w:eastAsia="Arial" w:hAnsi="Arial"/>
          <w:sz w:val="14"/>
          <w:szCs w:val="14"/>
          <w:color w:val="auto"/>
        </w:rPr>
        <w:t>________________________</w:t>
      </w:r>
    </w:p>
    <w:p>
      <w:pPr>
        <w:spacing w:after="0" w:line="6"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Weighted average actual one-month annualized CPR released at the beginning of the month based on securities held/outstanding as of the preceding month-end.</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746"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FINANCIAL CONDITION</w:t>
      </w:r>
    </w:p>
    <w:p>
      <w:pPr>
        <w:spacing w:after="0" w:line="17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 of June 30, 2016 and December 31, 2015, our investment portfolio consisted of $54.5 billion and $52.5 billion of MBS, at fair value, respectively, and a $7.1 billion and $7.4 billion net long TBA position, at fair value, respectively. The following table is a summary of our investment portfolio as of June 30, 2016 and December 31, 2015 (dollars in millions):</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rPr>
              <w:t>June 30, 2016</w:t>
            </w:r>
          </w:p>
        </w:tc>
        <w:tc>
          <w:tcPr>
            <w:tcW w:w="7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December 31, 2015</w:t>
            </w: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2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MBS and TBA Securities</w:t>
            </w:r>
          </w:p>
        </w:tc>
        <w:tc>
          <w:tcPr>
            <w:tcW w:w="2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Amortized</w:t>
            </w:r>
          </w:p>
        </w:tc>
        <w:tc>
          <w:tcPr>
            <w:tcW w:w="120" w:type="dxa"/>
            <w:vAlign w:val="bottom"/>
          </w:tcPr>
          <w:p>
            <w:pPr>
              <w:spacing w:after="0"/>
              <w:rPr>
                <w:sz w:val="13"/>
                <w:szCs w:val="13"/>
                <w:color w:val="auto"/>
              </w:rPr>
            </w:pPr>
          </w:p>
        </w:tc>
        <w:tc>
          <w:tcPr>
            <w:tcW w:w="7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vMerge w:val="restart"/>
          </w:tcPr>
          <w:p>
            <w:pPr>
              <w:spacing w:after="0"/>
              <w:rPr>
                <w:sz w:val="13"/>
                <w:szCs w:val="13"/>
                <w:color w:val="auto"/>
              </w:rPr>
            </w:pPr>
          </w:p>
        </w:tc>
        <w:tc>
          <w:tcPr>
            <w:tcW w:w="1060" w:type="dxa"/>
            <w:vAlign w:val="bottom"/>
            <w:gridSpan w:val="2"/>
          </w:tcPr>
          <w:p>
            <w:pPr>
              <w:ind w:left="220"/>
              <w:spacing w:after="0" w:line="153" w:lineRule="exact"/>
              <w:rPr>
                <w:sz w:val="20"/>
                <w:szCs w:val="20"/>
                <w:color w:val="auto"/>
              </w:rPr>
            </w:pPr>
            <w:r>
              <w:rPr>
                <w:rFonts w:ascii="Arial" w:cs="Arial" w:eastAsia="Arial" w:hAnsi="Arial"/>
                <w:sz w:val="14"/>
                <w:szCs w:val="14"/>
                <w:b w:val="1"/>
                <w:bCs w:val="1"/>
                <w:color w:val="auto"/>
              </w:rPr>
              <w:t>Average</w:t>
            </w:r>
          </w:p>
        </w:tc>
        <w:tc>
          <w:tcPr>
            <w:tcW w:w="72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Amortized</w:t>
            </w:r>
          </w:p>
        </w:tc>
        <w:tc>
          <w:tcPr>
            <w:tcW w:w="100" w:type="dxa"/>
            <w:vAlign w:val="bottom"/>
          </w:tcPr>
          <w:p>
            <w:pPr>
              <w:spacing w:after="0"/>
              <w:rPr>
                <w:sz w:val="13"/>
                <w:szCs w:val="13"/>
                <w:color w:val="auto"/>
              </w:rPr>
            </w:pPr>
          </w:p>
        </w:tc>
        <w:tc>
          <w:tcPr>
            <w:tcW w:w="7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5"/>
              </w:rPr>
              <w:t>Fair Value</w:t>
            </w:r>
          </w:p>
        </w:tc>
        <w:tc>
          <w:tcPr>
            <w:tcW w:w="120" w:type="dxa"/>
            <w:vAlign w:val="bottom"/>
            <w:vMerge w:val="restart"/>
          </w:tcPr>
          <w:p>
            <w:pPr>
              <w:spacing w:after="0"/>
              <w:rPr>
                <w:sz w:val="13"/>
                <w:szCs w:val="13"/>
                <w:color w:val="auto"/>
              </w:rPr>
            </w:pPr>
          </w:p>
        </w:tc>
        <w:tc>
          <w:tcPr>
            <w:tcW w:w="1040" w:type="dxa"/>
            <w:vAlign w:val="bottom"/>
            <w:gridSpan w:val="2"/>
          </w:tcPr>
          <w:p>
            <w:pPr>
              <w:ind w:left="220"/>
              <w:spacing w:after="0" w:line="153" w:lineRule="exact"/>
              <w:rPr>
                <w:sz w:val="20"/>
                <w:szCs w:val="20"/>
                <w:color w:val="auto"/>
              </w:rPr>
            </w:pPr>
            <w:r>
              <w:rPr>
                <w:rFonts w:ascii="Arial" w:cs="Arial" w:eastAsia="Arial" w:hAnsi="Arial"/>
                <w:sz w:val="14"/>
                <w:szCs w:val="14"/>
                <w:b w:val="1"/>
                <w:bCs w:val="1"/>
                <w:color w:val="auto"/>
              </w:rPr>
              <w:t>Average</w:t>
            </w:r>
          </w:p>
        </w:tc>
        <w:tc>
          <w:tcPr>
            <w:tcW w:w="72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320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6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Coupon</w:t>
            </w:r>
          </w:p>
        </w:tc>
        <w:tc>
          <w:tcPr>
            <w:tcW w:w="10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Cost</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9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Coupon</w:t>
            </w:r>
          </w:p>
        </w:tc>
        <w:tc>
          <w:tcPr>
            <w:tcW w:w="10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4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Fixed rate agency securities:</w:t>
            </w: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420" w:type="dxa"/>
            <w:vAlign w:val="bottom"/>
            <w:gridSpan w:val="2"/>
          </w:tcPr>
          <w:p>
            <w:pPr>
              <w:ind w:left="160"/>
              <w:spacing w:after="0"/>
              <w:rPr>
                <w:sz w:val="20"/>
                <w:szCs w:val="20"/>
                <w:color w:val="auto"/>
              </w:rPr>
            </w:pPr>
            <w:r>
              <w:rPr>
                <w:rFonts w:ascii="Arial" w:cs="Arial" w:eastAsia="Arial" w:hAnsi="Arial"/>
                <w:sz w:val="14"/>
                <w:szCs w:val="14"/>
                <w:color w:val="auto"/>
              </w:rPr>
              <w:t>≤ 15-year</w:t>
            </w: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42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 15-year</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14,602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14,981</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3.26%</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2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16,725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16,865</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264"/>
        </w:trPr>
        <w:tc>
          <w:tcPr>
            <w:tcW w:w="3420" w:type="dxa"/>
            <w:vAlign w:val="bottom"/>
            <w:tcBorders>
              <w:bottom w:val="single" w:sz="8" w:color="CCEEFF"/>
            </w:tcBorders>
            <w:gridSpan w:val="2"/>
          </w:tcPr>
          <w:p>
            <w:pPr>
              <w:ind w:left="280"/>
              <w:spacing w:after="0"/>
              <w:rPr>
                <w:sz w:val="20"/>
                <w:szCs w:val="20"/>
                <w:color w:val="auto"/>
              </w:rPr>
            </w:pPr>
            <w:r>
              <w:rPr>
                <w:rFonts w:ascii="Arial" w:cs="Arial" w:eastAsia="Arial" w:hAnsi="Arial"/>
                <w:sz w:val="14"/>
                <w:szCs w:val="14"/>
                <w:color w:val="auto"/>
              </w:rPr>
              <w:t>15-year TBA securities</w:t>
            </w: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1,321</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1,327</w:t>
            </w:r>
          </w:p>
        </w:tc>
        <w:tc>
          <w:tcPr>
            <w:tcW w:w="10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2.76%</w:t>
            </w:r>
          </w:p>
        </w:tc>
        <w:tc>
          <w:tcPr>
            <w:tcW w:w="10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2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295</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293</w:t>
            </w:r>
          </w:p>
        </w:tc>
        <w:tc>
          <w:tcPr>
            <w:tcW w:w="1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3.38%</w:t>
            </w:r>
          </w:p>
        </w:tc>
        <w:tc>
          <w:tcPr>
            <w:tcW w:w="10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50"/>
        </w:trPr>
        <w:tc>
          <w:tcPr>
            <w:tcW w:w="34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Total ≤ 15-year</w:t>
            </w:r>
          </w:p>
        </w:tc>
        <w:tc>
          <w:tcPr>
            <w:tcW w:w="1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15,923</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16,308</w:t>
            </w:r>
          </w:p>
        </w:tc>
        <w:tc>
          <w:tcPr>
            <w:tcW w:w="100" w:type="dxa"/>
            <w:vAlign w:val="bottom"/>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3.22%</w:t>
            </w:r>
          </w:p>
        </w:tc>
        <w:tc>
          <w:tcPr>
            <w:tcW w:w="100" w:type="dxa"/>
            <w:vAlign w:val="bottom"/>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2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17,020</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17,158</w:t>
            </w:r>
          </w:p>
        </w:tc>
        <w:tc>
          <w:tcPr>
            <w:tcW w:w="120" w:type="dxa"/>
            <w:vAlign w:val="bottom"/>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3.25%</w:t>
            </w:r>
          </w:p>
        </w:tc>
        <w:tc>
          <w:tcPr>
            <w:tcW w:w="100" w:type="dxa"/>
            <w:vAlign w:val="bottom"/>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250"/>
        </w:trPr>
        <w:tc>
          <w:tcPr>
            <w:tcW w:w="3420" w:type="dxa"/>
            <w:vAlign w:val="bottom"/>
            <w:tcBorders>
              <w:bottom w:val="single" w:sz="8" w:color="CCEEFF"/>
            </w:tcBorders>
            <w:gridSpan w:val="2"/>
          </w:tcPr>
          <w:p>
            <w:pPr>
              <w:ind w:left="120"/>
              <w:spacing w:after="0"/>
              <w:rPr>
                <w:sz w:val="20"/>
                <w:szCs w:val="20"/>
                <w:color w:val="auto"/>
              </w:rPr>
            </w:pPr>
            <w:r>
              <w:rPr>
                <w:rFonts w:ascii="Arial" w:cs="Arial" w:eastAsia="Arial" w:hAnsi="Arial"/>
                <w:sz w:val="14"/>
                <w:szCs w:val="14"/>
                <w:color w:val="auto"/>
              </w:rPr>
              <w:t>20-year</w:t>
            </w: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961</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1,007</w:t>
            </w:r>
          </w:p>
        </w:tc>
        <w:tc>
          <w:tcPr>
            <w:tcW w:w="100" w:type="dxa"/>
            <w:vAlign w:val="bottom"/>
            <w:tcBorders>
              <w:bottom w:val="single" w:sz="8" w:color="CCEEFF"/>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3.49%</w:t>
            </w:r>
          </w:p>
        </w:tc>
        <w:tc>
          <w:tcPr>
            <w:tcW w:w="100" w:type="dxa"/>
            <w:vAlign w:val="bottom"/>
            <w:tcBorders>
              <w:bottom w:val="single" w:sz="8" w:color="CCEEFF"/>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2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1,061</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1,088</w:t>
            </w:r>
          </w:p>
        </w:tc>
        <w:tc>
          <w:tcPr>
            <w:tcW w:w="12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3.48%</w:t>
            </w:r>
          </w:p>
        </w:tc>
        <w:tc>
          <w:tcPr>
            <w:tcW w:w="100" w:type="dxa"/>
            <w:vAlign w:val="bottom"/>
            <w:tcBorders>
              <w:bottom w:val="single" w:sz="8" w:color="CCEEFF"/>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70"/>
        </w:trPr>
        <w:tc>
          <w:tcPr>
            <w:tcW w:w="34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30-year</w:t>
            </w: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420" w:type="dxa"/>
            <w:vAlign w:val="bottom"/>
            <w:gridSpan w:val="2"/>
          </w:tcPr>
          <w:p>
            <w:pPr>
              <w:ind w:left="280"/>
              <w:spacing w:after="0"/>
              <w:rPr>
                <w:sz w:val="20"/>
                <w:szCs w:val="20"/>
                <w:color w:val="auto"/>
              </w:rPr>
            </w:pPr>
            <w:r>
              <w:rPr>
                <w:rFonts w:ascii="Arial" w:cs="Arial" w:eastAsia="Arial" w:hAnsi="Arial"/>
                <w:sz w:val="14"/>
                <w:szCs w:val="14"/>
                <w:color w:val="auto"/>
              </w:rPr>
              <w:t>30-year</w:t>
            </w:r>
          </w:p>
        </w:tc>
        <w:tc>
          <w:tcPr>
            <w:tcW w:w="1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36,028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36,660</w:t>
            </w:r>
          </w:p>
        </w:tc>
        <w:tc>
          <w:tcPr>
            <w:tcW w:w="1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3.65%</w:t>
            </w: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60%</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32,790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32,570</w:t>
            </w:r>
          </w:p>
        </w:tc>
        <w:tc>
          <w:tcPr>
            <w:tcW w:w="1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3.70%</w:t>
            </w: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270"/>
        </w:trPr>
        <w:tc>
          <w:tcPr>
            <w:tcW w:w="342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30-year TBA securities</w:t>
            </w: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5,654</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5,745</w:t>
            </w:r>
          </w:p>
        </w:tc>
        <w:tc>
          <w:tcPr>
            <w:tcW w:w="100" w:type="dxa"/>
            <w:vAlign w:val="bottom"/>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3.29%</w:t>
            </w:r>
          </w:p>
        </w:tc>
        <w:tc>
          <w:tcPr>
            <w:tcW w:w="100" w:type="dxa"/>
            <w:vAlign w:val="bottom"/>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2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7,135</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7,150</w:t>
            </w:r>
          </w:p>
        </w:tc>
        <w:tc>
          <w:tcPr>
            <w:tcW w:w="120" w:type="dxa"/>
            <w:vAlign w:val="bottom"/>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3.34%</w:t>
            </w:r>
          </w:p>
        </w:tc>
        <w:tc>
          <w:tcPr>
            <w:tcW w:w="100" w:type="dxa"/>
            <w:vAlign w:val="bottom"/>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50"/>
        </w:trPr>
        <w:tc>
          <w:tcPr>
            <w:tcW w:w="3420" w:type="dxa"/>
            <w:vAlign w:val="bottom"/>
            <w:tcBorders>
              <w:bottom w:val="single" w:sz="8" w:color="CCEEFF"/>
            </w:tcBorders>
            <w:gridSpan w:val="2"/>
          </w:tcPr>
          <w:p>
            <w:pPr>
              <w:ind w:left="120"/>
              <w:spacing w:after="0"/>
              <w:rPr>
                <w:sz w:val="20"/>
                <w:szCs w:val="20"/>
                <w:color w:val="auto"/>
              </w:rPr>
            </w:pPr>
            <w:r>
              <w:rPr>
                <w:rFonts w:ascii="Arial" w:cs="Arial" w:eastAsia="Arial" w:hAnsi="Arial"/>
                <w:sz w:val="14"/>
                <w:szCs w:val="14"/>
                <w:color w:val="auto"/>
              </w:rPr>
              <w:t>Total 30-year</w:t>
            </w: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41,682</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42,405</w:t>
            </w:r>
          </w:p>
        </w:tc>
        <w:tc>
          <w:tcPr>
            <w:tcW w:w="100" w:type="dxa"/>
            <w:vAlign w:val="bottom"/>
            <w:tcBorders>
              <w:bottom w:val="single" w:sz="8" w:color="CCEEFF"/>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3.60%</w:t>
            </w:r>
          </w:p>
        </w:tc>
        <w:tc>
          <w:tcPr>
            <w:tcW w:w="100" w:type="dxa"/>
            <w:vAlign w:val="bottom"/>
            <w:tcBorders>
              <w:bottom w:val="single" w:sz="8" w:color="CCEEFF"/>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w:t>
            </w:r>
          </w:p>
        </w:tc>
        <w:tc>
          <w:tcPr>
            <w:tcW w:w="2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39,925</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39,720</w:t>
            </w:r>
          </w:p>
        </w:tc>
        <w:tc>
          <w:tcPr>
            <w:tcW w:w="12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3.63%</w:t>
            </w:r>
          </w:p>
        </w:tc>
        <w:tc>
          <w:tcPr>
            <w:tcW w:w="100" w:type="dxa"/>
            <w:vAlign w:val="bottom"/>
            <w:tcBorders>
              <w:bottom w:val="single" w:sz="8" w:color="CCEEFF"/>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250"/>
        </w:trPr>
        <w:tc>
          <w:tcPr>
            <w:tcW w:w="34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Total fixed rate agency securities</w:t>
            </w:r>
          </w:p>
        </w:tc>
        <w:tc>
          <w:tcPr>
            <w:tcW w:w="1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58,566</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59,720</w:t>
            </w:r>
          </w:p>
        </w:tc>
        <w:tc>
          <w:tcPr>
            <w:tcW w:w="100" w:type="dxa"/>
            <w:vAlign w:val="bottom"/>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3.50%</w:t>
            </w:r>
          </w:p>
        </w:tc>
        <w:tc>
          <w:tcPr>
            <w:tcW w:w="100" w:type="dxa"/>
            <w:vAlign w:val="bottom"/>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2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58,006</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57,966</w:t>
            </w:r>
          </w:p>
        </w:tc>
        <w:tc>
          <w:tcPr>
            <w:tcW w:w="120" w:type="dxa"/>
            <w:vAlign w:val="bottom"/>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3.52%</w:t>
            </w:r>
          </w:p>
        </w:tc>
        <w:tc>
          <w:tcPr>
            <w:tcW w:w="100" w:type="dxa"/>
            <w:vAlign w:val="bottom"/>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324"/>
        </w:trPr>
        <w:tc>
          <w:tcPr>
            <w:tcW w:w="3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4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Adjustable rate agency securities</w:t>
            </w:r>
          </w:p>
        </w:tc>
        <w:tc>
          <w:tcPr>
            <w:tcW w:w="1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429</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443</w:t>
            </w:r>
          </w:p>
        </w:tc>
        <w:tc>
          <w:tcPr>
            <w:tcW w:w="100" w:type="dxa"/>
            <w:vAlign w:val="bottom"/>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3.02%</w:t>
            </w:r>
          </w:p>
        </w:tc>
        <w:tc>
          <w:tcPr>
            <w:tcW w:w="100" w:type="dxa"/>
            <w:vAlign w:val="bottom"/>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484</w:t>
            </w:r>
          </w:p>
        </w:tc>
        <w:tc>
          <w:tcPr>
            <w:tcW w:w="12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495</w:t>
            </w:r>
          </w:p>
        </w:tc>
        <w:tc>
          <w:tcPr>
            <w:tcW w:w="120" w:type="dxa"/>
            <w:vAlign w:val="bottom"/>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3.05%</w:t>
            </w:r>
          </w:p>
        </w:tc>
        <w:tc>
          <w:tcPr>
            <w:tcW w:w="100" w:type="dxa"/>
            <w:vAlign w:val="bottom"/>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324"/>
        </w:trPr>
        <w:tc>
          <w:tcPr>
            <w:tcW w:w="3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4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AAA non-agency securities</w:t>
            </w: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105</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107</w:t>
            </w: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w:t>
            </w:r>
          </w:p>
        </w:tc>
        <w:tc>
          <w:tcPr>
            <w:tcW w:w="1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114</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113</w:t>
            </w: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24"/>
        </w:trPr>
        <w:tc>
          <w:tcPr>
            <w:tcW w:w="3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4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CMO agency securities:</w:t>
            </w: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420" w:type="dxa"/>
            <w:vAlign w:val="bottom"/>
            <w:gridSpan w:val="2"/>
          </w:tcPr>
          <w:p>
            <w:pPr>
              <w:ind w:left="280"/>
              <w:spacing w:after="0"/>
              <w:rPr>
                <w:sz w:val="20"/>
                <w:szCs w:val="20"/>
                <w:color w:val="auto"/>
              </w:rPr>
            </w:pPr>
            <w:r>
              <w:rPr>
                <w:rFonts w:ascii="Arial" w:cs="Arial" w:eastAsia="Arial" w:hAnsi="Arial"/>
                <w:sz w:val="14"/>
                <w:szCs w:val="14"/>
                <w:color w:val="auto"/>
              </w:rPr>
              <w:t>CMO</w:t>
            </w:r>
          </w:p>
        </w:tc>
        <w:tc>
          <w:tcPr>
            <w:tcW w:w="1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888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920</w:t>
            </w:r>
          </w:p>
        </w:tc>
        <w:tc>
          <w:tcPr>
            <w:tcW w:w="1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3.41%</w:t>
            </w: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973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990</w:t>
            </w:r>
          </w:p>
        </w:tc>
        <w:tc>
          <w:tcPr>
            <w:tcW w:w="1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3.40%</w:t>
            </w: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76"/>
        </w:trPr>
        <w:tc>
          <w:tcPr>
            <w:tcW w:w="342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Interest-only strips</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180</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5.29%</w:t>
            </w:r>
          </w:p>
        </w:tc>
        <w:tc>
          <w:tcPr>
            <w:tcW w:w="10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179</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5.28%</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3420" w:type="dxa"/>
            <w:vAlign w:val="bottom"/>
            <w:gridSpan w:val="2"/>
          </w:tcPr>
          <w:p>
            <w:pPr>
              <w:ind w:left="280"/>
              <w:spacing w:after="0"/>
              <w:rPr>
                <w:sz w:val="20"/>
                <w:szCs w:val="20"/>
                <w:color w:val="auto"/>
              </w:rPr>
            </w:pPr>
            <w:r>
              <w:rPr>
                <w:rFonts w:ascii="Arial" w:cs="Arial" w:eastAsia="Arial" w:hAnsi="Arial"/>
                <w:sz w:val="14"/>
                <w:szCs w:val="14"/>
                <w:color w:val="auto"/>
              </w:rPr>
              <w:t>Principal-only strips</w:t>
            </w:r>
          </w:p>
        </w:tc>
        <w:tc>
          <w:tcPr>
            <w:tcW w:w="1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154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172</w:t>
            </w:r>
          </w:p>
        </w:tc>
        <w:tc>
          <w:tcPr>
            <w:tcW w:w="100" w:type="dxa"/>
            <w:vAlign w:val="bottom"/>
          </w:tcPr>
          <w:p>
            <w:pPr>
              <w:spacing w:after="0"/>
              <w:rPr>
                <w:sz w:val="22"/>
                <w:szCs w:val="22"/>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165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174</w:t>
            </w:r>
          </w:p>
        </w:tc>
        <w:tc>
          <w:tcPr>
            <w:tcW w:w="120" w:type="dxa"/>
            <w:vAlign w:val="bottom"/>
          </w:tcPr>
          <w:p>
            <w:pPr>
              <w:spacing w:after="0"/>
              <w:rPr>
                <w:sz w:val="22"/>
                <w:szCs w:val="22"/>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342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Total CMO agency securities</w:t>
            </w: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1,193</w:t>
            </w: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1,272</w:t>
            </w:r>
          </w:p>
        </w:tc>
        <w:tc>
          <w:tcPr>
            <w:tcW w:w="100" w:type="dxa"/>
            <w:vAlign w:val="bottom"/>
            <w:tcBorders>
              <w:top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4.02%</w:t>
            </w:r>
          </w:p>
        </w:tc>
        <w:tc>
          <w:tcPr>
            <w:tcW w:w="100" w:type="dxa"/>
            <w:vAlign w:val="bottom"/>
            <w:tcBorders>
              <w:top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2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1,290</w:t>
            </w: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1,343</w:t>
            </w:r>
          </w:p>
        </w:tc>
        <w:tc>
          <w:tcPr>
            <w:tcW w:w="120" w:type="dxa"/>
            <w:vAlign w:val="bottom"/>
            <w:tcBorders>
              <w:top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3.97%</w:t>
            </w:r>
          </w:p>
        </w:tc>
        <w:tc>
          <w:tcPr>
            <w:tcW w:w="100" w:type="dxa"/>
            <w:vAlign w:val="bottom"/>
            <w:tcBorders>
              <w:top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324"/>
        </w:trPr>
        <w:tc>
          <w:tcPr>
            <w:tcW w:w="3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Total MBS and TBA securities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60,293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61,542</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3.51%</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59,894</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59,917</w:t>
            </w: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3.53%</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Our TBA positions are recorded as derivative instruments in our accompanying consolidated financial statements, with the TBA dollar roll transactions representing a form of off-balance sheet financing. As of June 30, 2016 and December 31, 2015, our TBA position had a net carrying value of $97 million and $14 million, respectively, reported in derivative assets/(liabilities) on our accompanying consolidated balance sheets. The net carrying value represents the difference between the fair value of the underlying agency security in the TBA contract and the cost basis or the forward price to be paid or received for the underlying agency security.</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742" w:right="239" w:bottom="1440" w:gutter="0" w:footer="0" w:header="0"/>
        </w:sectPr>
      </w:pPr>
    </w:p>
    <w:bookmarkStart w:id="34" w:name="page35"/>
    <w:bookmarkEnd w:id="34"/>
    <w:p>
      <w:pPr>
        <w:ind w:right="20" w:firstLine="432"/>
        <w:spacing w:after="0" w:line="277" w:lineRule="auto"/>
        <w:rPr>
          <w:sz w:val="20"/>
          <w:szCs w:val="20"/>
          <w:color w:val="auto"/>
        </w:rPr>
      </w:pPr>
      <w:r>
        <w:rPr>
          <w:rFonts w:ascii="Arial" w:cs="Arial" w:eastAsia="Arial" w:hAnsi="Arial"/>
          <w:sz w:val="18"/>
          <w:szCs w:val="18"/>
          <w:color w:val="auto"/>
        </w:rPr>
        <w:t>The following tables summarize certain characteristics of our agency MBS fixed rate portfolio, inclusive of our net TBA position as of June 30, 2016 and December 31, 2015 (dollars in millions):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rPr>
              <w:t>June 30, 2016</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Includes Net TBA Position</w:t>
            </w:r>
          </w:p>
        </w:tc>
        <w:tc>
          <w:tcPr>
            <w:tcW w:w="90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800" w:type="dxa"/>
            <w:vAlign w:val="bottom"/>
            <w:tcBorders>
              <w:bottom w:val="single" w:sz="8" w:color="auto"/>
            </w:tcBorders>
            <w:gridSpan w:val="6"/>
          </w:tcPr>
          <w:p>
            <w:pPr>
              <w:ind w:left="460"/>
              <w:spacing w:after="0"/>
              <w:rPr>
                <w:sz w:val="20"/>
                <w:szCs w:val="20"/>
                <w:color w:val="auto"/>
              </w:rPr>
            </w:pPr>
            <w:r>
              <w:rPr>
                <w:rFonts w:ascii="Arial" w:cs="Arial" w:eastAsia="Arial" w:hAnsi="Arial"/>
                <w:sz w:val="14"/>
                <w:szCs w:val="14"/>
                <w:b w:val="1"/>
                <w:bCs w:val="1"/>
                <w:color w:val="auto"/>
              </w:rPr>
              <w:t>Excludes Net TBA Position</w:t>
            </w:r>
          </w:p>
        </w:tc>
        <w:tc>
          <w:tcPr>
            <w:tcW w:w="9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 Lower</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gridSpan w:val="4"/>
          </w:tcPr>
          <w:p>
            <w:pPr>
              <w:ind w:left="20"/>
              <w:spacing w:after="0"/>
              <w:rPr>
                <w:sz w:val="20"/>
                <w:szCs w:val="20"/>
                <w:color w:val="auto"/>
              </w:rPr>
            </w:pPr>
            <w:r>
              <w:rPr>
                <w:rFonts w:ascii="Arial" w:cs="Arial" w:eastAsia="Arial" w:hAnsi="Arial"/>
                <w:sz w:val="14"/>
                <w:szCs w:val="14"/>
                <w:b w:val="1"/>
                <w:bCs w:val="1"/>
                <w:color w:val="auto"/>
              </w:rPr>
              <w:t>Weighted Average</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0"/>
              </w:rPr>
              <w:t>Projected</w:t>
            </w:r>
          </w:p>
        </w:tc>
        <w:tc>
          <w:tcPr>
            <w:tcW w:w="0" w:type="dxa"/>
            <w:vAlign w:val="bottom"/>
          </w:tcPr>
          <w:p>
            <w:pPr>
              <w:spacing w:after="0"/>
              <w:rPr>
                <w:sz w:val="1"/>
                <w:szCs w:val="1"/>
                <w:color w:val="auto"/>
              </w:rPr>
            </w:pPr>
          </w:p>
        </w:tc>
      </w:tr>
      <w:tr>
        <w:trPr>
          <w:trHeight w:val="54"/>
        </w:trPr>
        <w:tc>
          <w:tcPr>
            <w:tcW w:w="2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gridSpan w:val="2"/>
            <w:vMerge w:val="restart"/>
          </w:tcPr>
          <w:p>
            <w:pPr>
              <w:ind w:left="40"/>
              <w:spacing w:after="0" w:line="139" w:lineRule="exact"/>
              <w:rPr>
                <w:sz w:val="20"/>
                <w:szCs w:val="20"/>
                <w:color w:val="auto"/>
              </w:rPr>
            </w:pPr>
            <w:r>
              <w:rPr>
                <w:rFonts w:ascii="Arial" w:cs="Arial" w:eastAsia="Arial" w:hAnsi="Arial"/>
                <w:sz w:val="14"/>
                <w:szCs w:val="14"/>
                <w:b w:val="1"/>
                <w:bCs w:val="1"/>
                <w:color w:val="auto"/>
              </w:rPr>
              <w:t>Amortized</w:t>
            </w: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w w:val="92"/>
              </w:rPr>
              <w:t>Loan Balance</w:t>
            </w:r>
          </w:p>
        </w:tc>
        <w:tc>
          <w:tcPr>
            <w:tcW w:w="220" w:type="dxa"/>
            <w:vAlign w:val="bottom"/>
          </w:tcPr>
          <w:p>
            <w:pPr>
              <w:spacing w:after="0"/>
              <w:rPr>
                <w:sz w:val="4"/>
                <w:szCs w:val="4"/>
                <w:color w:val="auto"/>
              </w:rPr>
            </w:pPr>
          </w:p>
        </w:tc>
        <w:tc>
          <w:tcPr>
            <w:tcW w:w="1120" w:type="dxa"/>
            <w:vAlign w:val="bottom"/>
            <w:gridSpan w:val="2"/>
            <w:vMerge w:val="restart"/>
          </w:tcPr>
          <w:p>
            <w:pPr>
              <w:ind w:left="180"/>
              <w:spacing w:after="0" w:line="139" w:lineRule="exact"/>
              <w:rPr>
                <w:sz w:val="20"/>
                <w:szCs w:val="20"/>
                <w:color w:val="auto"/>
              </w:rPr>
            </w:pPr>
            <w:r>
              <w:rPr>
                <w:rFonts w:ascii="Arial" w:cs="Arial" w:eastAsia="Arial" w:hAnsi="Arial"/>
                <w:sz w:val="14"/>
                <w:szCs w:val="14"/>
                <w:b w:val="1"/>
                <w:bCs w:val="1"/>
                <w:color w:val="auto"/>
              </w:rPr>
              <w:t>Amortized</w:t>
            </w: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rPr>
              <w:t>Life</w:t>
            </w:r>
          </w:p>
        </w:tc>
        <w:tc>
          <w:tcPr>
            <w:tcW w:w="0" w:type="dxa"/>
            <w:vAlign w:val="bottom"/>
          </w:tcPr>
          <w:p>
            <w:pPr>
              <w:spacing w:after="0"/>
              <w:rPr>
                <w:sz w:val="1"/>
                <w:szCs w:val="1"/>
                <w:color w:val="auto"/>
              </w:rPr>
            </w:pPr>
          </w:p>
        </w:tc>
      </w:tr>
      <w:tr>
        <w:trPr>
          <w:trHeight w:val="65"/>
        </w:trPr>
        <w:tc>
          <w:tcPr>
            <w:tcW w:w="23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Fixed Rate Agency Securities</w:t>
            </w:r>
          </w:p>
        </w:tc>
        <w:tc>
          <w:tcPr>
            <w:tcW w:w="120" w:type="dxa"/>
            <w:vAlign w:val="bottom"/>
            <w:vMerge w:val="restart"/>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0"/>
              </w:rPr>
              <w:t>Par Value</w:t>
            </w:r>
          </w:p>
        </w:tc>
        <w:tc>
          <w:tcPr>
            <w:tcW w:w="12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800" w:type="dxa"/>
            <w:vAlign w:val="bottom"/>
            <w:gridSpan w:val="2"/>
            <w:vMerge w:val="restart"/>
          </w:tcPr>
          <w:p>
            <w:pPr>
              <w:jc w:val="right"/>
              <w:ind w:right="8"/>
              <w:spacing w:after="0"/>
              <w:rPr>
                <w:sz w:val="20"/>
                <w:szCs w:val="20"/>
                <w:color w:val="auto"/>
              </w:rPr>
            </w:pPr>
            <w:r>
              <w:rPr>
                <w:rFonts w:ascii="Arial" w:cs="Arial" w:eastAsia="Arial" w:hAnsi="Arial"/>
                <w:sz w:val="14"/>
                <w:szCs w:val="14"/>
                <w:b w:val="1"/>
                <w:bCs w:val="1"/>
                <w:color w:val="auto"/>
              </w:rPr>
              <w:t>Fair Value</w:t>
            </w:r>
          </w:p>
        </w:tc>
        <w:tc>
          <w:tcPr>
            <w:tcW w:w="100" w:type="dxa"/>
            <w:vAlign w:val="bottom"/>
            <w:vMerge w:val="restart"/>
          </w:tcPr>
          <w:p>
            <w:pPr>
              <w:spacing w:after="0"/>
              <w:rPr>
                <w:sz w:val="5"/>
                <w:szCs w:val="5"/>
                <w:color w:val="auto"/>
              </w:rPr>
            </w:pPr>
          </w:p>
        </w:tc>
        <w:tc>
          <w:tcPr>
            <w:tcW w:w="9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 xml:space="preserve">WAC </w:t>
            </w:r>
            <w:r>
              <w:rPr>
                <w:rFonts w:ascii="Arial" w:cs="Arial" w:eastAsia="Arial" w:hAnsi="Arial"/>
                <w:sz w:val="8"/>
                <w:szCs w:val="8"/>
                <w:b w:val="1"/>
                <w:bCs w:val="1"/>
                <w:color w:val="auto"/>
              </w:rPr>
              <w:t>3</w:t>
            </w:r>
          </w:p>
        </w:tc>
        <w:tc>
          <w:tcPr>
            <w:tcW w:w="100" w:type="dxa"/>
            <w:vAlign w:val="bottom"/>
            <w:vMerge w:val="restart"/>
          </w:tcPr>
          <w:p>
            <w:pPr>
              <w:spacing w:after="0"/>
              <w:rPr>
                <w:sz w:val="5"/>
                <w:szCs w:val="5"/>
                <w:color w:val="auto"/>
              </w:rPr>
            </w:pPr>
          </w:p>
        </w:tc>
        <w:tc>
          <w:tcPr>
            <w:tcW w:w="80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 xml:space="preserve">Yield </w:t>
            </w:r>
            <w:r>
              <w:rPr>
                <w:rFonts w:ascii="Arial" w:cs="Arial" w:eastAsia="Arial" w:hAnsi="Arial"/>
                <w:sz w:val="8"/>
                <w:szCs w:val="8"/>
                <w:b w:val="1"/>
                <w:bCs w:val="1"/>
                <w:color w:val="auto"/>
              </w:rPr>
              <w:t>4</w:t>
            </w:r>
          </w:p>
        </w:tc>
        <w:tc>
          <w:tcPr>
            <w:tcW w:w="100" w:type="dxa"/>
            <w:vAlign w:val="bottom"/>
            <w:vMerge w:val="restart"/>
          </w:tcPr>
          <w:p>
            <w:pPr>
              <w:spacing w:after="0"/>
              <w:rPr>
                <w:sz w:val="5"/>
                <w:szCs w:val="5"/>
                <w:color w:val="auto"/>
              </w:rPr>
            </w:pPr>
          </w:p>
        </w:tc>
        <w:tc>
          <w:tcPr>
            <w:tcW w:w="102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Age (Months)</w:t>
            </w:r>
          </w:p>
        </w:tc>
        <w:tc>
          <w:tcPr>
            <w:tcW w:w="100" w:type="dxa"/>
            <w:vAlign w:val="bottom"/>
            <w:vMerge w:val="restart"/>
          </w:tcPr>
          <w:p>
            <w:pPr>
              <w:spacing w:after="0"/>
              <w:rPr>
                <w:sz w:val="5"/>
                <w:szCs w:val="5"/>
                <w:color w:val="auto"/>
              </w:rPr>
            </w:pPr>
          </w:p>
        </w:tc>
        <w:tc>
          <w:tcPr>
            <w:tcW w:w="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3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Cost</w:t>
            </w:r>
          </w:p>
        </w:tc>
        <w:tc>
          <w:tcPr>
            <w:tcW w:w="12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 xml:space="preserve">&amp; HARP </w:t>
            </w:r>
            <w:r>
              <w:rPr>
                <w:rFonts w:ascii="Arial" w:cs="Arial" w:eastAsia="Arial" w:hAnsi="Arial"/>
                <w:sz w:val="8"/>
                <w:szCs w:val="8"/>
                <w:b w:val="1"/>
                <w:bCs w:val="1"/>
                <w:color w:val="auto"/>
              </w:rPr>
              <w:t>1,2</w:t>
            </w:r>
          </w:p>
        </w:tc>
        <w:tc>
          <w:tcPr>
            <w:tcW w:w="2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Cost Basis</w:t>
            </w:r>
          </w:p>
        </w:tc>
        <w:tc>
          <w:tcPr>
            <w:tcW w:w="10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 xml:space="preserve">CPR </w:t>
            </w:r>
            <w:r>
              <w:rPr>
                <w:rFonts w:ascii="Arial" w:cs="Arial" w:eastAsia="Arial" w:hAnsi="Arial"/>
                <w:sz w:val="8"/>
                <w:szCs w:val="8"/>
                <w:b w:val="1"/>
                <w:bCs w:val="1"/>
                <w:color w:val="auto"/>
              </w:rPr>
              <w:t>4</w:t>
            </w:r>
          </w:p>
        </w:tc>
        <w:tc>
          <w:tcPr>
            <w:tcW w:w="0" w:type="dxa"/>
            <w:vAlign w:val="bottom"/>
          </w:tcPr>
          <w:p>
            <w:pPr>
              <w:spacing w:after="0"/>
              <w:rPr>
                <w:sz w:val="1"/>
                <w:szCs w:val="1"/>
                <w:color w:val="auto"/>
              </w:rPr>
            </w:pPr>
          </w:p>
        </w:tc>
      </w:tr>
      <w:tr>
        <w:trPr>
          <w:trHeight w:val="270"/>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Fixed rate</w:t>
            </w: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420" w:type="dxa"/>
            <w:vAlign w:val="bottom"/>
            <w:gridSpan w:val="2"/>
          </w:tcPr>
          <w:p>
            <w:pPr>
              <w:ind w:left="320"/>
              <w:spacing w:after="0"/>
              <w:rPr>
                <w:sz w:val="20"/>
                <w:szCs w:val="20"/>
                <w:color w:val="auto"/>
              </w:rPr>
            </w:pPr>
            <w:r>
              <w:rPr>
                <w:rFonts w:ascii="Arial" w:cs="Arial" w:eastAsia="Arial" w:hAnsi="Arial"/>
                <w:sz w:val="14"/>
                <w:szCs w:val="14"/>
                <w:color w:val="auto"/>
              </w:rPr>
              <w:t>≤ 15-year</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42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 2.5%</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4,324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4,409</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4,486</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36%</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101.7%</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2.96%</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2.03%</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44</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10%</w:t>
            </w: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3,829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3,945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4,033</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73%</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102.9%</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0"/>
              </w:rPr>
              <w:t>3.50%</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2.19%</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49</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11%</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3,918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4,056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4,178</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86%</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103.4%</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3.95%</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2.50%</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57</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12%</w:t>
            </w: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3,042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3,166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3,255</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89%</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104.1%</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0"/>
              </w:rPr>
              <w:t>4.40%</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2.68%</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66</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13%</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351</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98%</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104.5%</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4.87%</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3.02%</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70</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13%</w:t>
            </w:r>
          </w:p>
        </w:tc>
        <w:tc>
          <w:tcPr>
            <w:tcW w:w="0" w:type="dxa"/>
            <w:vAlign w:val="bottom"/>
          </w:tcPr>
          <w:p>
            <w:pPr>
              <w:spacing w:after="0"/>
              <w:rPr>
                <w:sz w:val="1"/>
                <w:szCs w:val="1"/>
                <w:color w:val="auto"/>
              </w:rPr>
            </w:pPr>
          </w:p>
        </w:tc>
      </w:tr>
      <w:tr>
        <w:trPr>
          <w:trHeight w:val="264"/>
        </w:trPr>
        <w:tc>
          <w:tcPr>
            <w:tcW w:w="2420" w:type="dxa"/>
            <w:vAlign w:val="bottom"/>
            <w:tcBorders>
              <w:bottom w:val="single" w:sz="8" w:color="CCEEFF"/>
            </w:tcBorders>
            <w:gridSpan w:val="2"/>
          </w:tcPr>
          <w:p>
            <w:pPr>
              <w:ind w:left="380"/>
              <w:spacing w:after="0"/>
              <w:rPr>
                <w:sz w:val="20"/>
                <w:szCs w:val="20"/>
                <w:color w:val="auto"/>
              </w:rPr>
            </w:pPr>
            <w:r>
              <w:rPr>
                <w:rFonts w:ascii="Arial" w:cs="Arial" w:eastAsia="Arial" w:hAnsi="Arial"/>
                <w:sz w:val="14"/>
                <w:szCs w:val="14"/>
                <w:color w:val="auto"/>
              </w:rPr>
              <w:t>≥ 5.0%</w:t>
            </w: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25%</w:t>
            </w:r>
          </w:p>
        </w:tc>
        <w:tc>
          <w:tcPr>
            <w:tcW w:w="2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103.5%</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6.57%</w:t>
            </w:r>
          </w:p>
        </w:tc>
        <w:tc>
          <w:tcPr>
            <w:tcW w:w="10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4.58%</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104</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14%</w:t>
            </w:r>
          </w:p>
        </w:tc>
        <w:tc>
          <w:tcPr>
            <w:tcW w:w="0" w:type="dxa"/>
            <w:vAlign w:val="bottom"/>
          </w:tcPr>
          <w:p>
            <w:pPr>
              <w:spacing w:after="0"/>
              <w:rPr>
                <w:sz w:val="1"/>
                <w:szCs w:val="1"/>
                <w:color w:val="auto"/>
              </w:rPr>
            </w:pPr>
          </w:p>
        </w:tc>
      </w:tr>
      <w:tr>
        <w:trPr>
          <w:trHeight w:val="256"/>
        </w:trPr>
        <w:tc>
          <w:tcPr>
            <w:tcW w:w="242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Total ≤ 15-year</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15,445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15,923</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16,308</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70%</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103.0%</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3.72%</w:t>
            </w: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2.36%</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54</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11%</w:t>
            </w:r>
          </w:p>
        </w:tc>
        <w:tc>
          <w:tcPr>
            <w:tcW w:w="0" w:type="dxa"/>
            <w:vAlign w:val="bottom"/>
          </w:tcPr>
          <w:p>
            <w:pPr>
              <w:spacing w:after="0"/>
              <w:rPr>
                <w:sz w:val="1"/>
                <w:szCs w:val="1"/>
                <w:color w:val="auto"/>
              </w:rPr>
            </w:pPr>
          </w:p>
        </w:tc>
      </w:tr>
      <w:tr>
        <w:trPr>
          <w:trHeight w:val="258"/>
        </w:trPr>
        <w:tc>
          <w:tcPr>
            <w:tcW w:w="2420" w:type="dxa"/>
            <w:vAlign w:val="bottom"/>
            <w:gridSpan w:val="2"/>
          </w:tcPr>
          <w:p>
            <w:pPr>
              <w:ind w:left="280"/>
              <w:spacing w:after="0"/>
              <w:rPr>
                <w:sz w:val="20"/>
                <w:szCs w:val="20"/>
                <w:color w:val="auto"/>
              </w:rPr>
            </w:pPr>
            <w:r>
              <w:rPr>
                <w:rFonts w:ascii="Arial" w:cs="Arial" w:eastAsia="Arial" w:hAnsi="Arial"/>
                <w:sz w:val="14"/>
                <w:szCs w:val="14"/>
                <w:color w:val="auto"/>
              </w:rPr>
              <w:t>20-year</w:t>
            </w:r>
          </w:p>
        </w:tc>
        <w:tc>
          <w:tcPr>
            <w:tcW w:w="10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42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 3.0%</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259</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31%</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5"/>
              </w:rPr>
              <w:t>99.4%</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3.55%</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3.12%</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37</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11%</w:t>
            </w: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558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570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596</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65%</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102.0%</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0"/>
              </w:rPr>
              <w:t>4.05%</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3.01%</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39</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13%</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65</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49%</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104.0%</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4.54%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2.91%</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58</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15%</w:t>
            </w: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76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81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84</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99%</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106.4%</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0"/>
              </w:rPr>
              <w:t>4.90%</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2.95%</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67</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13%</w:t>
            </w:r>
          </w:p>
        </w:tc>
        <w:tc>
          <w:tcPr>
            <w:tcW w:w="0" w:type="dxa"/>
            <w:vAlign w:val="bottom"/>
          </w:tcPr>
          <w:p>
            <w:pPr>
              <w:spacing w:after="0"/>
              <w:rPr>
                <w:sz w:val="1"/>
                <w:szCs w:val="1"/>
                <w:color w:val="auto"/>
              </w:rPr>
            </w:pPr>
          </w:p>
        </w:tc>
      </w:tr>
      <w:tr>
        <w:trPr>
          <w:trHeight w:val="270"/>
        </w:trPr>
        <w:tc>
          <w:tcPr>
            <w:tcW w:w="242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 5.0%</w:t>
            </w:r>
          </w:p>
        </w:tc>
        <w:tc>
          <w:tcPr>
            <w:tcW w:w="1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8"/>
              </w:rPr>
              <w:t>—%</w:t>
            </w:r>
          </w:p>
        </w:tc>
        <w:tc>
          <w:tcPr>
            <w:tcW w:w="22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6"/>
              </w:rPr>
              <w:t>105.8%</w:t>
            </w:r>
          </w:p>
        </w:tc>
        <w:tc>
          <w:tcPr>
            <w:tcW w:w="100" w:type="dxa"/>
            <w:vAlign w:val="bottom"/>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5.91%</w:t>
            </w:r>
          </w:p>
        </w:tc>
        <w:tc>
          <w:tcPr>
            <w:tcW w:w="100" w:type="dxa"/>
            <w:vAlign w:val="bottom"/>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4"/>
                <w:szCs w:val="14"/>
                <w:color w:val="auto"/>
              </w:rPr>
              <w:t>3.34%</w:t>
            </w:r>
          </w:p>
        </w:tc>
        <w:tc>
          <w:tcPr>
            <w:tcW w:w="10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9"/>
              </w:rPr>
              <w:t>97</w:t>
            </w:r>
          </w:p>
        </w:tc>
        <w:tc>
          <w:tcPr>
            <w:tcW w:w="10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20%</w:t>
            </w:r>
          </w:p>
        </w:tc>
        <w:tc>
          <w:tcPr>
            <w:tcW w:w="0" w:type="dxa"/>
            <w:vAlign w:val="bottom"/>
          </w:tcPr>
          <w:p>
            <w:pPr>
              <w:spacing w:after="0"/>
              <w:rPr>
                <w:sz w:val="1"/>
                <w:szCs w:val="1"/>
                <w:color w:val="auto"/>
              </w:rPr>
            </w:pPr>
          </w:p>
        </w:tc>
      </w:tr>
      <w:tr>
        <w:trPr>
          <w:trHeight w:val="250"/>
        </w:trPr>
        <w:tc>
          <w:tcPr>
            <w:tcW w:w="2420" w:type="dxa"/>
            <w:vAlign w:val="bottom"/>
            <w:gridSpan w:val="2"/>
          </w:tcPr>
          <w:p>
            <w:pPr>
              <w:ind w:left="280"/>
              <w:spacing w:after="0"/>
              <w:rPr>
                <w:sz w:val="20"/>
                <w:szCs w:val="20"/>
                <w:color w:val="auto"/>
              </w:rPr>
            </w:pPr>
            <w:r>
              <w:rPr>
                <w:rFonts w:ascii="Arial" w:cs="Arial" w:eastAsia="Arial" w:hAnsi="Arial"/>
                <w:sz w:val="14"/>
                <w:szCs w:val="14"/>
                <w:color w:val="auto"/>
              </w:rPr>
              <w:t>Total 20-year:</w:t>
            </w:r>
          </w:p>
        </w:tc>
        <w:tc>
          <w:tcPr>
            <w:tcW w:w="100" w:type="dxa"/>
            <w:vAlign w:val="bottom"/>
          </w:tcPr>
          <w:p>
            <w:pPr>
              <w:spacing w:after="0"/>
              <w:rPr>
                <w:sz w:val="21"/>
                <w:szCs w:val="21"/>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943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961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1,007</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58%</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101.8%</w:t>
            </w:r>
          </w:p>
        </w:tc>
        <w:tc>
          <w:tcPr>
            <w:tcW w:w="100" w:type="dxa"/>
            <w:vAlign w:val="bottom"/>
          </w:tcPr>
          <w:p>
            <w:pPr>
              <w:spacing w:after="0"/>
              <w:rPr>
                <w:sz w:val="21"/>
                <w:szCs w:val="21"/>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0"/>
              </w:rPr>
              <w:t>4.03%</w:t>
            </w:r>
          </w:p>
        </w:tc>
        <w:tc>
          <w:tcPr>
            <w:tcW w:w="100" w:type="dxa"/>
            <w:vAlign w:val="bottom"/>
          </w:tcPr>
          <w:p>
            <w:pPr>
              <w:spacing w:after="0"/>
              <w:rPr>
                <w:sz w:val="21"/>
                <w:szCs w:val="21"/>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3.03%</w:t>
            </w:r>
          </w:p>
        </w:tc>
        <w:tc>
          <w:tcPr>
            <w:tcW w:w="10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43</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13%</w:t>
            </w:r>
          </w:p>
        </w:tc>
        <w:tc>
          <w:tcPr>
            <w:tcW w:w="0" w:type="dxa"/>
            <w:vAlign w:val="bottom"/>
          </w:tcPr>
          <w:p>
            <w:pPr>
              <w:spacing w:after="0"/>
              <w:rPr>
                <w:sz w:val="1"/>
                <w:szCs w:val="1"/>
                <w:color w:val="auto"/>
              </w:rPr>
            </w:pPr>
          </w:p>
        </w:tc>
      </w:tr>
      <w:tr>
        <w:trPr>
          <w:trHeight w:val="270"/>
        </w:trPr>
        <w:tc>
          <w:tcPr>
            <w:tcW w:w="2420" w:type="dxa"/>
            <w:vAlign w:val="bottom"/>
            <w:tcBorders>
              <w:top w:val="single" w:sz="8" w:color="CCEEFF"/>
            </w:tcBorders>
            <w:gridSpan w:val="2"/>
            <w:shd w:val="clear" w:color="auto" w:fill="CCEEFF"/>
          </w:tcPr>
          <w:p>
            <w:pPr>
              <w:ind w:left="280"/>
              <w:spacing w:after="0"/>
              <w:rPr>
                <w:sz w:val="20"/>
                <w:szCs w:val="20"/>
                <w:color w:val="auto"/>
              </w:rPr>
            </w:pPr>
            <w:r>
              <w:rPr>
                <w:rFonts w:ascii="Arial" w:cs="Arial" w:eastAsia="Arial" w:hAnsi="Arial"/>
                <w:sz w:val="14"/>
                <w:szCs w:val="14"/>
                <w:color w:val="auto"/>
              </w:rPr>
              <w:t>30-year:</w:t>
            </w:r>
          </w:p>
        </w:tc>
        <w:tc>
          <w:tcPr>
            <w:tcW w:w="100" w:type="dxa"/>
            <w:vAlign w:val="bottom"/>
            <w:tcBorders>
              <w:top w:val="single" w:sz="8" w:color="auto"/>
            </w:tcBorders>
            <w:shd w:val="clear" w:color="auto" w:fill="CCEEFF"/>
          </w:tcPr>
          <w:p>
            <w:pPr>
              <w:spacing w:after="0"/>
              <w:rPr>
                <w:sz w:val="23"/>
                <w:szCs w:val="23"/>
                <w:color w:val="auto"/>
              </w:rPr>
            </w:pPr>
          </w:p>
        </w:tc>
        <w:tc>
          <w:tcPr>
            <w:tcW w:w="7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6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220" w:type="dxa"/>
            <w:vAlign w:val="bottom"/>
            <w:tcBorders>
              <w:top w:val="single" w:sz="8" w:color="CCEEFF"/>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6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8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420" w:type="dxa"/>
            <w:vAlign w:val="bottom"/>
            <w:gridSpan w:val="2"/>
          </w:tcPr>
          <w:p>
            <w:pPr>
              <w:ind w:left="420"/>
              <w:spacing w:after="0"/>
              <w:rPr>
                <w:sz w:val="20"/>
                <w:szCs w:val="20"/>
                <w:color w:val="auto"/>
              </w:rPr>
            </w:pPr>
            <w:r>
              <w:rPr>
                <w:rFonts w:ascii="Arial" w:cs="Arial" w:eastAsia="Arial" w:hAnsi="Arial"/>
                <w:sz w:val="14"/>
                <w:szCs w:val="14"/>
                <w:color w:val="auto"/>
              </w:rPr>
              <w:t>≤ 3.0%</w:t>
            </w: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7,889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8,034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8,188</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8"/>
              </w:rPr>
              <w:t>2%</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101.5%</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0"/>
              </w:rPr>
              <w:t>3.49%</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2.79%</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23</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8"/>
              </w:rPr>
              <w:t>7%</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17,757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18,625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18,898</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64%</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105.0%</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4.08%</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2.66%</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31</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10%</w:t>
            </w: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12,412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13,246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13,466</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74%</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106.7%</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0"/>
              </w:rPr>
              <w:t>4.51%</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2.77%</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36</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12%</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1,399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1,485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1,548</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87%</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106.1%</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4.96%</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3.27%</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61</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13%</w:t>
            </w: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133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141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149</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65%</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106.0%</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0"/>
              </w:rPr>
              <w:t>5.45%</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3.66%</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97</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14%</w:t>
            </w:r>
          </w:p>
        </w:tc>
        <w:tc>
          <w:tcPr>
            <w:tcW w:w="0" w:type="dxa"/>
            <w:vAlign w:val="bottom"/>
          </w:tcPr>
          <w:p>
            <w:pPr>
              <w:spacing w:after="0"/>
              <w:rPr>
                <w:sz w:val="1"/>
                <w:szCs w:val="1"/>
                <w:color w:val="auto"/>
              </w:rPr>
            </w:pPr>
          </w:p>
        </w:tc>
      </w:tr>
      <w:tr>
        <w:trPr>
          <w:trHeight w:val="270"/>
        </w:trPr>
        <w:tc>
          <w:tcPr>
            <w:tcW w:w="242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 5.5%</w:t>
            </w:r>
          </w:p>
        </w:tc>
        <w:tc>
          <w:tcPr>
            <w:tcW w:w="1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138</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151</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156</w:t>
            </w:r>
          </w:p>
        </w:tc>
        <w:tc>
          <w:tcPr>
            <w:tcW w:w="10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38%</w:t>
            </w:r>
          </w:p>
        </w:tc>
        <w:tc>
          <w:tcPr>
            <w:tcW w:w="22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6"/>
              </w:rPr>
              <w:t>108.9%</w:t>
            </w:r>
          </w:p>
        </w:tc>
        <w:tc>
          <w:tcPr>
            <w:tcW w:w="100" w:type="dxa"/>
            <w:vAlign w:val="bottom"/>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6.20%</w:t>
            </w:r>
          </w:p>
        </w:tc>
        <w:tc>
          <w:tcPr>
            <w:tcW w:w="100" w:type="dxa"/>
            <w:vAlign w:val="bottom"/>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4"/>
                <w:szCs w:val="14"/>
                <w:color w:val="auto"/>
              </w:rPr>
              <w:t>3.35%</w:t>
            </w:r>
          </w:p>
        </w:tc>
        <w:tc>
          <w:tcPr>
            <w:tcW w:w="10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4"/>
              </w:rPr>
              <w:t>115</w:t>
            </w:r>
          </w:p>
        </w:tc>
        <w:tc>
          <w:tcPr>
            <w:tcW w:w="10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18%</w:t>
            </w:r>
          </w:p>
        </w:tc>
        <w:tc>
          <w:tcPr>
            <w:tcW w:w="0" w:type="dxa"/>
            <w:vAlign w:val="bottom"/>
          </w:tcPr>
          <w:p>
            <w:pPr>
              <w:spacing w:after="0"/>
              <w:rPr>
                <w:sz w:val="1"/>
                <w:szCs w:val="1"/>
                <w:color w:val="auto"/>
              </w:rPr>
            </w:pPr>
          </w:p>
        </w:tc>
      </w:tr>
      <w:tr>
        <w:trPr>
          <w:trHeight w:val="250"/>
        </w:trPr>
        <w:tc>
          <w:tcPr>
            <w:tcW w:w="2420" w:type="dxa"/>
            <w:vAlign w:val="bottom"/>
            <w:tcBorders>
              <w:bottom w:val="single" w:sz="8" w:color="CCEEFF"/>
            </w:tcBorders>
            <w:gridSpan w:val="2"/>
          </w:tcPr>
          <w:p>
            <w:pPr>
              <w:ind w:left="280"/>
              <w:spacing w:after="0"/>
              <w:rPr>
                <w:sz w:val="20"/>
                <w:szCs w:val="20"/>
                <w:color w:val="auto"/>
              </w:rPr>
            </w:pPr>
            <w:r>
              <w:rPr>
                <w:rFonts w:ascii="Arial" w:cs="Arial" w:eastAsia="Arial" w:hAnsi="Arial"/>
                <w:sz w:val="14"/>
                <w:szCs w:val="14"/>
                <w:color w:val="auto"/>
              </w:rPr>
              <w:t>Total 30-year</w:t>
            </w:r>
          </w:p>
        </w:tc>
        <w:tc>
          <w:tcPr>
            <w:tcW w:w="1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39,728</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41,682</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42,405</w:t>
            </w:r>
          </w:p>
        </w:tc>
        <w:tc>
          <w:tcPr>
            <w:tcW w:w="10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56%</w:t>
            </w:r>
          </w:p>
        </w:tc>
        <w:tc>
          <w:tcPr>
            <w:tcW w:w="22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105.2%</w:t>
            </w:r>
          </w:p>
        </w:tc>
        <w:tc>
          <w:tcPr>
            <w:tcW w:w="100" w:type="dxa"/>
            <w:vAlign w:val="bottom"/>
            <w:tcBorders>
              <w:bottom w:val="single" w:sz="8" w:color="CCEEFF"/>
            </w:tcBorders>
          </w:tcPr>
          <w:p>
            <w:pPr>
              <w:spacing w:after="0"/>
              <w:rPr>
                <w:sz w:val="21"/>
                <w:szCs w:val="21"/>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4.20%</w:t>
            </w:r>
          </w:p>
        </w:tc>
        <w:tc>
          <w:tcPr>
            <w:tcW w:w="100" w:type="dxa"/>
            <w:vAlign w:val="bottom"/>
            <w:tcBorders>
              <w:bottom w:val="single" w:sz="8" w:color="CCEEFF"/>
            </w:tcBorders>
          </w:tcPr>
          <w:p>
            <w:pPr>
              <w:spacing w:after="0"/>
              <w:rPr>
                <w:sz w:val="21"/>
                <w:szCs w:val="21"/>
                <w:color w:val="auto"/>
              </w:rPr>
            </w:pPr>
          </w:p>
        </w:tc>
        <w:tc>
          <w:tcPr>
            <w:tcW w:w="80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2.75%</w:t>
            </w:r>
          </w:p>
        </w:tc>
        <w:tc>
          <w:tcPr>
            <w:tcW w:w="10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33</w:t>
            </w:r>
          </w:p>
        </w:tc>
        <w:tc>
          <w:tcPr>
            <w:tcW w:w="10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10%</w:t>
            </w:r>
          </w:p>
        </w:tc>
        <w:tc>
          <w:tcPr>
            <w:tcW w:w="0" w:type="dxa"/>
            <w:vAlign w:val="bottom"/>
          </w:tcPr>
          <w:p>
            <w:pPr>
              <w:spacing w:after="0"/>
              <w:rPr>
                <w:sz w:val="1"/>
                <w:szCs w:val="1"/>
                <w:color w:val="auto"/>
              </w:rPr>
            </w:pPr>
          </w:p>
        </w:tc>
      </w:tr>
      <w:tr>
        <w:trPr>
          <w:trHeight w:val="24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Total fixed rate</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56,116</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58,566</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59,720</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60%</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104.5%</w:t>
            </w: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4.06%</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2.64%</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40</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11%</w:t>
            </w: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w w:val="99"/>
              </w:rPr>
              <w:t>_______________________</w:t>
            </w: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30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660" w:hanging="328"/>
        <w:spacing w:after="0" w:line="241" w:lineRule="auto"/>
        <w:tabs>
          <w:tab w:leader="none" w:pos="6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Lower loan balance securities represent pools backed by an original loan balance of ≤ $150,000. Our lower loan balance securities had a weighted average original loan balance of $97,000 and $100,000 for 15-year and 30-year securities, respectively, as of June 30, 2016.</w:t>
      </w:r>
    </w:p>
    <w:p>
      <w:pPr>
        <w:jc w:val="both"/>
        <w:ind w:left="660" w:hanging="328"/>
        <w:spacing w:after="0" w:line="241" w:lineRule="auto"/>
        <w:tabs>
          <w:tab w:leader="none" w:pos="6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HARP securities are defined as pools backed by 100% refinance loans with LTV ≥ 80%. Our HARP securities had a weighted average LTV of 112% and 133% for 15-year and 30-year securities, respectively, as of June 30, 2016. Includes $0.9 billion and $5.4 billion of 15-year and 30-year securities, respectively, with &gt;105 LTV pools which are not deliverable into TBA securities.</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WAC represents the weighted average coupon of the underlying collateral.</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Portfolio yield incorporates a projected life CPR assumption based on forward rate assumptions as of June 30, 2016.</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746" w:right="2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192"/>
        </w:trPr>
        <w:tc>
          <w:tcPr>
            <w:tcW w:w="2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December 31, 2015</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Includes Net TBA Position</w:t>
            </w:r>
          </w:p>
        </w:tc>
        <w:tc>
          <w:tcPr>
            <w:tcW w:w="90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800" w:type="dxa"/>
            <w:vAlign w:val="bottom"/>
            <w:tcBorders>
              <w:bottom w:val="single" w:sz="8" w:color="auto"/>
            </w:tcBorders>
            <w:gridSpan w:val="6"/>
          </w:tcPr>
          <w:p>
            <w:pPr>
              <w:ind w:left="460"/>
              <w:spacing w:after="0"/>
              <w:rPr>
                <w:sz w:val="20"/>
                <w:szCs w:val="20"/>
                <w:color w:val="auto"/>
              </w:rPr>
            </w:pPr>
            <w:r>
              <w:rPr>
                <w:rFonts w:ascii="Arial" w:cs="Arial" w:eastAsia="Arial" w:hAnsi="Arial"/>
                <w:sz w:val="14"/>
                <w:szCs w:val="14"/>
                <w:b w:val="1"/>
                <w:bCs w:val="1"/>
                <w:color w:val="auto"/>
              </w:rPr>
              <w:t>Excludes Net TBA Position</w:t>
            </w:r>
          </w:p>
        </w:tc>
        <w:tc>
          <w:tcPr>
            <w:tcW w:w="9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 Lower</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gridSpan w:val="4"/>
          </w:tcPr>
          <w:p>
            <w:pPr>
              <w:ind w:left="20"/>
              <w:spacing w:after="0"/>
              <w:rPr>
                <w:sz w:val="20"/>
                <w:szCs w:val="20"/>
                <w:color w:val="auto"/>
              </w:rPr>
            </w:pPr>
            <w:r>
              <w:rPr>
                <w:rFonts w:ascii="Arial" w:cs="Arial" w:eastAsia="Arial" w:hAnsi="Arial"/>
                <w:sz w:val="14"/>
                <w:szCs w:val="14"/>
                <w:b w:val="1"/>
                <w:bCs w:val="1"/>
                <w:color w:val="auto"/>
              </w:rPr>
              <w:t>Weighted Average</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0"/>
              </w:rPr>
              <w:t>Projected</w:t>
            </w:r>
          </w:p>
        </w:tc>
        <w:tc>
          <w:tcPr>
            <w:tcW w:w="0" w:type="dxa"/>
            <w:vAlign w:val="bottom"/>
          </w:tcPr>
          <w:p>
            <w:pPr>
              <w:spacing w:after="0"/>
              <w:rPr>
                <w:sz w:val="1"/>
                <w:szCs w:val="1"/>
                <w:color w:val="auto"/>
              </w:rPr>
            </w:pPr>
          </w:p>
        </w:tc>
      </w:tr>
      <w:tr>
        <w:trPr>
          <w:trHeight w:val="54"/>
        </w:trPr>
        <w:tc>
          <w:tcPr>
            <w:tcW w:w="2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gridSpan w:val="2"/>
            <w:vMerge w:val="restart"/>
          </w:tcPr>
          <w:p>
            <w:pPr>
              <w:ind w:left="40"/>
              <w:spacing w:after="0" w:line="139" w:lineRule="exact"/>
              <w:rPr>
                <w:sz w:val="20"/>
                <w:szCs w:val="20"/>
                <w:color w:val="auto"/>
              </w:rPr>
            </w:pPr>
            <w:r>
              <w:rPr>
                <w:rFonts w:ascii="Arial" w:cs="Arial" w:eastAsia="Arial" w:hAnsi="Arial"/>
                <w:sz w:val="14"/>
                <w:szCs w:val="14"/>
                <w:b w:val="1"/>
                <w:bCs w:val="1"/>
                <w:color w:val="auto"/>
              </w:rPr>
              <w:t>Amortized</w:t>
            </w: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w w:val="92"/>
              </w:rPr>
              <w:t>Loan Balance</w:t>
            </w:r>
          </w:p>
        </w:tc>
        <w:tc>
          <w:tcPr>
            <w:tcW w:w="220" w:type="dxa"/>
            <w:vAlign w:val="bottom"/>
          </w:tcPr>
          <w:p>
            <w:pPr>
              <w:spacing w:after="0"/>
              <w:rPr>
                <w:sz w:val="4"/>
                <w:szCs w:val="4"/>
                <w:color w:val="auto"/>
              </w:rPr>
            </w:pPr>
          </w:p>
        </w:tc>
        <w:tc>
          <w:tcPr>
            <w:tcW w:w="1120" w:type="dxa"/>
            <w:vAlign w:val="bottom"/>
            <w:gridSpan w:val="2"/>
            <w:vMerge w:val="restart"/>
          </w:tcPr>
          <w:p>
            <w:pPr>
              <w:ind w:left="180"/>
              <w:spacing w:after="0" w:line="139" w:lineRule="exact"/>
              <w:rPr>
                <w:sz w:val="20"/>
                <w:szCs w:val="20"/>
                <w:color w:val="auto"/>
              </w:rPr>
            </w:pPr>
            <w:r>
              <w:rPr>
                <w:rFonts w:ascii="Arial" w:cs="Arial" w:eastAsia="Arial" w:hAnsi="Arial"/>
                <w:sz w:val="14"/>
                <w:szCs w:val="14"/>
                <w:b w:val="1"/>
                <w:bCs w:val="1"/>
                <w:color w:val="auto"/>
              </w:rPr>
              <w:t>Amortized</w:t>
            </w: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rPr>
              <w:t>Life</w:t>
            </w:r>
          </w:p>
        </w:tc>
        <w:tc>
          <w:tcPr>
            <w:tcW w:w="0" w:type="dxa"/>
            <w:vAlign w:val="bottom"/>
          </w:tcPr>
          <w:p>
            <w:pPr>
              <w:spacing w:after="0"/>
              <w:rPr>
                <w:sz w:val="1"/>
                <w:szCs w:val="1"/>
                <w:color w:val="auto"/>
              </w:rPr>
            </w:pPr>
          </w:p>
        </w:tc>
      </w:tr>
      <w:tr>
        <w:trPr>
          <w:trHeight w:val="65"/>
        </w:trPr>
        <w:tc>
          <w:tcPr>
            <w:tcW w:w="23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Agency Fixed Rate Securities</w:t>
            </w:r>
          </w:p>
        </w:tc>
        <w:tc>
          <w:tcPr>
            <w:tcW w:w="120" w:type="dxa"/>
            <w:vAlign w:val="bottom"/>
            <w:vMerge w:val="restart"/>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0"/>
              </w:rPr>
              <w:t>Par Value</w:t>
            </w:r>
          </w:p>
        </w:tc>
        <w:tc>
          <w:tcPr>
            <w:tcW w:w="12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800" w:type="dxa"/>
            <w:vAlign w:val="bottom"/>
            <w:gridSpan w:val="2"/>
            <w:vMerge w:val="restart"/>
          </w:tcPr>
          <w:p>
            <w:pPr>
              <w:jc w:val="right"/>
              <w:ind w:right="8"/>
              <w:spacing w:after="0"/>
              <w:rPr>
                <w:sz w:val="20"/>
                <w:szCs w:val="20"/>
                <w:color w:val="auto"/>
              </w:rPr>
            </w:pPr>
            <w:r>
              <w:rPr>
                <w:rFonts w:ascii="Arial" w:cs="Arial" w:eastAsia="Arial" w:hAnsi="Arial"/>
                <w:sz w:val="14"/>
                <w:szCs w:val="14"/>
                <w:b w:val="1"/>
                <w:bCs w:val="1"/>
                <w:color w:val="auto"/>
              </w:rPr>
              <w:t>Fair Value</w:t>
            </w:r>
          </w:p>
        </w:tc>
        <w:tc>
          <w:tcPr>
            <w:tcW w:w="100" w:type="dxa"/>
            <w:vAlign w:val="bottom"/>
            <w:vMerge w:val="restart"/>
          </w:tcPr>
          <w:p>
            <w:pPr>
              <w:spacing w:after="0"/>
              <w:rPr>
                <w:sz w:val="5"/>
                <w:szCs w:val="5"/>
                <w:color w:val="auto"/>
              </w:rPr>
            </w:pPr>
          </w:p>
        </w:tc>
        <w:tc>
          <w:tcPr>
            <w:tcW w:w="9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68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 xml:space="preserve">WAC </w:t>
            </w:r>
            <w:r>
              <w:rPr>
                <w:rFonts w:ascii="Arial" w:cs="Arial" w:eastAsia="Arial" w:hAnsi="Arial"/>
                <w:sz w:val="8"/>
                <w:szCs w:val="8"/>
                <w:b w:val="1"/>
                <w:bCs w:val="1"/>
                <w:color w:val="auto"/>
              </w:rPr>
              <w:t>3</w:t>
            </w:r>
          </w:p>
        </w:tc>
        <w:tc>
          <w:tcPr>
            <w:tcW w:w="100" w:type="dxa"/>
            <w:vAlign w:val="bottom"/>
            <w:vMerge w:val="restart"/>
          </w:tcPr>
          <w:p>
            <w:pPr>
              <w:spacing w:after="0"/>
              <w:rPr>
                <w:sz w:val="5"/>
                <w:szCs w:val="5"/>
                <w:color w:val="auto"/>
              </w:rPr>
            </w:pPr>
          </w:p>
        </w:tc>
        <w:tc>
          <w:tcPr>
            <w:tcW w:w="80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 xml:space="preserve">Yield </w:t>
            </w:r>
            <w:r>
              <w:rPr>
                <w:rFonts w:ascii="Arial" w:cs="Arial" w:eastAsia="Arial" w:hAnsi="Arial"/>
                <w:sz w:val="8"/>
                <w:szCs w:val="8"/>
                <w:b w:val="1"/>
                <w:bCs w:val="1"/>
                <w:color w:val="auto"/>
              </w:rPr>
              <w:t>4</w:t>
            </w:r>
          </w:p>
        </w:tc>
        <w:tc>
          <w:tcPr>
            <w:tcW w:w="100" w:type="dxa"/>
            <w:vAlign w:val="bottom"/>
            <w:vMerge w:val="restart"/>
          </w:tcPr>
          <w:p>
            <w:pPr>
              <w:spacing w:after="0"/>
              <w:rPr>
                <w:sz w:val="5"/>
                <w:szCs w:val="5"/>
                <w:color w:val="auto"/>
              </w:rPr>
            </w:pPr>
          </w:p>
        </w:tc>
        <w:tc>
          <w:tcPr>
            <w:tcW w:w="102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Age (Months)</w:t>
            </w:r>
          </w:p>
        </w:tc>
        <w:tc>
          <w:tcPr>
            <w:tcW w:w="100" w:type="dxa"/>
            <w:vAlign w:val="bottom"/>
            <w:vMerge w:val="restart"/>
          </w:tcPr>
          <w:p>
            <w:pPr>
              <w:spacing w:after="0"/>
              <w:rPr>
                <w:sz w:val="5"/>
                <w:szCs w:val="5"/>
                <w:color w:val="auto"/>
              </w:rPr>
            </w:pPr>
          </w:p>
        </w:tc>
        <w:tc>
          <w:tcPr>
            <w:tcW w:w="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3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Cost</w:t>
            </w:r>
          </w:p>
        </w:tc>
        <w:tc>
          <w:tcPr>
            <w:tcW w:w="12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 xml:space="preserve">&amp; HARP </w:t>
            </w:r>
            <w:r>
              <w:rPr>
                <w:rFonts w:ascii="Arial" w:cs="Arial" w:eastAsia="Arial" w:hAnsi="Arial"/>
                <w:sz w:val="8"/>
                <w:szCs w:val="8"/>
                <w:b w:val="1"/>
                <w:bCs w:val="1"/>
                <w:color w:val="auto"/>
              </w:rPr>
              <w:t>1,2</w:t>
            </w:r>
          </w:p>
        </w:tc>
        <w:tc>
          <w:tcPr>
            <w:tcW w:w="2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Cost Basis</w:t>
            </w:r>
          </w:p>
        </w:tc>
        <w:tc>
          <w:tcPr>
            <w:tcW w:w="10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 xml:space="preserve">CPR </w:t>
            </w:r>
            <w:r>
              <w:rPr>
                <w:rFonts w:ascii="Arial" w:cs="Arial" w:eastAsia="Arial" w:hAnsi="Arial"/>
                <w:sz w:val="8"/>
                <w:szCs w:val="8"/>
                <w:b w:val="1"/>
                <w:bCs w:val="1"/>
                <w:color w:val="auto"/>
              </w:rPr>
              <w:t>4</w:t>
            </w:r>
          </w:p>
        </w:tc>
        <w:tc>
          <w:tcPr>
            <w:tcW w:w="0" w:type="dxa"/>
            <w:vAlign w:val="bottom"/>
          </w:tcPr>
          <w:p>
            <w:pPr>
              <w:spacing w:after="0"/>
              <w:rPr>
                <w:sz w:val="1"/>
                <w:szCs w:val="1"/>
                <w:color w:val="auto"/>
              </w:rPr>
            </w:pPr>
          </w:p>
        </w:tc>
      </w:tr>
      <w:tr>
        <w:trPr>
          <w:trHeight w:val="270"/>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Fixed rate</w:t>
            </w: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420" w:type="dxa"/>
            <w:vAlign w:val="bottom"/>
            <w:gridSpan w:val="2"/>
          </w:tcPr>
          <w:p>
            <w:pPr>
              <w:ind w:left="580"/>
              <w:spacing w:after="0"/>
              <w:rPr>
                <w:sz w:val="20"/>
                <w:szCs w:val="20"/>
                <w:color w:val="auto"/>
              </w:rPr>
            </w:pPr>
            <w:r>
              <w:rPr>
                <w:rFonts w:ascii="Arial" w:cs="Arial" w:eastAsia="Arial" w:hAnsi="Arial"/>
                <w:sz w:val="14"/>
                <w:szCs w:val="14"/>
                <w:color w:val="auto"/>
              </w:rPr>
              <w:t>≤ 15-year</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42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 2.5%</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4,162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4,238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4,221</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47%</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101.8%</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2.97%</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2.04%</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38</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8%</w:t>
            </w: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4,178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4,307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4,319</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73%</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103.1%</w:t>
            </w:r>
          </w:p>
        </w:tc>
        <w:tc>
          <w:tcPr>
            <w:tcW w:w="100" w:type="dxa"/>
            <w:vAlign w:val="bottom"/>
          </w:tcPr>
          <w:p>
            <w:pPr>
              <w:spacing w:after="0"/>
              <w:rPr>
                <w:sz w:val="22"/>
                <w:szCs w:val="22"/>
                <w:color w:val="auto"/>
              </w:rPr>
            </w:pPr>
          </w:p>
        </w:tc>
        <w:tc>
          <w:tcPr>
            <w:tcW w:w="680" w:type="dxa"/>
            <w:vAlign w:val="bottom"/>
          </w:tcPr>
          <w:p>
            <w:pPr>
              <w:ind w:left="160"/>
              <w:spacing w:after="0"/>
              <w:rPr>
                <w:sz w:val="20"/>
                <w:szCs w:val="20"/>
                <w:color w:val="auto"/>
              </w:rPr>
            </w:pPr>
            <w:r>
              <w:rPr>
                <w:rFonts w:ascii="Arial" w:cs="Arial" w:eastAsia="Arial" w:hAnsi="Arial"/>
                <w:sz w:val="14"/>
                <w:szCs w:val="14"/>
                <w:color w:val="auto"/>
              </w:rPr>
              <w:t>3.50%</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2.22%</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43</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8"/>
              </w:rPr>
              <w:t>9%</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4,332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4,489</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4,557</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88%</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103.6%</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3.95%</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2.53%</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51</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10%</w:t>
            </w: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3,439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3,591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3,662</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89%</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104.4%</w:t>
            </w:r>
          </w:p>
        </w:tc>
        <w:tc>
          <w:tcPr>
            <w:tcW w:w="100" w:type="dxa"/>
            <w:vAlign w:val="bottom"/>
          </w:tcPr>
          <w:p>
            <w:pPr>
              <w:spacing w:after="0"/>
              <w:rPr>
                <w:sz w:val="22"/>
                <w:szCs w:val="22"/>
                <w:color w:val="auto"/>
              </w:rPr>
            </w:pPr>
          </w:p>
        </w:tc>
        <w:tc>
          <w:tcPr>
            <w:tcW w:w="680" w:type="dxa"/>
            <w:vAlign w:val="bottom"/>
          </w:tcPr>
          <w:p>
            <w:pPr>
              <w:ind w:left="160"/>
              <w:spacing w:after="0"/>
              <w:rPr>
                <w:sz w:val="20"/>
                <w:szCs w:val="20"/>
                <w:color w:val="auto"/>
              </w:rPr>
            </w:pPr>
            <w:r>
              <w:rPr>
                <w:rFonts w:ascii="Arial" w:cs="Arial" w:eastAsia="Arial" w:hAnsi="Arial"/>
                <w:sz w:val="14"/>
                <w:szCs w:val="14"/>
                <w:color w:val="auto"/>
              </w:rPr>
              <w:t>4.40%</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2.71%</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60</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11%</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394</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98%</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104.9%</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4.87%</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3.04%</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64</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12%</w:t>
            </w:r>
          </w:p>
        </w:tc>
        <w:tc>
          <w:tcPr>
            <w:tcW w:w="0" w:type="dxa"/>
            <w:vAlign w:val="bottom"/>
          </w:tcPr>
          <w:p>
            <w:pPr>
              <w:spacing w:after="0"/>
              <w:rPr>
                <w:sz w:val="1"/>
                <w:szCs w:val="1"/>
                <w:color w:val="auto"/>
              </w:rPr>
            </w:pPr>
          </w:p>
        </w:tc>
      </w:tr>
      <w:tr>
        <w:trPr>
          <w:trHeight w:val="264"/>
        </w:trPr>
        <w:tc>
          <w:tcPr>
            <w:tcW w:w="2420" w:type="dxa"/>
            <w:vAlign w:val="bottom"/>
            <w:tcBorders>
              <w:bottom w:val="single" w:sz="8" w:color="CCEEFF"/>
            </w:tcBorders>
            <w:gridSpan w:val="2"/>
          </w:tcPr>
          <w:p>
            <w:pPr>
              <w:ind w:left="380"/>
              <w:spacing w:after="0"/>
              <w:rPr>
                <w:sz w:val="20"/>
                <w:szCs w:val="20"/>
                <w:color w:val="auto"/>
              </w:rPr>
            </w:pPr>
            <w:r>
              <w:rPr>
                <w:rFonts w:ascii="Arial" w:cs="Arial" w:eastAsia="Arial" w:hAnsi="Arial"/>
                <w:sz w:val="14"/>
                <w:szCs w:val="14"/>
                <w:color w:val="auto"/>
              </w:rPr>
              <w:t>≥ 5.0%</w:t>
            </w: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28%</w:t>
            </w:r>
          </w:p>
        </w:tc>
        <w:tc>
          <w:tcPr>
            <w:tcW w:w="2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103.8%</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6.51%</w:t>
            </w:r>
          </w:p>
        </w:tc>
        <w:tc>
          <w:tcPr>
            <w:tcW w:w="10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4.54%</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97</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13%</w:t>
            </w:r>
          </w:p>
        </w:tc>
        <w:tc>
          <w:tcPr>
            <w:tcW w:w="0" w:type="dxa"/>
            <w:vAlign w:val="bottom"/>
          </w:tcPr>
          <w:p>
            <w:pPr>
              <w:spacing w:after="0"/>
              <w:rPr>
                <w:sz w:val="1"/>
                <w:szCs w:val="1"/>
                <w:color w:val="auto"/>
              </w:rPr>
            </w:pPr>
          </w:p>
        </w:tc>
      </w:tr>
      <w:tr>
        <w:trPr>
          <w:trHeight w:val="256"/>
        </w:trPr>
        <w:tc>
          <w:tcPr>
            <w:tcW w:w="242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Total ≤ 15-year</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16,488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17,020</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17,158</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75%</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103.2%</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3.71%</w:t>
            </w: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2.38%</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48</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10%</w:t>
            </w:r>
          </w:p>
        </w:tc>
        <w:tc>
          <w:tcPr>
            <w:tcW w:w="0" w:type="dxa"/>
            <w:vAlign w:val="bottom"/>
          </w:tcPr>
          <w:p>
            <w:pPr>
              <w:spacing w:after="0"/>
              <w:rPr>
                <w:sz w:val="1"/>
                <w:szCs w:val="1"/>
                <w:color w:val="auto"/>
              </w:rPr>
            </w:pPr>
          </w:p>
        </w:tc>
      </w:tr>
      <w:tr>
        <w:trPr>
          <w:trHeight w:val="258"/>
        </w:trPr>
        <w:tc>
          <w:tcPr>
            <w:tcW w:w="2420" w:type="dxa"/>
            <w:vAlign w:val="bottom"/>
            <w:gridSpan w:val="2"/>
          </w:tcPr>
          <w:p>
            <w:pPr>
              <w:ind w:left="540"/>
              <w:spacing w:after="0"/>
              <w:rPr>
                <w:sz w:val="20"/>
                <w:szCs w:val="20"/>
                <w:color w:val="auto"/>
              </w:rPr>
            </w:pPr>
            <w:r>
              <w:rPr>
                <w:rFonts w:ascii="Arial" w:cs="Arial" w:eastAsia="Arial" w:hAnsi="Arial"/>
                <w:sz w:val="14"/>
                <w:szCs w:val="14"/>
                <w:color w:val="auto"/>
              </w:rPr>
              <w:t>20-year</w:t>
            </w:r>
          </w:p>
        </w:tc>
        <w:tc>
          <w:tcPr>
            <w:tcW w:w="10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42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 3.0%</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294</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28%</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5"/>
              </w:rPr>
              <w:t>99.3%</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3.55%</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3.11%</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31</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8%</w:t>
            </w: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600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613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628</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64%</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102.2%</w:t>
            </w:r>
          </w:p>
        </w:tc>
        <w:tc>
          <w:tcPr>
            <w:tcW w:w="100" w:type="dxa"/>
            <w:vAlign w:val="bottom"/>
          </w:tcPr>
          <w:p>
            <w:pPr>
              <w:spacing w:after="0"/>
              <w:rPr>
                <w:sz w:val="22"/>
                <w:szCs w:val="22"/>
                <w:color w:val="auto"/>
              </w:rPr>
            </w:pPr>
          </w:p>
        </w:tc>
        <w:tc>
          <w:tcPr>
            <w:tcW w:w="680" w:type="dxa"/>
            <w:vAlign w:val="bottom"/>
          </w:tcPr>
          <w:p>
            <w:pPr>
              <w:ind w:left="160"/>
              <w:spacing w:after="0"/>
              <w:rPr>
                <w:sz w:val="20"/>
                <w:szCs w:val="20"/>
                <w:color w:val="auto"/>
              </w:rPr>
            </w:pPr>
            <w:r>
              <w:rPr>
                <w:rFonts w:ascii="Arial" w:cs="Arial" w:eastAsia="Arial" w:hAnsi="Arial"/>
                <w:sz w:val="14"/>
                <w:szCs w:val="14"/>
                <w:color w:val="auto"/>
              </w:rPr>
              <w:t>4.05%</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3.04%</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33</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10%</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69</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70</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48%</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104.5%</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4.54%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2.97%</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52</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11%</w:t>
            </w: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84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90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92</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99%</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106.7%</w:t>
            </w:r>
          </w:p>
        </w:tc>
        <w:tc>
          <w:tcPr>
            <w:tcW w:w="100" w:type="dxa"/>
            <w:vAlign w:val="bottom"/>
          </w:tcPr>
          <w:p>
            <w:pPr>
              <w:spacing w:after="0"/>
              <w:rPr>
                <w:sz w:val="22"/>
                <w:szCs w:val="22"/>
                <w:color w:val="auto"/>
              </w:rPr>
            </w:pPr>
          </w:p>
        </w:tc>
        <w:tc>
          <w:tcPr>
            <w:tcW w:w="680" w:type="dxa"/>
            <w:vAlign w:val="bottom"/>
          </w:tcPr>
          <w:p>
            <w:pPr>
              <w:ind w:left="160"/>
              <w:spacing w:after="0"/>
              <w:rPr>
                <w:sz w:val="20"/>
                <w:szCs w:val="20"/>
                <w:color w:val="auto"/>
              </w:rPr>
            </w:pPr>
            <w:r>
              <w:rPr>
                <w:rFonts w:ascii="Arial" w:cs="Arial" w:eastAsia="Arial" w:hAnsi="Arial"/>
                <w:sz w:val="14"/>
                <w:szCs w:val="14"/>
                <w:color w:val="auto"/>
              </w:rPr>
              <w:t>4.90%</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3.03%</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61</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10%</w:t>
            </w:r>
          </w:p>
        </w:tc>
        <w:tc>
          <w:tcPr>
            <w:tcW w:w="0" w:type="dxa"/>
            <w:vAlign w:val="bottom"/>
          </w:tcPr>
          <w:p>
            <w:pPr>
              <w:spacing w:after="0"/>
              <w:rPr>
                <w:sz w:val="1"/>
                <w:szCs w:val="1"/>
                <w:color w:val="auto"/>
              </w:rPr>
            </w:pPr>
          </w:p>
        </w:tc>
      </w:tr>
      <w:tr>
        <w:trPr>
          <w:trHeight w:val="270"/>
        </w:trPr>
        <w:tc>
          <w:tcPr>
            <w:tcW w:w="242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 5.0%</w:t>
            </w:r>
          </w:p>
        </w:tc>
        <w:tc>
          <w:tcPr>
            <w:tcW w:w="1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8"/>
              </w:rPr>
              <w:t>—%</w:t>
            </w:r>
          </w:p>
        </w:tc>
        <w:tc>
          <w:tcPr>
            <w:tcW w:w="22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6"/>
              </w:rPr>
              <w:t>106.1%</w:t>
            </w:r>
          </w:p>
        </w:tc>
        <w:tc>
          <w:tcPr>
            <w:tcW w:w="100" w:type="dxa"/>
            <w:vAlign w:val="bottom"/>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4"/>
                <w:szCs w:val="14"/>
                <w:color w:val="auto"/>
              </w:rPr>
              <w:t>5.92%</w:t>
            </w:r>
          </w:p>
        </w:tc>
        <w:tc>
          <w:tcPr>
            <w:tcW w:w="100" w:type="dxa"/>
            <w:vAlign w:val="bottom"/>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4"/>
                <w:szCs w:val="14"/>
                <w:color w:val="auto"/>
              </w:rPr>
              <w:t>3.35%</w:t>
            </w:r>
          </w:p>
        </w:tc>
        <w:tc>
          <w:tcPr>
            <w:tcW w:w="10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9"/>
              </w:rPr>
              <w:t>92</w:t>
            </w:r>
          </w:p>
        </w:tc>
        <w:tc>
          <w:tcPr>
            <w:tcW w:w="10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18%</w:t>
            </w:r>
          </w:p>
        </w:tc>
        <w:tc>
          <w:tcPr>
            <w:tcW w:w="0" w:type="dxa"/>
            <w:vAlign w:val="bottom"/>
          </w:tcPr>
          <w:p>
            <w:pPr>
              <w:spacing w:after="0"/>
              <w:rPr>
                <w:sz w:val="1"/>
                <w:szCs w:val="1"/>
                <w:color w:val="auto"/>
              </w:rPr>
            </w:pPr>
          </w:p>
        </w:tc>
      </w:tr>
      <w:tr>
        <w:trPr>
          <w:trHeight w:val="250"/>
        </w:trPr>
        <w:tc>
          <w:tcPr>
            <w:tcW w:w="2420" w:type="dxa"/>
            <w:vAlign w:val="bottom"/>
            <w:gridSpan w:val="2"/>
          </w:tcPr>
          <w:p>
            <w:pPr>
              <w:ind w:left="540"/>
              <w:spacing w:after="0"/>
              <w:rPr>
                <w:sz w:val="20"/>
                <w:szCs w:val="20"/>
                <w:color w:val="auto"/>
              </w:rPr>
            </w:pPr>
            <w:r>
              <w:rPr>
                <w:rFonts w:ascii="Arial" w:cs="Arial" w:eastAsia="Arial" w:hAnsi="Arial"/>
                <w:sz w:val="14"/>
                <w:szCs w:val="14"/>
                <w:color w:val="auto"/>
              </w:rPr>
              <w:t>Total 20-year:</w:t>
            </w:r>
          </w:p>
        </w:tc>
        <w:tc>
          <w:tcPr>
            <w:tcW w:w="100" w:type="dxa"/>
            <w:vAlign w:val="bottom"/>
          </w:tcPr>
          <w:p>
            <w:pPr>
              <w:spacing w:after="0"/>
              <w:rPr>
                <w:sz w:val="21"/>
                <w:szCs w:val="21"/>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1,041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1,061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1,088</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56%</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101.9%</w:t>
            </w:r>
          </w:p>
        </w:tc>
        <w:tc>
          <w:tcPr>
            <w:tcW w:w="100" w:type="dxa"/>
            <w:vAlign w:val="bottom"/>
          </w:tcPr>
          <w:p>
            <w:pPr>
              <w:spacing w:after="0"/>
              <w:rPr>
                <w:sz w:val="21"/>
                <w:szCs w:val="21"/>
                <w:color w:val="auto"/>
              </w:rPr>
            </w:pPr>
          </w:p>
        </w:tc>
        <w:tc>
          <w:tcPr>
            <w:tcW w:w="680" w:type="dxa"/>
            <w:vAlign w:val="bottom"/>
          </w:tcPr>
          <w:p>
            <w:pPr>
              <w:ind w:left="160"/>
              <w:spacing w:after="0"/>
              <w:rPr>
                <w:sz w:val="20"/>
                <w:szCs w:val="20"/>
                <w:color w:val="auto"/>
              </w:rPr>
            </w:pPr>
            <w:r>
              <w:rPr>
                <w:rFonts w:ascii="Arial" w:cs="Arial" w:eastAsia="Arial" w:hAnsi="Arial"/>
                <w:sz w:val="14"/>
                <w:szCs w:val="14"/>
                <w:color w:val="auto"/>
              </w:rPr>
              <w:t>4.03%</w:t>
            </w:r>
          </w:p>
        </w:tc>
        <w:tc>
          <w:tcPr>
            <w:tcW w:w="100" w:type="dxa"/>
            <w:vAlign w:val="bottom"/>
          </w:tcPr>
          <w:p>
            <w:pPr>
              <w:spacing w:after="0"/>
              <w:rPr>
                <w:sz w:val="21"/>
                <w:szCs w:val="21"/>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3.06%</w:t>
            </w:r>
          </w:p>
        </w:tc>
        <w:tc>
          <w:tcPr>
            <w:tcW w:w="10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37</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8"/>
              </w:rPr>
              <w:t>9%</w:t>
            </w:r>
          </w:p>
        </w:tc>
        <w:tc>
          <w:tcPr>
            <w:tcW w:w="0" w:type="dxa"/>
            <w:vAlign w:val="bottom"/>
          </w:tcPr>
          <w:p>
            <w:pPr>
              <w:spacing w:after="0"/>
              <w:rPr>
                <w:sz w:val="1"/>
                <w:szCs w:val="1"/>
                <w:color w:val="auto"/>
              </w:rPr>
            </w:pPr>
          </w:p>
        </w:tc>
      </w:tr>
      <w:tr>
        <w:trPr>
          <w:trHeight w:val="270"/>
        </w:trPr>
        <w:tc>
          <w:tcPr>
            <w:tcW w:w="2420" w:type="dxa"/>
            <w:vAlign w:val="bottom"/>
            <w:tcBorders>
              <w:top w:val="single" w:sz="8" w:color="CCEEFF"/>
            </w:tcBorders>
            <w:gridSpan w:val="2"/>
            <w:shd w:val="clear" w:color="auto" w:fill="CCEEFF"/>
          </w:tcPr>
          <w:p>
            <w:pPr>
              <w:ind w:left="540"/>
              <w:spacing w:after="0"/>
              <w:rPr>
                <w:sz w:val="20"/>
                <w:szCs w:val="20"/>
                <w:color w:val="auto"/>
              </w:rPr>
            </w:pPr>
            <w:r>
              <w:rPr>
                <w:rFonts w:ascii="Arial" w:cs="Arial" w:eastAsia="Arial" w:hAnsi="Arial"/>
                <w:sz w:val="14"/>
                <w:szCs w:val="14"/>
                <w:color w:val="auto"/>
              </w:rPr>
              <w:t>30-year:</w:t>
            </w:r>
          </w:p>
        </w:tc>
        <w:tc>
          <w:tcPr>
            <w:tcW w:w="100" w:type="dxa"/>
            <w:vAlign w:val="bottom"/>
            <w:tcBorders>
              <w:top w:val="single" w:sz="8" w:color="auto"/>
            </w:tcBorders>
            <w:shd w:val="clear" w:color="auto" w:fill="CCEEFF"/>
          </w:tcPr>
          <w:p>
            <w:pPr>
              <w:spacing w:after="0"/>
              <w:rPr>
                <w:sz w:val="23"/>
                <w:szCs w:val="23"/>
                <w:color w:val="auto"/>
              </w:rPr>
            </w:pPr>
          </w:p>
        </w:tc>
        <w:tc>
          <w:tcPr>
            <w:tcW w:w="7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6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220" w:type="dxa"/>
            <w:vAlign w:val="bottom"/>
            <w:tcBorders>
              <w:top w:val="single" w:sz="8" w:color="CCEEFF"/>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6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8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420" w:type="dxa"/>
            <w:vAlign w:val="bottom"/>
            <w:gridSpan w:val="2"/>
          </w:tcPr>
          <w:p>
            <w:pPr>
              <w:ind w:left="420"/>
              <w:spacing w:after="0"/>
              <w:rPr>
                <w:sz w:val="20"/>
                <w:szCs w:val="20"/>
                <w:color w:val="auto"/>
              </w:rPr>
            </w:pPr>
            <w:r>
              <w:rPr>
                <w:rFonts w:ascii="Arial" w:cs="Arial" w:eastAsia="Arial" w:hAnsi="Arial"/>
                <w:sz w:val="14"/>
                <w:szCs w:val="14"/>
                <w:color w:val="auto"/>
              </w:rPr>
              <w:t>≤ 3.0%</w:t>
            </w: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6,837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6,852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6,845</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8"/>
              </w:rPr>
              <w:t>2%</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100.6%</w:t>
            </w:r>
          </w:p>
        </w:tc>
        <w:tc>
          <w:tcPr>
            <w:tcW w:w="100" w:type="dxa"/>
            <w:vAlign w:val="bottom"/>
          </w:tcPr>
          <w:p>
            <w:pPr>
              <w:spacing w:after="0"/>
              <w:rPr>
                <w:sz w:val="22"/>
                <w:szCs w:val="22"/>
                <w:color w:val="auto"/>
              </w:rPr>
            </w:pPr>
          </w:p>
        </w:tc>
        <w:tc>
          <w:tcPr>
            <w:tcW w:w="680" w:type="dxa"/>
            <w:vAlign w:val="bottom"/>
          </w:tcPr>
          <w:p>
            <w:pPr>
              <w:ind w:left="160"/>
              <w:spacing w:after="0"/>
              <w:rPr>
                <w:sz w:val="20"/>
                <w:szCs w:val="20"/>
                <w:color w:val="auto"/>
              </w:rPr>
            </w:pPr>
            <w:r>
              <w:rPr>
                <w:rFonts w:ascii="Arial" w:cs="Arial" w:eastAsia="Arial" w:hAnsi="Arial"/>
                <w:sz w:val="14"/>
                <w:szCs w:val="14"/>
                <w:color w:val="auto"/>
              </w:rPr>
              <w:t>3.59%</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2.92%</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31</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8"/>
              </w:rPr>
              <w:t>6%</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16,627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17,383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17,188</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51%</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104.7%</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4.09%</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2.84%</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26</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7%</w:t>
            </w: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12,888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13,733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13,687</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57%</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106.7%</w:t>
            </w:r>
          </w:p>
        </w:tc>
        <w:tc>
          <w:tcPr>
            <w:tcW w:w="100" w:type="dxa"/>
            <w:vAlign w:val="bottom"/>
          </w:tcPr>
          <w:p>
            <w:pPr>
              <w:spacing w:after="0"/>
              <w:rPr>
                <w:sz w:val="22"/>
                <w:szCs w:val="22"/>
                <w:color w:val="auto"/>
              </w:rPr>
            </w:pPr>
          </w:p>
        </w:tc>
        <w:tc>
          <w:tcPr>
            <w:tcW w:w="680" w:type="dxa"/>
            <w:vAlign w:val="bottom"/>
          </w:tcPr>
          <w:p>
            <w:pPr>
              <w:ind w:left="160"/>
              <w:spacing w:after="0"/>
              <w:rPr>
                <w:sz w:val="20"/>
                <w:szCs w:val="20"/>
                <w:color w:val="auto"/>
              </w:rPr>
            </w:pPr>
            <w:r>
              <w:rPr>
                <w:rFonts w:ascii="Arial" w:cs="Arial" w:eastAsia="Arial" w:hAnsi="Arial"/>
                <w:sz w:val="14"/>
                <w:szCs w:val="14"/>
                <w:color w:val="auto"/>
              </w:rPr>
              <w:t>4.54%</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2.99%</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29</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8"/>
              </w:rPr>
              <w:t>8%</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1,524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1,629</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1,664</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87%</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106.8%</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4.96%</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3.39%</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55</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9%</w:t>
            </w: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148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158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163</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66%</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106.4%</w:t>
            </w:r>
          </w:p>
        </w:tc>
        <w:tc>
          <w:tcPr>
            <w:tcW w:w="100" w:type="dxa"/>
            <w:vAlign w:val="bottom"/>
          </w:tcPr>
          <w:p>
            <w:pPr>
              <w:spacing w:after="0"/>
              <w:rPr>
                <w:sz w:val="22"/>
                <w:szCs w:val="22"/>
                <w:color w:val="auto"/>
              </w:rPr>
            </w:pPr>
          </w:p>
        </w:tc>
        <w:tc>
          <w:tcPr>
            <w:tcW w:w="680" w:type="dxa"/>
            <w:vAlign w:val="bottom"/>
          </w:tcPr>
          <w:p>
            <w:pPr>
              <w:ind w:left="160"/>
              <w:spacing w:after="0"/>
              <w:rPr>
                <w:sz w:val="20"/>
                <w:szCs w:val="20"/>
                <w:color w:val="auto"/>
              </w:rPr>
            </w:pPr>
            <w:r>
              <w:rPr>
                <w:rFonts w:ascii="Arial" w:cs="Arial" w:eastAsia="Arial" w:hAnsi="Arial"/>
                <w:sz w:val="14"/>
                <w:szCs w:val="14"/>
                <w:color w:val="auto"/>
              </w:rPr>
              <w:t>5.45%</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3.74%</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92</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11%</w:t>
            </w:r>
          </w:p>
        </w:tc>
        <w:tc>
          <w:tcPr>
            <w:tcW w:w="0" w:type="dxa"/>
            <w:vAlign w:val="bottom"/>
          </w:tcPr>
          <w:p>
            <w:pPr>
              <w:spacing w:after="0"/>
              <w:rPr>
                <w:sz w:val="1"/>
                <w:szCs w:val="1"/>
                <w:color w:val="auto"/>
              </w:rPr>
            </w:pPr>
          </w:p>
        </w:tc>
      </w:tr>
      <w:tr>
        <w:trPr>
          <w:trHeight w:val="270"/>
        </w:trPr>
        <w:tc>
          <w:tcPr>
            <w:tcW w:w="242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 5.5%</w:t>
            </w:r>
          </w:p>
        </w:tc>
        <w:tc>
          <w:tcPr>
            <w:tcW w:w="1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155</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170</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173</w:t>
            </w:r>
          </w:p>
        </w:tc>
        <w:tc>
          <w:tcPr>
            <w:tcW w:w="10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38%</w:t>
            </w:r>
          </w:p>
        </w:tc>
        <w:tc>
          <w:tcPr>
            <w:tcW w:w="22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6"/>
              </w:rPr>
              <w:t>109.5%</w:t>
            </w:r>
          </w:p>
        </w:tc>
        <w:tc>
          <w:tcPr>
            <w:tcW w:w="100" w:type="dxa"/>
            <w:vAlign w:val="bottom"/>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4"/>
                <w:szCs w:val="14"/>
                <w:color w:val="auto"/>
              </w:rPr>
              <w:t>6.20%</w:t>
            </w:r>
          </w:p>
        </w:tc>
        <w:tc>
          <w:tcPr>
            <w:tcW w:w="100" w:type="dxa"/>
            <w:vAlign w:val="bottom"/>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4"/>
                <w:szCs w:val="14"/>
                <w:color w:val="auto"/>
              </w:rPr>
              <w:t>3.40%</w:t>
            </w:r>
          </w:p>
        </w:tc>
        <w:tc>
          <w:tcPr>
            <w:tcW w:w="10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4"/>
              </w:rPr>
              <w:t>109</w:t>
            </w:r>
          </w:p>
        </w:tc>
        <w:tc>
          <w:tcPr>
            <w:tcW w:w="10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16%</w:t>
            </w:r>
          </w:p>
        </w:tc>
        <w:tc>
          <w:tcPr>
            <w:tcW w:w="0" w:type="dxa"/>
            <w:vAlign w:val="bottom"/>
          </w:tcPr>
          <w:p>
            <w:pPr>
              <w:spacing w:after="0"/>
              <w:rPr>
                <w:sz w:val="1"/>
                <w:szCs w:val="1"/>
                <w:color w:val="auto"/>
              </w:rPr>
            </w:pPr>
          </w:p>
        </w:tc>
      </w:tr>
      <w:tr>
        <w:trPr>
          <w:trHeight w:val="250"/>
        </w:trPr>
        <w:tc>
          <w:tcPr>
            <w:tcW w:w="2420" w:type="dxa"/>
            <w:vAlign w:val="bottom"/>
            <w:tcBorders>
              <w:bottom w:val="single" w:sz="8" w:color="CCEEFF"/>
            </w:tcBorders>
            <w:gridSpan w:val="2"/>
          </w:tcPr>
          <w:p>
            <w:pPr>
              <w:ind w:left="540"/>
              <w:spacing w:after="0"/>
              <w:rPr>
                <w:sz w:val="20"/>
                <w:szCs w:val="20"/>
                <w:color w:val="auto"/>
              </w:rPr>
            </w:pPr>
            <w:r>
              <w:rPr>
                <w:rFonts w:ascii="Arial" w:cs="Arial" w:eastAsia="Arial" w:hAnsi="Arial"/>
                <w:sz w:val="14"/>
                <w:szCs w:val="14"/>
                <w:color w:val="auto"/>
              </w:rPr>
              <w:t>Total 30-year</w:t>
            </w:r>
          </w:p>
        </w:tc>
        <w:tc>
          <w:tcPr>
            <w:tcW w:w="1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38,179</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39,925</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39,720</w:t>
            </w:r>
          </w:p>
        </w:tc>
        <w:tc>
          <w:tcPr>
            <w:tcW w:w="10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46%</w:t>
            </w:r>
          </w:p>
        </w:tc>
        <w:tc>
          <w:tcPr>
            <w:tcW w:w="22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105.2%</w:t>
            </w:r>
          </w:p>
        </w:tc>
        <w:tc>
          <w:tcPr>
            <w:tcW w:w="100" w:type="dxa"/>
            <w:vAlign w:val="bottom"/>
            <w:tcBorders>
              <w:bottom w:val="single" w:sz="8" w:color="CCEEFF"/>
            </w:tcBorders>
          </w:tcPr>
          <w:p>
            <w:pPr>
              <w:spacing w:after="0"/>
              <w:rPr>
                <w:sz w:val="21"/>
                <w:szCs w:val="21"/>
                <w:color w:val="auto"/>
              </w:rPr>
            </w:pPr>
          </w:p>
        </w:tc>
        <w:tc>
          <w:tcPr>
            <w:tcW w:w="68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4.27%</w:t>
            </w:r>
          </w:p>
        </w:tc>
        <w:tc>
          <w:tcPr>
            <w:tcW w:w="100" w:type="dxa"/>
            <w:vAlign w:val="bottom"/>
            <w:tcBorders>
              <w:bottom w:val="single" w:sz="8" w:color="CCEEFF"/>
            </w:tcBorders>
          </w:tcPr>
          <w:p>
            <w:pPr>
              <w:spacing w:after="0"/>
              <w:rPr>
                <w:sz w:val="21"/>
                <w:szCs w:val="21"/>
                <w:color w:val="auto"/>
              </w:rPr>
            </w:pPr>
          </w:p>
        </w:tc>
        <w:tc>
          <w:tcPr>
            <w:tcW w:w="80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2.93%</w:t>
            </w:r>
          </w:p>
        </w:tc>
        <w:tc>
          <w:tcPr>
            <w:tcW w:w="10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30</w:t>
            </w:r>
          </w:p>
        </w:tc>
        <w:tc>
          <w:tcPr>
            <w:tcW w:w="10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8"/>
              </w:rPr>
              <w:t>8%</w:t>
            </w:r>
          </w:p>
        </w:tc>
        <w:tc>
          <w:tcPr>
            <w:tcW w:w="0" w:type="dxa"/>
            <w:vAlign w:val="bottom"/>
          </w:tcPr>
          <w:p>
            <w:pPr>
              <w:spacing w:after="0"/>
              <w:rPr>
                <w:sz w:val="1"/>
                <w:szCs w:val="1"/>
                <w:color w:val="auto"/>
              </w:rPr>
            </w:pPr>
          </w:p>
        </w:tc>
      </w:tr>
      <w:tr>
        <w:trPr>
          <w:trHeight w:val="24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Total fixed rate</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55,708</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58,006</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57,966</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55%</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104.5%</w:t>
            </w: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4.08%</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2.75%</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36</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8%</w:t>
            </w: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w:t>
            </w: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30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980" w:hanging="648"/>
        <w:spacing w:after="0" w:line="241" w:lineRule="auto"/>
        <w:tabs>
          <w:tab w:leader="none" w:pos="656" w:val="left"/>
        </w:tabs>
        <w:numPr>
          <w:ilvl w:val="0"/>
          <w:numId w:val="24"/>
        </w:numPr>
        <w:rPr>
          <w:rFonts w:ascii="Arial" w:cs="Arial" w:eastAsia="Arial" w:hAnsi="Arial"/>
          <w:sz w:val="14"/>
          <w:szCs w:val="14"/>
          <w:color w:val="auto"/>
        </w:rPr>
      </w:pPr>
      <w:r>
        <w:rPr>
          <w:rFonts w:ascii="Arial" w:cs="Arial" w:eastAsia="Arial" w:hAnsi="Arial"/>
          <w:sz w:val="14"/>
          <w:szCs w:val="14"/>
          <w:color w:val="auto"/>
        </w:rPr>
        <w:t>Lower loan balance securities represent pools backed by an original loan balance of ≤ $150,000. Our lower loan balance securities had a weighted average original loan balance of $97,000 and $98,000 for 15-year and 30-year securities, respectively, as of December 31, 2015.</w:t>
      </w:r>
    </w:p>
    <w:p>
      <w:pPr>
        <w:ind w:left="980" w:hanging="648"/>
        <w:spacing w:after="0" w:line="241" w:lineRule="auto"/>
        <w:tabs>
          <w:tab w:leader="none" w:pos="656" w:val="left"/>
        </w:tabs>
        <w:numPr>
          <w:ilvl w:val="0"/>
          <w:numId w:val="24"/>
        </w:numPr>
        <w:rPr>
          <w:rFonts w:ascii="Arial" w:cs="Arial" w:eastAsia="Arial" w:hAnsi="Arial"/>
          <w:sz w:val="14"/>
          <w:szCs w:val="14"/>
          <w:color w:val="auto"/>
        </w:rPr>
      </w:pPr>
      <w:r>
        <w:rPr>
          <w:rFonts w:ascii="Arial" w:cs="Arial" w:eastAsia="Arial" w:hAnsi="Arial"/>
          <w:sz w:val="14"/>
          <w:szCs w:val="14"/>
          <w:color w:val="auto"/>
        </w:rPr>
        <w:t>HARP securities are defined as pools backed by 100% refinance loans with LTVs ≥ 80%. Our HARP securities had a weighted average LTV of 110% and 127% for 15-year and 30-year securities, respectively, as of December 31, 2015. Includes $0.9 billion and $4.0 billion of 15-year and 30-year securities, respectively, with &gt;105 LTV pools which are not deliverable into TBA securities.</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WAC represents the weighted average coupon of the underlying collateral.</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Portfolio yield incorporates a projected life CPR assumption based on forward rate assumptions as of December 31, 2015.</w:t>
      </w:r>
    </w:p>
    <w:p>
      <w:pPr>
        <w:spacing w:after="0" w:line="15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of June 30, 2016 and December 31, 2015, the combined weighted average yield of our MBS portfolio, inclusive of interest and principal-only securities and AAA non-agency securities, was 2.68% and 2.78%, respectively.</w:t>
      </w:r>
    </w:p>
    <w:p>
      <w:pPr>
        <w:spacing w:after="0" w:line="11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Our pass-through agency MBS collateralized by adjustable rate mortgage loans, or ARMs, have coupons linked to various indices. As of June 30, 2016 and December 31, 2015, our ARM securities had a weighted average next reset date of 42 months and 46 months, respectively.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22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addition to the results presented in accordance with GAAP, our results of operations discussed below include certain non-GAAP financial information, including "adjusted net interest expense," "net spread and dollar roll income," "net spread and dollar roll income, excluding 'catch-up' premium amortization," "estimated taxable income" and the related per common share measures and certain financial metrics derived from such non-GAAP information, such as "cost of funds" and "net interest rate spread."</w:t>
      </w:r>
    </w:p>
    <w:p>
      <w:pPr>
        <w:spacing w:after="0" w:line="18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"Adjusted net interest expense" is measured as interest expense (GAAP measure) adjusted to include other interest rate swap periodic costs. "Net spread and dollar roll income" is measured as (i) net interest income (GAAP measure) adjusted to include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968" w:right="239" w:bottom="1440" w:gutter="0" w:footer="0" w:header="0"/>
        </w:sectPr>
      </w:pPr>
    </w:p>
    <w:bookmarkStart w:id="36" w:name="page37"/>
    <w:bookmarkEnd w:id="36"/>
    <w:p>
      <w:pPr>
        <w:jc w:val="both"/>
        <w:spacing w:after="0" w:line="259" w:lineRule="auto"/>
        <w:rPr>
          <w:sz w:val="20"/>
          <w:szCs w:val="20"/>
          <w:color w:val="auto"/>
        </w:rPr>
      </w:pPr>
      <w:r>
        <w:rPr>
          <w:rFonts w:ascii="Arial" w:cs="Arial" w:eastAsia="Arial" w:hAnsi="Arial"/>
          <w:sz w:val="18"/>
          <w:szCs w:val="18"/>
          <w:color w:val="auto"/>
        </w:rPr>
        <w:t>other interest rate swap periodic costs, TBA dollar roll income and dividends on REIT equity securities (referred to as "adjusted net interest and dollar roll income") less (ii) total operating expenses (GAAP measure) adjusted to exclude non-recurring transaction costs (referred to as "adjusted operating expenses"). "Net spread and dollar roll income, excluding 'catch-up' premium amortization," further excludes retrospective "catch-up" adjustments to premium amortization cost or benefit due to changes in projected CPR estimates.</w:t>
      </w:r>
    </w:p>
    <w:p>
      <w:pPr>
        <w:spacing w:after="0" w:line="18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By providing such measures, in addition to the related GAAP measures, we believe we give greater transparency into the information used by our management in its financial and operational decision-making. We also believe it is important for users of our financial information to consider information related to our current financial performance without the effects of certain measures that are not necessarily indicative of our current investment portfolio performance and operations.</w:t>
      </w:r>
    </w:p>
    <w:p>
      <w:pPr>
        <w:spacing w:after="0" w:line="187"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Specifically, in the case of "adjusted net interest and dollar roll income," we believe the inclusion of TBA dollar roll income is meaningful as TBAs, which are accounted for under GAAP as derivative instruments with gains and losses recognized in other gain (loss) in our statement of operations, are economically equivalent to holding and financing generic agency MBS using short-term repurchase agreements. Similarly, we believe that the inclusion of periodic interest rate swap settlements in such measure and in "adjusted net interest expense," which are recognized under GAAP in other gain (loss), is meaningful as interest rate swaps are the primary instrument we use to economically hedge against fluctuations in our borrowing costs and inclusion of all periodic interest rate swap settlement costs is more indicative of our total cost of funds than interest expense alone. In the case of "net spread and dollar roll income, excluding 'catch-up' premium amortization," we believe the exclusion of "catch-up" adjustments to premium amortization cost or benefit is meaningful as it excludes the cumulative effect from prior reporting periods due to current changes in future prepayment expectations and, therefore, exclusion of such cost or benefit is more indicative of the current earnings potential of our investment portfolio. We also believe the exclusion of non-recurring transactions costs reported in general, administrative and other expense under GAAP is meaningful as they represent non-recurring transaction costs associated with our acquisition of ACMM and are not representative of ongoing operating costs. In the case of estimated taxable income, we believe it is meaningful information as it is directly related to the amount of dividends we are required to distribute in order to maintain our REIT qualification status.</w:t>
      </w:r>
    </w:p>
    <w:p>
      <w:pPr>
        <w:spacing w:after="0" w:line="16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However, because such measures are incomplete measures of our financial performance and involve differences from results computed in accordance with GAAP, they should be considered as supplementary to, and not as a substitute for, results computed in accordance with GAAP. In addition, because not all companies use identical calculations, our presentation of such non-GAAP measures may not be comparable to other similarly-titled measures of other companies. Furthermore, estimated taxable income can include certain information that is subject to potential adjustments up to the time of filing our income tax returns, which occurs after the end of our fiscal year.</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Selected Financial Data</w:t>
      </w:r>
    </w:p>
    <w:p>
      <w:pPr>
        <w:spacing w:after="0" w:line="218"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following selected financial data is derived from our interim consolidated financial statements and the notes thereto. The tables below present our condensed consolidated balance sheets as of June 30, 2016 and December 31, 2015 and our condensed consolidated statements of comprehensive income and key statistics for the three and six months ended June 30, 2016 and 2015 (in millions, except per share amounts):</w:t>
      </w:r>
    </w:p>
    <w:p>
      <w:pPr>
        <w:spacing w:after="0" w:line="274"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 in millions, except per share amounts)</w:t>
      </w:r>
    </w:p>
    <w:p>
      <w:pPr>
        <w:spacing w:after="0" w:line="51"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758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Balance Sheet Data</w:t>
            </w:r>
          </w:p>
        </w:tc>
        <w:tc>
          <w:tcPr>
            <w:tcW w:w="10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vMerge w:val="restart"/>
          </w:tcPr>
          <w:p>
            <w:pPr>
              <w:jc w:val="center"/>
              <w:ind w:right="21"/>
              <w:spacing w:after="0"/>
              <w:rPr>
                <w:sz w:val="20"/>
                <w:szCs w:val="20"/>
                <w:color w:val="auto"/>
              </w:rPr>
            </w:pPr>
            <w:r>
              <w:rPr>
                <w:rFonts w:ascii="Arial" w:cs="Arial" w:eastAsia="Arial" w:hAnsi="Arial"/>
                <w:sz w:val="14"/>
                <w:szCs w:val="14"/>
                <w:b w:val="1"/>
                <w:bCs w:val="1"/>
                <w:color w:val="auto"/>
                <w:w w:val="92"/>
              </w:rPr>
              <w:t>June 30, 2016</w:t>
            </w:r>
          </w:p>
        </w:tc>
        <w:tc>
          <w:tcPr>
            <w:tcW w:w="12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ind w:right="101"/>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92"/>
        </w:trPr>
        <w:tc>
          <w:tcPr>
            <w:tcW w:w="75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64"/>
        </w:trPr>
        <w:tc>
          <w:tcPr>
            <w:tcW w:w="7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(unaudited)</w:t>
            </w: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Investment portfolio, at fair value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54,470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52,473</w:t>
            </w:r>
          </w:p>
        </w:tc>
        <w:tc>
          <w:tcPr>
            <w:tcW w:w="0" w:type="dxa"/>
            <w:vAlign w:val="bottom"/>
          </w:tcPr>
          <w:p>
            <w:pPr>
              <w:spacing w:after="0"/>
              <w:rPr>
                <w:sz w:val="1"/>
                <w:szCs w:val="1"/>
                <w:color w:val="auto"/>
              </w:rPr>
            </w:pPr>
          </w:p>
        </w:tc>
      </w:tr>
      <w:tr>
        <w:trPr>
          <w:trHeight w:val="237"/>
        </w:trPr>
        <w:tc>
          <w:tcPr>
            <w:tcW w:w="7680" w:type="dxa"/>
            <w:vAlign w:val="bottom"/>
            <w:gridSpan w:val="2"/>
          </w:tcPr>
          <w:p>
            <w:pPr>
              <w:ind w:left="40"/>
              <w:spacing w:after="0"/>
              <w:rPr>
                <w:sz w:val="20"/>
                <w:szCs w:val="20"/>
                <w:color w:val="auto"/>
              </w:rPr>
            </w:pPr>
            <w:r>
              <w:rPr>
                <w:rFonts w:ascii="Arial" w:cs="Arial" w:eastAsia="Arial" w:hAnsi="Arial"/>
                <w:sz w:val="16"/>
                <w:szCs w:val="16"/>
                <w:color w:val="auto"/>
              </w:rPr>
              <w:t>Total assets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60,475</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57,021</w:t>
            </w:r>
          </w:p>
        </w:tc>
        <w:tc>
          <w:tcPr>
            <w:tcW w:w="0" w:type="dxa"/>
            <w:vAlign w:val="bottom"/>
          </w:tcPr>
          <w:p>
            <w:pPr>
              <w:spacing w:after="0"/>
              <w:rPr>
                <w:sz w:val="1"/>
                <w:szCs w:val="1"/>
                <w:color w:val="auto"/>
              </w:rPr>
            </w:pPr>
          </w:p>
        </w:tc>
      </w:tr>
      <w:tr>
        <w:trPr>
          <w:trHeight w:val="33"/>
        </w:trPr>
        <w:tc>
          <w:tcPr>
            <w:tcW w:w="7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Repurchase agreements, Federal Home Loan Bank advances and other debt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45,512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46,102</w:t>
            </w:r>
          </w:p>
        </w:tc>
        <w:tc>
          <w:tcPr>
            <w:tcW w:w="0" w:type="dxa"/>
            <w:vAlign w:val="bottom"/>
          </w:tcPr>
          <w:p>
            <w:pPr>
              <w:spacing w:after="0"/>
              <w:rPr>
                <w:sz w:val="1"/>
                <w:szCs w:val="1"/>
                <w:color w:val="auto"/>
              </w:rPr>
            </w:pPr>
          </w:p>
        </w:tc>
      </w:tr>
      <w:tr>
        <w:trPr>
          <w:trHeight w:val="237"/>
        </w:trPr>
        <w:tc>
          <w:tcPr>
            <w:tcW w:w="7680" w:type="dxa"/>
            <w:vAlign w:val="bottom"/>
            <w:gridSpan w:val="2"/>
          </w:tcPr>
          <w:p>
            <w:pPr>
              <w:ind w:left="40"/>
              <w:spacing w:after="0"/>
              <w:rPr>
                <w:sz w:val="20"/>
                <w:szCs w:val="20"/>
                <w:color w:val="auto"/>
              </w:rPr>
            </w:pPr>
            <w:r>
              <w:rPr>
                <w:rFonts w:ascii="Arial" w:cs="Arial" w:eastAsia="Arial" w:hAnsi="Arial"/>
                <w:sz w:val="16"/>
                <w:szCs w:val="16"/>
                <w:color w:val="auto"/>
              </w:rPr>
              <w:t>Total liabilities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52,773</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49,050</w:t>
            </w:r>
          </w:p>
        </w:tc>
        <w:tc>
          <w:tcPr>
            <w:tcW w:w="0" w:type="dxa"/>
            <w:vAlign w:val="bottom"/>
          </w:tcPr>
          <w:p>
            <w:pPr>
              <w:spacing w:after="0"/>
              <w:rPr>
                <w:sz w:val="1"/>
                <w:szCs w:val="1"/>
                <w:color w:val="auto"/>
              </w:rPr>
            </w:pPr>
          </w:p>
        </w:tc>
      </w:tr>
      <w:tr>
        <w:trPr>
          <w:trHeight w:val="33"/>
        </w:trPr>
        <w:tc>
          <w:tcPr>
            <w:tcW w:w="7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stockholders' equity</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7,702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7,971</w:t>
            </w:r>
          </w:p>
        </w:tc>
        <w:tc>
          <w:tcPr>
            <w:tcW w:w="0" w:type="dxa"/>
            <w:vAlign w:val="bottom"/>
          </w:tcPr>
          <w:p>
            <w:pPr>
              <w:spacing w:after="0"/>
              <w:rPr>
                <w:sz w:val="1"/>
                <w:szCs w:val="1"/>
                <w:color w:val="auto"/>
              </w:rPr>
            </w:pPr>
          </w:p>
        </w:tc>
      </w:tr>
      <w:tr>
        <w:trPr>
          <w:trHeight w:val="311"/>
        </w:trPr>
        <w:tc>
          <w:tcPr>
            <w:tcW w:w="7680" w:type="dxa"/>
            <w:vAlign w:val="bottom"/>
            <w:gridSpan w:val="2"/>
          </w:tcPr>
          <w:p>
            <w:pPr>
              <w:ind w:left="40"/>
              <w:spacing w:after="0"/>
              <w:rPr>
                <w:sz w:val="20"/>
                <w:szCs w:val="20"/>
                <w:color w:val="auto"/>
              </w:rPr>
            </w:pPr>
            <w:r>
              <w:rPr>
                <w:rFonts w:ascii="Arial" w:cs="Arial" w:eastAsia="Arial" w:hAnsi="Arial"/>
                <w:sz w:val="16"/>
                <w:szCs w:val="16"/>
                <w:color w:val="auto"/>
              </w:rPr>
              <w:t xml:space="preserve">Net asset value per common share as of period end </w:t>
            </w:r>
            <w:r>
              <w:rPr>
                <w:rFonts w:ascii="Arial" w:cs="Arial" w:eastAsia="Arial" w:hAnsi="Arial"/>
                <w:sz w:val="21"/>
                <w:szCs w:val="21"/>
                <w:color w:val="auto"/>
                <w:vertAlign w:val="superscript"/>
              </w:rPr>
              <w:t>1</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22.22</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22.59</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584" w:right="2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92"/>
        </w:trPr>
        <w:tc>
          <w:tcPr>
            <w:tcW w:w="6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00" w:type="dxa"/>
            <w:vAlign w:val="bottom"/>
            <w:gridSpan w:val="6"/>
          </w:tcPr>
          <w:p>
            <w:pPr>
              <w:ind w:left="80"/>
              <w:spacing w:after="0"/>
              <w:rPr>
                <w:sz w:val="20"/>
                <w:szCs w:val="20"/>
                <w:color w:val="auto"/>
              </w:rPr>
            </w:pPr>
            <w:r>
              <w:rPr>
                <w:rFonts w:ascii="Arial" w:cs="Arial" w:eastAsia="Arial" w:hAnsi="Arial"/>
                <w:sz w:val="14"/>
                <w:szCs w:val="14"/>
                <w:b w:val="1"/>
                <w:bCs w:val="1"/>
                <w:color w:val="auto"/>
              </w:rPr>
              <w:t>Three Months Ended June 30,</w:t>
            </w:r>
          </w:p>
        </w:tc>
        <w:tc>
          <w:tcPr>
            <w:tcW w:w="140" w:type="dxa"/>
            <w:vAlign w:val="bottom"/>
          </w:tcPr>
          <w:p>
            <w:pPr>
              <w:spacing w:after="0"/>
              <w:rPr>
                <w:sz w:val="16"/>
                <w:szCs w:val="16"/>
                <w:color w:val="auto"/>
              </w:rPr>
            </w:pPr>
          </w:p>
        </w:tc>
        <w:tc>
          <w:tcPr>
            <w:tcW w:w="1860" w:type="dxa"/>
            <w:vAlign w:val="bottom"/>
            <w:gridSpan w:val="4"/>
          </w:tcPr>
          <w:p>
            <w:pPr>
              <w:jc w:val="right"/>
              <w:ind w:right="59"/>
              <w:spacing w:after="0"/>
              <w:rPr>
                <w:sz w:val="20"/>
                <w:szCs w:val="20"/>
                <w:color w:val="auto"/>
              </w:rPr>
            </w:pPr>
            <w:r>
              <w:rPr>
                <w:rFonts w:ascii="Arial" w:cs="Arial" w:eastAsia="Arial" w:hAnsi="Arial"/>
                <w:sz w:val="14"/>
                <w:szCs w:val="14"/>
                <w:b w:val="1"/>
                <w:bCs w:val="1"/>
                <w:color w:val="auto"/>
                <w:w w:val="93"/>
              </w:rPr>
              <w:t>Six Months Ended June 30,</w:t>
            </w:r>
          </w:p>
        </w:tc>
      </w:tr>
      <w:tr>
        <w:trPr>
          <w:trHeight w:val="264"/>
        </w:trPr>
        <w:tc>
          <w:tcPr>
            <w:tcW w:w="64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Statement of Comprehensive Income Data (unaudited)</w:t>
            </w:r>
          </w:p>
        </w:tc>
        <w:tc>
          <w:tcPr>
            <w:tcW w:w="1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top w:val="single" w:sz="8" w:color="auto"/>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96"/>
              </w:rPr>
              <w:t>2016</w:t>
            </w:r>
          </w:p>
        </w:tc>
        <w:tc>
          <w:tcPr>
            <w:tcW w:w="120" w:type="dxa"/>
            <w:vAlign w:val="bottom"/>
            <w:tcBorders>
              <w:top w:val="single" w:sz="8" w:color="auto"/>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89"/>
              </w:rPr>
              <w:t>2015</w:t>
            </w:r>
          </w:p>
        </w:tc>
      </w:tr>
      <w:tr>
        <w:trPr>
          <w:trHeight w:val="236"/>
        </w:trPr>
        <w:tc>
          <w:tcPr>
            <w:tcW w:w="6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318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414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613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797</w:t>
            </w:r>
          </w:p>
        </w:tc>
      </w:tr>
      <w:tr>
        <w:trPr>
          <w:trHeight w:val="270"/>
        </w:trPr>
        <w:tc>
          <w:tcPr>
            <w:tcW w:w="65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 xml:space="preserve">Interest expense </w:t>
            </w:r>
            <w:r>
              <w:rPr>
                <w:rFonts w:ascii="Arial" w:cs="Arial" w:eastAsia="Arial" w:hAnsi="Arial"/>
                <w:sz w:val="21"/>
                <w:szCs w:val="21"/>
                <w:color w:val="auto"/>
                <w:vertAlign w:val="superscript"/>
              </w:rPr>
              <w:t>2</w:t>
            </w:r>
          </w:p>
        </w:tc>
        <w:tc>
          <w:tcPr>
            <w:tcW w:w="1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101</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81</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200</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167</w:t>
            </w:r>
          </w:p>
        </w:tc>
      </w:tr>
      <w:tr>
        <w:trPr>
          <w:trHeight w:val="250"/>
        </w:trPr>
        <w:tc>
          <w:tcPr>
            <w:tcW w:w="6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Net interest income</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333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413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630</w:t>
            </w:r>
          </w:p>
        </w:tc>
      </w:tr>
      <w:tr>
        <w:trPr>
          <w:trHeight w:val="250"/>
        </w:trPr>
        <w:tc>
          <w:tcPr>
            <w:tcW w:w="6540" w:type="dxa"/>
            <w:vAlign w:val="bottom"/>
            <w:gridSpan w:val="2"/>
          </w:tcPr>
          <w:p>
            <w:pPr>
              <w:ind w:left="20"/>
              <w:spacing w:after="0"/>
              <w:rPr>
                <w:sz w:val="20"/>
                <w:szCs w:val="20"/>
                <w:color w:val="auto"/>
              </w:rPr>
            </w:pPr>
            <w:r>
              <w:rPr>
                <w:rFonts w:ascii="Arial" w:cs="Arial" w:eastAsia="Arial" w:hAnsi="Arial"/>
                <w:sz w:val="16"/>
                <w:szCs w:val="16"/>
                <w:color w:val="auto"/>
              </w:rPr>
              <w:t xml:space="preserve">Other gain (loss), net </w:t>
            </w:r>
            <w:r>
              <w:rPr>
                <w:rFonts w:ascii="Arial" w:cs="Arial" w:eastAsia="Arial" w:hAnsi="Arial"/>
                <w:sz w:val="21"/>
                <w:szCs w:val="21"/>
                <w:color w:val="auto"/>
                <w:vertAlign w:val="superscript"/>
              </w:rPr>
              <w:t>2</w:t>
            </w:r>
          </w:p>
        </w:tc>
        <w:tc>
          <w:tcPr>
            <w:tcW w:w="14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(312)</w:t>
            </w: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215</w:t>
            </w: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(1,247)</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(298)</w:t>
            </w:r>
          </w:p>
        </w:tc>
      </w:tr>
      <w:tr>
        <w:trPr>
          <w:trHeight w:val="270"/>
        </w:trPr>
        <w:tc>
          <w:tcPr>
            <w:tcW w:w="6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Expenses</w:t>
            </w:r>
          </w:p>
        </w:tc>
        <w:tc>
          <w:tcPr>
            <w:tcW w:w="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40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73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72</w:t>
            </w:r>
          </w:p>
        </w:tc>
      </w:tr>
      <w:tr>
        <w:trPr>
          <w:trHeight w:val="217"/>
        </w:trPr>
        <w:tc>
          <w:tcPr>
            <w:tcW w:w="6540" w:type="dxa"/>
            <w:vAlign w:val="bottom"/>
            <w:gridSpan w:val="2"/>
          </w:tcPr>
          <w:p>
            <w:pPr>
              <w:ind w:left="20"/>
              <w:spacing w:after="0"/>
              <w:rPr>
                <w:sz w:val="20"/>
                <w:szCs w:val="20"/>
                <w:color w:val="auto"/>
              </w:rPr>
            </w:pPr>
            <w:r>
              <w:rPr>
                <w:rFonts w:ascii="Arial" w:cs="Arial" w:eastAsia="Arial" w:hAnsi="Arial"/>
                <w:sz w:val="16"/>
                <w:szCs w:val="16"/>
                <w:color w:val="auto"/>
              </w:rPr>
              <w:t>Net income (loss)</w:t>
            </w: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(135)</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512</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(907)</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260</w:t>
            </w:r>
          </w:p>
        </w:tc>
      </w:tr>
      <w:tr>
        <w:trPr>
          <w:trHeight w:val="33"/>
        </w:trPr>
        <w:tc>
          <w:tcPr>
            <w:tcW w:w="6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Dividend on preferred stock</w:t>
            </w:r>
          </w:p>
        </w:tc>
        <w:tc>
          <w:tcPr>
            <w:tcW w:w="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14</w:t>
            </w:r>
          </w:p>
        </w:tc>
      </w:tr>
      <w:tr>
        <w:trPr>
          <w:trHeight w:val="284"/>
        </w:trPr>
        <w:tc>
          <w:tcPr>
            <w:tcW w:w="65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Net income (loss) available (attributable) to common stockholders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(142)</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505</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6"/>
                <w:szCs w:val="16"/>
                <w:color w:val="auto"/>
              </w:rPr>
              <w:t>(921)</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246</w:t>
            </w:r>
          </w:p>
        </w:tc>
      </w:tr>
      <w:tr>
        <w:trPr>
          <w:trHeight w:val="284"/>
        </w:trPr>
        <w:tc>
          <w:tcPr>
            <w:tcW w:w="6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237"/>
        </w:trPr>
        <w:tc>
          <w:tcPr>
            <w:tcW w:w="6540" w:type="dxa"/>
            <w:vAlign w:val="bottom"/>
            <w:gridSpan w:val="2"/>
          </w:tcPr>
          <w:p>
            <w:pPr>
              <w:ind w:left="20"/>
              <w:spacing w:after="0"/>
              <w:rPr>
                <w:sz w:val="20"/>
                <w:szCs w:val="20"/>
                <w:color w:val="auto"/>
              </w:rPr>
            </w:pPr>
            <w:r>
              <w:rPr>
                <w:rFonts w:ascii="Arial" w:cs="Arial" w:eastAsia="Arial" w:hAnsi="Arial"/>
                <w:sz w:val="16"/>
                <w:szCs w:val="16"/>
                <w:color w:val="auto"/>
              </w:rPr>
              <w:t>Net income (loss)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(135)</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39"/>
              <w:spacing w:after="0"/>
              <w:rPr>
                <w:sz w:val="20"/>
                <w:szCs w:val="20"/>
                <w:color w:val="auto"/>
              </w:rPr>
            </w:pPr>
            <w:r>
              <w:rPr>
                <w:rFonts w:ascii="Arial" w:cs="Arial" w:eastAsia="Arial" w:hAnsi="Arial"/>
                <w:sz w:val="16"/>
                <w:szCs w:val="16"/>
                <w:color w:val="auto"/>
              </w:rPr>
              <w:t>512</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80"/>
              <w:spacing w:after="0"/>
              <w:rPr>
                <w:sz w:val="20"/>
                <w:szCs w:val="20"/>
                <w:color w:val="auto"/>
              </w:rPr>
            </w:pPr>
            <w:r>
              <w:rPr>
                <w:rFonts w:ascii="Arial" w:cs="Arial" w:eastAsia="Arial" w:hAnsi="Arial"/>
                <w:sz w:val="16"/>
                <w:szCs w:val="16"/>
                <w:color w:val="auto"/>
              </w:rPr>
              <w:t>(907)</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139"/>
              <w:spacing w:after="0"/>
              <w:rPr>
                <w:sz w:val="20"/>
                <w:szCs w:val="20"/>
                <w:color w:val="auto"/>
              </w:rPr>
            </w:pPr>
            <w:r>
              <w:rPr>
                <w:rFonts w:ascii="Arial" w:cs="Arial" w:eastAsia="Arial" w:hAnsi="Arial"/>
                <w:sz w:val="16"/>
                <w:szCs w:val="16"/>
                <w:color w:val="auto"/>
              </w:rPr>
              <w:t>260</w:t>
            </w:r>
          </w:p>
        </w:tc>
      </w:tr>
      <w:tr>
        <w:trPr>
          <w:trHeight w:val="33"/>
        </w:trPr>
        <w:tc>
          <w:tcPr>
            <w:tcW w:w="6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5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 xml:space="preserve">Other comprehensive income (loss) </w:t>
            </w:r>
            <w:r>
              <w:rPr>
                <w:rFonts w:ascii="Arial" w:cs="Arial" w:eastAsia="Arial" w:hAnsi="Arial"/>
                <w:sz w:val="21"/>
                <w:szCs w:val="21"/>
                <w:color w:val="auto"/>
                <w:vertAlign w:val="superscript"/>
              </w:rPr>
              <w:t>2</w:t>
            </w:r>
          </w:p>
        </w:tc>
        <w:tc>
          <w:tcPr>
            <w:tcW w:w="1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382</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(846)</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1,166</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(426)</w:t>
            </w:r>
          </w:p>
        </w:tc>
      </w:tr>
      <w:tr>
        <w:trPr>
          <w:trHeight w:val="217"/>
        </w:trPr>
        <w:tc>
          <w:tcPr>
            <w:tcW w:w="6540" w:type="dxa"/>
            <w:vAlign w:val="bottom"/>
            <w:gridSpan w:val="2"/>
          </w:tcPr>
          <w:p>
            <w:pPr>
              <w:ind w:left="20"/>
              <w:spacing w:after="0"/>
              <w:rPr>
                <w:sz w:val="20"/>
                <w:szCs w:val="20"/>
                <w:color w:val="auto"/>
              </w:rPr>
            </w:pPr>
            <w:r>
              <w:rPr>
                <w:rFonts w:ascii="Arial" w:cs="Arial" w:eastAsia="Arial" w:hAnsi="Arial"/>
                <w:sz w:val="16"/>
                <w:szCs w:val="16"/>
                <w:color w:val="auto"/>
              </w:rPr>
              <w:t>Comprehensive income (loss)</w:t>
            </w:r>
          </w:p>
        </w:tc>
        <w:tc>
          <w:tcPr>
            <w:tcW w:w="140" w:type="dxa"/>
            <w:vAlign w:val="bottom"/>
          </w:tcPr>
          <w:p>
            <w:pPr>
              <w:spacing w:after="0"/>
              <w:rPr>
                <w:sz w:val="18"/>
                <w:szCs w:val="18"/>
                <w:color w:val="auto"/>
              </w:rPr>
            </w:pPr>
          </w:p>
        </w:tc>
        <w:tc>
          <w:tcPr>
            <w:tcW w:w="800" w:type="dxa"/>
            <w:vAlign w:val="bottom"/>
          </w:tcPr>
          <w:p>
            <w:pPr>
              <w:jc w:val="right"/>
              <w:ind w:right="139"/>
              <w:spacing w:after="0"/>
              <w:rPr>
                <w:sz w:val="20"/>
                <w:szCs w:val="20"/>
                <w:color w:val="auto"/>
              </w:rPr>
            </w:pPr>
            <w:r>
              <w:rPr>
                <w:rFonts w:ascii="Arial" w:cs="Arial" w:eastAsia="Arial" w:hAnsi="Arial"/>
                <w:sz w:val="16"/>
                <w:szCs w:val="16"/>
                <w:color w:val="auto"/>
              </w:rPr>
              <w:t>247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ind w:right="99"/>
              <w:spacing w:after="0"/>
              <w:rPr>
                <w:sz w:val="20"/>
                <w:szCs w:val="20"/>
                <w:color w:val="auto"/>
              </w:rPr>
            </w:pPr>
            <w:r>
              <w:rPr>
                <w:rFonts w:ascii="Arial" w:cs="Arial" w:eastAsia="Arial" w:hAnsi="Arial"/>
                <w:sz w:val="16"/>
                <w:szCs w:val="16"/>
                <w:color w:val="auto"/>
              </w:rPr>
              <w:t>(334)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ind w:right="140"/>
              <w:spacing w:after="0"/>
              <w:rPr>
                <w:sz w:val="20"/>
                <w:szCs w:val="20"/>
                <w:color w:val="auto"/>
              </w:rPr>
            </w:pPr>
            <w:r>
              <w:rPr>
                <w:rFonts w:ascii="Arial" w:cs="Arial" w:eastAsia="Arial" w:hAnsi="Arial"/>
                <w:sz w:val="16"/>
                <w:szCs w:val="16"/>
                <w:color w:val="auto"/>
              </w:rPr>
              <w:t>259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(166)</w:t>
            </w:r>
          </w:p>
        </w:tc>
      </w:tr>
      <w:tr>
        <w:trPr>
          <w:trHeight w:val="33"/>
        </w:trPr>
        <w:tc>
          <w:tcPr>
            <w:tcW w:w="6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Dividend on preferred stock</w:t>
            </w:r>
          </w:p>
        </w:tc>
        <w:tc>
          <w:tcPr>
            <w:tcW w:w="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14</w:t>
            </w:r>
          </w:p>
        </w:tc>
      </w:tr>
      <w:tr>
        <w:trPr>
          <w:trHeight w:val="284"/>
        </w:trPr>
        <w:tc>
          <w:tcPr>
            <w:tcW w:w="65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Comprehensive income (loss) available (attributable) to common stockholders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240</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(341)</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ind w:right="140"/>
              <w:spacing w:after="0"/>
              <w:rPr>
                <w:sz w:val="20"/>
                <w:szCs w:val="20"/>
                <w:color w:val="auto"/>
              </w:rPr>
            </w:pPr>
            <w:r>
              <w:rPr>
                <w:rFonts w:ascii="Arial" w:cs="Arial" w:eastAsia="Arial" w:hAnsi="Arial"/>
                <w:sz w:val="16"/>
                <w:szCs w:val="16"/>
                <w:color w:val="auto"/>
              </w:rPr>
              <w:t>245</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(180)</w:t>
            </w:r>
          </w:p>
        </w:tc>
      </w:tr>
      <w:tr>
        <w:trPr>
          <w:trHeight w:val="284"/>
        </w:trPr>
        <w:tc>
          <w:tcPr>
            <w:tcW w:w="6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290"/>
        </w:trPr>
        <w:tc>
          <w:tcPr>
            <w:tcW w:w="65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Weighted average number of common shares outstanding - basic and diluted</w:t>
            </w: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331.0</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352.1</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332.7</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352.5</w:t>
            </w:r>
          </w:p>
        </w:tc>
      </w:tr>
      <w:tr>
        <w:trPr>
          <w:trHeight w:val="237"/>
        </w:trPr>
        <w:tc>
          <w:tcPr>
            <w:tcW w:w="6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Net income (loss) per common share - basic and diluted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(0.43)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1.43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(2.77)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0.70</w:t>
            </w:r>
          </w:p>
        </w:tc>
      </w:tr>
      <w:tr>
        <w:trPr>
          <w:trHeight w:val="20"/>
        </w:trPr>
        <w:tc>
          <w:tcPr>
            <w:tcW w:w="6540" w:type="dxa"/>
            <w:vAlign w:val="bottom"/>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77"/>
        </w:trPr>
        <w:tc>
          <w:tcPr>
            <w:tcW w:w="65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Comprehensive income (loss) per common share - basic and diluted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0.73</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(0.97)</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0.74</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(0.51)</w:t>
            </w:r>
          </w:p>
        </w:tc>
      </w:tr>
      <w:tr>
        <w:trPr>
          <w:trHeight w:val="237"/>
        </w:trPr>
        <w:tc>
          <w:tcPr>
            <w:tcW w:w="6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Dividends declared per common share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0.60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0.62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1.20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1.28</w:t>
            </w:r>
          </w:p>
        </w:tc>
      </w:tr>
      <w:tr>
        <w:trPr>
          <w:trHeight w:val="20"/>
        </w:trPr>
        <w:tc>
          <w:tcPr>
            <w:tcW w:w="6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r>
      <w:tr>
        <w:trPr>
          <w:trHeight w:val="642"/>
        </w:trPr>
        <w:tc>
          <w:tcPr>
            <w:tcW w:w="6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gridSpan w:val="6"/>
          </w:tcPr>
          <w:p>
            <w:pPr>
              <w:ind w:left="80"/>
              <w:spacing w:after="0"/>
              <w:rPr>
                <w:sz w:val="20"/>
                <w:szCs w:val="20"/>
                <w:color w:val="auto"/>
              </w:rPr>
            </w:pPr>
            <w:r>
              <w:rPr>
                <w:rFonts w:ascii="Arial" w:cs="Arial" w:eastAsia="Arial" w:hAnsi="Arial"/>
                <w:sz w:val="14"/>
                <w:szCs w:val="14"/>
                <w:b w:val="1"/>
                <w:bCs w:val="1"/>
                <w:color w:val="auto"/>
              </w:rPr>
              <w:t>Three Months Ended June 30,</w:t>
            </w:r>
          </w:p>
        </w:tc>
        <w:tc>
          <w:tcPr>
            <w:tcW w:w="140" w:type="dxa"/>
            <w:vAlign w:val="bottom"/>
          </w:tcPr>
          <w:p>
            <w:pPr>
              <w:spacing w:after="0"/>
              <w:rPr>
                <w:sz w:val="24"/>
                <w:szCs w:val="24"/>
                <w:color w:val="auto"/>
              </w:rPr>
            </w:pPr>
          </w:p>
        </w:tc>
        <w:tc>
          <w:tcPr>
            <w:tcW w:w="1860" w:type="dxa"/>
            <w:vAlign w:val="bottom"/>
            <w:gridSpan w:val="4"/>
          </w:tcPr>
          <w:p>
            <w:pPr>
              <w:jc w:val="right"/>
              <w:ind w:right="59"/>
              <w:spacing w:after="0"/>
              <w:rPr>
                <w:sz w:val="20"/>
                <w:szCs w:val="20"/>
                <w:color w:val="auto"/>
              </w:rPr>
            </w:pPr>
            <w:r>
              <w:rPr>
                <w:rFonts w:ascii="Arial" w:cs="Arial" w:eastAsia="Arial" w:hAnsi="Arial"/>
                <w:sz w:val="14"/>
                <w:szCs w:val="14"/>
                <w:b w:val="1"/>
                <w:bCs w:val="1"/>
                <w:color w:val="auto"/>
                <w:w w:val="93"/>
              </w:rPr>
              <w:t>Six Months Ended June 30,</w:t>
            </w:r>
          </w:p>
        </w:tc>
      </w:tr>
      <w:tr>
        <w:trPr>
          <w:trHeight w:val="264"/>
        </w:trPr>
        <w:tc>
          <w:tcPr>
            <w:tcW w:w="64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Other Data (unaudited)</w:t>
            </w:r>
          </w:p>
        </w:tc>
        <w:tc>
          <w:tcPr>
            <w:tcW w:w="1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top w:val="single" w:sz="8" w:color="auto"/>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96"/>
              </w:rPr>
              <w:t>2016</w:t>
            </w:r>
          </w:p>
        </w:tc>
        <w:tc>
          <w:tcPr>
            <w:tcW w:w="120" w:type="dxa"/>
            <w:vAlign w:val="bottom"/>
            <w:tcBorders>
              <w:top w:val="single" w:sz="8" w:color="auto"/>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89"/>
              </w:rPr>
              <w:t>2015</w:t>
            </w:r>
          </w:p>
        </w:tc>
      </w:tr>
      <w:tr>
        <w:trPr>
          <w:trHeight w:val="236"/>
        </w:trPr>
        <w:tc>
          <w:tcPr>
            <w:tcW w:w="6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Average investment securities - at par</w:t>
            </w:r>
          </w:p>
        </w:tc>
        <w:tc>
          <w:tcPr>
            <w:tcW w:w="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96"/>
              </w:rPr>
              <w:t>$49,544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96"/>
              </w:rPr>
              <w:t>$53,660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96"/>
              </w:rPr>
              <w:t>$49,116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96"/>
              </w:rPr>
              <w:t>$55,267</w:t>
            </w:r>
          </w:p>
        </w:tc>
      </w:tr>
      <w:tr>
        <w:trPr>
          <w:trHeight w:val="237"/>
        </w:trPr>
        <w:tc>
          <w:tcPr>
            <w:tcW w:w="6540" w:type="dxa"/>
            <w:vAlign w:val="bottom"/>
            <w:gridSpan w:val="2"/>
          </w:tcPr>
          <w:p>
            <w:pPr>
              <w:ind w:left="20"/>
              <w:spacing w:after="0"/>
              <w:rPr>
                <w:sz w:val="20"/>
                <w:szCs w:val="20"/>
                <w:color w:val="auto"/>
              </w:rPr>
            </w:pPr>
            <w:r>
              <w:rPr>
                <w:rFonts w:ascii="Arial" w:cs="Arial" w:eastAsia="Arial" w:hAnsi="Arial"/>
                <w:sz w:val="16"/>
                <w:szCs w:val="16"/>
                <w:color w:val="auto"/>
              </w:rPr>
              <w:t>Average investment securities - at cost</w:t>
            </w:r>
          </w:p>
        </w:tc>
        <w:tc>
          <w:tcPr>
            <w:tcW w:w="140" w:type="dxa"/>
            <w:vAlign w:val="bottom"/>
          </w:tcPr>
          <w:p>
            <w:pPr>
              <w:spacing w:after="0"/>
              <w:rPr>
                <w:sz w:val="20"/>
                <w:szCs w:val="20"/>
                <w:color w:val="auto"/>
              </w:rPr>
            </w:pPr>
          </w:p>
        </w:tc>
        <w:tc>
          <w:tcPr>
            <w:tcW w:w="800" w:type="dxa"/>
            <w:vAlign w:val="bottom"/>
          </w:tcPr>
          <w:p>
            <w:pPr>
              <w:jc w:val="right"/>
              <w:ind w:right="139"/>
              <w:spacing w:after="0"/>
              <w:rPr>
                <w:sz w:val="20"/>
                <w:szCs w:val="20"/>
                <w:color w:val="auto"/>
              </w:rPr>
            </w:pPr>
            <w:r>
              <w:rPr>
                <w:rFonts w:ascii="Arial" w:cs="Arial" w:eastAsia="Arial" w:hAnsi="Arial"/>
                <w:sz w:val="16"/>
                <w:szCs w:val="16"/>
                <w:color w:val="auto"/>
                <w:w w:val="96"/>
              </w:rPr>
              <w:t>$51,810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ind w:right="139"/>
              <w:spacing w:after="0"/>
              <w:rPr>
                <w:sz w:val="20"/>
                <w:szCs w:val="20"/>
                <w:color w:val="auto"/>
              </w:rPr>
            </w:pPr>
            <w:r>
              <w:rPr>
                <w:rFonts w:ascii="Arial" w:cs="Arial" w:eastAsia="Arial" w:hAnsi="Arial"/>
                <w:sz w:val="16"/>
                <w:szCs w:val="16"/>
                <w:color w:val="auto"/>
                <w:w w:val="96"/>
              </w:rPr>
              <w:t>$56,106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ind w:right="120"/>
              <w:spacing w:after="0"/>
              <w:rPr>
                <w:sz w:val="20"/>
                <w:szCs w:val="20"/>
                <w:color w:val="auto"/>
              </w:rPr>
            </w:pPr>
            <w:r>
              <w:rPr>
                <w:rFonts w:ascii="Arial" w:cs="Arial" w:eastAsia="Arial" w:hAnsi="Arial"/>
                <w:sz w:val="16"/>
                <w:szCs w:val="16"/>
                <w:color w:val="auto"/>
              </w:rPr>
              <w:t>$51,340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ind w:right="139"/>
              <w:spacing w:after="0"/>
              <w:rPr>
                <w:sz w:val="20"/>
                <w:szCs w:val="20"/>
                <w:color w:val="auto"/>
              </w:rPr>
            </w:pPr>
            <w:r>
              <w:rPr>
                <w:rFonts w:ascii="Arial" w:cs="Arial" w:eastAsia="Arial" w:hAnsi="Arial"/>
                <w:sz w:val="16"/>
                <w:szCs w:val="16"/>
                <w:color w:val="auto"/>
                <w:w w:val="96"/>
              </w:rPr>
              <w:t>$57,779</w:t>
            </w:r>
          </w:p>
        </w:tc>
      </w:tr>
      <w:tr>
        <w:trPr>
          <w:trHeight w:val="33"/>
        </w:trPr>
        <w:tc>
          <w:tcPr>
            <w:tcW w:w="6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Average net TBA portfolio - at cost</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center"/>
              <w:ind w:right="79"/>
              <w:spacing w:after="0"/>
              <w:rPr>
                <w:sz w:val="20"/>
                <w:szCs w:val="20"/>
                <w:color w:val="auto"/>
              </w:rPr>
            </w:pPr>
            <w:r>
              <w:rPr>
                <w:rFonts w:ascii="Arial" w:cs="Arial" w:eastAsia="Arial" w:hAnsi="Arial"/>
                <w:sz w:val="16"/>
                <w:szCs w:val="16"/>
                <w:color w:val="auto"/>
                <w:w w:val="89"/>
              </w:rPr>
              <w:t>$8,238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center"/>
              <w:ind w:right="79"/>
              <w:spacing w:after="0"/>
              <w:rPr>
                <w:sz w:val="20"/>
                <w:szCs w:val="20"/>
                <w:color w:val="auto"/>
              </w:rPr>
            </w:pPr>
            <w:r>
              <w:rPr>
                <w:rFonts w:ascii="Arial" w:cs="Arial" w:eastAsia="Arial" w:hAnsi="Arial"/>
                <w:sz w:val="16"/>
                <w:szCs w:val="16"/>
                <w:color w:val="auto"/>
                <w:w w:val="89"/>
              </w:rPr>
              <w:t>$5,973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center"/>
              <w:ind w:right="60"/>
              <w:spacing w:after="0"/>
              <w:rPr>
                <w:sz w:val="20"/>
                <w:szCs w:val="20"/>
                <w:color w:val="auto"/>
              </w:rPr>
            </w:pPr>
            <w:r>
              <w:rPr>
                <w:rFonts w:ascii="Arial" w:cs="Arial" w:eastAsia="Arial" w:hAnsi="Arial"/>
                <w:sz w:val="16"/>
                <w:szCs w:val="16"/>
                <w:color w:val="auto"/>
                <w:w w:val="93"/>
              </w:rPr>
              <w:t>$8,191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center"/>
              <w:ind w:right="79"/>
              <w:spacing w:after="0"/>
              <w:rPr>
                <w:sz w:val="20"/>
                <w:szCs w:val="20"/>
                <w:color w:val="auto"/>
              </w:rPr>
            </w:pPr>
            <w:r>
              <w:rPr>
                <w:rFonts w:ascii="Arial" w:cs="Arial" w:eastAsia="Arial" w:hAnsi="Arial"/>
                <w:sz w:val="16"/>
                <w:szCs w:val="16"/>
                <w:color w:val="auto"/>
                <w:w w:val="89"/>
              </w:rPr>
              <w:t>$6,462</w:t>
            </w:r>
          </w:p>
        </w:tc>
      </w:tr>
      <w:tr>
        <w:trPr>
          <w:trHeight w:val="237"/>
        </w:trPr>
        <w:tc>
          <w:tcPr>
            <w:tcW w:w="6540" w:type="dxa"/>
            <w:vAlign w:val="bottom"/>
            <w:gridSpan w:val="2"/>
          </w:tcPr>
          <w:p>
            <w:pPr>
              <w:ind w:left="20"/>
              <w:spacing w:after="0"/>
              <w:rPr>
                <w:sz w:val="20"/>
                <w:szCs w:val="20"/>
                <w:color w:val="auto"/>
              </w:rPr>
            </w:pPr>
            <w:r>
              <w:rPr>
                <w:rFonts w:ascii="Arial" w:cs="Arial" w:eastAsia="Arial" w:hAnsi="Arial"/>
                <w:sz w:val="16"/>
                <w:szCs w:val="16"/>
                <w:color w:val="auto"/>
              </w:rPr>
              <w:t>Average total assets - at fair value</w:t>
            </w:r>
          </w:p>
        </w:tc>
        <w:tc>
          <w:tcPr>
            <w:tcW w:w="140" w:type="dxa"/>
            <w:vAlign w:val="bottom"/>
          </w:tcPr>
          <w:p>
            <w:pPr>
              <w:spacing w:after="0"/>
              <w:rPr>
                <w:sz w:val="20"/>
                <w:szCs w:val="20"/>
                <w:color w:val="auto"/>
              </w:rPr>
            </w:pPr>
          </w:p>
        </w:tc>
        <w:tc>
          <w:tcPr>
            <w:tcW w:w="800" w:type="dxa"/>
            <w:vAlign w:val="bottom"/>
          </w:tcPr>
          <w:p>
            <w:pPr>
              <w:jc w:val="right"/>
              <w:ind w:right="139"/>
              <w:spacing w:after="0"/>
              <w:rPr>
                <w:sz w:val="20"/>
                <w:szCs w:val="20"/>
                <w:color w:val="auto"/>
              </w:rPr>
            </w:pPr>
            <w:r>
              <w:rPr>
                <w:rFonts w:ascii="Arial" w:cs="Arial" w:eastAsia="Arial" w:hAnsi="Arial"/>
                <w:sz w:val="16"/>
                <w:szCs w:val="16"/>
                <w:color w:val="auto"/>
                <w:w w:val="96"/>
              </w:rPr>
              <w:t>$59,119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ind w:right="139"/>
              <w:spacing w:after="0"/>
              <w:rPr>
                <w:sz w:val="20"/>
                <w:szCs w:val="20"/>
                <w:color w:val="auto"/>
              </w:rPr>
            </w:pPr>
            <w:r>
              <w:rPr>
                <w:rFonts w:ascii="Arial" w:cs="Arial" w:eastAsia="Arial" w:hAnsi="Arial"/>
                <w:sz w:val="16"/>
                <w:szCs w:val="16"/>
                <w:color w:val="auto"/>
                <w:w w:val="96"/>
              </w:rPr>
              <w:t>$68,552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ind w:right="120"/>
              <w:spacing w:after="0"/>
              <w:rPr>
                <w:sz w:val="20"/>
                <w:szCs w:val="20"/>
                <w:color w:val="auto"/>
              </w:rPr>
            </w:pPr>
            <w:r>
              <w:rPr>
                <w:rFonts w:ascii="Arial" w:cs="Arial" w:eastAsia="Arial" w:hAnsi="Arial"/>
                <w:sz w:val="16"/>
                <w:szCs w:val="16"/>
                <w:color w:val="auto"/>
              </w:rPr>
              <w:t>$57,928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ind w:right="139"/>
              <w:spacing w:after="0"/>
              <w:rPr>
                <w:sz w:val="20"/>
                <w:szCs w:val="20"/>
                <w:color w:val="auto"/>
              </w:rPr>
            </w:pPr>
            <w:r>
              <w:rPr>
                <w:rFonts w:ascii="Arial" w:cs="Arial" w:eastAsia="Arial" w:hAnsi="Arial"/>
                <w:sz w:val="16"/>
                <w:szCs w:val="16"/>
                <w:color w:val="auto"/>
                <w:w w:val="96"/>
              </w:rPr>
              <w:t>$70,225</w:t>
            </w:r>
          </w:p>
        </w:tc>
      </w:tr>
      <w:tr>
        <w:trPr>
          <w:trHeight w:val="33"/>
        </w:trPr>
        <w:tc>
          <w:tcPr>
            <w:tcW w:w="6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5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 xml:space="preserve">Average mortgage borrowings outstanding </w:t>
            </w:r>
            <w:r>
              <w:rPr>
                <w:rFonts w:ascii="Arial" w:cs="Arial" w:eastAsia="Arial" w:hAnsi="Arial"/>
                <w:sz w:val="21"/>
                <w:szCs w:val="21"/>
                <w:color w:val="auto"/>
                <w:vertAlign w:val="superscript"/>
              </w:rPr>
              <w:t>3</w:t>
            </w:r>
          </w:p>
        </w:tc>
        <w:tc>
          <w:tcPr>
            <w:tcW w:w="1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96"/>
              </w:rPr>
              <w:t>$46,948</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96"/>
              </w:rPr>
              <w:t>$50,410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$46,437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96"/>
              </w:rPr>
              <w:t>$52,177</w:t>
            </w:r>
          </w:p>
        </w:tc>
      </w:tr>
      <w:tr>
        <w:trPr>
          <w:trHeight w:val="270"/>
        </w:trPr>
        <w:tc>
          <w:tcPr>
            <w:tcW w:w="6540" w:type="dxa"/>
            <w:vAlign w:val="bottom"/>
            <w:gridSpan w:val="2"/>
          </w:tcPr>
          <w:p>
            <w:pPr>
              <w:ind w:left="20"/>
              <w:spacing w:after="0"/>
              <w:rPr>
                <w:sz w:val="20"/>
                <w:szCs w:val="20"/>
                <w:color w:val="auto"/>
              </w:rPr>
            </w:pPr>
            <w:r>
              <w:rPr>
                <w:rFonts w:ascii="Arial" w:cs="Arial" w:eastAsia="Arial" w:hAnsi="Arial"/>
                <w:sz w:val="16"/>
                <w:szCs w:val="16"/>
                <w:color w:val="auto"/>
              </w:rPr>
              <w:t xml:space="preserve">Average stockholders' equity </w:t>
            </w:r>
            <w:r>
              <w:rPr>
                <w:rFonts w:ascii="Arial" w:cs="Arial" w:eastAsia="Arial" w:hAnsi="Arial"/>
                <w:sz w:val="21"/>
                <w:szCs w:val="21"/>
                <w:color w:val="auto"/>
                <w:vertAlign w:val="superscript"/>
              </w:rPr>
              <w:t>4</w:t>
            </w:r>
          </w:p>
        </w:tc>
        <w:tc>
          <w:tcPr>
            <w:tcW w:w="140" w:type="dxa"/>
            <w:vAlign w:val="bottom"/>
          </w:tcPr>
          <w:p>
            <w:pPr>
              <w:spacing w:after="0"/>
              <w:rPr>
                <w:sz w:val="23"/>
                <w:szCs w:val="23"/>
                <w:color w:val="auto"/>
              </w:rPr>
            </w:pPr>
          </w:p>
        </w:tc>
        <w:tc>
          <w:tcPr>
            <w:tcW w:w="800" w:type="dxa"/>
            <w:vAlign w:val="bottom"/>
          </w:tcPr>
          <w:p>
            <w:pPr>
              <w:jc w:val="center"/>
              <w:ind w:right="79"/>
              <w:spacing w:after="0"/>
              <w:rPr>
                <w:sz w:val="20"/>
                <w:szCs w:val="20"/>
                <w:color w:val="auto"/>
              </w:rPr>
            </w:pPr>
            <w:r>
              <w:rPr>
                <w:rFonts w:ascii="Arial" w:cs="Arial" w:eastAsia="Arial" w:hAnsi="Arial"/>
                <w:sz w:val="16"/>
                <w:szCs w:val="16"/>
                <w:color w:val="auto"/>
                <w:w w:val="89"/>
              </w:rPr>
              <w:t>$7,722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jc w:val="center"/>
              <w:ind w:right="79"/>
              <w:spacing w:after="0"/>
              <w:rPr>
                <w:sz w:val="20"/>
                <w:szCs w:val="20"/>
                <w:color w:val="auto"/>
              </w:rPr>
            </w:pPr>
            <w:r>
              <w:rPr>
                <w:rFonts w:ascii="Arial" w:cs="Arial" w:eastAsia="Arial" w:hAnsi="Arial"/>
                <w:sz w:val="16"/>
                <w:szCs w:val="16"/>
                <w:color w:val="auto"/>
                <w:w w:val="89"/>
              </w:rPr>
              <w:t>$9,108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jc w:val="center"/>
              <w:ind w:right="60"/>
              <w:spacing w:after="0"/>
              <w:rPr>
                <w:sz w:val="20"/>
                <w:szCs w:val="20"/>
                <w:color w:val="auto"/>
              </w:rPr>
            </w:pPr>
            <w:r>
              <w:rPr>
                <w:rFonts w:ascii="Arial" w:cs="Arial" w:eastAsia="Arial" w:hAnsi="Arial"/>
                <w:sz w:val="16"/>
                <w:szCs w:val="16"/>
                <w:color w:val="auto"/>
                <w:w w:val="93"/>
              </w:rPr>
              <w:t>$7,762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jc w:val="center"/>
              <w:ind w:right="79"/>
              <w:spacing w:after="0"/>
              <w:rPr>
                <w:sz w:val="20"/>
                <w:szCs w:val="20"/>
                <w:color w:val="auto"/>
              </w:rPr>
            </w:pPr>
            <w:r>
              <w:rPr>
                <w:rFonts w:ascii="Arial" w:cs="Arial" w:eastAsia="Arial" w:hAnsi="Arial"/>
                <w:sz w:val="16"/>
                <w:szCs w:val="16"/>
                <w:color w:val="auto"/>
                <w:w w:val="89"/>
              </w:rPr>
              <w:t>$9,240</w:t>
            </w:r>
          </w:p>
        </w:tc>
      </w:tr>
      <w:tr>
        <w:trPr>
          <w:trHeight w:val="270"/>
        </w:trPr>
        <w:tc>
          <w:tcPr>
            <w:tcW w:w="65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 xml:space="preserve">Average coupon </w:t>
            </w:r>
            <w:r>
              <w:rPr>
                <w:rFonts w:ascii="Arial" w:cs="Arial" w:eastAsia="Arial" w:hAnsi="Arial"/>
                <w:sz w:val="21"/>
                <w:szCs w:val="21"/>
                <w:color w:val="auto"/>
                <w:vertAlign w:val="superscript"/>
              </w:rPr>
              <w:t>5</w:t>
            </w:r>
          </w:p>
        </w:tc>
        <w:tc>
          <w:tcPr>
            <w:tcW w:w="14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3.63 %</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3.60 %</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3.63 %</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3.62 %</w:t>
            </w:r>
          </w:p>
        </w:tc>
      </w:tr>
      <w:tr>
        <w:trPr>
          <w:trHeight w:val="270"/>
        </w:trPr>
        <w:tc>
          <w:tcPr>
            <w:tcW w:w="6540" w:type="dxa"/>
            <w:vAlign w:val="bottom"/>
            <w:gridSpan w:val="2"/>
          </w:tcPr>
          <w:p>
            <w:pPr>
              <w:ind w:left="20"/>
              <w:spacing w:after="0"/>
              <w:rPr>
                <w:sz w:val="20"/>
                <w:szCs w:val="20"/>
                <w:color w:val="auto"/>
              </w:rPr>
            </w:pPr>
            <w:r>
              <w:rPr>
                <w:rFonts w:ascii="Arial" w:cs="Arial" w:eastAsia="Arial" w:hAnsi="Arial"/>
                <w:sz w:val="16"/>
                <w:szCs w:val="16"/>
                <w:color w:val="auto"/>
              </w:rPr>
              <w:t xml:space="preserve">Average asset yield </w:t>
            </w:r>
            <w:r>
              <w:rPr>
                <w:rFonts w:ascii="Arial" w:cs="Arial" w:eastAsia="Arial" w:hAnsi="Arial"/>
                <w:sz w:val="21"/>
                <w:szCs w:val="21"/>
                <w:color w:val="auto"/>
                <w:vertAlign w:val="superscript"/>
              </w:rPr>
              <w:t>6</w:t>
            </w:r>
          </w:p>
        </w:tc>
        <w:tc>
          <w:tcPr>
            <w:tcW w:w="1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2.46 %</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2.95 %</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2.39 %</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2.76 %</w:t>
            </w:r>
          </w:p>
        </w:tc>
      </w:tr>
      <w:tr>
        <w:trPr>
          <w:trHeight w:val="270"/>
        </w:trPr>
        <w:tc>
          <w:tcPr>
            <w:tcW w:w="65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 xml:space="preserve">Average cost of funds </w:t>
            </w:r>
            <w:r>
              <w:rPr>
                <w:rFonts w:ascii="Arial" w:cs="Arial" w:eastAsia="Arial" w:hAnsi="Arial"/>
                <w:sz w:val="21"/>
                <w:szCs w:val="21"/>
                <w:color w:val="auto"/>
                <w:vertAlign w:val="superscript"/>
              </w:rPr>
              <w:t>7</w:t>
            </w:r>
          </w:p>
        </w:tc>
        <w:tc>
          <w:tcPr>
            <w:tcW w:w="14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w:t>
            </w:r>
          </w:p>
        </w:tc>
      </w:tr>
      <w:tr>
        <w:trPr>
          <w:trHeight w:val="237"/>
        </w:trPr>
        <w:tc>
          <w:tcPr>
            <w:tcW w:w="6540" w:type="dxa"/>
            <w:vAlign w:val="bottom"/>
            <w:gridSpan w:val="2"/>
          </w:tcPr>
          <w:p>
            <w:pPr>
              <w:ind w:left="20"/>
              <w:spacing w:after="0"/>
              <w:rPr>
                <w:sz w:val="20"/>
                <w:szCs w:val="20"/>
                <w:color w:val="auto"/>
              </w:rPr>
            </w:pPr>
            <w:r>
              <w:rPr>
                <w:rFonts w:ascii="Arial" w:cs="Arial" w:eastAsia="Arial" w:hAnsi="Arial"/>
                <w:sz w:val="16"/>
                <w:szCs w:val="16"/>
                <w:color w:val="auto"/>
              </w:rPr>
              <w:t>Average net interest rate spread</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1.00 %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1.52 %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0.84 %</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1.41 %</w:t>
            </w:r>
          </w:p>
        </w:tc>
      </w:tr>
      <w:tr>
        <w:trPr>
          <w:trHeight w:val="33"/>
        </w:trPr>
        <w:tc>
          <w:tcPr>
            <w:tcW w:w="6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5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 xml:space="preserve">Average net interest rate spread, including estimated TBA dollar roll income </w:t>
            </w:r>
            <w:r>
              <w:rPr>
                <w:rFonts w:ascii="Arial" w:cs="Arial" w:eastAsia="Arial" w:hAnsi="Arial"/>
                <w:sz w:val="21"/>
                <w:szCs w:val="21"/>
                <w:color w:val="auto"/>
                <w:vertAlign w:val="superscript"/>
              </w:rPr>
              <w:t>8</w:t>
            </w:r>
          </w:p>
        </w:tc>
        <w:tc>
          <w:tcPr>
            <w:tcW w:w="14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1.16 %</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1.74 %</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1.05 %</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1.65 %</w:t>
            </w:r>
          </w:p>
        </w:tc>
      </w:tr>
      <w:tr>
        <w:trPr>
          <w:trHeight w:val="237"/>
        </w:trPr>
        <w:tc>
          <w:tcPr>
            <w:tcW w:w="6540" w:type="dxa"/>
            <w:vAlign w:val="bottom"/>
            <w:gridSpan w:val="2"/>
          </w:tcPr>
          <w:p>
            <w:pPr>
              <w:ind w:left="20"/>
              <w:spacing w:after="0"/>
              <w:rPr>
                <w:sz w:val="20"/>
                <w:szCs w:val="20"/>
                <w:color w:val="auto"/>
              </w:rPr>
            </w:pPr>
            <w:r>
              <w:rPr>
                <w:rFonts w:ascii="Arial" w:cs="Arial" w:eastAsia="Arial" w:hAnsi="Arial"/>
                <w:sz w:val="16"/>
                <w:szCs w:val="16"/>
                <w:color w:val="auto"/>
              </w:rPr>
              <w:t xml:space="preserve">Average coupon </w:t>
            </w:r>
            <w:r>
              <w:rPr>
                <w:rFonts w:ascii="Arial" w:cs="Arial" w:eastAsia="Arial" w:hAnsi="Arial"/>
                <w:sz w:val="16"/>
                <w:szCs w:val="16"/>
                <w:i w:val="1"/>
                <w:iCs w:val="1"/>
                <w:color w:val="auto"/>
              </w:rPr>
              <w:t>(as of period end)</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3.63 %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3.62 %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3.63 %</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3.62 %</w:t>
            </w:r>
          </w:p>
        </w:tc>
      </w:tr>
      <w:tr>
        <w:trPr>
          <w:trHeight w:val="33"/>
        </w:trPr>
        <w:tc>
          <w:tcPr>
            <w:tcW w:w="6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 xml:space="preserve">Average asset yield </w:t>
            </w:r>
            <w:r>
              <w:rPr>
                <w:rFonts w:ascii="Arial" w:cs="Arial" w:eastAsia="Arial" w:hAnsi="Arial"/>
                <w:sz w:val="16"/>
                <w:szCs w:val="16"/>
                <w:i w:val="1"/>
                <w:iCs w:val="1"/>
                <w:color w:val="auto"/>
              </w:rPr>
              <w:t>(as of period end)</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2.68 %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2.75 %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2.68 %</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2.75 %</w:t>
            </w:r>
          </w:p>
        </w:tc>
      </w:tr>
      <w:tr>
        <w:trPr>
          <w:trHeight w:val="270"/>
        </w:trPr>
        <w:tc>
          <w:tcPr>
            <w:tcW w:w="6540" w:type="dxa"/>
            <w:vAlign w:val="bottom"/>
            <w:gridSpan w:val="2"/>
          </w:tcPr>
          <w:p>
            <w:pPr>
              <w:ind w:left="20"/>
              <w:spacing w:after="0"/>
              <w:rPr>
                <w:sz w:val="20"/>
                <w:szCs w:val="20"/>
                <w:color w:val="auto"/>
              </w:rPr>
            </w:pPr>
            <w:r>
              <w:rPr>
                <w:rFonts w:ascii="Arial" w:cs="Arial" w:eastAsia="Arial" w:hAnsi="Arial"/>
                <w:sz w:val="16"/>
                <w:szCs w:val="16"/>
                <w:color w:val="auto"/>
              </w:rPr>
              <w:t xml:space="preserve">Average cost of funds </w:t>
            </w:r>
            <w:r>
              <w:rPr>
                <w:rFonts w:ascii="Arial" w:cs="Arial" w:eastAsia="Arial" w:hAnsi="Arial"/>
                <w:sz w:val="16"/>
                <w:szCs w:val="16"/>
                <w:i w:val="1"/>
                <w:iCs w:val="1"/>
                <w:color w:val="auto"/>
              </w:rPr>
              <w:t>(as of period end)</w:t>
            </w:r>
            <w:r>
              <w:rPr>
                <w:rFonts w:ascii="Arial" w:cs="Arial" w:eastAsia="Arial" w:hAnsi="Arial"/>
                <w:sz w:val="16"/>
                <w:szCs w:val="16"/>
                <w:color w:val="auto"/>
              </w:rPr>
              <w:t xml:space="preserve"> </w:t>
            </w:r>
            <w:r>
              <w:rPr>
                <w:rFonts w:ascii="Arial" w:cs="Arial" w:eastAsia="Arial" w:hAnsi="Arial"/>
                <w:sz w:val="21"/>
                <w:szCs w:val="21"/>
                <w:color w:val="auto"/>
                <w:vertAlign w:val="superscript"/>
              </w:rPr>
              <w:t>9</w:t>
            </w:r>
          </w:p>
        </w:tc>
        <w:tc>
          <w:tcPr>
            <w:tcW w:w="1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(1.56)%</w:t>
            </w:r>
          </w:p>
        </w:tc>
      </w:tr>
      <w:tr>
        <w:trPr>
          <w:trHeight w:val="250"/>
        </w:trPr>
        <w:tc>
          <w:tcPr>
            <w:tcW w:w="6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 xml:space="preserve">Average net interest rate spread </w:t>
            </w:r>
            <w:r>
              <w:rPr>
                <w:rFonts w:ascii="Arial" w:cs="Arial" w:eastAsia="Arial" w:hAnsi="Arial"/>
                <w:sz w:val="16"/>
                <w:szCs w:val="16"/>
                <w:i w:val="1"/>
                <w:iCs w:val="1"/>
                <w:color w:val="auto"/>
              </w:rPr>
              <w:t>(as of period end)</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1.33 %</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1.19 %</w:t>
            </w:r>
          </w:p>
        </w:tc>
      </w:tr>
      <w:tr>
        <w:trPr>
          <w:trHeight w:val="270"/>
        </w:trPr>
        <w:tc>
          <w:tcPr>
            <w:tcW w:w="6540" w:type="dxa"/>
            <w:vAlign w:val="bottom"/>
            <w:gridSpan w:val="2"/>
          </w:tcPr>
          <w:p>
            <w:pPr>
              <w:ind w:left="20"/>
              <w:spacing w:after="0"/>
              <w:rPr>
                <w:sz w:val="20"/>
                <w:szCs w:val="20"/>
                <w:color w:val="auto"/>
              </w:rPr>
            </w:pPr>
            <w:r>
              <w:rPr>
                <w:rFonts w:ascii="Arial" w:cs="Arial" w:eastAsia="Arial" w:hAnsi="Arial"/>
                <w:sz w:val="16"/>
                <w:szCs w:val="16"/>
                <w:color w:val="auto"/>
              </w:rPr>
              <w:t xml:space="preserve">Net comprehensive income return on average common equity - annualized </w:t>
            </w:r>
            <w:r>
              <w:rPr>
                <w:rFonts w:ascii="Arial" w:cs="Arial" w:eastAsia="Arial" w:hAnsi="Arial"/>
                <w:sz w:val="21"/>
                <w:szCs w:val="21"/>
                <w:color w:val="auto"/>
                <w:vertAlign w:val="superscript"/>
              </w:rPr>
              <w:t>10</w:t>
            </w:r>
          </w:p>
        </w:tc>
        <w:tc>
          <w:tcPr>
            <w:tcW w:w="1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13.0 %</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6.6 %</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(4.1)%</w:t>
            </w:r>
          </w:p>
        </w:tc>
      </w:tr>
      <w:tr>
        <w:trPr>
          <w:trHeight w:val="270"/>
        </w:trPr>
        <w:tc>
          <w:tcPr>
            <w:tcW w:w="65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 xml:space="preserve">Economic return on common equity </w:t>
            </w:r>
            <w:r>
              <w:rPr>
                <w:rFonts w:ascii="Arial" w:cs="Arial" w:eastAsia="Arial" w:hAnsi="Arial"/>
                <w:sz w:val="21"/>
                <w:szCs w:val="21"/>
                <w:color w:val="auto"/>
                <w:vertAlign w:val="superscript"/>
              </w:rPr>
              <w:t>11</w:t>
            </w:r>
          </w:p>
        </w:tc>
        <w:tc>
          <w:tcPr>
            <w:tcW w:w="14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13.3 %</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7.4 %</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r>
      <w:tr>
        <w:trPr>
          <w:trHeight w:val="270"/>
        </w:trPr>
        <w:tc>
          <w:tcPr>
            <w:tcW w:w="6540" w:type="dxa"/>
            <w:vAlign w:val="bottom"/>
            <w:gridSpan w:val="2"/>
          </w:tcPr>
          <w:p>
            <w:pPr>
              <w:ind w:left="20"/>
              <w:spacing w:after="0"/>
              <w:rPr>
                <w:sz w:val="20"/>
                <w:szCs w:val="20"/>
                <w:color w:val="auto"/>
              </w:rPr>
            </w:pPr>
            <w:r>
              <w:rPr>
                <w:rFonts w:ascii="Arial" w:cs="Arial" w:eastAsia="Arial" w:hAnsi="Arial"/>
                <w:sz w:val="16"/>
                <w:szCs w:val="16"/>
                <w:color w:val="auto"/>
              </w:rPr>
              <w:t xml:space="preserve">Average leverage </w:t>
            </w:r>
            <w:r>
              <w:rPr>
                <w:rFonts w:ascii="Arial" w:cs="Arial" w:eastAsia="Arial" w:hAnsi="Arial"/>
                <w:sz w:val="21"/>
                <w:szCs w:val="21"/>
                <w:color w:val="auto"/>
                <w:vertAlign w:val="superscript"/>
              </w:rPr>
              <w:t>12</w:t>
            </w:r>
          </w:p>
        </w:tc>
        <w:tc>
          <w:tcPr>
            <w:tcW w:w="140" w:type="dxa"/>
            <w:vAlign w:val="bottom"/>
          </w:tcPr>
          <w:p>
            <w:pPr>
              <w:spacing w:after="0"/>
              <w:rPr>
                <w:sz w:val="23"/>
                <w:szCs w:val="23"/>
                <w:color w:val="auto"/>
              </w:rPr>
            </w:pPr>
          </w:p>
        </w:tc>
        <w:tc>
          <w:tcPr>
            <w:tcW w:w="800" w:type="dxa"/>
            <w:vAlign w:val="bottom"/>
          </w:tcPr>
          <w:p>
            <w:pPr>
              <w:jc w:val="right"/>
              <w:ind w:right="139"/>
              <w:spacing w:after="0"/>
              <w:rPr>
                <w:sz w:val="20"/>
                <w:szCs w:val="20"/>
                <w:color w:val="auto"/>
              </w:rPr>
            </w:pPr>
            <w:r>
              <w:rPr>
                <w:rFonts w:ascii="Arial" w:cs="Arial" w:eastAsia="Arial" w:hAnsi="Arial"/>
                <w:sz w:val="16"/>
                <w:szCs w:val="16"/>
                <w:color w:val="auto"/>
              </w:rPr>
              <w:t>6.1:1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jc w:val="right"/>
              <w:ind w:right="139"/>
              <w:spacing w:after="0"/>
              <w:rPr>
                <w:sz w:val="20"/>
                <w:szCs w:val="20"/>
                <w:color w:val="auto"/>
              </w:rPr>
            </w:pPr>
            <w:r>
              <w:rPr>
                <w:rFonts w:ascii="Arial" w:cs="Arial" w:eastAsia="Arial" w:hAnsi="Arial"/>
                <w:sz w:val="16"/>
                <w:szCs w:val="16"/>
                <w:color w:val="auto"/>
              </w:rPr>
              <w:t>5.6:1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jc w:val="right"/>
              <w:ind w:right="140"/>
              <w:spacing w:after="0"/>
              <w:rPr>
                <w:sz w:val="20"/>
                <w:szCs w:val="20"/>
                <w:color w:val="auto"/>
              </w:rPr>
            </w:pPr>
            <w:r>
              <w:rPr>
                <w:rFonts w:ascii="Arial" w:cs="Arial" w:eastAsia="Arial" w:hAnsi="Arial"/>
                <w:sz w:val="16"/>
                <w:szCs w:val="16"/>
                <w:color w:val="auto"/>
              </w:rPr>
              <w:t>6.0:1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jc w:val="right"/>
              <w:ind w:right="139"/>
              <w:spacing w:after="0"/>
              <w:rPr>
                <w:sz w:val="20"/>
                <w:szCs w:val="20"/>
                <w:color w:val="auto"/>
              </w:rPr>
            </w:pPr>
            <w:r>
              <w:rPr>
                <w:rFonts w:ascii="Arial" w:cs="Arial" w:eastAsia="Arial" w:hAnsi="Arial"/>
                <w:sz w:val="16"/>
                <w:szCs w:val="16"/>
                <w:color w:val="auto"/>
              </w:rPr>
              <w:t>5.7:1</w:t>
            </w:r>
          </w:p>
        </w:tc>
      </w:tr>
      <w:tr>
        <w:trPr>
          <w:trHeight w:val="270"/>
        </w:trPr>
        <w:tc>
          <w:tcPr>
            <w:tcW w:w="65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 xml:space="preserve">Average "at risk" leverage, inclusive of the net TBA position </w:t>
            </w:r>
            <w:r>
              <w:rPr>
                <w:rFonts w:ascii="Arial" w:cs="Arial" w:eastAsia="Arial" w:hAnsi="Arial"/>
                <w:sz w:val="21"/>
                <w:szCs w:val="21"/>
                <w:color w:val="auto"/>
                <w:vertAlign w:val="superscript"/>
              </w:rPr>
              <w:t>13</w:t>
            </w:r>
          </w:p>
        </w:tc>
        <w:tc>
          <w:tcPr>
            <w:tcW w:w="1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7.2:1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6.2:1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7.1:1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6.4:1</w:t>
            </w:r>
          </w:p>
        </w:tc>
      </w:tr>
      <w:tr>
        <w:trPr>
          <w:trHeight w:val="270"/>
        </w:trPr>
        <w:tc>
          <w:tcPr>
            <w:tcW w:w="6540" w:type="dxa"/>
            <w:vAlign w:val="bottom"/>
            <w:gridSpan w:val="2"/>
          </w:tcPr>
          <w:p>
            <w:pPr>
              <w:ind w:left="20"/>
              <w:spacing w:after="0"/>
              <w:rPr>
                <w:sz w:val="20"/>
                <w:szCs w:val="20"/>
                <w:color w:val="auto"/>
              </w:rPr>
            </w:pPr>
            <w:r>
              <w:rPr>
                <w:rFonts w:ascii="Arial" w:cs="Arial" w:eastAsia="Arial" w:hAnsi="Arial"/>
                <w:sz w:val="16"/>
                <w:szCs w:val="16"/>
                <w:color w:val="auto"/>
              </w:rPr>
              <w:t xml:space="preserve">Leverage </w:t>
            </w:r>
            <w:r>
              <w:rPr>
                <w:rFonts w:ascii="Arial" w:cs="Arial" w:eastAsia="Arial" w:hAnsi="Arial"/>
                <w:sz w:val="16"/>
                <w:szCs w:val="16"/>
                <w:i w:val="1"/>
                <w:iCs w:val="1"/>
                <w:color w:val="auto"/>
              </w:rPr>
              <w:t>(as of period end)</w:t>
            </w:r>
            <w:r>
              <w:rPr>
                <w:rFonts w:ascii="Arial" w:cs="Arial" w:eastAsia="Arial" w:hAnsi="Arial"/>
                <w:sz w:val="16"/>
                <w:szCs w:val="16"/>
                <w:color w:val="auto"/>
              </w:rPr>
              <w:t xml:space="preserve"> </w:t>
            </w:r>
            <w:r>
              <w:rPr>
                <w:rFonts w:ascii="Arial" w:cs="Arial" w:eastAsia="Arial" w:hAnsi="Arial"/>
                <w:sz w:val="21"/>
                <w:szCs w:val="21"/>
                <w:color w:val="auto"/>
                <w:vertAlign w:val="superscript"/>
              </w:rPr>
              <w:t>14</w:t>
            </w:r>
          </w:p>
        </w:tc>
        <w:tc>
          <w:tcPr>
            <w:tcW w:w="140" w:type="dxa"/>
            <w:vAlign w:val="bottom"/>
          </w:tcPr>
          <w:p>
            <w:pPr>
              <w:spacing w:after="0"/>
              <w:rPr>
                <w:sz w:val="23"/>
                <w:szCs w:val="23"/>
                <w:color w:val="auto"/>
              </w:rPr>
            </w:pPr>
          </w:p>
        </w:tc>
        <w:tc>
          <w:tcPr>
            <w:tcW w:w="800" w:type="dxa"/>
            <w:vAlign w:val="bottom"/>
          </w:tcPr>
          <w:p>
            <w:pPr>
              <w:jc w:val="right"/>
              <w:ind w:right="139"/>
              <w:spacing w:after="0"/>
              <w:rPr>
                <w:sz w:val="20"/>
                <w:szCs w:val="20"/>
                <w:color w:val="auto"/>
              </w:rPr>
            </w:pPr>
            <w:r>
              <w:rPr>
                <w:rFonts w:ascii="Arial" w:cs="Arial" w:eastAsia="Arial" w:hAnsi="Arial"/>
                <w:sz w:val="16"/>
                <w:szCs w:val="16"/>
                <w:color w:val="auto"/>
              </w:rPr>
              <w:t>6.3:1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jc w:val="right"/>
              <w:ind w:right="139"/>
              <w:spacing w:after="0"/>
              <w:rPr>
                <w:sz w:val="20"/>
                <w:szCs w:val="20"/>
                <w:color w:val="auto"/>
              </w:rPr>
            </w:pPr>
            <w:r>
              <w:rPr>
                <w:rFonts w:ascii="Arial" w:cs="Arial" w:eastAsia="Arial" w:hAnsi="Arial"/>
                <w:sz w:val="16"/>
                <w:szCs w:val="16"/>
                <w:color w:val="auto"/>
              </w:rPr>
              <w:t>5.3:1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jc w:val="right"/>
              <w:ind w:right="140"/>
              <w:spacing w:after="0"/>
              <w:rPr>
                <w:sz w:val="20"/>
                <w:szCs w:val="20"/>
                <w:color w:val="auto"/>
              </w:rPr>
            </w:pPr>
            <w:r>
              <w:rPr>
                <w:rFonts w:ascii="Arial" w:cs="Arial" w:eastAsia="Arial" w:hAnsi="Arial"/>
                <w:sz w:val="16"/>
                <w:szCs w:val="16"/>
                <w:color w:val="auto"/>
              </w:rPr>
              <w:t>6.3:1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jc w:val="right"/>
              <w:ind w:right="139"/>
              <w:spacing w:after="0"/>
              <w:rPr>
                <w:sz w:val="20"/>
                <w:szCs w:val="20"/>
                <w:color w:val="auto"/>
              </w:rPr>
            </w:pPr>
            <w:r>
              <w:rPr>
                <w:rFonts w:ascii="Arial" w:cs="Arial" w:eastAsia="Arial" w:hAnsi="Arial"/>
                <w:sz w:val="16"/>
                <w:szCs w:val="16"/>
                <w:color w:val="auto"/>
              </w:rPr>
              <w:t>5.3:1</w:t>
            </w:r>
          </w:p>
        </w:tc>
      </w:tr>
      <w:tr>
        <w:trPr>
          <w:trHeight w:val="270"/>
        </w:trPr>
        <w:tc>
          <w:tcPr>
            <w:tcW w:w="65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 xml:space="preserve">"At risk" leverage, inclusive of net TBA position </w:t>
            </w:r>
            <w:r>
              <w:rPr>
                <w:rFonts w:ascii="Arial" w:cs="Arial" w:eastAsia="Arial" w:hAnsi="Arial"/>
                <w:sz w:val="16"/>
                <w:szCs w:val="16"/>
                <w:i w:val="1"/>
                <w:iCs w:val="1"/>
                <w:color w:val="auto"/>
              </w:rPr>
              <w:t>(as of period end)</w:t>
            </w:r>
            <w:r>
              <w:rPr>
                <w:rFonts w:ascii="Arial" w:cs="Arial" w:eastAsia="Arial" w:hAnsi="Arial"/>
                <w:sz w:val="16"/>
                <w:szCs w:val="16"/>
                <w:color w:val="auto"/>
              </w:rPr>
              <w:t xml:space="preserve"> </w:t>
            </w:r>
            <w:r>
              <w:rPr>
                <w:rFonts w:ascii="Arial" w:cs="Arial" w:eastAsia="Arial" w:hAnsi="Arial"/>
                <w:sz w:val="21"/>
                <w:szCs w:val="21"/>
                <w:color w:val="auto"/>
                <w:vertAlign w:val="superscript"/>
              </w:rPr>
              <w:t>15</w:t>
            </w:r>
          </w:p>
        </w:tc>
        <w:tc>
          <w:tcPr>
            <w:tcW w:w="1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7.2:1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6.1:1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7.2:1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6.1:1</w:t>
            </w:r>
          </w:p>
        </w:tc>
      </w:tr>
      <w:tr>
        <w:trPr>
          <w:trHeight w:val="237"/>
        </w:trPr>
        <w:tc>
          <w:tcPr>
            <w:tcW w:w="6540" w:type="dxa"/>
            <w:vAlign w:val="bottom"/>
            <w:gridSpan w:val="2"/>
          </w:tcPr>
          <w:p>
            <w:pPr>
              <w:ind w:left="20"/>
              <w:spacing w:after="0"/>
              <w:rPr>
                <w:sz w:val="20"/>
                <w:szCs w:val="20"/>
                <w:color w:val="auto"/>
              </w:rPr>
            </w:pPr>
            <w:r>
              <w:rPr>
                <w:rFonts w:ascii="Arial" w:cs="Arial" w:eastAsia="Arial" w:hAnsi="Arial"/>
                <w:sz w:val="16"/>
                <w:szCs w:val="16"/>
                <w:color w:val="auto"/>
              </w:rPr>
              <w:t>Expenses % of average total assets</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0.27 %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0.21 %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0.25 %</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0.21 %</w:t>
            </w:r>
          </w:p>
        </w:tc>
      </w:tr>
      <w:tr>
        <w:trPr>
          <w:trHeight w:val="33"/>
        </w:trPr>
        <w:tc>
          <w:tcPr>
            <w:tcW w:w="6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Expenses % of average assets, including average net TBA position</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0.24 %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0.19 %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0.22 %</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0.19 %</w:t>
            </w:r>
          </w:p>
        </w:tc>
      </w:tr>
      <w:tr>
        <w:trPr>
          <w:trHeight w:val="237"/>
        </w:trPr>
        <w:tc>
          <w:tcPr>
            <w:tcW w:w="6540" w:type="dxa"/>
            <w:vAlign w:val="bottom"/>
            <w:gridSpan w:val="2"/>
          </w:tcPr>
          <w:p>
            <w:pPr>
              <w:ind w:left="20"/>
              <w:spacing w:after="0"/>
              <w:rPr>
                <w:sz w:val="20"/>
                <w:szCs w:val="20"/>
                <w:color w:val="auto"/>
              </w:rPr>
            </w:pPr>
            <w:r>
              <w:rPr>
                <w:rFonts w:ascii="Arial" w:cs="Arial" w:eastAsia="Arial" w:hAnsi="Arial"/>
                <w:sz w:val="16"/>
                <w:szCs w:val="16"/>
                <w:color w:val="auto"/>
              </w:rPr>
              <w:t>Expenses % of average stockholders' equity</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2.08 %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1.59 %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1.89 %</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1.57 %</w:t>
            </w:r>
          </w:p>
        </w:tc>
      </w:tr>
    </w:tbl>
    <w:p>
      <w:pPr>
        <w:spacing w:after="0" w:line="26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640"/>
          </w:cols>
          <w:pgMar w:left="640" w:top="806" w:right="619" w:bottom="1440" w:gutter="0" w:footer="0" w:header="0"/>
        </w:sectPr>
      </w:pPr>
    </w:p>
    <w:bookmarkStart w:id="38" w:name="page39"/>
    <w:bookmarkEnd w:id="38"/>
    <w:p>
      <w:pPr>
        <w:spacing w:after="0"/>
        <w:rPr>
          <w:sz w:val="20"/>
          <w:szCs w:val="20"/>
          <w:color w:val="auto"/>
        </w:rPr>
      </w:pPr>
      <w:r>
        <w:rPr>
          <w:rFonts w:ascii="Arial" w:cs="Arial" w:eastAsia="Arial" w:hAnsi="Arial"/>
          <w:sz w:val="14"/>
          <w:szCs w:val="14"/>
          <w:color w:val="auto"/>
        </w:rPr>
        <w:t>_______________________</w:t>
      </w:r>
    </w:p>
    <w:p>
      <w:pPr>
        <w:spacing w:after="0" w:line="13" w:lineRule="exact"/>
        <w:rPr>
          <w:sz w:val="20"/>
          <w:szCs w:val="20"/>
          <w:color w:val="auto"/>
        </w:rPr>
      </w:pPr>
    </w:p>
    <w:p>
      <w:pPr>
        <w:ind w:left="340"/>
        <w:spacing w:after="0"/>
        <w:rPr>
          <w:sz w:val="20"/>
          <w:szCs w:val="20"/>
          <w:color w:val="auto"/>
        </w:rPr>
      </w:pPr>
      <w:r>
        <w:rPr>
          <w:rFonts w:ascii="Arial" w:cs="Arial" w:eastAsia="Arial" w:hAnsi="Arial"/>
          <w:sz w:val="14"/>
          <w:szCs w:val="14"/>
          <w:color w:val="auto"/>
        </w:rPr>
        <w:t>* Except as noted below, average numbers for each period are weighted based on days on our books and records. All percentages are annualized.</w:t>
      </w:r>
    </w:p>
    <w:p>
      <w:pPr>
        <w:spacing w:after="0" w:line="151" w:lineRule="exact"/>
        <w:rPr>
          <w:sz w:val="20"/>
          <w:szCs w:val="20"/>
          <w:color w:val="auto"/>
        </w:rPr>
      </w:pPr>
    </w:p>
    <w:p>
      <w:pPr>
        <w:ind w:left="980" w:hanging="648"/>
        <w:spacing w:after="0" w:line="250" w:lineRule="auto"/>
        <w:tabs>
          <w:tab w:leader="none" w:pos="656" w:val="left"/>
        </w:tabs>
        <w:numPr>
          <w:ilvl w:val="0"/>
          <w:numId w:val="25"/>
        </w:numPr>
        <w:rPr>
          <w:rFonts w:ascii="Arial" w:cs="Arial" w:eastAsia="Arial" w:hAnsi="Arial"/>
          <w:sz w:val="14"/>
          <w:szCs w:val="14"/>
          <w:color w:val="auto"/>
        </w:rPr>
      </w:pPr>
      <w:r>
        <w:rPr>
          <w:rFonts w:ascii="Arial" w:cs="Arial" w:eastAsia="Arial" w:hAnsi="Arial"/>
          <w:sz w:val="14"/>
          <w:szCs w:val="14"/>
          <w:color w:val="auto"/>
        </w:rPr>
        <w:t>Net asset value per common share is calculated as our total stockholders' equity, less our Series A and Series B Preferred Stock aggregate liquidation preference, divided by our number of common shares outstanding as of period end.</w:t>
      </w:r>
    </w:p>
    <w:p>
      <w:pPr>
        <w:ind w:left="980" w:hanging="648"/>
        <w:spacing w:after="0" w:line="241" w:lineRule="auto"/>
        <w:tabs>
          <w:tab w:leader="none" w:pos="656" w:val="left"/>
        </w:tabs>
        <w:numPr>
          <w:ilvl w:val="0"/>
          <w:numId w:val="25"/>
        </w:numPr>
        <w:rPr>
          <w:rFonts w:ascii="Arial" w:cs="Arial" w:eastAsia="Arial" w:hAnsi="Arial"/>
          <w:sz w:val="14"/>
          <w:szCs w:val="14"/>
          <w:color w:val="auto"/>
        </w:rPr>
      </w:pPr>
      <w:r>
        <w:rPr>
          <w:rFonts w:ascii="Arial" w:cs="Arial" w:eastAsia="Arial" w:hAnsi="Arial"/>
          <w:sz w:val="14"/>
          <w:szCs w:val="14"/>
          <w:color w:val="auto"/>
        </w:rPr>
        <w:t xml:space="preserve">We voluntarily discontinued hedge accounting for our interest rate swaps as of September 30, 2011. Please refer to our </w:t>
      </w:r>
      <w:r>
        <w:rPr>
          <w:rFonts w:ascii="Arial" w:cs="Arial" w:eastAsia="Arial" w:hAnsi="Arial"/>
          <w:sz w:val="14"/>
          <w:szCs w:val="14"/>
          <w:i w:val="1"/>
          <w:iCs w:val="1"/>
          <w:color w:val="auto"/>
        </w:rPr>
        <w:t>Interest Expense and Cost of Funds</w:t>
      </w:r>
      <w:r>
        <w:rPr>
          <w:rFonts w:ascii="Arial" w:cs="Arial" w:eastAsia="Arial" w:hAnsi="Arial"/>
          <w:sz w:val="14"/>
          <w:szCs w:val="14"/>
          <w:color w:val="auto"/>
        </w:rPr>
        <w:t xml:space="preserve"> discussion in </w:t>
      </w:r>
      <w:r>
        <w:rPr>
          <w:rFonts w:ascii="Arial" w:cs="Arial" w:eastAsia="Arial" w:hAnsi="Arial"/>
          <w:sz w:val="14"/>
          <w:szCs w:val="14"/>
          <w:i w:val="1"/>
          <w:iCs w:val="1"/>
          <w:color w:val="auto"/>
        </w:rPr>
        <w:t>Management's</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Discussion and Analysis of Financial Condition and Results of Operations </w:t>
      </w:r>
      <w:r>
        <w:rPr>
          <w:rFonts w:ascii="Arial" w:cs="Arial" w:eastAsia="Arial" w:hAnsi="Arial"/>
          <w:sz w:val="14"/>
          <w:szCs w:val="14"/>
          <w:color w:val="auto"/>
        </w:rPr>
        <w:t>and Notes 3 and 6 of our</w:t>
      </w:r>
      <w:r>
        <w:rPr>
          <w:rFonts w:ascii="Arial" w:cs="Arial" w:eastAsia="Arial" w:hAnsi="Arial"/>
          <w:sz w:val="14"/>
          <w:szCs w:val="14"/>
          <w:i w:val="1"/>
          <w:iCs w:val="1"/>
          <w:color w:val="auto"/>
        </w:rPr>
        <w:t xml:space="preserve"> Consolidated Financial Statements </w:t>
      </w:r>
      <w:r>
        <w:rPr>
          <w:rFonts w:ascii="Arial" w:cs="Arial" w:eastAsia="Arial" w:hAnsi="Arial"/>
          <w:sz w:val="14"/>
          <w:szCs w:val="14"/>
          <w:color w:val="auto"/>
        </w:rPr>
        <w:t>in this Quarterly Report on Form 10-Q for</w:t>
      </w:r>
      <w:r>
        <w:rPr>
          <w:rFonts w:ascii="Arial" w:cs="Arial" w:eastAsia="Arial" w:hAnsi="Arial"/>
          <w:sz w:val="14"/>
          <w:szCs w:val="14"/>
          <w:i w:val="1"/>
          <w:iCs w:val="1"/>
          <w:color w:val="auto"/>
        </w:rPr>
        <w:t xml:space="preserve"> </w:t>
      </w:r>
      <w:r>
        <w:rPr>
          <w:rFonts w:ascii="Arial" w:cs="Arial" w:eastAsia="Arial" w:hAnsi="Arial"/>
          <w:sz w:val="14"/>
          <w:szCs w:val="14"/>
          <w:color w:val="auto"/>
        </w:rPr>
        <w:t>additional information regarding our discontinuance of hedge accounting.</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Average mortgage borrowings include agency repo, FHLB advances and debt of consolidated VIEs. Amount excludes U.S. Treasury repo agreements and TBA contracts.</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Average stockholders' equity calculated as our average month-end stockholders' equity during the period.</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5"/>
        </w:numPr>
        <w:rPr>
          <w:rFonts w:ascii="Arial" w:cs="Arial" w:eastAsia="Arial" w:hAnsi="Arial"/>
          <w:sz w:val="13"/>
          <w:szCs w:val="13"/>
          <w:color w:val="auto"/>
        </w:rPr>
      </w:pPr>
      <w:r>
        <w:rPr>
          <w:rFonts w:ascii="Arial" w:cs="Arial" w:eastAsia="Arial" w:hAnsi="Arial"/>
          <w:sz w:val="13"/>
          <w:szCs w:val="13"/>
          <w:color w:val="auto"/>
        </w:rPr>
        <w:t>Average coupon for the period was calculated by dividing our total coupon (or cash) interest income on investment securities by our average investment securities held at par.</w:t>
      </w:r>
    </w:p>
    <w:p>
      <w:pPr>
        <w:spacing w:after="0" w:line="12" w:lineRule="exact"/>
        <w:rPr>
          <w:rFonts w:ascii="Arial" w:cs="Arial" w:eastAsia="Arial" w:hAnsi="Arial"/>
          <w:sz w:val="13"/>
          <w:szCs w:val="13"/>
          <w:color w:val="auto"/>
        </w:rPr>
      </w:pPr>
    </w:p>
    <w:p>
      <w:pPr>
        <w:ind w:left="980" w:hanging="648"/>
        <w:spacing w:after="0" w:line="241" w:lineRule="auto"/>
        <w:tabs>
          <w:tab w:leader="none" w:pos="656" w:val="left"/>
        </w:tabs>
        <w:numPr>
          <w:ilvl w:val="0"/>
          <w:numId w:val="25"/>
        </w:numPr>
        <w:rPr>
          <w:rFonts w:ascii="Arial" w:cs="Arial" w:eastAsia="Arial" w:hAnsi="Arial"/>
          <w:sz w:val="14"/>
          <w:szCs w:val="14"/>
          <w:color w:val="auto"/>
        </w:rPr>
      </w:pPr>
      <w:r>
        <w:rPr>
          <w:rFonts w:ascii="Arial" w:cs="Arial" w:eastAsia="Arial" w:hAnsi="Arial"/>
          <w:sz w:val="14"/>
          <w:szCs w:val="14"/>
          <w:color w:val="auto"/>
        </w:rPr>
        <w:t>Average asset yield for the period was calculated by dividing our total cash interest income on investment securities, adjusted for amortization of premiums and discounts, by our average amortized cost of investment securities held.</w:t>
      </w:r>
    </w:p>
    <w:p>
      <w:pPr>
        <w:ind w:left="980" w:hanging="648"/>
        <w:spacing w:after="0" w:line="241" w:lineRule="auto"/>
        <w:tabs>
          <w:tab w:leader="none" w:pos="656" w:val="left"/>
        </w:tabs>
        <w:numPr>
          <w:ilvl w:val="0"/>
          <w:numId w:val="25"/>
        </w:numPr>
        <w:rPr>
          <w:rFonts w:ascii="Arial" w:cs="Arial" w:eastAsia="Arial" w:hAnsi="Arial"/>
          <w:sz w:val="14"/>
          <w:szCs w:val="14"/>
          <w:color w:val="auto"/>
        </w:rPr>
      </w:pPr>
      <w:r>
        <w:rPr>
          <w:rFonts w:ascii="Arial" w:cs="Arial" w:eastAsia="Arial" w:hAnsi="Arial"/>
          <w:sz w:val="14"/>
          <w:szCs w:val="14"/>
          <w:color w:val="auto"/>
        </w:rPr>
        <w:t>Average cost of funds includes mortgage borrowings and interest rate swap periodic costs. Amount excludes interest rate swap termination fees, forward starting swaps and costs associated with other supplemental hedges, such as interest rate swaptions and U.S. Treasury positions. Average cost of funds for the period was calculated by dividing our total cost of funds by our average mortgage borrowings outstanding for the period.</w:t>
      </w:r>
    </w:p>
    <w:p>
      <w:pPr>
        <w:spacing w:after="0" w:line="1" w:lineRule="exact"/>
        <w:rPr>
          <w:rFonts w:ascii="Arial" w:cs="Arial" w:eastAsia="Arial" w:hAnsi="Arial"/>
          <w:sz w:val="14"/>
          <w:szCs w:val="14"/>
          <w:color w:val="auto"/>
        </w:rPr>
      </w:pPr>
    </w:p>
    <w:p>
      <w:pPr>
        <w:ind w:left="980" w:hanging="648"/>
        <w:spacing w:after="0" w:line="241" w:lineRule="auto"/>
        <w:tabs>
          <w:tab w:leader="none" w:pos="656" w:val="left"/>
        </w:tabs>
        <w:numPr>
          <w:ilvl w:val="0"/>
          <w:numId w:val="25"/>
        </w:numPr>
        <w:rPr>
          <w:rFonts w:ascii="Arial" w:cs="Arial" w:eastAsia="Arial" w:hAnsi="Arial"/>
          <w:sz w:val="14"/>
          <w:szCs w:val="14"/>
          <w:color w:val="auto"/>
        </w:rPr>
      </w:pPr>
      <w:r>
        <w:rPr>
          <w:rFonts w:ascii="Arial" w:cs="Arial" w:eastAsia="Arial" w:hAnsi="Arial"/>
          <w:sz w:val="14"/>
          <w:szCs w:val="14"/>
          <w:color w:val="auto"/>
        </w:rPr>
        <w:t>TBA dollar roll income / (loss) is net of short TBAs used for hedging purposes. Dollar roll income excludes the impact of other supplemental hedges, and is recognized in gain (loss) on derivative instruments and other securities, net.</w:t>
      </w:r>
    </w:p>
    <w:p>
      <w:pPr>
        <w:ind w:left="980" w:hanging="648"/>
        <w:spacing w:after="0" w:line="241" w:lineRule="auto"/>
        <w:tabs>
          <w:tab w:leader="none" w:pos="656" w:val="left"/>
        </w:tabs>
        <w:numPr>
          <w:ilvl w:val="0"/>
          <w:numId w:val="25"/>
        </w:numPr>
        <w:rPr>
          <w:rFonts w:ascii="Arial" w:cs="Arial" w:eastAsia="Arial" w:hAnsi="Arial"/>
          <w:sz w:val="14"/>
          <w:szCs w:val="14"/>
          <w:color w:val="auto"/>
        </w:rPr>
      </w:pPr>
      <w:r>
        <w:rPr>
          <w:rFonts w:ascii="Arial" w:cs="Arial" w:eastAsia="Arial" w:hAnsi="Arial"/>
          <w:sz w:val="14"/>
          <w:szCs w:val="14"/>
          <w:color w:val="auto"/>
        </w:rPr>
        <w:t>Average cost of funds as of period end includes mortgage borrowings outstanding, plus the impact of interest rate swaps. Amount excludes costs associated with other supplemental hedges such as swaptions, U.S. Treasuries and TBA positions.</w:t>
      </w:r>
    </w:p>
    <w:p>
      <w:pPr>
        <w:ind w:left="980" w:hanging="648"/>
        <w:spacing w:after="0" w:line="241" w:lineRule="auto"/>
        <w:tabs>
          <w:tab w:leader="none" w:pos="656" w:val="left"/>
        </w:tabs>
        <w:numPr>
          <w:ilvl w:val="0"/>
          <w:numId w:val="25"/>
        </w:numPr>
        <w:rPr>
          <w:rFonts w:ascii="Arial" w:cs="Arial" w:eastAsia="Arial" w:hAnsi="Arial"/>
          <w:sz w:val="14"/>
          <w:szCs w:val="14"/>
          <w:color w:val="auto"/>
        </w:rPr>
      </w:pPr>
      <w:r>
        <w:rPr>
          <w:rFonts w:ascii="Arial" w:cs="Arial" w:eastAsia="Arial" w:hAnsi="Arial"/>
          <w:sz w:val="14"/>
          <w:szCs w:val="14"/>
          <w:color w:val="auto"/>
        </w:rPr>
        <w:t>Net comprehensive income (loss) return on average common equity for the period was calculated by dividing our comprehensive income/(loss) available /(attributable) to common stockholders by our average stockholders' equity, net of the Series A and Series B Preferred Stock aggregate liquidation preference.</w:t>
      </w:r>
    </w:p>
    <w:p>
      <w:pPr>
        <w:ind w:left="980" w:right="20" w:hanging="648"/>
        <w:spacing w:after="0" w:line="241" w:lineRule="auto"/>
        <w:tabs>
          <w:tab w:leader="none" w:pos="656" w:val="left"/>
        </w:tabs>
        <w:numPr>
          <w:ilvl w:val="0"/>
          <w:numId w:val="25"/>
        </w:numPr>
        <w:rPr>
          <w:rFonts w:ascii="Arial" w:cs="Arial" w:eastAsia="Arial" w:hAnsi="Arial"/>
          <w:sz w:val="14"/>
          <w:szCs w:val="14"/>
          <w:color w:val="auto"/>
        </w:rPr>
      </w:pPr>
      <w:r>
        <w:rPr>
          <w:rFonts w:ascii="Arial" w:cs="Arial" w:eastAsia="Arial" w:hAnsi="Arial"/>
          <w:sz w:val="14"/>
          <w:szCs w:val="14"/>
          <w:color w:val="auto"/>
        </w:rPr>
        <w:t>Economic return (loss) on common equity represents the sum of the change in our net asset value per common share and our dividends declared on common stock during the period over our beginning net asset value per common share.</w:t>
      </w:r>
    </w:p>
    <w:p>
      <w:pPr>
        <w:ind w:left="980" w:hanging="648"/>
        <w:spacing w:after="0" w:line="241" w:lineRule="auto"/>
        <w:tabs>
          <w:tab w:leader="none" w:pos="656" w:val="left"/>
        </w:tabs>
        <w:numPr>
          <w:ilvl w:val="0"/>
          <w:numId w:val="25"/>
        </w:numPr>
        <w:rPr>
          <w:rFonts w:ascii="Arial" w:cs="Arial" w:eastAsia="Arial" w:hAnsi="Arial"/>
          <w:sz w:val="14"/>
          <w:szCs w:val="14"/>
          <w:color w:val="auto"/>
        </w:rPr>
      </w:pPr>
      <w:r>
        <w:rPr>
          <w:rFonts w:ascii="Arial" w:cs="Arial" w:eastAsia="Arial" w:hAnsi="Arial"/>
          <w:sz w:val="14"/>
          <w:szCs w:val="14"/>
          <w:color w:val="auto"/>
        </w:rPr>
        <w:t>Average leverage during the period was calculated by dividing our daily weighted average mortgage borrowings outstanding for the period by the sum of our average stockholders' equity less our average investment in REIT equity securities for the period. Leverage excludes U.S. Treasury repurchase agreements.</w:t>
      </w:r>
    </w:p>
    <w:p>
      <w:pPr>
        <w:ind w:left="980" w:right="20" w:hanging="648"/>
        <w:spacing w:after="0" w:line="241" w:lineRule="auto"/>
        <w:tabs>
          <w:tab w:leader="none" w:pos="656" w:val="left"/>
        </w:tabs>
        <w:numPr>
          <w:ilvl w:val="0"/>
          <w:numId w:val="25"/>
        </w:numPr>
        <w:rPr>
          <w:rFonts w:ascii="Arial" w:cs="Arial" w:eastAsia="Arial" w:hAnsi="Arial"/>
          <w:sz w:val="14"/>
          <w:szCs w:val="14"/>
          <w:color w:val="auto"/>
        </w:rPr>
      </w:pPr>
      <w:r>
        <w:rPr>
          <w:rFonts w:ascii="Arial" w:cs="Arial" w:eastAsia="Arial" w:hAnsi="Arial"/>
          <w:sz w:val="14"/>
          <w:szCs w:val="14"/>
          <w:color w:val="auto"/>
        </w:rPr>
        <w:t>Average "at risk" leverage, inclusive of net TBA portfolio, during the period includes the components of "average leverage" plus our daily weighted average net TBA dollar position (at cost) during the period.</w:t>
      </w:r>
    </w:p>
    <w:p>
      <w:pPr>
        <w:ind w:left="980" w:hanging="648"/>
        <w:spacing w:after="0" w:line="241" w:lineRule="auto"/>
        <w:tabs>
          <w:tab w:leader="none" w:pos="656" w:val="left"/>
        </w:tabs>
        <w:numPr>
          <w:ilvl w:val="0"/>
          <w:numId w:val="25"/>
        </w:numPr>
        <w:rPr>
          <w:rFonts w:ascii="Arial" w:cs="Arial" w:eastAsia="Arial" w:hAnsi="Arial"/>
          <w:sz w:val="14"/>
          <w:szCs w:val="14"/>
          <w:color w:val="auto"/>
        </w:rPr>
      </w:pPr>
      <w:r>
        <w:rPr>
          <w:rFonts w:ascii="Arial" w:cs="Arial" w:eastAsia="Arial" w:hAnsi="Arial"/>
          <w:sz w:val="14"/>
          <w:szCs w:val="14"/>
          <w:color w:val="auto"/>
        </w:rPr>
        <w:t>Leverage at period end is calculated by dividing the sum of our mortgage borrowings outstanding and our receivable / payable for unsettled investment securities by the sum of our total stockholders' equity less the fair value of investments in REIT equity securities at period end. Leverage excludes U.S. Treasury repurchase agreements.</w:t>
      </w:r>
    </w:p>
    <w:p>
      <w:pPr>
        <w:ind w:left="980" w:right="20" w:hanging="648"/>
        <w:spacing w:after="0" w:line="255" w:lineRule="auto"/>
        <w:tabs>
          <w:tab w:leader="none" w:pos="656" w:val="left"/>
        </w:tabs>
        <w:numPr>
          <w:ilvl w:val="0"/>
          <w:numId w:val="25"/>
        </w:numPr>
        <w:rPr>
          <w:rFonts w:ascii="Arial" w:cs="Arial" w:eastAsia="Arial" w:hAnsi="Arial"/>
          <w:sz w:val="14"/>
          <w:szCs w:val="14"/>
          <w:color w:val="auto"/>
        </w:rPr>
      </w:pPr>
      <w:r>
        <w:rPr>
          <w:rFonts w:ascii="Arial" w:cs="Arial" w:eastAsia="Arial" w:hAnsi="Arial"/>
          <w:sz w:val="14"/>
          <w:szCs w:val="14"/>
          <w:color w:val="auto"/>
        </w:rPr>
        <w:t>"At risk" leverage at period end, inclusive of net TBA position, includes the components of "leverage (as of period end)" plus our net TBA dollar roll position outstanding as of period end, at cost.</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and Asset Yield</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interest income for the three and six months ended June 30, 2016 and 2015 (dollars in millions):</w:t>
      </w:r>
    </w:p>
    <w:p>
      <w:pPr>
        <w:spacing w:after="0" w:line="392"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39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8"/>
          </w:tcPr>
          <w:p>
            <w:pPr>
              <w:jc w:val="right"/>
              <w:ind w:right="220"/>
              <w:spacing w:after="0"/>
              <w:rPr>
                <w:sz w:val="20"/>
                <w:szCs w:val="20"/>
                <w:color w:val="auto"/>
              </w:rPr>
            </w:pPr>
            <w:r>
              <w:rPr>
                <w:rFonts w:ascii="Arial" w:cs="Arial" w:eastAsia="Arial" w:hAnsi="Arial"/>
                <w:sz w:val="14"/>
                <w:szCs w:val="14"/>
                <w:b w:val="1"/>
                <w:bCs w:val="1"/>
                <w:color w:val="auto"/>
                <w:w w:val="97"/>
              </w:rPr>
              <w:t>Three Months Ended June 30,</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7"/>
          </w:tcPr>
          <w:p>
            <w:pPr>
              <w:jc w:val="right"/>
              <w:ind w:right="320"/>
              <w:spacing w:after="0"/>
              <w:rPr>
                <w:sz w:val="20"/>
                <w:szCs w:val="20"/>
                <w:color w:val="auto"/>
              </w:rPr>
            </w:pPr>
            <w:r>
              <w:rPr>
                <w:rFonts w:ascii="Arial" w:cs="Arial" w:eastAsia="Arial" w:hAnsi="Arial"/>
                <w:sz w:val="14"/>
                <w:szCs w:val="14"/>
                <w:b w:val="1"/>
                <w:bCs w:val="1"/>
                <w:color w:val="auto"/>
                <w:w w:val="95"/>
              </w:rPr>
              <w:t>Six Months Ended June 30,</w:t>
            </w:r>
          </w:p>
        </w:tc>
        <w:tc>
          <w:tcPr>
            <w:tcW w:w="680" w:type="dxa"/>
            <w:vAlign w:val="bottom"/>
            <w:tcBorders>
              <w:bottom w:val="single" w:sz="8" w:color="auto"/>
            </w:tcBorders>
          </w:tcPr>
          <w:p>
            <w:pPr>
              <w:spacing w:after="0"/>
              <w:rPr>
                <w:sz w:val="16"/>
                <w:szCs w:val="16"/>
                <w:color w:val="auto"/>
              </w:rPr>
            </w:pPr>
          </w:p>
        </w:tc>
      </w:tr>
      <w:tr>
        <w:trPr>
          <w:trHeight w:val="264"/>
        </w:trPr>
        <w:tc>
          <w:tcPr>
            <w:tcW w:w="39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2016</w:t>
            </w:r>
          </w:p>
        </w:tc>
        <w:tc>
          <w:tcPr>
            <w:tcW w:w="6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2015</w:t>
            </w:r>
          </w:p>
        </w:tc>
        <w:tc>
          <w:tcPr>
            <w:tcW w:w="6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2016</w:t>
            </w:r>
          </w:p>
        </w:tc>
        <w:tc>
          <w:tcPr>
            <w:tcW w:w="6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2015</w:t>
            </w:r>
          </w:p>
        </w:tc>
        <w:tc>
          <w:tcPr>
            <w:tcW w:w="680" w:type="dxa"/>
            <w:vAlign w:val="bottom"/>
            <w:tcBorders>
              <w:bottom w:val="single" w:sz="8" w:color="auto"/>
            </w:tcBorders>
          </w:tcPr>
          <w:p>
            <w:pPr>
              <w:spacing w:after="0"/>
              <w:rPr>
                <w:sz w:val="22"/>
                <w:szCs w:val="22"/>
                <w:color w:val="auto"/>
              </w:rPr>
            </w:pPr>
          </w:p>
        </w:tc>
      </w:tr>
      <w:tr>
        <w:trPr>
          <w:trHeight w:val="264"/>
        </w:trPr>
        <w:tc>
          <w:tcPr>
            <w:tcW w:w="3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94"/>
              </w:rPr>
              <w:t>Amount</w:t>
            </w:r>
          </w:p>
        </w:tc>
        <w:tc>
          <w:tcPr>
            <w:tcW w:w="760" w:type="dxa"/>
            <w:vAlign w:val="bottom"/>
            <w:gridSpan w:val="2"/>
          </w:tcPr>
          <w:p>
            <w:pPr>
              <w:ind w:left="80"/>
              <w:spacing w:after="0"/>
              <w:rPr>
                <w:sz w:val="20"/>
                <w:szCs w:val="20"/>
                <w:color w:val="auto"/>
              </w:rPr>
            </w:pPr>
            <w:r>
              <w:rPr>
                <w:rFonts w:ascii="Arial" w:cs="Arial" w:eastAsia="Arial" w:hAnsi="Arial"/>
                <w:sz w:val="14"/>
                <w:szCs w:val="14"/>
                <w:b w:val="1"/>
                <w:bCs w:val="1"/>
                <w:color w:val="auto"/>
              </w:rPr>
              <w:t>Yield</w:t>
            </w:r>
          </w:p>
        </w:tc>
        <w:tc>
          <w:tcPr>
            <w:tcW w:w="140" w:type="dxa"/>
            <w:vAlign w:val="bottom"/>
          </w:tcPr>
          <w:p>
            <w:pPr>
              <w:spacing w:after="0"/>
              <w:rPr>
                <w:sz w:val="22"/>
                <w:szCs w:val="22"/>
                <w:color w:val="auto"/>
              </w:rPr>
            </w:pPr>
          </w:p>
        </w:tc>
        <w:tc>
          <w:tcPr>
            <w:tcW w:w="98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94"/>
              </w:rPr>
              <w:t>Amount</w:t>
            </w:r>
          </w:p>
        </w:tc>
        <w:tc>
          <w:tcPr>
            <w:tcW w:w="760" w:type="dxa"/>
            <w:vAlign w:val="bottom"/>
            <w:gridSpan w:val="2"/>
          </w:tcPr>
          <w:p>
            <w:pPr>
              <w:ind w:left="80"/>
              <w:spacing w:after="0"/>
              <w:rPr>
                <w:sz w:val="20"/>
                <w:szCs w:val="20"/>
                <w:color w:val="auto"/>
              </w:rPr>
            </w:pPr>
            <w:r>
              <w:rPr>
                <w:rFonts w:ascii="Arial" w:cs="Arial" w:eastAsia="Arial" w:hAnsi="Arial"/>
                <w:sz w:val="14"/>
                <w:szCs w:val="14"/>
                <w:b w:val="1"/>
                <w:bCs w:val="1"/>
                <w:color w:val="auto"/>
              </w:rPr>
              <w:t>Yield</w:t>
            </w:r>
          </w:p>
        </w:tc>
        <w:tc>
          <w:tcPr>
            <w:tcW w:w="140" w:type="dxa"/>
            <w:vAlign w:val="bottom"/>
          </w:tcPr>
          <w:p>
            <w:pPr>
              <w:spacing w:after="0"/>
              <w:rPr>
                <w:sz w:val="22"/>
                <w:szCs w:val="22"/>
                <w:color w:val="auto"/>
              </w:rPr>
            </w:pPr>
          </w:p>
        </w:tc>
        <w:tc>
          <w:tcPr>
            <w:tcW w:w="980" w:type="dxa"/>
            <w:vAlign w:val="bottom"/>
            <w:gridSpan w:val="3"/>
          </w:tcPr>
          <w:p>
            <w:pPr>
              <w:jc w:val="right"/>
              <w:ind w:right="388"/>
              <w:spacing w:after="0"/>
              <w:rPr>
                <w:sz w:val="20"/>
                <w:szCs w:val="20"/>
                <w:color w:val="auto"/>
              </w:rPr>
            </w:pPr>
            <w:r>
              <w:rPr>
                <w:rFonts w:ascii="Arial" w:cs="Arial" w:eastAsia="Arial" w:hAnsi="Arial"/>
                <w:sz w:val="14"/>
                <w:szCs w:val="14"/>
                <w:b w:val="1"/>
                <w:bCs w:val="1"/>
                <w:color w:val="auto"/>
                <w:w w:val="94"/>
              </w:rPr>
              <w:t>Amount</w:t>
            </w:r>
          </w:p>
        </w:tc>
        <w:tc>
          <w:tcPr>
            <w:tcW w:w="780" w:type="dxa"/>
            <w:vAlign w:val="bottom"/>
            <w:gridSpan w:val="2"/>
          </w:tcPr>
          <w:p>
            <w:pPr>
              <w:ind w:left="80"/>
              <w:spacing w:after="0"/>
              <w:rPr>
                <w:sz w:val="20"/>
                <w:szCs w:val="20"/>
                <w:color w:val="auto"/>
              </w:rPr>
            </w:pPr>
            <w:r>
              <w:rPr>
                <w:rFonts w:ascii="Arial" w:cs="Arial" w:eastAsia="Arial" w:hAnsi="Arial"/>
                <w:sz w:val="14"/>
                <w:szCs w:val="14"/>
                <w:b w:val="1"/>
                <w:bCs w:val="1"/>
                <w:color w:val="auto"/>
              </w:rPr>
              <w:t>Yield</w:t>
            </w:r>
          </w:p>
        </w:tc>
        <w:tc>
          <w:tcPr>
            <w:tcW w:w="120" w:type="dxa"/>
            <w:vAlign w:val="bottom"/>
          </w:tcPr>
          <w:p>
            <w:pPr>
              <w:spacing w:after="0"/>
              <w:rPr>
                <w:sz w:val="22"/>
                <w:szCs w:val="22"/>
                <w:color w:val="auto"/>
              </w:rPr>
            </w:pPr>
          </w:p>
        </w:tc>
        <w:tc>
          <w:tcPr>
            <w:tcW w:w="100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98"/>
              </w:rPr>
              <w:t>Amount</w:t>
            </w:r>
          </w:p>
        </w:tc>
        <w:tc>
          <w:tcPr>
            <w:tcW w:w="680" w:type="dxa"/>
            <w:vAlign w:val="bottom"/>
          </w:tcPr>
          <w:p>
            <w:pPr>
              <w:jc w:val="right"/>
              <w:ind w:right="208"/>
              <w:spacing w:after="0"/>
              <w:rPr>
                <w:sz w:val="20"/>
                <w:szCs w:val="20"/>
                <w:color w:val="auto"/>
              </w:rPr>
            </w:pPr>
            <w:r>
              <w:rPr>
                <w:rFonts w:ascii="Arial" w:cs="Arial" w:eastAsia="Arial" w:hAnsi="Arial"/>
                <w:sz w:val="14"/>
                <w:szCs w:val="14"/>
                <w:b w:val="1"/>
                <w:bCs w:val="1"/>
                <w:color w:val="auto"/>
              </w:rPr>
              <w:t>Yield</w:t>
            </w:r>
          </w:p>
        </w:tc>
      </w:tr>
      <w:tr>
        <w:trPr>
          <w:trHeight w:val="250"/>
        </w:trPr>
        <w:tc>
          <w:tcPr>
            <w:tcW w:w="3920" w:type="dxa"/>
            <w:vAlign w:val="bottom"/>
          </w:tcPr>
          <w:p>
            <w:pPr>
              <w:ind w:left="20"/>
              <w:spacing w:after="0"/>
              <w:rPr>
                <w:sz w:val="20"/>
                <w:szCs w:val="20"/>
                <w:color w:val="auto"/>
              </w:rPr>
            </w:pPr>
            <w:r>
              <w:rPr>
                <w:rFonts w:ascii="Arial" w:cs="Arial" w:eastAsia="Arial" w:hAnsi="Arial"/>
                <w:sz w:val="14"/>
                <w:szCs w:val="14"/>
                <w:color w:val="auto"/>
              </w:rPr>
              <w:t>Cash/coupon interest income</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452</w:t>
            </w: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3.63 %</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483</w:t>
            </w: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3.60 %</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897</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3.63 %</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999</w:t>
            </w: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3.62 %</w:t>
            </w:r>
          </w:p>
        </w:tc>
      </w:tr>
      <w:tr>
        <w:trPr>
          <w:trHeight w:val="270"/>
        </w:trPr>
        <w:tc>
          <w:tcPr>
            <w:tcW w:w="3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premium amortization</w:t>
            </w:r>
          </w:p>
        </w:tc>
        <w:tc>
          <w:tcPr>
            <w:tcW w:w="12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(134)</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(69)</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(0.65)%</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(284)</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(202)</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(0.86)%</w:t>
            </w:r>
          </w:p>
        </w:tc>
      </w:tr>
      <w:tr>
        <w:trPr>
          <w:trHeight w:val="283"/>
        </w:trPr>
        <w:tc>
          <w:tcPr>
            <w:tcW w:w="39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Interest income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318</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2.46 %</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414</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2.95 %</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613</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2.39 %</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797</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2.76 %</w:t>
            </w:r>
          </w:p>
        </w:tc>
      </w:tr>
      <w:tr>
        <w:trPr>
          <w:trHeight w:val="110"/>
        </w:trPr>
        <w:tc>
          <w:tcPr>
            <w:tcW w:w="3920" w:type="dxa"/>
            <w:vAlign w:val="bottom"/>
            <w:shd w:val="clear" w:color="auto" w:fill="CCEEFF"/>
          </w:tcPr>
          <w:p>
            <w:pPr>
              <w:ind w:left="20"/>
              <w:spacing w:after="0" w:line="110" w:lineRule="exact"/>
              <w:rPr>
                <w:sz w:val="20"/>
                <w:szCs w:val="20"/>
                <w:color w:val="auto"/>
              </w:rPr>
            </w:pPr>
            <w:r>
              <w:rPr>
                <w:rFonts w:ascii="Arial" w:cs="Arial" w:eastAsia="Arial" w:hAnsi="Arial"/>
                <w:sz w:val="12"/>
                <w:szCs w:val="12"/>
                <w:color w:val="auto"/>
              </w:rPr>
              <w:t>Weighted average actual portfolio CPR for securities held during</w:t>
            </w:r>
          </w:p>
        </w:tc>
        <w:tc>
          <w:tcPr>
            <w:tcW w:w="1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r>
      <w:tr>
        <w:trPr>
          <w:trHeight w:val="194"/>
        </w:trPr>
        <w:tc>
          <w:tcPr>
            <w:tcW w:w="3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the period</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r>
      <w:tr>
        <w:trPr>
          <w:trHeight w:val="157"/>
        </w:trPr>
        <w:tc>
          <w:tcPr>
            <w:tcW w:w="3920" w:type="dxa"/>
            <w:vAlign w:val="bottom"/>
          </w:tcPr>
          <w:p>
            <w:pPr>
              <w:ind w:left="20"/>
              <w:spacing w:after="0" w:line="157" w:lineRule="exact"/>
              <w:rPr>
                <w:sz w:val="20"/>
                <w:szCs w:val="20"/>
                <w:color w:val="auto"/>
              </w:rPr>
            </w:pPr>
            <w:r>
              <w:rPr>
                <w:rFonts w:ascii="Arial" w:cs="Arial" w:eastAsia="Arial" w:hAnsi="Arial"/>
                <w:sz w:val="14"/>
                <w:szCs w:val="14"/>
                <w:color w:val="auto"/>
              </w:rPr>
              <w:t>Weighted average projected CPR for the remaining life of</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88"/>
        </w:trPr>
        <w:tc>
          <w:tcPr>
            <w:tcW w:w="3920" w:type="dxa"/>
            <w:vAlign w:val="bottom"/>
          </w:tcPr>
          <w:p>
            <w:pPr>
              <w:ind w:left="20"/>
              <w:spacing w:after="0"/>
              <w:rPr>
                <w:sz w:val="20"/>
                <w:szCs w:val="20"/>
                <w:color w:val="auto"/>
              </w:rPr>
            </w:pPr>
            <w:r>
              <w:rPr>
                <w:rFonts w:ascii="Arial" w:cs="Arial" w:eastAsia="Arial" w:hAnsi="Arial"/>
                <w:sz w:val="14"/>
                <w:szCs w:val="14"/>
                <w:color w:val="auto"/>
              </w:rPr>
              <w:t>securities held as of period end</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76"/>
        </w:trPr>
        <w:tc>
          <w:tcPr>
            <w:tcW w:w="3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Average 30-year fixed rate mortgage rate as of period end </w:t>
            </w:r>
            <w:r>
              <w:rPr>
                <w:rFonts w:ascii="Arial" w:cs="Arial" w:eastAsia="Arial" w:hAnsi="Arial"/>
                <w:sz w:val="8"/>
                <w:szCs w:val="8"/>
                <w:color w:val="auto"/>
              </w:rPr>
              <w:t>1</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r>
      <w:tr>
        <w:trPr>
          <w:trHeight w:val="258"/>
        </w:trPr>
        <w:tc>
          <w:tcPr>
            <w:tcW w:w="3920" w:type="dxa"/>
            <w:vAlign w:val="bottom"/>
          </w:tcPr>
          <w:p>
            <w:pPr>
              <w:ind w:left="20"/>
              <w:spacing w:after="0"/>
              <w:rPr>
                <w:sz w:val="20"/>
                <w:szCs w:val="20"/>
                <w:color w:val="auto"/>
              </w:rPr>
            </w:pPr>
            <w:r>
              <w:rPr>
                <w:rFonts w:ascii="Arial" w:cs="Arial" w:eastAsia="Arial" w:hAnsi="Arial"/>
                <w:sz w:val="14"/>
                <w:szCs w:val="14"/>
                <w:color w:val="auto"/>
              </w:rPr>
              <w:t>10-year U.S. Treasury rate as of period end</w:t>
            </w:r>
          </w:p>
        </w:tc>
        <w:tc>
          <w:tcPr>
            <w:tcW w:w="1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1.49%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2.33%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1.49%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2.33%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r>
      <w:tr>
        <w:trPr>
          <w:trHeight w:val="216"/>
        </w:trPr>
        <w:tc>
          <w:tcPr>
            <w:tcW w:w="3920" w:type="dxa"/>
            <w:vAlign w:val="bottom"/>
          </w:tcPr>
          <w:p>
            <w:pPr>
              <w:ind w:left="20"/>
              <w:spacing w:after="0"/>
              <w:rPr>
                <w:sz w:val="20"/>
                <w:szCs w:val="20"/>
                <w:color w:val="auto"/>
              </w:rPr>
            </w:pPr>
            <w:r>
              <w:rPr>
                <w:rFonts w:ascii="Arial" w:cs="Arial" w:eastAsia="Arial" w:hAnsi="Arial"/>
                <w:sz w:val="14"/>
                <w:szCs w:val="14"/>
                <w:color w:val="auto"/>
              </w:rPr>
              <w:t>_______________________</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r>
    </w:tbl>
    <w:p>
      <w:pPr>
        <w:spacing w:after="0" w:line="7"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Source: Freddie Mac Primary Fixed Mortgage Rate Mortgage Market Survey</w:t>
      </w:r>
    </w:p>
    <w:p>
      <w:pPr>
        <w:spacing w:after="0" w:line="30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principal elements impacting our interest income are the size of our average investment portfolio and the yield on our investments. The following is a summary of the estimated impact of each of these elements on the decline in interest income compared to the prior year period for the three and six months ended June 30, 2016 (in millions):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634" w:right="239" w:bottom="1440" w:gutter="0" w:footer="0" w:header="0"/>
        </w:sectPr>
      </w:pPr>
    </w:p>
    <w:bookmarkStart w:id="39" w:name="page40"/>
    <w:bookmarkEnd w:id="39"/>
    <w:p>
      <w:pPr>
        <w:jc w:val="center"/>
        <w:spacing w:after="0"/>
        <w:rPr>
          <w:sz w:val="20"/>
          <w:szCs w:val="20"/>
          <w:color w:val="auto"/>
        </w:rPr>
      </w:pPr>
      <w:r>
        <w:rPr>
          <w:rFonts w:ascii="Arial" w:cs="Arial" w:eastAsia="Arial" w:hAnsi="Arial"/>
          <w:sz w:val="14"/>
          <w:szCs w:val="14"/>
          <w:b w:val="1"/>
          <w:bCs w:val="1"/>
          <w:color w:val="auto"/>
        </w:rPr>
        <w:t>Impact of Changes in the Principal Elements Impacting Interest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23495</wp:posOffset>
            </wp:positionV>
            <wp:extent cx="69208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0865" cy="8890"/>
                    </a:xfrm>
                    <a:prstGeom prst="rect">
                      <a:avLst/>
                    </a:prstGeom>
                    <a:noFill/>
                  </pic:spPr>
                </pic:pic>
              </a:graphicData>
            </a:graphic>
          </wp:anchor>
        </w:drawing>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Periods Ended June 30, 2016 vs. June 30,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23495</wp:posOffset>
            </wp:positionV>
            <wp:extent cx="69208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20865" cy="8890"/>
                    </a:xfrm>
                    <a:prstGeom prst="rect">
                      <a:avLst/>
                    </a:prstGeom>
                    <a:noFill/>
                  </pic:spPr>
                </pic:pic>
              </a:graphicData>
            </a:graphic>
          </wp:anchor>
        </w:drawing>
      </w:r>
    </w:p>
    <w:p>
      <w:pPr>
        <w:spacing w:after="0" w:line="103" w:lineRule="exact"/>
        <w:rPr>
          <w:sz w:val="20"/>
          <w:szCs w:val="20"/>
          <w:color w:val="auto"/>
        </w:rPr>
      </w:pPr>
    </w:p>
    <w:tbl>
      <w:tblPr>
        <w:tblLayout w:type="fixed"/>
        <w:tblInd w:w="26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Due to Change in Average</w:t>
            </w:r>
          </w:p>
        </w:tc>
        <w:tc>
          <w:tcPr>
            <w:tcW w:w="1080" w:type="dxa"/>
            <w:vAlign w:val="bottom"/>
            <w:tcBorders>
              <w:bottom w:val="single" w:sz="8" w:color="auto"/>
            </w:tcBorders>
          </w:tcPr>
          <w:p>
            <w:pPr>
              <w:spacing w:after="0"/>
              <w:rPr>
                <w:sz w:val="16"/>
                <w:szCs w:val="16"/>
                <w:color w:val="auto"/>
              </w:rPr>
            </w:pPr>
          </w:p>
        </w:tc>
      </w:tr>
      <w:tr>
        <w:trPr>
          <w:trHeight w:val="153"/>
        </w:trPr>
        <w:tc>
          <w:tcPr>
            <w:tcW w:w="5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8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2"/>
              </w:rPr>
              <w:t>Total Increase /</w:t>
            </w:r>
          </w:p>
        </w:tc>
        <w:tc>
          <w:tcPr>
            <w:tcW w:w="380" w:type="dxa"/>
            <w:vAlign w:val="bottom"/>
          </w:tcPr>
          <w:p>
            <w:pPr>
              <w:spacing w:after="0"/>
              <w:rPr>
                <w:sz w:val="13"/>
                <w:szCs w:val="13"/>
                <w:color w:val="auto"/>
              </w:rPr>
            </w:pPr>
          </w:p>
        </w:tc>
        <w:tc>
          <w:tcPr>
            <w:tcW w:w="1580" w:type="dxa"/>
            <w:vAlign w:val="bottom"/>
            <w:gridSpan w:val="2"/>
          </w:tcPr>
          <w:p>
            <w:pPr>
              <w:jc w:val="center"/>
              <w:ind w:right="500"/>
              <w:spacing w:after="0" w:line="153" w:lineRule="exact"/>
              <w:rPr>
                <w:sz w:val="20"/>
                <w:szCs w:val="20"/>
                <w:color w:val="auto"/>
              </w:rPr>
            </w:pPr>
            <w:r>
              <w:rPr>
                <w:rFonts w:ascii="Arial" w:cs="Arial" w:eastAsia="Arial" w:hAnsi="Arial"/>
                <w:sz w:val="14"/>
                <w:szCs w:val="14"/>
                <w:b w:val="1"/>
                <w:bCs w:val="1"/>
                <w:color w:val="auto"/>
                <w:w w:val="97"/>
              </w:rPr>
              <w:t>Portfolio</w:t>
            </w:r>
          </w:p>
        </w:tc>
        <w:tc>
          <w:tcPr>
            <w:tcW w:w="760" w:type="dxa"/>
            <w:vAlign w:val="bottom"/>
          </w:tcPr>
          <w:p>
            <w:pPr>
              <w:spacing w:after="0"/>
              <w:rPr>
                <w:sz w:val="13"/>
                <w:szCs w:val="13"/>
                <w:color w:val="auto"/>
              </w:rPr>
            </w:pPr>
          </w:p>
        </w:tc>
        <w:tc>
          <w:tcPr>
            <w:tcW w:w="1080" w:type="dxa"/>
            <w:vAlign w:val="bottom"/>
          </w:tcPr>
          <w:p>
            <w:pPr>
              <w:jc w:val="right"/>
              <w:ind w:right="688"/>
              <w:spacing w:after="0" w:line="153" w:lineRule="exact"/>
              <w:rPr>
                <w:sz w:val="20"/>
                <w:szCs w:val="20"/>
                <w:color w:val="auto"/>
              </w:rPr>
            </w:pPr>
            <w:r>
              <w:rPr>
                <w:rFonts w:ascii="Arial" w:cs="Arial" w:eastAsia="Arial" w:hAnsi="Arial"/>
                <w:sz w:val="14"/>
                <w:szCs w:val="14"/>
                <w:b w:val="1"/>
                <w:bCs w:val="1"/>
                <w:color w:val="auto"/>
                <w:w w:val="78"/>
              </w:rPr>
              <w:t>Asset</w:t>
            </w:r>
          </w:p>
        </w:tc>
      </w:tr>
      <w:tr>
        <w:trPr>
          <w:trHeight w:val="192"/>
        </w:trPr>
        <w:tc>
          <w:tcPr>
            <w:tcW w:w="5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(Decrease)</w:t>
            </w:r>
          </w:p>
        </w:tc>
        <w:tc>
          <w:tcPr>
            <w:tcW w:w="380" w:type="dxa"/>
            <w:vAlign w:val="bottom"/>
          </w:tcPr>
          <w:p>
            <w:pPr>
              <w:spacing w:after="0"/>
              <w:rPr>
                <w:sz w:val="16"/>
                <w:szCs w:val="16"/>
                <w:color w:val="auto"/>
              </w:rPr>
            </w:pPr>
          </w:p>
        </w:tc>
        <w:tc>
          <w:tcPr>
            <w:tcW w:w="15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5"/>
              </w:rPr>
              <w:t>Size</w:t>
            </w:r>
          </w:p>
        </w:tc>
        <w:tc>
          <w:tcPr>
            <w:tcW w:w="760" w:type="dxa"/>
            <w:vAlign w:val="bottom"/>
          </w:tcPr>
          <w:p>
            <w:pPr>
              <w:spacing w:after="0"/>
              <w:rPr>
                <w:sz w:val="16"/>
                <w:szCs w:val="16"/>
                <w:color w:val="auto"/>
              </w:rPr>
            </w:pPr>
          </w:p>
        </w:tc>
        <w:tc>
          <w:tcPr>
            <w:tcW w:w="1080" w:type="dxa"/>
            <w:vAlign w:val="bottom"/>
          </w:tcPr>
          <w:p>
            <w:pPr>
              <w:jc w:val="right"/>
              <w:ind w:right="688"/>
              <w:spacing w:after="0"/>
              <w:rPr>
                <w:sz w:val="20"/>
                <w:szCs w:val="20"/>
                <w:color w:val="auto"/>
              </w:rPr>
            </w:pPr>
            <w:r>
              <w:rPr>
                <w:rFonts w:ascii="Arial" w:cs="Arial" w:eastAsia="Arial" w:hAnsi="Arial"/>
                <w:sz w:val="14"/>
                <w:szCs w:val="14"/>
                <w:b w:val="1"/>
                <w:bCs w:val="1"/>
                <w:color w:val="auto"/>
                <w:w w:val="89"/>
              </w:rPr>
              <w:t>Yield</w:t>
            </w:r>
          </w:p>
        </w:tc>
      </w:tr>
      <w:tr>
        <w:trPr>
          <w:trHeight w:val="256"/>
        </w:trPr>
        <w:tc>
          <w:tcPr>
            <w:tcW w:w="5140" w:type="dxa"/>
            <w:vAlign w:val="bottom"/>
            <w:tcBorders>
              <w:top w:val="single" w:sz="8" w:color="BFE4FF"/>
            </w:tcBorders>
            <w:shd w:val="clear" w:color="auto" w:fill="BFE4FF"/>
          </w:tcPr>
          <w:p>
            <w:pPr>
              <w:ind w:left="40"/>
              <w:spacing w:after="0"/>
              <w:rPr>
                <w:sz w:val="20"/>
                <w:szCs w:val="20"/>
                <w:color w:val="auto"/>
              </w:rPr>
            </w:pPr>
            <w:r>
              <w:rPr>
                <w:rFonts w:ascii="Arial" w:cs="Arial" w:eastAsia="Arial" w:hAnsi="Arial"/>
                <w:sz w:val="14"/>
                <w:szCs w:val="14"/>
                <w:color w:val="auto"/>
              </w:rPr>
              <w:t>Three months ended</w:t>
            </w:r>
          </w:p>
        </w:tc>
        <w:tc>
          <w:tcPr>
            <w:tcW w:w="280" w:type="dxa"/>
            <w:vAlign w:val="bottom"/>
            <w:tcBorders>
              <w:top w:val="single" w:sz="8" w:color="auto"/>
            </w:tcBorders>
            <w:shd w:val="clear" w:color="auto" w:fill="BFE4FF"/>
          </w:tcPr>
          <w:p>
            <w:pPr>
              <w:jc w:val="right"/>
              <w:ind w:right="108"/>
              <w:spacing w:after="0"/>
              <w:rPr>
                <w:sz w:val="20"/>
                <w:szCs w:val="20"/>
                <w:color w:val="auto"/>
              </w:rPr>
            </w:pPr>
            <w:r>
              <w:rPr>
                <w:rFonts w:ascii="Arial" w:cs="Arial" w:eastAsia="Arial" w:hAnsi="Arial"/>
                <w:sz w:val="14"/>
                <w:szCs w:val="14"/>
                <w:color w:val="auto"/>
              </w:rPr>
              <w:t>$</w:t>
            </w:r>
          </w:p>
        </w:tc>
        <w:tc>
          <w:tcPr>
            <w:tcW w:w="156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4"/>
                <w:szCs w:val="14"/>
                <w:color w:val="auto"/>
              </w:rPr>
              <w:t>(96)</w:t>
            </w:r>
          </w:p>
        </w:tc>
        <w:tc>
          <w:tcPr>
            <w:tcW w:w="120" w:type="dxa"/>
            <w:vAlign w:val="bottom"/>
            <w:tcBorders>
              <w:top w:val="single" w:sz="8" w:color="BFE4FF"/>
            </w:tcBorders>
            <w:shd w:val="clear" w:color="auto" w:fill="BFE4FF"/>
          </w:tcPr>
          <w:p>
            <w:pPr>
              <w:spacing w:after="0"/>
              <w:rPr>
                <w:sz w:val="22"/>
                <w:szCs w:val="22"/>
                <w:color w:val="auto"/>
              </w:rPr>
            </w:pPr>
          </w:p>
        </w:tc>
        <w:tc>
          <w:tcPr>
            <w:tcW w:w="380" w:type="dxa"/>
            <w:vAlign w:val="bottom"/>
            <w:tcBorders>
              <w:top w:val="single" w:sz="8" w:color="auto"/>
            </w:tcBorders>
            <w:shd w:val="clear" w:color="auto" w:fill="BFE4FF"/>
          </w:tcPr>
          <w:p>
            <w:pPr>
              <w:jc w:val="right"/>
              <w:ind w:right="208"/>
              <w:spacing w:after="0"/>
              <w:rPr>
                <w:sz w:val="20"/>
                <w:szCs w:val="20"/>
                <w:color w:val="auto"/>
              </w:rPr>
            </w:pPr>
            <w:r>
              <w:rPr>
                <w:rFonts w:ascii="Arial" w:cs="Arial" w:eastAsia="Arial" w:hAnsi="Arial"/>
                <w:sz w:val="14"/>
                <w:szCs w:val="14"/>
                <w:color w:val="auto"/>
              </w:rPr>
              <w:t>$</w:t>
            </w:r>
          </w:p>
        </w:tc>
        <w:tc>
          <w:tcPr>
            <w:tcW w:w="146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4"/>
                <w:szCs w:val="14"/>
                <w:color w:val="auto"/>
              </w:rPr>
              <w:t>(32)</w:t>
            </w:r>
          </w:p>
        </w:tc>
        <w:tc>
          <w:tcPr>
            <w:tcW w:w="120" w:type="dxa"/>
            <w:vAlign w:val="bottom"/>
            <w:tcBorders>
              <w:top w:val="single" w:sz="8" w:color="BFE4FF"/>
            </w:tcBorders>
            <w:shd w:val="clear" w:color="auto" w:fill="BFE4FF"/>
          </w:tcPr>
          <w:p>
            <w:pPr>
              <w:spacing w:after="0"/>
              <w:rPr>
                <w:sz w:val="22"/>
                <w:szCs w:val="22"/>
                <w:color w:val="auto"/>
              </w:rPr>
            </w:pPr>
          </w:p>
        </w:tc>
        <w:tc>
          <w:tcPr>
            <w:tcW w:w="760" w:type="dxa"/>
            <w:vAlign w:val="bottom"/>
            <w:tcBorders>
              <w:top w:val="single" w:sz="8" w:color="auto"/>
            </w:tcBorders>
            <w:shd w:val="clear" w:color="auto" w:fill="BFE4FF"/>
          </w:tcPr>
          <w:p>
            <w:pPr>
              <w:jc w:val="right"/>
              <w:ind w:right="58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4"/>
                <w:szCs w:val="14"/>
                <w:color w:val="auto"/>
              </w:rPr>
              <w:t>(64)</w:t>
            </w:r>
          </w:p>
        </w:tc>
      </w:tr>
      <w:tr>
        <w:trPr>
          <w:trHeight w:val="258"/>
        </w:trPr>
        <w:tc>
          <w:tcPr>
            <w:tcW w:w="5140" w:type="dxa"/>
            <w:vAlign w:val="bottom"/>
          </w:tcPr>
          <w:p>
            <w:pPr>
              <w:ind w:left="40"/>
              <w:spacing w:after="0"/>
              <w:rPr>
                <w:sz w:val="20"/>
                <w:szCs w:val="20"/>
                <w:color w:val="auto"/>
              </w:rPr>
            </w:pPr>
            <w:r>
              <w:rPr>
                <w:rFonts w:ascii="Arial" w:cs="Arial" w:eastAsia="Arial" w:hAnsi="Arial"/>
                <w:sz w:val="14"/>
                <w:szCs w:val="14"/>
                <w:color w:val="auto"/>
              </w:rPr>
              <w:t>Six months ended</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560" w:type="dxa"/>
            <w:vAlign w:val="bottom"/>
          </w:tcPr>
          <w:p>
            <w:pPr>
              <w:jc w:val="right"/>
              <w:spacing w:after="0"/>
              <w:rPr>
                <w:sz w:val="20"/>
                <w:szCs w:val="20"/>
                <w:color w:val="auto"/>
              </w:rPr>
            </w:pPr>
            <w:r>
              <w:rPr>
                <w:rFonts w:ascii="Arial" w:cs="Arial" w:eastAsia="Arial" w:hAnsi="Arial"/>
                <w:sz w:val="14"/>
                <w:szCs w:val="14"/>
                <w:color w:val="auto"/>
              </w:rPr>
              <w:t>(184)</w:t>
            </w:r>
          </w:p>
        </w:tc>
        <w:tc>
          <w:tcPr>
            <w:tcW w:w="120" w:type="dxa"/>
            <w:vAlign w:val="bottom"/>
          </w:tcPr>
          <w:p>
            <w:pPr>
              <w:spacing w:after="0"/>
              <w:rPr>
                <w:sz w:val="22"/>
                <w:szCs w:val="22"/>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(89)</w:t>
            </w:r>
          </w:p>
        </w:tc>
        <w:tc>
          <w:tcPr>
            <w:tcW w:w="120" w:type="dxa"/>
            <w:vAlign w:val="bottom"/>
          </w:tcPr>
          <w:p>
            <w:pPr>
              <w:spacing w:after="0"/>
              <w:rPr>
                <w:sz w:val="22"/>
                <w:szCs w:val="22"/>
                <w:color w:val="auto"/>
              </w:rPr>
            </w:pPr>
          </w:p>
        </w:tc>
        <w:tc>
          <w:tcPr>
            <w:tcW w:w="760" w:type="dxa"/>
            <w:vAlign w:val="bottom"/>
          </w:tcPr>
          <w:p>
            <w:pPr>
              <w:jc w:val="right"/>
              <w:ind w:right="58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(95)</w:t>
            </w:r>
          </w:p>
        </w:tc>
      </w:tr>
    </w:tbl>
    <w:p>
      <w:pPr>
        <w:spacing w:after="0" w:line="295"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 xml:space="preserve">The size of our average investment portfolio decreased in par value, compared to the prior year period, by 8% and 11% for the three and six months ended June 30, 2016, respectively. The decline was largely due to a relative shift from on-balance sheet MBS holdings to TBA holdings as well as due to a decrease in our investment base due share repurchase activity, which was partially offset by an increase in our average leverage (see </w:t>
      </w:r>
      <w:r>
        <w:rPr>
          <w:rFonts w:ascii="Arial" w:cs="Arial" w:eastAsia="Arial" w:hAnsi="Arial"/>
          <w:sz w:val="16"/>
          <w:szCs w:val="16"/>
          <w:i w:val="1"/>
          <w:iCs w:val="1"/>
          <w:color w:val="auto"/>
        </w:rPr>
        <w:t>"Leverage"</w:t>
      </w:r>
      <w:r>
        <w:rPr>
          <w:rFonts w:ascii="Arial" w:cs="Arial" w:eastAsia="Arial" w:hAnsi="Arial"/>
          <w:sz w:val="16"/>
          <w:szCs w:val="16"/>
          <w:color w:val="auto"/>
        </w:rPr>
        <w:t xml:space="preserve"> below).</w:t>
      </w:r>
    </w:p>
    <w:p>
      <w:pPr>
        <w:spacing w:after="0" w:line="12"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Our average asset yield decreased for the three and six months ended June 30, 2016, compared to the prior year period, largely due to fluctuations in "catch-up" premium amortization cost recognized due to changes in our projected CPR estimates. We recognized "catch-up" premium amortization cost of $32 million and $87 million for the three and six months ended June 30, 2016, respectively, compared to a benefit of $37 million and $18 million for the prior year period, respectively. Excluding "catch-up" premium amortization adjustments, our average asset yield was 2.70% and 2.73% for the three and six months ended June 30, 2016, respectively, largely unchanged from 2.71% and 2.69%, respectively, for the prior year period.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Leverage</w:t>
      </w:r>
    </w:p>
    <w:p>
      <w:pPr>
        <w:spacing w:after="0" w:line="185"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Our leverage was 6.3x and 5.8x our stockholders' equity as of June 30, 2016 and December 31, 2015, respectively, measured as the sum of our agency repurchase agreements ("agency repo"), FHLB advances and debt of consolidated VIEs (collectively referred to as "mortgage borrowings") and our net receivable / payable for unsettled agency securities divided by the sum of our total stockholders' equity less the fair value of our investments in REIT equity securities as of period end. Since the individual agency mortgage REITs in which we invest employ similar leverage as within our agency portfolio, we acquire these securities on an unlevered basis and, therefore, exclude from our leverage measurements the portion of our stockholders' equity allocated to investments in other mortgage REITs. In addition, our measurement of leverage excludes repurchase agreements used to fund short-term investments in U.S. Treasury securities ("U.S. Treasury repo") due to the temporary and highly liquid nature of these investments.</w:t>
      </w:r>
    </w:p>
    <w:p>
      <w:pPr>
        <w:spacing w:after="0" w:line="124"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 xml:space="preserve">Inclusive of our net TBA position, our total "at risk" leverage was 7.2x and 6.8x our stockholders' equity as of June 30, 2016 and December 31, 2015, respectively. Since we recognize our TBA commitments as derivatives under GAAP, they are not included in our repurchase agreement and other debt leverage calculations as measured from our consolidated balance sheets; however, a long TBA position carries similar risks as if we had purchased the underlying MBS assets and funded such purchases with on-balance sheet funding liabilities. Similarly, a short TBA position has substantially the same effect as selling the underlying MBS assets and reducing our on-balance sheet funding commitments. (Refer to </w:t>
      </w:r>
      <w:r>
        <w:rPr>
          <w:rFonts w:ascii="Arial" w:cs="Arial" w:eastAsia="Arial" w:hAnsi="Arial"/>
          <w:sz w:val="16"/>
          <w:szCs w:val="16"/>
          <w:i w:val="1"/>
          <w:iCs w:val="1"/>
          <w:color w:val="auto"/>
        </w:rPr>
        <w:t>Liquidity and Capital Resources</w:t>
      </w:r>
      <w:r>
        <w:rPr>
          <w:rFonts w:ascii="Arial" w:cs="Arial" w:eastAsia="Arial" w:hAnsi="Arial"/>
          <w:sz w:val="16"/>
          <w:szCs w:val="16"/>
          <w:color w:val="auto"/>
        </w:rPr>
        <w:t xml:space="preserve"> for further discussion of TBA dollar roll positions). Therefore, we refer to our leverage adjusted for TBA positions as our "at risk" leverage.</w:t>
      </w:r>
    </w:p>
    <w:p>
      <w:pPr>
        <w:spacing w:after="0" w:line="11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table below presents our average and quarter-end mortgage borrowings, net TBA position and leverage ratios for each of the three month periods listed below (dollars in millions):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40" w:type="dxa"/>
            <w:vAlign w:val="bottom"/>
            <w:gridSpan w:val="4"/>
          </w:tcPr>
          <w:p>
            <w:pPr>
              <w:jc w:val="right"/>
              <w:ind w:right="390"/>
              <w:spacing w:after="0"/>
              <w:rPr>
                <w:sz w:val="20"/>
                <w:szCs w:val="20"/>
                <w:color w:val="auto"/>
              </w:rPr>
            </w:pPr>
            <w:r>
              <w:rPr>
                <w:rFonts w:ascii="Arial" w:cs="Arial" w:eastAsia="Arial" w:hAnsi="Arial"/>
                <w:sz w:val="13"/>
                <w:szCs w:val="13"/>
                <w:b w:val="1"/>
                <w:bCs w:val="1"/>
                <w:color w:val="auto"/>
              </w:rPr>
              <w:t>Net TBA Position</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8"/>
              </w:rPr>
              <w:t>Average Total</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7"/>
              </w:rPr>
              <w:t>"At Risk"</w:t>
            </w:r>
          </w:p>
        </w:tc>
        <w:tc>
          <w:tcPr>
            <w:tcW w:w="0" w:type="dxa"/>
            <w:vAlign w:val="bottom"/>
          </w:tcPr>
          <w:p>
            <w:pPr>
              <w:spacing w:after="0"/>
              <w:rPr>
                <w:sz w:val="1"/>
                <w:szCs w:val="1"/>
                <w:color w:val="auto"/>
              </w:rPr>
            </w:pPr>
          </w:p>
        </w:tc>
      </w:tr>
      <w:tr>
        <w:trPr>
          <w:trHeight w:val="135"/>
        </w:trPr>
        <w:tc>
          <w:tcPr>
            <w:tcW w:w="2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0" w:type="dxa"/>
            <w:vAlign w:val="bottom"/>
            <w:gridSpan w:val="6"/>
          </w:tcPr>
          <w:p>
            <w:pPr>
              <w:jc w:val="center"/>
              <w:ind w:right="28"/>
              <w:spacing w:after="0" w:line="135" w:lineRule="exact"/>
              <w:rPr>
                <w:sz w:val="20"/>
                <w:szCs w:val="20"/>
                <w:color w:val="auto"/>
              </w:rPr>
            </w:pPr>
            <w:r>
              <w:rPr>
                <w:rFonts w:ascii="Arial" w:cs="Arial" w:eastAsia="Arial" w:hAnsi="Arial"/>
                <w:sz w:val="13"/>
                <w:szCs w:val="13"/>
                <w:b w:val="1"/>
                <w:bCs w:val="1"/>
                <w:color w:val="auto"/>
                <w:w w:val="88"/>
              </w:rPr>
              <w:t xml:space="preserve">Mortgage Borrowings </w:t>
            </w:r>
            <w:r>
              <w:rPr>
                <w:rFonts w:ascii="Arial" w:cs="Arial" w:eastAsia="Arial" w:hAnsi="Arial"/>
                <w:sz w:val="8"/>
                <w:szCs w:val="8"/>
                <w:b w:val="1"/>
                <w:bCs w:val="1"/>
                <w:color w:val="auto"/>
                <w:w w:val="88"/>
              </w:rPr>
              <w:t>1</w:t>
            </w: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40" w:type="dxa"/>
            <w:vAlign w:val="bottom"/>
            <w:gridSpan w:val="4"/>
          </w:tcPr>
          <w:p>
            <w:pPr>
              <w:jc w:val="right"/>
              <w:ind w:right="470"/>
              <w:spacing w:after="0" w:line="135" w:lineRule="exact"/>
              <w:rPr>
                <w:sz w:val="20"/>
                <w:szCs w:val="20"/>
                <w:color w:val="auto"/>
              </w:rPr>
            </w:pPr>
            <w:r>
              <w:rPr>
                <w:rFonts w:ascii="Arial" w:cs="Arial" w:eastAsia="Arial" w:hAnsi="Arial"/>
                <w:sz w:val="13"/>
                <w:szCs w:val="13"/>
                <w:b w:val="1"/>
                <w:bCs w:val="1"/>
                <w:color w:val="auto"/>
              </w:rPr>
              <w:t xml:space="preserve">Long / (Short) </w:t>
            </w:r>
            <w:r>
              <w:rPr>
                <w:rFonts w:ascii="Arial" w:cs="Arial" w:eastAsia="Arial" w:hAnsi="Arial"/>
                <w:sz w:val="8"/>
                <w:szCs w:val="8"/>
                <w:b w:val="1"/>
                <w:bCs w:val="1"/>
                <w:color w:val="auto"/>
              </w:rPr>
              <w:t>2</w:t>
            </w:r>
          </w:p>
        </w:tc>
        <w:tc>
          <w:tcPr>
            <w:tcW w:w="100" w:type="dxa"/>
            <w:vAlign w:val="bottom"/>
          </w:tcPr>
          <w:p>
            <w:pPr>
              <w:spacing w:after="0"/>
              <w:rPr>
                <w:sz w:val="11"/>
                <w:szCs w:val="11"/>
                <w:color w:val="auto"/>
              </w:rPr>
            </w:pPr>
          </w:p>
        </w:tc>
        <w:tc>
          <w:tcPr>
            <w:tcW w:w="9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5"/>
              </w:rPr>
              <w:t>Average</w:t>
            </w:r>
          </w:p>
        </w:tc>
        <w:tc>
          <w:tcPr>
            <w:tcW w:w="10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7"/>
              </w:rPr>
              <w:t>"At Risk"</w:t>
            </w:r>
          </w:p>
        </w:tc>
        <w:tc>
          <w:tcPr>
            <w:tcW w:w="9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Leverage</w:t>
            </w: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4"/>
              </w:rPr>
              <w:t>Leverage</w:t>
            </w:r>
          </w:p>
        </w:tc>
        <w:tc>
          <w:tcPr>
            <w:tcW w:w="0" w:type="dxa"/>
            <w:vAlign w:val="bottom"/>
          </w:tcPr>
          <w:p>
            <w:pPr>
              <w:spacing w:after="0"/>
              <w:rPr>
                <w:sz w:val="1"/>
                <w:szCs w:val="1"/>
                <w:color w:val="auto"/>
              </w:rPr>
            </w:pPr>
          </w:p>
        </w:tc>
      </w:tr>
      <w:tr>
        <w:trPr>
          <w:trHeight w:val="54"/>
        </w:trPr>
        <w:tc>
          <w:tcPr>
            <w:tcW w:w="2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gridSpan w:val="2"/>
            <w:vMerge w:val="restart"/>
          </w:tcPr>
          <w:p>
            <w:pPr>
              <w:jc w:val="center"/>
              <w:ind w:right="100"/>
              <w:spacing w:after="0" w:line="135" w:lineRule="exact"/>
              <w:rPr>
                <w:sz w:val="20"/>
                <w:szCs w:val="20"/>
                <w:color w:val="auto"/>
              </w:rPr>
            </w:pPr>
            <w:r>
              <w:rPr>
                <w:rFonts w:ascii="Arial" w:cs="Arial" w:eastAsia="Arial" w:hAnsi="Arial"/>
                <w:sz w:val="13"/>
                <w:szCs w:val="13"/>
                <w:b w:val="1"/>
                <w:bCs w:val="1"/>
                <w:color w:val="auto"/>
                <w:w w:val="84"/>
              </w:rPr>
              <w:t>Leverage</w:t>
            </w:r>
          </w:p>
        </w:tc>
        <w:tc>
          <w:tcPr>
            <w:tcW w:w="1020" w:type="dxa"/>
            <w:vAlign w:val="bottom"/>
            <w:gridSpan w:val="2"/>
            <w:vMerge w:val="restart"/>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Leverage</w:t>
            </w:r>
          </w:p>
        </w:tc>
        <w:tc>
          <w:tcPr>
            <w:tcW w:w="900" w:type="dxa"/>
            <w:vAlign w:val="bottom"/>
            <w:gridSpan w:val="2"/>
            <w:vMerge w:val="restart"/>
          </w:tcPr>
          <w:p>
            <w:pPr>
              <w:jc w:val="center"/>
              <w:ind w:right="100"/>
              <w:spacing w:after="0" w:line="135" w:lineRule="exact"/>
              <w:rPr>
                <w:sz w:val="20"/>
                <w:szCs w:val="20"/>
                <w:color w:val="auto"/>
              </w:rPr>
            </w:pPr>
            <w:r>
              <w:rPr>
                <w:rFonts w:ascii="Arial" w:cs="Arial" w:eastAsia="Arial" w:hAnsi="Arial"/>
                <w:sz w:val="13"/>
                <w:szCs w:val="13"/>
                <w:b w:val="1"/>
                <w:bCs w:val="1"/>
                <w:color w:val="auto"/>
                <w:w w:val="78"/>
              </w:rPr>
              <w:t>as of</w:t>
            </w:r>
          </w:p>
        </w:tc>
        <w:tc>
          <w:tcPr>
            <w:tcW w:w="80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78"/>
              </w:rPr>
              <w:t>as of</w:t>
            </w:r>
          </w:p>
        </w:tc>
        <w:tc>
          <w:tcPr>
            <w:tcW w:w="0" w:type="dxa"/>
            <w:vAlign w:val="bottom"/>
          </w:tcPr>
          <w:p>
            <w:pPr>
              <w:spacing w:after="0"/>
              <w:rPr>
                <w:sz w:val="1"/>
                <w:szCs w:val="1"/>
                <w:color w:val="auto"/>
              </w:rPr>
            </w:pPr>
          </w:p>
        </w:tc>
      </w:tr>
      <w:tr>
        <w:trPr>
          <w:trHeight w:val="61"/>
        </w:trPr>
        <w:tc>
          <w:tcPr>
            <w:tcW w:w="2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2520" w:type="dxa"/>
            <w:vAlign w:val="bottom"/>
            <w:vMerge w:val="restart"/>
          </w:tcPr>
          <w:p>
            <w:pPr>
              <w:ind w:left="40"/>
              <w:spacing w:after="0"/>
              <w:rPr>
                <w:sz w:val="20"/>
                <w:szCs w:val="20"/>
                <w:color w:val="auto"/>
              </w:rPr>
            </w:pPr>
            <w:r>
              <w:rPr>
                <w:rFonts w:ascii="Arial" w:cs="Arial" w:eastAsia="Arial" w:hAnsi="Arial"/>
                <w:sz w:val="13"/>
                <w:szCs w:val="13"/>
                <w:b w:val="1"/>
                <w:bCs w:val="1"/>
                <w:color w:val="auto"/>
              </w:rPr>
              <w:t>Quarter Ended</w:t>
            </w:r>
          </w:p>
        </w:tc>
        <w:tc>
          <w:tcPr>
            <w:tcW w:w="120" w:type="dxa"/>
            <w:vAlign w:val="bottom"/>
            <w:vMerge w:val="restart"/>
          </w:tcPr>
          <w:p>
            <w:pPr>
              <w:spacing w:after="0"/>
              <w:rPr>
                <w:sz w:val="11"/>
                <w:szCs w:val="11"/>
                <w:color w:val="auto"/>
              </w:rPr>
            </w:pPr>
          </w:p>
        </w:tc>
        <w:tc>
          <w:tcPr>
            <w:tcW w:w="88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w w:val="95"/>
              </w:rPr>
              <w:t>Average Daily</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3"/>
              </w:rPr>
              <w:t>Maximum</w:t>
            </w:r>
          </w:p>
        </w:tc>
        <w:tc>
          <w:tcPr>
            <w:tcW w:w="180" w:type="dxa"/>
            <w:vAlign w:val="bottom"/>
          </w:tcPr>
          <w:p>
            <w:pPr>
              <w:spacing w:after="0"/>
              <w:rPr>
                <w:sz w:val="11"/>
                <w:szCs w:val="11"/>
                <w:color w:val="auto"/>
              </w:rPr>
            </w:pPr>
          </w:p>
        </w:tc>
        <w:tc>
          <w:tcPr>
            <w:tcW w:w="880" w:type="dxa"/>
            <w:vAlign w:val="bottom"/>
            <w:gridSpan w:val="2"/>
          </w:tcPr>
          <w:p>
            <w:pPr>
              <w:ind w:left="100"/>
              <w:spacing w:after="0" w:line="135" w:lineRule="exact"/>
              <w:rPr>
                <w:sz w:val="20"/>
                <w:szCs w:val="20"/>
                <w:color w:val="auto"/>
              </w:rPr>
            </w:pPr>
            <w:r>
              <w:rPr>
                <w:rFonts w:ascii="Arial" w:cs="Arial" w:eastAsia="Arial" w:hAnsi="Arial"/>
                <w:sz w:val="13"/>
                <w:szCs w:val="13"/>
                <w:b w:val="1"/>
                <w:bCs w:val="1"/>
                <w:color w:val="auto"/>
              </w:rPr>
              <w:t>Ending</w:t>
            </w:r>
          </w:p>
        </w:tc>
        <w:tc>
          <w:tcPr>
            <w:tcW w:w="1000" w:type="dxa"/>
            <w:vAlign w:val="bottom"/>
            <w:gridSpan w:val="3"/>
          </w:tcPr>
          <w:p>
            <w:pPr>
              <w:ind w:left="60"/>
              <w:spacing w:after="0" w:line="135" w:lineRule="exact"/>
              <w:rPr>
                <w:sz w:val="20"/>
                <w:szCs w:val="20"/>
                <w:color w:val="auto"/>
              </w:rPr>
            </w:pPr>
            <w:r>
              <w:rPr>
                <w:rFonts w:ascii="Arial" w:cs="Arial" w:eastAsia="Arial" w:hAnsi="Arial"/>
                <w:sz w:val="13"/>
                <w:szCs w:val="13"/>
                <w:b w:val="1"/>
                <w:bCs w:val="1"/>
                <w:color w:val="auto"/>
              </w:rPr>
              <w:t>Average Daily</w:t>
            </w:r>
          </w:p>
        </w:tc>
        <w:tc>
          <w:tcPr>
            <w:tcW w:w="160" w:type="dxa"/>
            <w:vAlign w:val="bottom"/>
          </w:tcPr>
          <w:p>
            <w:pPr>
              <w:spacing w:after="0"/>
              <w:rPr>
                <w:sz w:val="11"/>
                <w:szCs w:val="11"/>
                <w:color w:val="auto"/>
              </w:rPr>
            </w:pPr>
          </w:p>
        </w:tc>
        <w:tc>
          <w:tcPr>
            <w:tcW w:w="740" w:type="dxa"/>
            <w:vAlign w:val="bottom"/>
          </w:tcPr>
          <w:p>
            <w:pPr>
              <w:jc w:val="right"/>
              <w:ind w:right="190"/>
              <w:spacing w:after="0" w:line="135" w:lineRule="exact"/>
              <w:rPr>
                <w:sz w:val="20"/>
                <w:szCs w:val="20"/>
                <w:color w:val="auto"/>
              </w:rPr>
            </w:pPr>
            <w:r>
              <w:rPr>
                <w:rFonts w:ascii="Arial" w:cs="Arial" w:eastAsia="Arial" w:hAnsi="Arial"/>
                <w:sz w:val="13"/>
                <w:szCs w:val="13"/>
                <w:b w:val="1"/>
                <w:bCs w:val="1"/>
                <w:color w:val="auto"/>
              </w:rPr>
              <w:t>Ending</w:t>
            </w:r>
          </w:p>
        </w:tc>
        <w:tc>
          <w:tcPr>
            <w:tcW w:w="100" w:type="dxa"/>
            <w:vAlign w:val="bottom"/>
          </w:tcPr>
          <w:p>
            <w:pPr>
              <w:spacing w:after="0"/>
              <w:rPr>
                <w:sz w:val="11"/>
                <w:szCs w:val="11"/>
                <w:color w:val="auto"/>
              </w:rPr>
            </w:pPr>
          </w:p>
        </w:tc>
        <w:tc>
          <w:tcPr>
            <w:tcW w:w="9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during the</w:t>
            </w:r>
          </w:p>
        </w:tc>
        <w:tc>
          <w:tcPr>
            <w:tcW w:w="10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during the</w:t>
            </w:r>
          </w:p>
        </w:tc>
        <w:tc>
          <w:tcPr>
            <w:tcW w:w="9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Period End</w:t>
            </w: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Period End</w:t>
            </w:r>
          </w:p>
        </w:tc>
        <w:tc>
          <w:tcPr>
            <w:tcW w:w="0" w:type="dxa"/>
            <w:vAlign w:val="bottom"/>
          </w:tcPr>
          <w:p>
            <w:pPr>
              <w:spacing w:after="0"/>
              <w:rPr>
                <w:sz w:val="1"/>
                <w:szCs w:val="1"/>
                <w:color w:val="auto"/>
              </w:rPr>
            </w:pPr>
          </w:p>
        </w:tc>
      </w:tr>
      <w:tr>
        <w:trPr>
          <w:trHeight w:val="162"/>
        </w:trPr>
        <w:tc>
          <w:tcPr>
            <w:tcW w:w="252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29"/>
              <w:spacing w:after="0"/>
              <w:rPr>
                <w:sz w:val="20"/>
                <w:szCs w:val="20"/>
                <w:color w:val="auto"/>
              </w:rPr>
            </w:pPr>
            <w:r>
              <w:rPr>
                <w:rFonts w:ascii="Arial" w:cs="Arial" w:eastAsia="Arial" w:hAnsi="Arial"/>
                <w:sz w:val="13"/>
                <w:szCs w:val="13"/>
                <w:b w:val="1"/>
                <w:bCs w:val="1"/>
                <w:color w:val="auto"/>
                <w:w w:val="97"/>
              </w:rPr>
              <w:t>Amount</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0"/>
              </w:rPr>
              <w:t>Daily Amount</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70"/>
              <w:spacing w:after="0"/>
              <w:rPr>
                <w:sz w:val="20"/>
                <w:szCs w:val="20"/>
                <w:color w:val="auto"/>
              </w:rPr>
            </w:pPr>
            <w:r>
              <w:rPr>
                <w:rFonts w:ascii="Arial" w:cs="Arial" w:eastAsia="Arial" w:hAnsi="Arial"/>
                <w:sz w:val="13"/>
                <w:szCs w:val="13"/>
                <w:b w:val="1"/>
                <w:bCs w:val="1"/>
                <w:color w:val="auto"/>
              </w:rPr>
              <w:t>Amount</w:t>
            </w: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71"/>
              <w:spacing w:after="0"/>
              <w:rPr>
                <w:sz w:val="20"/>
                <w:szCs w:val="20"/>
                <w:color w:val="auto"/>
              </w:rPr>
            </w:pPr>
            <w:r>
              <w:rPr>
                <w:rFonts w:ascii="Arial" w:cs="Arial" w:eastAsia="Arial" w:hAnsi="Arial"/>
                <w:sz w:val="13"/>
                <w:szCs w:val="13"/>
                <w:b w:val="1"/>
                <w:bCs w:val="1"/>
                <w:color w:val="auto"/>
                <w:w w:val="97"/>
              </w:rPr>
              <w:t>Amount</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70"/>
              <w:spacing w:after="0"/>
              <w:rPr>
                <w:sz w:val="20"/>
                <w:szCs w:val="20"/>
                <w:color w:val="auto"/>
              </w:rPr>
            </w:pPr>
            <w:r>
              <w:rPr>
                <w:rFonts w:ascii="Arial" w:cs="Arial" w:eastAsia="Arial" w:hAnsi="Arial"/>
                <w:sz w:val="13"/>
                <w:szCs w:val="13"/>
                <w:b w:val="1"/>
                <w:bCs w:val="1"/>
                <w:color w:val="auto"/>
                <w:w w:val="97"/>
              </w:rPr>
              <w:t>Amount</w:t>
            </w:r>
          </w:p>
        </w:tc>
        <w:tc>
          <w:tcPr>
            <w:tcW w:w="10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 xml:space="preserve">Period </w:t>
            </w:r>
            <w:r>
              <w:rPr>
                <w:rFonts w:ascii="Arial" w:cs="Arial" w:eastAsia="Arial" w:hAnsi="Arial"/>
                <w:sz w:val="8"/>
                <w:szCs w:val="8"/>
                <w:b w:val="1"/>
                <w:bCs w:val="1"/>
                <w:color w:val="auto"/>
                <w:w w:val="90"/>
              </w:rPr>
              <w:t>1,3</w:t>
            </w:r>
          </w:p>
        </w:tc>
        <w:tc>
          <w:tcPr>
            <w:tcW w:w="10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 xml:space="preserve">Period </w:t>
            </w:r>
            <w:r>
              <w:rPr>
                <w:rFonts w:ascii="Arial" w:cs="Arial" w:eastAsia="Arial" w:hAnsi="Arial"/>
                <w:sz w:val="8"/>
                <w:szCs w:val="8"/>
                <w:b w:val="1"/>
                <w:bCs w:val="1"/>
                <w:color w:val="auto"/>
                <w:w w:val="90"/>
              </w:rPr>
              <w:t>1,4</w:t>
            </w:r>
          </w:p>
        </w:tc>
        <w:tc>
          <w:tcPr>
            <w:tcW w:w="10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5"/>
              </w:rPr>
              <w:t>1,5</w:t>
            </w:r>
          </w:p>
        </w:tc>
        <w:tc>
          <w:tcPr>
            <w:tcW w:w="10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5"/>
              </w:rPr>
              <w:t>1,6</w:t>
            </w:r>
          </w:p>
        </w:tc>
        <w:tc>
          <w:tcPr>
            <w:tcW w:w="0" w:type="dxa"/>
            <w:vAlign w:val="bottom"/>
          </w:tcPr>
          <w:p>
            <w:pPr>
              <w:spacing w:after="0"/>
              <w:rPr>
                <w:sz w:val="1"/>
                <w:szCs w:val="1"/>
                <w:color w:val="auto"/>
              </w:rPr>
            </w:pPr>
          </w:p>
        </w:tc>
      </w:tr>
      <w:tr>
        <w:trPr>
          <w:trHeight w:val="250"/>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June 30, 2016</w:t>
            </w: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46,948</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48,875</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45,502</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8,238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6,975</w:t>
            </w:r>
          </w:p>
        </w:tc>
        <w:tc>
          <w:tcPr>
            <w:tcW w:w="90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w w:val="89"/>
              </w:rPr>
              <w:t>6.1:1</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7.2:1</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6.3:1</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7.2:1</w:t>
            </w:r>
          </w:p>
        </w:tc>
        <w:tc>
          <w:tcPr>
            <w:tcW w:w="0" w:type="dxa"/>
            <w:vAlign w:val="bottom"/>
          </w:tcPr>
          <w:p>
            <w:pPr>
              <w:spacing w:after="0"/>
              <w:rPr>
                <w:sz w:val="1"/>
                <w:szCs w:val="1"/>
                <w:color w:val="auto"/>
              </w:rPr>
            </w:pPr>
          </w:p>
        </w:tc>
      </w:tr>
      <w:tr>
        <w:trPr>
          <w:trHeight w:val="264"/>
        </w:trPr>
        <w:tc>
          <w:tcPr>
            <w:tcW w:w="2640" w:type="dxa"/>
            <w:vAlign w:val="bottom"/>
            <w:gridSpan w:val="2"/>
          </w:tcPr>
          <w:p>
            <w:pPr>
              <w:ind w:left="40"/>
              <w:spacing w:after="0"/>
              <w:rPr>
                <w:sz w:val="20"/>
                <w:szCs w:val="20"/>
                <w:color w:val="auto"/>
              </w:rPr>
            </w:pPr>
            <w:r>
              <w:rPr>
                <w:rFonts w:ascii="Arial" w:cs="Arial" w:eastAsia="Arial" w:hAnsi="Arial"/>
                <w:sz w:val="14"/>
                <w:szCs w:val="14"/>
                <w:color w:val="auto"/>
              </w:rPr>
              <w:t>March 31, 2016</w:t>
            </w:r>
          </w:p>
        </w:tc>
        <w:tc>
          <w:tcPr>
            <w:tcW w:w="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45,926</w:t>
            </w:r>
          </w:p>
        </w:tc>
        <w:tc>
          <w:tcPr>
            <w:tcW w:w="3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49,767</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50"/>
              <w:spacing w:after="0"/>
              <w:rPr>
                <w:sz w:val="20"/>
                <w:szCs w:val="20"/>
                <w:color w:val="auto"/>
              </w:rPr>
            </w:pPr>
            <w:r>
              <w:rPr>
                <w:rFonts w:ascii="Arial" w:cs="Arial" w:eastAsia="Arial" w:hAnsi="Arial"/>
                <w:sz w:val="14"/>
                <w:szCs w:val="14"/>
                <w:color w:val="auto"/>
              </w:rPr>
              <w:t>48,875</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51"/>
              <w:spacing w:after="0"/>
              <w:rPr>
                <w:sz w:val="20"/>
                <w:szCs w:val="20"/>
                <w:color w:val="auto"/>
              </w:rPr>
            </w:pPr>
            <w:r>
              <w:rPr>
                <w:rFonts w:ascii="Arial" w:cs="Arial" w:eastAsia="Arial" w:hAnsi="Arial"/>
                <w:sz w:val="14"/>
                <w:szCs w:val="14"/>
                <w:color w:val="auto"/>
              </w:rPr>
              <w:t>8,144</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50"/>
              <w:spacing w:after="0"/>
              <w:rPr>
                <w:sz w:val="20"/>
                <w:szCs w:val="20"/>
                <w:color w:val="auto"/>
              </w:rPr>
            </w:pPr>
            <w:r>
              <w:rPr>
                <w:rFonts w:ascii="Arial" w:cs="Arial" w:eastAsia="Arial" w:hAnsi="Arial"/>
                <w:sz w:val="14"/>
                <w:szCs w:val="14"/>
                <w:color w:val="auto"/>
              </w:rPr>
              <w:t>5,983</w:t>
            </w:r>
          </w:p>
        </w:tc>
        <w:tc>
          <w:tcPr>
            <w:tcW w:w="900" w:type="dxa"/>
            <w:vAlign w:val="bottom"/>
            <w:gridSpan w:val="2"/>
          </w:tcPr>
          <w:p>
            <w:pPr>
              <w:jc w:val="center"/>
              <w:ind w:left="28"/>
              <w:spacing w:after="0"/>
              <w:rPr>
                <w:sz w:val="20"/>
                <w:szCs w:val="20"/>
                <w:color w:val="auto"/>
              </w:rPr>
            </w:pPr>
            <w:r>
              <w:rPr>
                <w:rFonts w:ascii="Arial" w:cs="Arial" w:eastAsia="Arial" w:hAnsi="Arial"/>
                <w:sz w:val="14"/>
                <w:szCs w:val="14"/>
                <w:color w:val="auto"/>
                <w:w w:val="89"/>
              </w:rPr>
              <w:t>5.9:1</w:t>
            </w:r>
          </w:p>
        </w:tc>
        <w:tc>
          <w:tcPr>
            <w:tcW w:w="10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89"/>
              </w:rPr>
              <w:t>7.0:1</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9"/>
              </w:rPr>
              <w:t>6.5:1</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9"/>
              </w:rPr>
              <w:t>7.3:1</w:t>
            </w:r>
          </w:p>
        </w:tc>
        <w:tc>
          <w:tcPr>
            <w:tcW w:w="0" w:type="dxa"/>
            <w:vAlign w:val="bottom"/>
          </w:tcPr>
          <w:p>
            <w:pPr>
              <w:spacing w:after="0"/>
              <w:rPr>
                <w:sz w:val="1"/>
                <w:szCs w:val="1"/>
                <w:color w:val="auto"/>
              </w:rPr>
            </w:pPr>
          </w:p>
        </w:tc>
      </w:tr>
      <w:tr>
        <w:trPr>
          <w:trHeight w:val="276"/>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December 31, 2015</w:t>
            </w: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47,018</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50,078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46,077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7,796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7,430</w:t>
            </w:r>
          </w:p>
        </w:tc>
        <w:tc>
          <w:tcPr>
            <w:tcW w:w="90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w w:val="89"/>
              </w:rPr>
              <w:t>5.8:1</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6.8:1</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5.8:1</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6.8:1</w:t>
            </w:r>
          </w:p>
        </w:tc>
        <w:tc>
          <w:tcPr>
            <w:tcW w:w="0" w:type="dxa"/>
            <w:vAlign w:val="bottom"/>
          </w:tcPr>
          <w:p>
            <w:pPr>
              <w:spacing w:after="0"/>
              <w:rPr>
                <w:sz w:val="1"/>
                <w:szCs w:val="1"/>
                <w:color w:val="auto"/>
              </w:rPr>
            </w:pPr>
          </w:p>
        </w:tc>
      </w:tr>
      <w:tr>
        <w:trPr>
          <w:trHeight w:val="264"/>
        </w:trPr>
        <w:tc>
          <w:tcPr>
            <w:tcW w:w="2640" w:type="dxa"/>
            <w:vAlign w:val="bottom"/>
            <w:gridSpan w:val="2"/>
          </w:tcPr>
          <w:p>
            <w:pPr>
              <w:ind w:left="40"/>
              <w:spacing w:after="0"/>
              <w:rPr>
                <w:sz w:val="20"/>
                <w:szCs w:val="20"/>
                <w:color w:val="auto"/>
              </w:rPr>
            </w:pPr>
            <w:r>
              <w:rPr>
                <w:rFonts w:ascii="Arial" w:cs="Arial" w:eastAsia="Arial" w:hAnsi="Arial"/>
                <w:sz w:val="14"/>
                <w:szCs w:val="14"/>
                <w:color w:val="auto"/>
              </w:rPr>
              <w:t>September 30, 2015</w:t>
            </w:r>
          </w:p>
        </w:tc>
        <w:tc>
          <w:tcPr>
            <w:tcW w:w="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43,308</w:t>
            </w:r>
          </w:p>
        </w:tc>
        <w:tc>
          <w:tcPr>
            <w:tcW w:w="3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46,049</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50"/>
              <w:spacing w:after="0"/>
              <w:rPr>
                <w:sz w:val="20"/>
                <w:szCs w:val="20"/>
                <w:color w:val="auto"/>
              </w:rPr>
            </w:pPr>
            <w:r>
              <w:rPr>
                <w:rFonts w:ascii="Arial" w:cs="Arial" w:eastAsia="Arial" w:hAnsi="Arial"/>
                <w:sz w:val="14"/>
                <w:szCs w:val="14"/>
                <w:color w:val="auto"/>
              </w:rPr>
              <w:t>44,683</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51"/>
              <w:spacing w:after="0"/>
              <w:rPr>
                <w:sz w:val="20"/>
                <w:szCs w:val="20"/>
                <w:color w:val="auto"/>
              </w:rPr>
            </w:pPr>
            <w:r>
              <w:rPr>
                <w:rFonts w:ascii="Arial" w:cs="Arial" w:eastAsia="Arial" w:hAnsi="Arial"/>
                <w:sz w:val="14"/>
                <w:szCs w:val="14"/>
                <w:color w:val="auto"/>
              </w:rPr>
              <w:t>9,434</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50"/>
              <w:spacing w:after="0"/>
              <w:rPr>
                <w:sz w:val="20"/>
                <w:szCs w:val="20"/>
                <w:color w:val="auto"/>
              </w:rPr>
            </w:pPr>
            <w:r>
              <w:rPr>
                <w:rFonts w:ascii="Arial" w:cs="Arial" w:eastAsia="Arial" w:hAnsi="Arial"/>
                <w:sz w:val="14"/>
                <w:szCs w:val="14"/>
                <w:color w:val="auto"/>
              </w:rPr>
              <w:t>7,265</w:t>
            </w:r>
          </w:p>
        </w:tc>
        <w:tc>
          <w:tcPr>
            <w:tcW w:w="900" w:type="dxa"/>
            <w:vAlign w:val="bottom"/>
            <w:gridSpan w:val="2"/>
          </w:tcPr>
          <w:p>
            <w:pPr>
              <w:jc w:val="center"/>
              <w:ind w:left="28"/>
              <w:spacing w:after="0"/>
              <w:rPr>
                <w:sz w:val="20"/>
                <w:szCs w:val="20"/>
                <w:color w:val="auto"/>
              </w:rPr>
            </w:pPr>
            <w:r>
              <w:rPr>
                <w:rFonts w:ascii="Arial" w:cs="Arial" w:eastAsia="Arial" w:hAnsi="Arial"/>
                <w:sz w:val="14"/>
                <w:szCs w:val="14"/>
                <w:color w:val="auto"/>
                <w:w w:val="89"/>
              </w:rPr>
              <w:t>5.1:1</w:t>
            </w:r>
          </w:p>
        </w:tc>
        <w:tc>
          <w:tcPr>
            <w:tcW w:w="10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89"/>
              </w:rPr>
              <w:t>6.2:1</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9"/>
              </w:rPr>
              <w:t>5.9:1</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9"/>
              </w:rPr>
              <w:t>6.8:1</w:t>
            </w:r>
          </w:p>
        </w:tc>
        <w:tc>
          <w:tcPr>
            <w:tcW w:w="0" w:type="dxa"/>
            <w:vAlign w:val="bottom"/>
          </w:tcPr>
          <w:p>
            <w:pPr>
              <w:spacing w:after="0"/>
              <w:rPr>
                <w:sz w:val="1"/>
                <w:szCs w:val="1"/>
                <w:color w:val="auto"/>
              </w:rPr>
            </w:pPr>
          </w:p>
        </w:tc>
      </w:tr>
      <w:tr>
        <w:trPr>
          <w:trHeight w:val="276"/>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June 30, 2015</w:t>
            </w: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50,410</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55,097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45,860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5,973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7,104</w:t>
            </w:r>
          </w:p>
        </w:tc>
        <w:tc>
          <w:tcPr>
            <w:tcW w:w="90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w w:val="89"/>
              </w:rPr>
              <w:t>5.6:1</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6.2:1</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5.3:1</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6.1:1</w:t>
            </w:r>
          </w:p>
        </w:tc>
        <w:tc>
          <w:tcPr>
            <w:tcW w:w="0" w:type="dxa"/>
            <w:vAlign w:val="bottom"/>
          </w:tcPr>
          <w:p>
            <w:pPr>
              <w:spacing w:after="0"/>
              <w:rPr>
                <w:sz w:val="1"/>
                <w:szCs w:val="1"/>
                <w:color w:val="auto"/>
              </w:rPr>
            </w:pPr>
          </w:p>
        </w:tc>
      </w:tr>
      <w:tr>
        <w:trPr>
          <w:trHeight w:val="258"/>
        </w:trPr>
        <w:tc>
          <w:tcPr>
            <w:tcW w:w="2640" w:type="dxa"/>
            <w:vAlign w:val="bottom"/>
            <w:gridSpan w:val="2"/>
          </w:tcPr>
          <w:p>
            <w:pPr>
              <w:ind w:left="40"/>
              <w:spacing w:after="0"/>
              <w:rPr>
                <w:sz w:val="20"/>
                <w:szCs w:val="20"/>
                <w:color w:val="auto"/>
              </w:rPr>
            </w:pPr>
            <w:r>
              <w:rPr>
                <w:rFonts w:ascii="Arial" w:cs="Arial" w:eastAsia="Arial" w:hAnsi="Arial"/>
                <w:sz w:val="14"/>
                <w:szCs w:val="14"/>
                <w:color w:val="auto"/>
              </w:rPr>
              <w:t>March 31, 2015</w:t>
            </w:r>
          </w:p>
        </w:tc>
        <w:tc>
          <w:tcPr>
            <w:tcW w:w="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53,963</w:t>
            </w:r>
          </w:p>
        </w:tc>
        <w:tc>
          <w:tcPr>
            <w:tcW w:w="3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58,217</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50"/>
              <w:spacing w:after="0"/>
              <w:rPr>
                <w:sz w:val="20"/>
                <w:szCs w:val="20"/>
                <w:color w:val="auto"/>
              </w:rPr>
            </w:pPr>
            <w:r>
              <w:rPr>
                <w:rFonts w:ascii="Arial" w:cs="Arial" w:eastAsia="Arial" w:hAnsi="Arial"/>
                <w:sz w:val="14"/>
                <w:szCs w:val="14"/>
                <w:color w:val="auto"/>
              </w:rPr>
              <w:t>55,056</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51"/>
              <w:spacing w:after="0"/>
              <w:rPr>
                <w:sz w:val="20"/>
                <w:szCs w:val="20"/>
                <w:color w:val="auto"/>
              </w:rPr>
            </w:pPr>
            <w:r>
              <w:rPr>
                <w:rFonts w:ascii="Arial" w:cs="Arial" w:eastAsia="Arial" w:hAnsi="Arial"/>
                <w:sz w:val="14"/>
                <w:szCs w:val="14"/>
                <w:color w:val="auto"/>
              </w:rPr>
              <w:t>6,957</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50"/>
              <w:spacing w:after="0"/>
              <w:rPr>
                <w:sz w:val="20"/>
                <w:szCs w:val="20"/>
                <w:color w:val="auto"/>
              </w:rPr>
            </w:pPr>
            <w:r>
              <w:rPr>
                <w:rFonts w:ascii="Arial" w:cs="Arial" w:eastAsia="Arial" w:hAnsi="Arial"/>
                <w:sz w:val="14"/>
                <w:szCs w:val="14"/>
                <w:color w:val="auto"/>
              </w:rPr>
              <w:t>4,815</w:t>
            </w:r>
          </w:p>
        </w:tc>
        <w:tc>
          <w:tcPr>
            <w:tcW w:w="900" w:type="dxa"/>
            <w:vAlign w:val="bottom"/>
            <w:gridSpan w:val="2"/>
          </w:tcPr>
          <w:p>
            <w:pPr>
              <w:jc w:val="center"/>
              <w:ind w:left="28"/>
              <w:spacing w:after="0"/>
              <w:rPr>
                <w:sz w:val="20"/>
                <w:szCs w:val="20"/>
                <w:color w:val="auto"/>
              </w:rPr>
            </w:pPr>
            <w:r>
              <w:rPr>
                <w:rFonts w:ascii="Arial" w:cs="Arial" w:eastAsia="Arial" w:hAnsi="Arial"/>
                <w:sz w:val="14"/>
                <w:szCs w:val="14"/>
                <w:color w:val="auto"/>
                <w:w w:val="89"/>
              </w:rPr>
              <w:t>5.8:1</w:t>
            </w:r>
          </w:p>
        </w:tc>
        <w:tc>
          <w:tcPr>
            <w:tcW w:w="10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89"/>
              </w:rPr>
              <w:t>6.5:1</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9"/>
              </w:rPr>
              <w:t>5.8:1</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9"/>
              </w:rPr>
              <w:t>6.4:1</w:t>
            </w:r>
          </w:p>
        </w:tc>
        <w:tc>
          <w:tcPr>
            <w:tcW w:w="0" w:type="dxa"/>
            <w:vAlign w:val="bottom"/>
          </w:tcPr>
          <w:p>
            <w:pPr>
              <w:spacing w:after="0"/>
              <w:rPr>
                <w:sz w:val="1"/>
                <w:szCs w:val="1"/>
                <w:color w:val="auto"/>
              </w:rPr>
            </w:pPr>
          </w:p>
        </w:tc>
      </w:tr>
      <w:tr>
        <w:trPr>
          <w:trHeight w:val="230"/>
        </w:trPr>
        <w:tc>
          <w:tcPr>
            <w:tcW w:w="2520" w:type="dxa"/>
            <w:vAlign w:val="bottom"/>
          </w:tcPr>
          <w:p>
            <w:pPr>
              <w:spacing w:after="0"/>
              <w:rPr>
                <w:sz w:val="20"/>
                <w:szCs w:val="20"/>
                <w:color w:val="auto"/>
              </w:rPr>
            </w:pPr>
            <w:r>
              <w:rPr>
                <w:rFonts w:ascii="Arial" w:cs="Arial" w:eastAsia="Arial" w:hAnsi="Arial"/>
                <w:sz w:val="14"/>
                <w:szCs w:val="14"/>
                <w:color w:val="auto"/>
              </w:rPr>
              <w:t>_______________________</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4"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Mortgage borrowings includes agency repo, FHLB advances and debt of consolidated VIEs. Amounts exclude U.S. Treasury repo agreements.</w:t>
      </w:r>
    </w:p>
    <w:p>
      <w:pPr>
        <w:spacing w:after="0" w:line="13" w:lineRule="exact"/>
        <w:rPr>
          <w:rFonts w:ascii="Arial" w:cs="Arial" w:eastAsia="Arial" w:hAnsi="Arial"/>
          <w:sz w:val="14"/>
          <w:szCs w:val="14"/>
          <w:color w:val="auto"/>
        </w:rPr>
      </w:pPr>
    </w:p>
    <w:p>
      <w:pPr>
        <w:ind w:left="660" w:hanging="328"/>
        <w:spacing w:after="0"/>
        <w:tabs>
          <w:tab w:leader="none" w:pos="6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Daily average and ending net TBA position outstanding measured at cost.</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819" w:right="239" w:bottom="1440" w:gutter="0" w:footer="0" w:header="0"/>
        </w:sectPr>
      </w:pPr>
    </w:p>
    <w:bookmarkStart w:id="40" w:name="page41"/>
    <w:bookmarkEnd w:id="40"/>
    <w:p>
      <w:pPr>
        <w:ind w:left="660" w:hanging="328"/>
        <w:spacing w:after="0" w:line="250" w:lineRule="auto"/>
        <w:tabs>
          <w:tab w:leader="none" w:pos="6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Average leverage during the period was calculated by dividing the sum of our daily weighted average mortgage borrowings outstanding by the sum of our average month-end stockholders' equity less our average investment in REIT equity securities for the period.</w:t>
      </w:r>
    </w:p>
    <w:p>
      <w:pPr>
        <w:ind w:left="660" w:right="20" w:hanging="328"/>
        <w:spacing w:after="0" w:line="241" w:lineRule="auto"/>
        <w:tabs>
          <w:tab w:leader="none" w:pos="6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Average "at risk" leverage during the period includes the components of "average leverage during the period," plus our daily weighted average net TBA position (at cost) during the period.</w:t>
      </w:r>
    </w:p>
    <w:p>
      <w:pPr>
        <w:ind w:left="660" w:hanging="328"/>
        <w:spacing w:after="0" w:line="241" w:lineRule="auto"/>
        <w:tabs>
          <w:tab w:leader="none" w:pos="6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Leverage as of period end was calculated by dividing the sum of the amount of mortgage borrowings outstanding and net payables and receivables for unsettled agency securities by the sum of our total stockholders' equity less the fair value of our investment in REIT equity securities at period end.</w:t>
      </w:r>
    </w:p>
    <w:p>
      <w:pPr>
        <w:ind w:left="660" w:hanging="328"/>
        <w:spacing w:after="0"/>
        <w:tabs>
          <w:tab w:leader="none" w:pos="6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"At risk" leverage as of period end includes the components of "leverage as of period end," plus the cost basis (or contract price) of our net TBA position.</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and Cost of Funds</w:t>
      </w:r>
    </w:p>
    <w:p>
      <w:pPr>
        <w:spacing w:after="0" w:line="23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Our interest expense is comprised of interest expense on our mortgage borrowings and the reclassification of accumulated OCI into interest expense related to previously de-designated interest rate swaps. Our mortgage borrowings primarily consist of agency repurchase agreements. Upon our election to discontinue hedge accounting under GAAP as of September 30, 2011, the net deferred loss related to our de-designated interest rate swaps remained in accumulated OCI and is being reclassified from accumulated OCI into interest expense on a straight-line basis over the remaining term of each interest rate swap.</w:t>
      </w:r>
    </w:p>
    <w:p>
      <w:pPr>
        <w:spacing w:after="0" w:line="134"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Our "adjusted net interest expense," also referred to as our "cost of funds" when stated as a percentage of our mortgage borrowings outstanding, includes periodic interest costs on our interest rate swaps reported in gain/loss on derivative instruments and other securities, net in our consolidated statements of comprehensive income. Our cost of funds does not include swap termination fees, forward starting swaps and costs associated with our other supplemental hedges, such as swaptions and U.S. Treasury positions. Our cost of funds also does not include the implied financing cost/benefit of our net TBA dollar roll position, but does, however, include interest rate swap hedge costs related to our TBA dollar roll funded assets. Consequently, our cost of funds measured as a percentage of our outstanding mortgage borrowings is higher than if we allocated a portion of our swap hedge costs to our TBA dollar roll funded assets.</w:t>
      </w:r>
    </w:p>
    <w:p>
      <w:pPr>
        <w:spacing w:after="0" w:line="111"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The table below presents a reconciliation of our interest expense (the most comparable GAAP financial measure) to our adjusted net interest expense and cost of funds (non-GAAP financial measures) for the three and six months ended June 30, 2016 and 2015 (dollars in millions):</w:t>
      </w:r>
    </w:p>
    <w:p>
      <w:pPr>
        <w:spacing w:after="0" w:line="368" w:lineRule="exact"/>
        <w:rPr>
          <w:sz w:val="20"/>
          <w:szCs w:val="20"/>
          <w:color w:val="auto"/>
        </w:rPr>
      </w:pPr>
    </w:p>
    <w:tbl>
      <w:tblPr>
        <w:tblLayout w:type="fixed"/>
        <w:tblInd w:w="1100" w:type="dxa"/>
        <w:tblCellMar>
          <w:top w:w="0" w:type="dxa"/>
          <w:left w:w="0" w:type="dxa"/>
          <w:bottom w:w="0" w:type="dxa"/>
          <w:right w:w="0" w:type="dxa"/>
        </w:tblCellMar>
      </w:tblPr>
      <w:tr>
        <w:trPr>
          <w:trHeight w:val="192"/>
        </w:trPr>
        <w:tc>
          <w:tcPr>
            <w:tcW w:w="3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9"/>
          </w:tcPr>
          <w:p>
            <w:pPr>
              <w:jc w:val="right"/>
              <w:ind w:right="40"/>
              <w:spacing w:after="0"/>
              <w:rPr>
                <w:sz w:val="20"/>
                <w:szCs w:val="20"/>
                <w:color w:val="auto"/>
              </w:rPr>
            </w:pPr>
            <w:r>
              <w:rPr>
                <w:rFonts w:ascii="Arial" w:cs="Arial" w:eastAsia="Arial" w:hAnsi="Arial"/>
                <w:sz w:val="14"/>
                <w:szCs w:val="14"/>
                <w:b w:val="1"/>
                <w:bCs w:val="1"/>
                <w:color w:val="auto"/>
              </w:rPr>
              <w:t>Three Months Ended June 30,</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9"/>
          </w:tcPr>
          <w:p>
            <w:pPr>
              <w:jc w:val="right"/>
              <w:ind w:right="120"/>
              <w:spacing w:after="0"/>
              <w:rPr>
                <w:sz w:val="20"/>
                <w:szCs w:val="20"/>
                <w:color w:val="auto"/>
              </w:rPr>
            </w:pPr>
            <w:r>
              <w:rPr>
                <w:rFonts w:ascii="Arial" w:cs="Arial" w:eastAsia="Arial" w:hAnsi="Arial"/>
                <w:sz w:val="14"/>
                <w:szCs w:val="14"/>
                <w:b w:val="1"/>
                <w:bCs w:val="1"/>
                <w:color w:val="auto"/>
              </w:rPr>
              <w:t>Six Months Ended June 30,</w:t>
            </w:r>
          </w:p>
        </w:tc>
        <w:tc>
          <w:tcPr>
            <w:tcW w:w="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2016</w:t>
            </w:r>
          </w:p>
        </w:tc>
        <w:tc>
          <w:tcPr>
            <w:tcW w:w="4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2015</w:t>
            </w:r>
          </w:p>
        </w:tc>
        <w:tc>
          <w:tcPr>
            <w:tcW w:w="4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2016</w:t>
            </w:r>
          </w:p>
        </w:tc>
        <w:tc>
          <w:tcPr>
            <w:tcW w:w="5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2015</w:t>
            </w:r>
          </w:p>
        </w:tc>
        <w:tc>
          <w:tcPr>
            <w:tcW w:w="4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1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5"/>
              </w:rPr>
              <w:t>Adjusted Net Interest Expense and Cost of Funds</w:t>
            </w:r>
          </w:p>
        </w:tc>
        <w:tc>
          <w:tcPr>
            <w:tcW w:w="100" w:type="dxa"/>
            <w:vAlign w:val="bottom"/>
          </w:tcPr>
          <w:p>
            <w:pPr>
              <w:spacing w:after="0"/>
              <w:rPr>
                <w:sz w:val="23"/>
                <w:szCs w:val="23"/>
                <w:color w:val="auto"/>
              </w:rPr>
            </w:pPr>
          </w:p>
        </w:tc>
        <w:tc>
          <w:tcPr>
            <w:tcW w:w="66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jc w:val="right"/>
              <w:ind w:right="133"/>
              <w:spacing w:after="0" w:line="269"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9"/>
                <w:szCs w:val="9"/>
                <w:b w:val="1"/>
                <w:bCs w:val="1"/>
                <w:color w:val="auto"/>
              </w:rPr>
              <w:t xml:space="preserve"> 1</w:t>
            </w:r>
          </w:p>
        </w:tc>
        <w:tc>
          <w:tcPr>
            <w:tcW w:w="120" w:type="dxa"/>
            <w:vAlign w:val="bottom"/>
          </w:tcPr>
          <w:p>
            <w:pPr>
              <w:spacing w:after="0"/>
              <w:rPr>
                <w:sz w:val="23"/>
                <w:szCs w:val="23"/>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jc w:val="right"/>
              <w:ind w:right="153"/>
              <w:spacing w:after="0" w:line="269" w:lineRule="exact"/>
              <w:rPr>
                <w:sz w:val="20"/>
                <w:szCs w:val="20"/>
                <w:color w:val="auto"/>
              </w:rPr>
            </w:pPr>
            <w:r>
              <w:rPr>
                <w:rFonts w:ascii="Arial" w:cs="Arial" w:eastAsia="Arial" w:hAnsi="Arial"/>
                <w:sz w:val="28"/>
                <w:szCs w:val="28"/>
                <w:b w:val="1"/>
                <w:bCs w:val="1"/>
                <w:color w:val="auto"/>
                <w:w w:val="99"/>
                <w:vertAlign w:val="subscript"/>
              </w:rPr>
              <w:t>%</w:t>
            </w:r>
            <w:r>
              <w:rPr>
                <w:rFonts w:ascii="Arial" w:cs="Arial" w:eastAsia="Arial" w:hAnsi="Arial"/>
                <w:sz w:val="9"/>
                <w:szCs w:val="9"/>
                <w:b w:val="1"/>
                <w:bCs w:val="1"/>
                <w:color w:val="auto"/>
                <w:w w:val="99"/>
              </w:rPr>
              <w:t xml:space="preserve"> 1</w:t>
            </w:r>
          </w:p>
        </w:tc>
        <w:tc>
          <w:tcPr>
            <w:tcW w:w="100" w:type="dxa"/>
            <w:vAlign w:val="bottom"/>
          </w:tcPr>
          <w:p>
            <w:pPr>
              <w:spacing w:after="0"/>
              <w:rPr>
                <w:sz w:val="23"/>
                <w:szCs w:val="23"/>
                <w:color w:val="auto"/>
              </w:rPr>
            </w:pPr>
          </w:p>
        </w:tc>
        <w:tc>
          <w:tcPr>
            <w:tcW w:w="66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jc w:val="right"/>
              <w:ind w:right="153"/>
              <w:spacing w:after="0" w:line="269"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9"/>
                <w:szCs w:val="9"/>
                <w:b w:val="1"/>
                <w:bCs w:val="1"/>
                <w:color w:val="auto"/>
              </w:rPr>
              <w:t xml:space="preserve"> 1</w:t>
            </w:r>
          </w:p>
        </w:tc>
        <w:tc>
          <w:tcPr>
            <w:tcW w:w="100" w:type="dxa"/>
            <w:vAlign w:val="bottom"/>
          </w:tcPr>
          <w:p>
            <w:pPr>
              <w:spacing w:after="0"/>
              <w:rPr>
                <w:sz w:val="23"/>
                <w:szCs w:val="23"/>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jc w:val="right"/>
              <w:ind w:right="133"/>
              <w:spacing w:after="0" w:line="269"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9"/>
                <w:szCs w:val="9"/>
                <w:b w:val="1"/>
                <w:bCs w:val="1"/>
                <w:color w:val="auto"/>
              </w:rPr>
              <w:t xml:space="preserve"> 1</w:t>
            </w:r>
          </w:p>
        </w:tc>
        <w:tc>
          <w:tcPr>
            <w:tcW w:w="0" w:type="dxa"/>
            <w:vAlign w:val="bottom"/>
          </w:tcPr>
          <w:p>
            <w:pPr>
              <w:spacing w:after="0"/>
              <w:rPr>
                <w:sz w:val="1"/>
                <w:szCs w:val="1"/>
                <w:color w:val="auto"/>
              </w:rPr>
            </w:pPr>
          </w:p>
        </w:tc>
      </w:tr>
      <w:tr>
        <w:trPr>
          <w:trHeight w:val="258"/>
        </w:trPr>
        <w:tc>
          <w:tcPr>
            <w:tcW w:w="3280" w:type="dxa"/>
            <w:vAlign w:val="bottom"/>
            <w:gridSpan w:val="2"/>
          </w:tcPr>
          <w:p>
            <w:pPr>
              <w:ind w:left="20"/>
              <w:spacing w:after="0"/>
              <w:rPr>
                <w:sz w:val="20"/>
                <w:szCs w:val="20"/>
                <w:color w:val="auto"/>
              </w:rPr>
            </w:pPr>
            <w:r>
              <w:rPr>
                <w:rFonts w:ascii="Arial" w:cs="Arial" w:eastAsia="Arial" w:hAnsi="Arial"/>
                <w:sz w:val="14"/>
                <w:szCs w:val="14"/>
                <w:b w:val="1"/>
                <w:bCs w:val="1"/>
                <w:color w:val="auto"/>
              </w:rPr>
              <w:t>Interest expense:</w:t>
            </w:r>
          </w:p>
        </w:tc>
        <w:tc>
          <w:tcPr>
            <w:tcW w:w="2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28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Interest expense on mortgage borrowings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0.76%</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0.43%</w:t>
            </w:r>
          </w:p>
        </w:tc>
        <w:tc>
          <w:tcPr>
            <w:tcW w:w="0" w:type="dxa"/>
            <w:vAlign w:val="bottom"/>
          </w:tcPr>
          <w:p>
            <w:pPr>
              <w:spacing w:after="0"/>
              <w:rPr>
                <w:sz w:val="1"/>
                <w:szCs w:val="1"/>
                <w:color w:val="auto"/>
              </w:rPr>
            </w:pPr>
          </w:p>
        </w:tc>
      </w:tr>
      <w:tr>
        <w:trPr>
          <w:trHeight w:val="157"/>
        </w:trPr>
        <w:tc>
          <w:tcPr>
            <w:tcW w:w="3280" w:type="dxa"/>
            <w:vAlign w:val="bottom"/>
            <w:gridSpan w:val="2"/>
          </w:tcPr>
          <w:p>
            <w:pPr>
              <w:ind w:left="360"/>
              <w:spacing w:after="0" w:line="157" w:lineRule="exact"/>
              <w:rPr>
                <w:sz w:val="20"/>
                <w:szCs w:val="20"/>
                <w:color w:val="auto"/>
              </w:rPr>
            </w:pPr>
            <w:r>
              <w:rPr>
                <w:rFonts w:ascii="Arial" w:cs="Arial" w:eastAsia="Arial" w:hAnsi="Arial"/>
                <w:sz w:val="14"/>
                <w:szCs w:val="14"/>
                <w:color w:val="auto"/>
              </w:rPr>
              <w:t>Periodic interest costs of interest rate swaps</w:t>
            </w: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28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previously designated as hedges under</w:t>
            </w: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280" w:type="dxa"/>
            <w:vAlign w:val="bottom"/>
            <w:tcBorders>
              <w:bottom w:val="single" w:sz="8" w:color="CCEEFF"/>
            </w:tcBorders>
            <w:gridSpan w:val="2"/>
          </w:tcPr>
          <w:p>
            <w:pPr>
              <w:ind w:left="520"/>
              <w:spacing w:after="0"/>
              <w:rPr>
                <w:sz w:val="20"/>
                <w:szCs w:val="20"/>
                <w:color w:val="auto"/>
              </w:rPr>
            </w:pPr>
            <w:r>
              <w:rPr>
                <w:rFonts w:ascii="Arial" w:cs="Arial" w:eastAsia="Arial" w:hAnsi="Arial"/>
                <w:sz w:val="14"/>
                <w:szCs w:val="14"/>
                <w:color w:val="auto"/>
              </w:rPr>
              <w:t>GAAP, net</w:t>
            </w:r>
          </w:p>
        </w:tc>
        <w:tc>
          <w:tcPr>
            <w:tcW w:w="2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0.10%</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0.21%</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0.13%</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0.21%</w:t>
            </w:r>
          </w:p>
        </w:tc>
        <w:tc>
          <w:tcPr>
            <w:tcW w:w="0" w:type="dxa"/>
            <w:vAlign w:val="bottom"/>
          </w:tcPr>
          <w:p>
            <w:pPr>
              <w:spacing w:after="0"/>
              <w:rPr>
                <w:sz w:val="1"/>
                <w:szCs w:val="1"/>
                <w:color w:val="auto"/>
              </w:rPr>
            </w:pPr>
          </w:p>
        </w:tc>
      </w:tr>
      <w:tr>
        <w:trPr>
          <w:trHeight w:val="256"/>
        </w:trPr>
        <w:tc>
          <w:tcPr>
            <w:tcW w:w="328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Total interest expense</w:t>
            </w:r>
          </w:p>
        </w:tc>
        <w:tc>
          <w:tcPr>
            <w:tcW w:w="240" w:type="dxa"/>
            <w:vAlign w:val="bottom"/>
            <w:shd w:val="clear" w:color="auto" w:fill="CCEEFF"/>
          </w:tcPr>
          <w:p>
            <w:pPr>
              <w:spacing w:after="0"/>
              <w:rPr>
                <w:sz w:val="22"/>
                <w:szCs w:val="2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0.86%</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0.86%</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0.64%</w:t>
            </w:r>
          </w:p>
        </w:tc>
        <w:tc>
          <w:tcPr>
            <w:tcW w:w="0" w:type="dxa"/>
            <w:vAlign w:val="bottom"/>
          </w:tcPr>
          <w:p>
            <w:pPr>
              <w:spacing w:after="0"/>
              <w:rPr>
                <w:sz w:val="1"/>
                <w:szCs w:val="1"/>
                <w:color w:val="auto"/>
              </w:rPr>
            </w:pPr>
          </w:p>
        </w:tc>
      </w:tr>
      <w:tr>
        <w:trPr>
          <w:trHeight w:val="157"/>
        </w:trPr>
        <w:tc>
          <w:tcPr>
            <w:tcW w:w="3280" w:type="dxa"/>
            <w:vAlign w:val="bottom"/>
            <w:gridSpan w:val="2"/>
          </w:tcPr>
          <w:p>
            <w:pPr>
              <w:ind w:left="360"/>
              <w:spacing w:after="0" w:line="157" w:lineRule="exact"/>
              <w:rPr>
                <w:sz w:val="20"/>
                <w:szCs w:val="20"/>
                <w:color w:val="auto"/>
              </w:rPr>
            </w:pPr>
            <w:r>
              <w:rPr>
                <w:rFonts w:ascii="Arial" w:cs="Arial" w:eastAsia="Arial" w:hAnsi="Arial"/>
                <w:sz w:val="14"/>
                <w:szCs w:val="14"/>
                <w:color w:val="auto"/>
              </w:rPr>
              <w:t>Other periodic interest costs of interest rate</w:t>
            </w: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280" w:type="dxa"/>
            <w:vAlign w:val="bottom"/>
            <w:tcBorders>
              <w:bottom w:val="single" w:sz="8" w:color="CCEEFF"/>
            </w:tcBorders>
            <w:gridSpan w:val="2"/>
          </w:tcPr>
          <w:p>
            <w:pPr>
              <w:ind w:left="520"/>
              <w:spacing w:after="0"/>
              <w:rPr>
                <w:sz w:val="20"/>
                <w:szCs w:val="20"/>
                <w:color w:val="auto"/>
              </w:rPr>
            </w:pPr>
            <w:r>
              <w:rPr>
                <w:rFonts w:ascii="Arial" w:cs="Arial" w:eastAsia="Arial" w:hAnsi="Arial"/>
                <w:sz w:val="14"/>
                <w:szCs w:val="14"/>
                <w:color w:val="auto"/>
              </w:rPr>
              <w:t>swaps, net</w:t>
            </w:r>
          </w:p>
        </w:tc>
        <w:tc>
          <w:tcPr>
            <w:tcW w:w="2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0.60%</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0.78%</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158</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0.67%</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183</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0.71%</w:t>
            </w:r>
          </w:p>
        </w:tc>
        <w:tc>
          <w:tcPr>
            <w:tcW w:w="0" w:type="dxa"/>
            <w:vAlign w:val="bottom"/>
          </w:tcPr>
          <w:p>
            <w:pPr>
              <w:spacing w:after="0"/>
              <w:rPr>
                <w:sz w:val="1"/>
                <w:szCs w:val="1"/>
                <w:color w:val="auto"/>
              </w:rPr>
            </w:pPr>
          </w:p>
        </w:tc>
      </w:tr>
      <w:tr>
        <w:trPr>
          <w:trHeight w:val="139"/>
        </w:trPr>
        <w:tc>
          <w:tcPr>
            <w:tcW w:w="328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b w:val="1"/>
                <w:bCs w:val="1"/>
                <w:color w:val="auto"/>
              </w:rPr>
              <w:t>Total adjusted net interest expense and cost of</w:t>
            </w: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1.46%</w:t>
            </w:r>
          </w:p>
        </w:tc>
        <w:tc>
          <w:tcPr>
            <w:tcW w:w="12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180</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1.43%</w:t>
            </w:r>
          </w:p>
        </w:tc>
        <w:tc>
          <w:tcPr>
            <w:tcW w:w="10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358</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1.55%</w:t>
            </w:r>
          </w:p>
        </w:tc>
        <w:tc>
          <w:tcPr>
            <w:tcW w:w="10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350</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1.35%</w:t>
            </w:r>
          </w:p>
        </w:tc>
        <w:tc>
          <w:tcPr>
            <w:tcW w:w="0" w:type="dxa"/>
            <w:vAlign w:val="bottom"/>
          </w:tcPr>
          <w:p>
            <w:pPr>
              <w:spacing w:after="0"/>
              <w:rPr>
                <w:sz w:val="1"/>
                <w:szCs w:val="1"/>
                <w:color w:val="auto"/>
              </w:rPr>
            </w:pPr>
          </w:p>
        </w:tc>
      </w:tr>
      <w:tr>
        <w:trPr>
          <w:trHeight w:val="185"/>
        </w:trPr>
        <w:tc>
          <w:tcPr>
            <w:tcW w:w="3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funds</w:t>
            </w:r>
          </w:p>
        </w:tc>
        <w:tc>
          <w:tcPr>
            <w:tcW w:w="240" w:type="dxa"/>
            <w:vAlign w:val="bottom"/>
            <w:tcBorders>
              <w:bottom w:val="single" w:sz="8" w:color="auto"/>
            </w:tcBorders>
            <w:vMerge w:val="continue"/>
            <w:shd w:val="clear" w:color="auto" w:fill="CCEEFF"/>
          </w:tcPr>
          <w:p>
            <w:pPr>
              <w:spacing w:after="0"/>
              <w:rPr>
                <w:sz w:val="16"/>
                <w:szCs w:val="16"/>
                <w:color w:val="auto"/>
              </w:rPr>
            </w:pPr>
          </w:p>
        </w:tc>
        <w:tc>
          <w:tcPr>
            <w:tcW w:w="4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vMerge w:val="continue"/>
            <w:shd w:val="clear" w:color="auto" w:fill="CCEEFF"/>
          </w:tcPr>
          <w:p>
            <w:pPr>
              <w:spacing w:after="0"/>
              <w:rPr>
                <w:sz w:val="16"/>
                <w:szCs w:val="16"/>
                <w:color w:val="auto"/>
              </w:rPr>
            </w:pPr>
          </w:p>
        </w:tc>
        <w:tc>
          <w:tcPr>
            <w:tcW w:w="40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vMerge w:val="continue"/>
            <w:shd w:val="clear" w:color="auto" w:fill="CCEEFF"/>
          </w:tcPr>
          <w:p>
            <w:pPr>
              <w:spacing w:after="0"/>
              <w:rPr>
                <w:sz w:val="16"/>
                <w:szCs w:val="16"/>
                <w:color w:val="auto"/>
              </w:rPr>
            </w:pPr>
          </w:p>
        </w:tc>
        <w:tc>
          <w:tcPr>
            <w:tcW w:w="4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vMerge w:val="continue"/>
            <w:shd w:val="clear" w:color="auto" w:fill="CCEEFF"/>
          </w:tcPr>
          <w:p>
            <w:pPr>
              <w:spacing w:after="0"/>
              <w:rPr>
                <w:sz w:val="16"/>
                <w:szCs w:val="16"/>
                <w:color w:val="auto"/>
              </w:rPr>
            </w:pPr>
          </w:p>
        </w:tc>
        <w:tc>
          <w:tcPr>
            <w:tcW w:w="40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 w:lineRule="exact"/>
        <w:rPr>
          <w:sz w:val="20"/>
          <w:szCs w:val="20"/>
          <w:color w:val="auto"/>
        </w:rPr>
      </w:pPr>
    </w:p>
    <w:p>
      <w:pPr>
        <w:ind w:left="60"/>
        <w:spacing w:after="0"/>
        <w:rPr>
          <w:sz w:val="20"/>
          <w:szCs w:val="20"/>
          <w:color w:val="auto"/>
        </w:rPr>
      </w:pPr>
      <w:r>
        <w:rPr>
          <w:rFonts w:ascii="Arial" w:cs="Arial" w:eastAsia="Arial" w:hAnsi="Arial"/>
          <w:sz w:val="14"/>
          <w:szCs w:val="14"/>
          <w:color w:val="auto"/>
        </w:rPr>
        <w:t>_______________________</w:t>
      </w:r>
    </w:p>
    <w:p>
      <w:pPr>
        <w:spacing w:after="0" w:line="28"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Percent of our average mortgage borrowings outstanding for the period annualized.</w:t>
      </w:r>
    </w:p>
    <w:p>
      <w:pPr>
        <w:spacing w:after="0" w:line="303"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The principal elements impacting our adjusted net interest expense are the size of our average mortgage borrowings outstanding during the period, the size of our average interest rate swap balance outstanding (excluding forward starting swaps), the average interest rate on our borrowings and the average net pay rate on our pay-fixed receive-floating interest rate swaps. The size of our average borrowings declined 7% and 11% for the three and six months ended June 30, 2016, respectively, compared to the prior year period, commensurate with the decline in our average investment portfolio.</w:t>
      </w:r>
    </w:p>
    <w:p>
      <w:pPr>
        <w:spacing w:after="0" w:line="15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Our average cost of funds was 1.46% for the three months ended June 30, 2016, largely unchanged from the prior year period, as the increase in repo costs was largely offset by a decline in interest rate swap costs. Our average cost of funds was 1.55% for the six months ended June 30, 2016, an increase of 20 basis points from the prior year period due to the combination of (i) timing differences between the rate resets on our variable rate borrowings and rate resets on the receive-floating rate leg of our interest rate swaps after the December 2015 increase in the Federal Funds Rate and (ii) a larger relative swap position during the first quarter of 2016, compared to the prior year period.</w:t>
      </w:r>
    </w:p>
    <w:p>
      <w:pPr>
        <w:spacing w:after="0" w:line="18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is a summary of the estimated impact of the principal elements impacting the increase in our adjusted net interest expense for the three and six months ended June 30, 2016, compared to the prior year period (in millions):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580" w:right="239" w:bottom="1440" w:gutter="0" w:footer="0" w:header="0"/>
        </w:sectPr>
      </w:pPr>
    </w:p>
    <w:bookmarkStart w:id="41" w:name="page42"/>
    <w:bookmarkEnd w:id="41"/>
    <w:p>
      <w:pPr>
        <w:jc w:val="center"/>
        <w:ind w:right="-19"/>
        <w:spacing w:after="0"/>
        <w:rPr>
          <w:sz w:val="20"/>
          <w:szCs w:val="20"/>
          <w:color w:val="auto"/>
        </w:rPr>
      </w:pPr>
      <w:r>
        <w:rPr>
          <w:rFonts w:ascii="Arial" w:cs="Arial" w:eastAsia="Arial" w:hAnsi="Arial"/>
          <w:sz w:val="14"/>
          <w:szCs w:val="14"/>
          <w:b w:val="1"/>
          <w:bCs w:val="1"/>
          <w:color w:val="auto"/>
        </w:rPr>
        <w:t>Impact of Changes in the Principal Elements of Adjusted Net 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23495</wp:posOffset>
            </wp:positionV>
            <wp:extent cx="69037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03720" cy="8890"/>
                    </a:xfrm>
                    <a:prstGeom prst="rect">
                      <a:avLst/>
                    </a:prstGeom>
                    <a:noFill/>
                  </pic:spPr>
                </pic:pic>
              </a:graphicData>
            </a:graphic>
          </wp:anchor>
        </w:drawing>
      </w:r>
    </w:p>
    <w:p>
      <w:pPr>
        <w:spacing w:after="0" w:line="3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Periods Ended June 30, 2016 and June 30,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23495</wp:posOffset>
            </wp:positionV>
            <wp:extent cx="69037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03720" cy="8890"/>
                    </a:xfrm>
                    <a:prstGeom prst="rect">
                      <a:avLst/>
                    </a:prstGeom>
                    <a:noFill/>
                  </pic:spPr>
                </pic:pic>
              </a:graphicData>
            </a:graphic>
          </wp:anchor>
        </w:drawing>
      </w:r>
    </w:p>
    <w:p>
      <w:pPr>
        <w:spacing w:after="0" w:line="103" w:lineRule="exact"/>
        <w:rPr>
          <w:sz w:val="20"/>
          <w:szCs w:val="20"/>
          <w:color w:val="auto"/>
        </w:rPr>
      </w:pPr>
    </w:p>
    <w:tbl>
      <w:tblPr>
        <w:tblLayout w:type="fixed"/>
        <w:tblInd w:w="280" w:type="dxa"/>
        <w:tblCellMar>
          <w:top w:w="0" w:type="dxa"/>
          <w:left w:w="0" w:type="dxa"/>
          <w:bottom w:w="0" w:type="dxa"/>
          <w:right w:w="0" w:type="dxa"/>
        </w:tblCellMar>
      </w:tblPr>
      <w:tr>
        <w:trPr>
          <w:trHeight w:val="192"/>
        </w:trPr>
        <w:tc>
          <w:tcPr>
            <w:tcW w:w="6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4"/>
                <w:szCs w:val="14"/>
                <w:b w:val="1"/>
                <w:bCs w:val="1"/>
                <w:color w:val="auto"/>
              </w:rPr>
              <w:t>Due to Change in Average</w:t>
            </w:r>
          </w:p>
        </w:tc>
        <w:tc>
          <w:tcPr>
            <w:tcW w:w="400" w:type="dxa"/>
            <w:vAlign w:val="bottom"/>
            <w:tcBorders>
              <w:bottom w:val="single" w:sz="8" w:color="auto"/>
            </w:tcBorders>
          </w:tcPr>
          <w:p>
            <w:pPr>
              <w:spacing w:after="0"/>
              <w:rPr>
                <w:sz w:val="16"/>
                <w:szCs w:val="16"/>
                <w:color w:val="auto"/>
              </w:rPr>
            </w:pPr>
          </w:p>
        </w:tc>
      </w:tr>
      <w:tr>
        <w:trPr>
          <w:trHeight w:val="153"/>
        </w:trPr>
        <w:tc>
          <w:tcPr>
            <w:tcW w:w="6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2"/>
              </w:rPr>
              <w:t>Total Increase /</w:t>
            </w:r>
          </w:p>
        </w:tc>
        <w:tc>
          <w:tcPr>
            <w:tcW w:w="120" w:type="dxa"/>
            <w:vAlign w:val="bottom"/>
          </w:tcPr>
          <w:p>
            <w:pPr>
              <w:spacing w:after="0"/>
              <w:rPr>
                <w:sz w:val="13"/>
                <w:szCs w:val="13"/>
                <w:color w:val="auto"/>
              </w:rPr>
            </w:pPr>
          </w:p>
        </w:tc>
        <w:tc>
          <w:tcPr>
            <w:tcW w:w="14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4"/>
              </w:rPr>
              <w:t>Borrowing / Swap</w:t>
            </w:r>
          </w:p>
        </w:tc>
        <w:tc>
          <w:tcPr>
            <w:tcW w:w="1280" w:type="dxa"/>
            <w:vAlign w:val="bottom"/>
            <w:gridSpan w:val="2"/>
          </w:tcPr>
          <w:p>
            <w:pPr>
              <w:jc w:val="right"/>
              <w:ind w:right="8"/>
              <w:spacing w:after="0" w:line="153" w:lineRule="exact"/>
              <w:rPr>
                <w:sz w:val="20"/>
                <w:szCs w:val="20"/>
                <w:color w:val="auto"/>
              </w:rPr>
            </w:pPr>
            <w:r>
              <w:rPr>
                <w:rFonts w:ascii="Arial" w:cs="Arial" w:eastAsia="Arial" w:hAnsi="Arial"/>
                <w:sz w:val="14"/>
                <w:szCs w:val="14"/>
                <w:b w:val="1"/>
                <w:bCs w:val="1"/>
                <w:color w:val="auto"/>
                <w:w w:val="99"/>
              </w:rPr>
              <w:t>Borrowing / Swap</w:t>
            </w:r>
          </w:p>
        </w:tc>
      </w:tr>
      <w:tr>
        <w:trPr>
          <w:trHeight w:val="192"/>
        </w:trPr>
        <w:tc>
          <w:tcPr>
            <w:tcW w:w="6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(Decrease)</w:t>
            </w:r>
          </w:p>
        </w:tc>
        <w:tc>
          <w:tcPr>
            <w:tcW w:w="12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Balance</w:t>
            </w:r>
          </w:p>
        </w:tc>
        <w:tc>
          <w:tcPr>
            <w:tcW w:w="880" w:type="dxa"/>
            <w:vAlign w:val="bottom"/>
          </w:tcPr>
          <w:p>
            <w:pPr>
              <w:jc w:val="right"/>
              <w:ind w:right="28"/>
              <w:spacing w:after="0"/>
              <w:rPr>
                <w:sz w:val="20"/>
                <w:szCs w:val="20"/>
                <w:color w:val="auto"/>
              </w:rPr>
            </w:pPr>
            <w:r>
              <w:rPr>
                <w:rFonts w:ascii="Arial" w:cs="Arial" w:eastAsia="Arial" w:hAnsi="Arial"/>
                <w:sz w:val="14"/>
                <w:szCs w:val="14"/>
                <w:b w:val="1"/>
                <w:bCs w:val="1"/>
                <w:color w:val="auto"/>
              </w:rPr>
              <w:t>Rate</w:t>
            </w:r>
          </w:p>
        </w:tc>
        <w:tc>
          <w:tcPr>
            <w:tcW w:w="400" w:type="dxa"/>
            <w:vAlign w:val="bottom"/>
          </w:tcPr>
          <w:p>
            <w:pPr>
              <w:spacing w:after="0"/>
              <w:rPr>
                <w:sz w:val="16"/>
                <w:szCs w:val="16"/>
                <w:color w:val="auto"/>
              </w:rPr>
            </w:pPr>
          </w:p>
        </w:tc>
      </w:tr>
      <w:tr>
        <w:trPr>
          <w:trHeight w:val="270"/>
        </w:trPr>
        <w:tc>
          <w:tcPr>
            <w:tcW w:w="6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Borders>
              <w:top w:val="single" w:sz="8" w:color="auto"/>
            </w:tcBorders>
            <w:shd w:val="clear" w:color="auto" w:fill="CCEEFF"/>
          </w:tcPr>
          <w:p>
            <w:pPr>
              <w:spacing w:after="0"/>
              <w:rPr>
                <w:sz w:val="23"/>
                <w:szCs w:val="23"/>
                <w:color w:val="auto"/>
              </w:rPr>
            </w:pPr>
          </w:p>
        </w:tc>
        <w:tc>
          <w:tcPr>
            <w:tcW w:w="12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2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400" w:type="dxa"/>
            <w:vAlign w:val="bottom"/>
            <w:tcBorders>
              <w:top w:val="single" w:sz="8" w:color="auto"/>
            </w:tcBorders>
            <w:shd w:val="clear" w:color="auto" w:fill="CCEEFF"/>
          </w:tcPr>
          <w:p>
            <w:pPr>
              <w:spacing w:after="0"/>
              <w:rPr>
                <w:sz w:val="23"/>
                <w:szCs w:val="23"/>
                <w:color w:val="auto"/>
              </w:rPr>
            </w:pPr>
          </w:p>
        </w:tc>
      </w:tr>
      <w:tr>
        <w:trPr>
          <w:trHeight w:val="264"/>
        </w:trPr>
        <w:tc>
          <w:tcPr>
            <w:tcW w:w="6540" w:type="dxa"/>
            <w:vAlign w:val="bottom"/>
          </w:tcPr>
          <w:p>
            <w:pPr>
              <w:ind w:left="20"/>
              <w:spacing w:after="0"/>
              <w:rPr>
                <w:sz w:val="20"/>
                <w:szCs w:val="20"/>
                <w:color w:val="auto"/>
              </w:rPr>
            </w:pPr>
            <w:r>
              <w:rPr>
                <w:rFonts w:ascii="Arial" w:cs="Arial" w:eastAsia="Arial" w:hAnsi="Arial"/>
                <w:sz w:val="14"/>
                <w:szCs w:val="14"/>
                <w:color w:val="auto"/>
              </w:rPr>
              <w:t>Interest expense on mortgage borrowings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2"/>
                <w:szCs w:val="22"/>
                <w:color w:val="auto"/>
              </w:rPr>
            </w:pPr>
          </w:p>
        </w:tc>
        <w:tc>
          <w:tcPr>
            <w:tcW w:w="880" w:type="dxa"/>
            <w:vAlign w:val="bottom"/>
          </w:tcPr>
          <w:p>
            <w:pPr>
              <w:jc w:val="right"/>
              <w:ind w:right="708"/>
              <w:spacing w:after="0"/>
              <w:rPr>
                <w:sz w:val="20"/>
                <w:szCs w:val="20"/>
                <w:color w:val="auto"/>
              </w:rPr>
            </w:pPr>
            <w:r>
              <w:rPr>
                <w:rFonts w:ascii="Arial" w:cs="Arial" w:eastAsia="Arial" w:hAnsi="Arial"/>
                <w:sz w:val="14"/>
                <w:szCs w:val="14"/>
                <w:color w:val="auto"/>
              </w:rPr>
              <w:t>$</w:t>
            </w:r>
          </w:p>
        </w:tc>
        <w:tc>
          <w:tcPr>
            <w:tcW w:w="400" w:type="dxa"/>
            <w:vAlign w:val="bottom"/>
          </w:tcPr>
          <w:p>
            <w:pPr>
              <w:jc w:val="right"/>
              <w:ind w:right="28"/>
              <w:spacing w:after="0"/>
              <w:rPr>
                <w:sz w:val="20"/>
                <w:szCs w:val="20"/>
                <w:color w:val="auto"/>
              </w:rPr>
            </w:pPr>
            <w:r>
              <w:rPr>
                <w:rFonts w:ascii="Arial" w:cs="Arial" w:eastAsia="Arial" w:hAnsi="Arial"/>
                <w:sz w:val="14"/>
                <w:szCs w:val="14"/>
                <w:color w:val="auto"/>
              </w:rPr>
              <w:t>38</w:t>
            </w:r>
          </w:p>
        </w:tc>
      </w:tr>
      <w:tr>
        <w:trPr>
          <w:trHeight w:val="270"/>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Periodic interest rate swap costs </w:t>
            </w:r>
            <w:r>
              <w:rPr>
                <w:rFonts w:ascii="Arial" w:cs="Arial" w:eastAsia="Arial" w:hAnsi="Arial"/>
                <w:sz w:val="8"/>
                <w:szCs w:val="8"/>
                <w:color w:val="auto"/>
              </w:rPr>
              <w:t>1</w:t>
            </w:r>
          </w:p>
        </w:tc>
        <w:tc>
          <w:tcPr>
            <w:tcW w:w="16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w:t>
            </w:r>
          </w:p>
        </w:tc>
      </w:tr>
      <w:tr>
        <w:trPr>
          <w:trHeight w:val="283"/>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change in adjusted net interest expense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20" w:type="dxa"/>
            <w:vAlign w:val="bottom"/>
            <w:tcBorders>
              <w:bottom w:val="single" w:sz="8" w:color="CCEEFF"/>
            </w:tcBorders>
          </w:tcPr>
          <w:p>
            <w:pPr>
              <w:spacing w:after="0"/>
              <w:rPr>
                <w:sz w:val="24"/>
                <w:szCs w:val="24"/>
                <w:color w:val="auto"/>
              </w:rPr>
            </w:pPr>
          </w:p>
        </w:tc>
        <w:tc>
          <w:tcPr>
            <w:tcW w:w="88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65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r>
      <w:tr>
        <w:trPr>
          <w:trHeight w:val="264"/>
        </w:trPr>
        <w:tc>
          <w:tcPr>
            <w:tcW w:w="6540" w:type="dxa"/>
            <w:vAlign w:val="bottom"/>
          </w:tcPr>
          <w:p>
            <w:pPr>
              <w:ind w:left="20"/>
              <w:spacing w:after="0"/>
              <w:rPr>
                <w:sz w:val="20"/>
                <w:szCs w:val="20"/>
                <w:color w:val="auto"/>
              </w:rPr>
            </w:pPr>
            <w:r>
              <w:rPr>
                <w:rFonts w:ascii="Arial" w:cs="Arial" w:eastAsia="Arial" w:hAnsi="Arial"/>
                <w:sz w:val="14"/>
                <w:szCs w:val="14"/>
                <w:b w:val="1"/>
                <w:bCs w:val="1"/>
                <w:color w:val="auto"/>
              </w:rPr>
              <w:t>Six months ended:</w:t>
            </w:r>
          </w:p>
        </w:tc>
        <w:tc>
          <w:tcPr>
            <w:tcW w:w="1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00" w:type="dxa"/>
            <w:vAlign w:val="bottom"/>
          </w:tcPr>
          <w:p>
            <w:pPr>
              <w:spacing w:after="0"/>
              <w:rPr>
                <w:sz w:val="22"/>
                <w:szCs w:val="22"/>
                <w:color w:val="auto"/>
              </w:rPr>
            </w:pPr>
          </w:p>
        </w:tc>
      </w:tr>
      <w:tr>
        <w:trPr>
          <w:trHeight w:val="276"/>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 on mortgage borrowings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708"/>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69</w:t>
            </w:r>
          </w:p>
        </w:tc>
      </w:tr>
      <w:tr>
        <w:trPr>
          <w:trHeight w:val="264"/>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 xml:space="preserve">Periodic interest rate swap costs </w:t>
            </w:r>
            <w:r>
              <w:rPr>
                <w:rFonts w:ascii="Arial" w:cs="Arial" w:eastAsia="Arial" w:hAnsi="Arial"/>
                <w:sz w:val="8"/>
                <w:szCs w:val="8"/>
                <w:color w:val="auto"/>
              </w:rPr>
              <w:t>1</w:t>
            </w:r>
          </w:p>
        </w:tc>
        <w:tc>
          <w:tcPr>
            <w:tcW w:w="1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w:t>
            </w:r>
          </w:p>
        </w:tc>
      </w:tr>
      <w:tr>
        <w:trPr>
          <w:trHeight w:val="243"/>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change in adjusted net interest expense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70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w:t>
            </w:r>
          </w:p>
        </w:tc>
      </w:tr>
      <w:tr>
        <w:trPr>
          <w:trHeight w:val="20"/>
        </w:trPr>
        <w:tc>
          <w:tcPr>
            <w:tcW w:w="6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_______________________</w:t>
      </w:r>
    </w:p>
    <w:p>
      <w:pPr>
        <w:spacing w:after="0" w:line="2" w:lineRule="exact"/>
        <w:rPr>
          <w:sz w:val="20"/>
          <w:szCs w:val="20"/>
          <w:color w:val="auto"/>
        </w:rPr>
      </w:pPr>
    </w:p>
    <w:p>
      <w:pPr>
        <w:ind w:left="660" w:hanging="328"/>
        <w:spacing w:after="0" w:line="255" w:lineRule="auto"/>
        <w:tabs>
          <w:tab w:leader="none" w:pos="6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Includes amounts recognized in interest expense and in gain (loss) on derivatives and other securities, net in our consolidated statements of comprehensive income. The change due to interest rate reflects the net impact of the change in the weighted average fixed pay and variable receive rates.</w:t>
      </w:r>
    </w:p>
    <w:p>
      <w:pPr>
        <w:spacing w:after="0" w:line="190"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 table below presents a summary of our average mortgage borrowings outstanding and our average interest rates swaps outstanding, excluding forward starting swaps, for the three and six months ended June 30, 2016 and 2015 (dollars in millions):</w:t>
      </w:r>
    </w:p>
    <w:p>
      <w:pPr>
        <w:spacing w:after="0" w:line="338" w:lineRule="exact"/>
        <w:rPr>
          <w:sz w:val="20"/>
          <w:szCs w:val="20"/>
          <w:color w:val="auto"/>
        </w:rPr>
      </w:pPr>
    </w:p>
    <w:tbl>
      <w:tblPr>
        <w:tblLayout w:type="fixed"/>
        <w:tblInd w:w="500" w:type="dxa"/>
        <w:tblCellMar>
          <w:top w:w="0" w:type="dxa"/>
          <w:left w:w="0" w:type="dxa"/>
          <w:bottom w:w="0" w:type="dxa"/>
          <w:right w:w="0" w:type="dxa"/>
        </w:tblCellMar>
      </w:tblPr>
      <w:tr>
        <w:trPr>
          <w:trHeight w:val="192"/>
        </w:trPr>
        <w:tc>
          <w:tcPr>
            <w:tcW w:w="5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6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 June 30,</w:t>
            </w:r>
          </w:p>
        </w:tc>
        <w:tc>
          <w:tcPr>
            <w:tcW w:w="160" w:type="dxa"/>
            <w:vAlign w:val="bottom"/>
          </w:tcPr>
          <w:p>
            <w:pPr>
              <w:spacing w:after="0"/>
              <w:rPr>
                <w:sz w:val="16"/>
                <w:szCs w:val="16"/>
                <w:color w:val="auto"/>
              </w:rPr>
            </w:pPr>
          </w:p>
        </w:tc>
        <w:tc>
          <w:tcPr>
            <w:tcW w:w="2000" w:type="dxa"/>
            <w:vAlign w:val="bottom"/>
            <w:gridSpan w:val="4"/>
          </w:tcPr>
          <w:p>
            <w:pPr>
              <w:jc w:val="right"/>
              <w:ind w:right="168"/>
              <w:spacing w:after="0"/>
              <w:rPr>
                <w:sz w:val="20"/>
                <w:szCs w:val="20"/>
                <w:color w:val="auto"/>
              </w:rPr>
            </w:pPr>
            <w:r>
              <w:rPr>
                <w:rFonts w:ascii="Arial" w:cs="Arial" w:eastAsia="Arial" w:hAnsi="Arial"/>
                <w:sz w:val="14"/>
                <w:szCs w:val="14"/>
                <w:b w:val="1"/>
                <w:bCs w:val="1"/>
                <w:color w:val="auto"/>
                <w:w w:val="95"/>
              </w:rPr>
              <w:t>Six Months Ended June 30,</w:t>
            </w:r>
          </w:p>
        </w:tc>
        <w:tc>
          <w:tcPr>
            <w:tcW w:w="0" w:type="dxa"/>
            <w:vAlign w:val="bottom"/>
          </w:tcPr>
          <w:p>
            <w:pPr>
              <w:spacing w:after="0"/>
              <w:rPr>
                <w:sz w:val="1"/>
                <w:szCs w:val="1"/>
                <w:color w:val="auto"/>
              </w:rPr>
            </w:pPr>
          </w:p>
        </w:tc>
      </w:tr>
      <w:tr>
        <w:trPr>
          <w:trHeight w:val="139"/>
        </w:trPr>
        <w:tc>
          <w:tcPr>
            <w:tcW w:w="6000" w:type="dxa"/>
            <w:vAlign w:val="bottom"/>
            <w:gridSpan w:val="2"/>
          </w:tcPr>
          <w:p>
            <w:pPr>
              <w:ind w:left="20"/>
              <w:spacing w:after="0" w:line="139" w:lineRule="exact"/>
              <w:rPr>
                <w:sz w:val="20"/>
                <w:szCs w:val="20"/>
                <w:color w:val="auto"/>
              </w:rPr>
            </w:pPr>
            <w:r>
              <w:rPr>
                <w:rFonts w:ascii="Arial" w:cs="Arial" w:eastAsia="Arial" w:hAnsi="Arial"/>
                <w:sz w:val="14"/>
                <w:szCs w:val="14"/>
                <w:b w:val="1"/>
                <w:bCs w:val="1"/>
                <w:color w:val="auto"/>
              </w:rPr>
              <w:t>Average Ratio of Interest Rate Swaps Outstanding (Excluding Forward Starting Swaps) to</w:t>
            </w:r>
          </w:p>
        </w:tc>
        <w:tc>
          <w:tcPr>
            <w:tcW w:w="1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vMerge w:val="restart"/>
          </w:tcPr>
          <w:p>
            <w:pPr>
              <w:jc w:val="right"/>
              <w:ind w:right="30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vMerge w:val="restart"/>
          </w:tcPr>
          <w:p>
            <w:pPr>
              <w:jc w:val="right"/>
              <w:ind w:right="308"/>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vMerge w:val="restart"/>
          </w:tcPr>
          <w:p>
            <w:pPr>
              <w:jc w:val="right"/>
              <w:ind w:right="30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vMerge w:val="restart"/>
          </w:tcPr>
          <w:p>
            <w:pPr>
              <w:jc w:val="right"/>
              <w:ind w:right="308"/>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92"/>
        </w:trPr>
        <w:tc>
          <w:tcPr>
            <w:tcW w:w="59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Mortgage Borrowings Outstanding</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6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Average mortgage borrowings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46,948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50,410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46,437</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52,177</w:t>
            </w:r>
          </w:p>
        </w:tc>
        <w:tc>
          <w:tcPr>
            <w:tcW w:w="0" w:type="dxa"/>
            <w:vAlign w:val="bottom"/>
          </w:tcPr>
          <w:p>
            <w:pPr>
              <w:spacing w:after="0"/>
              <w:rPr>
                <w:sz w:val="1"/>
                <w:szCs w:val="1"/>
                <w:color w:val="auto"/>
              </w:rPr>
            </w:pPr>
          </w:p>
        </w:tc>
      </w:tr>
      <w:tr>
        <w:trPr>
          <w:trHeight w:val="264"/>
        </w:trPr>
        <w:tc>
          <w:tcPr>
            <w:tcW w:w="60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Average notional amount of interest rate swaps (excluding forward starting swaps)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33,742</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35,592</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34,776</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34,265</w:t>
            </w:r>
          </w:p>
        </w:tc>
        <w:tc>
          <w:tcPr>
            <w:tcW w:w="0" w:type="dxa"/>
            <w:vAlign w:val="bottom"/>
          </w:tcPr>
          <w:p>
            <w:pPr>
              <w:spacing w:after="0"/>
              <w:rPr>
                <w:sz w:val="1"/>
                <w:szCs w:val="1"/>
                <w:color w:val="auto"/>
              </w:rPr>
            </w:pPr>
          </w:p>
        </w:tc>
      </w:tr>
      <w:tr>
        <w:trPr>
          <w:trHeight w:val="243"/>
        </w:trPr>
        <w:tc>
          <w:tcPr>
            <w:tcW w:w="6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Average ratio of interest rate swaps to mortgage borrowings</w:t>
            </w:r>
          </w:p>
        </w:tc>
        <w:tc>
          <w:tcPr>
            <w:tcW w:w="1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71 %</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66 %</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Weighted average pay rate on interest rate swaps</w:t>
            </w: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1.60 %</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1.67 %</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1.68 %</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1.65 %</w:t>
            </w:r>
          </w:p>
        </w:tc>
        <w:tc>
          <w:tcPr>
            <w:tcW w:w="0" w:type="dxa"/>
            <w:vAlign w:val="bottom"/>
          </w:tcPr>
          <w:p>
            <w:pPr>
              <w:spacing w:after="0"/>
              <w:rPr>
                <w:sz w:val="1"/>
                <w:szCs w:val="1"/>
                <w:color w:val="auto"/>
              </w:rPr>
            </w:pPr>
          </w:p>
        </w:tc>
      </w:tr>
      <w:tr>
        <w:trPr>
          <w:trHeight w:val="264"/>
        </w:trPr>
        <w:tc>
          <w:tcPr>
            <w:tcW w:w="60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Weighted average receive rate on interest rate swaps</w:t>
            </w:r>
          </w:p>
        </w:tc>
        <w:tc>
          <w:tcPr>
            <w:tcW w:w="1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(0.64)%</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(0.26)%</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(0.59)%</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(0.25)%</w:t>
            </w:r>
          </w:p>
        </w:tc>
        <w:tc>
          <w:tcPr>
            <w:tcW w:w="0" w:type="dxa"/>
            <w:vAlign w:val="bottom"/>
          </w:tcPr>
          <w:p>
            <w:pPr>
              <w:spacing w:after="0"/>
              <w:rPr>
                <w:sz w:val="1"/>
                <w:szCs w:val="1"/>
                <w:color w:val="auto"/>
              </w:rPr>
            </w:pPr>
          </w:p>
        </w:tc>
      </w:tr>
      <w:tr>
        <w:trPr>
          <w:trHeight w:val="243"/>
        </w:trPr>
        <w:tc>
          <w:tcPr>
            <w:tcW w:w="6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Weighted average net pay rate on interest rate swaps</w:t>
            </w:r>
          </w:p>
        </w:tc>
        <w:tc>
          <w:tcPr>
            <w:tcW w:w="1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0.96 %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1.41 %</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1.40 %</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both"/>
        <w:ind w:left="60" w:firstLine="486"/>
        <w:spacing w:after="0" w:line="273" w:lineRule="auto"/>
        <w:rPr>
          <w:sz w:val="20"/>
          <w:szCs w:val="20"/>
          <w:color w:val="auto"/>
        </w:rPr>
      </w:pPr>
      <w:r>
        <w:rPr>
          <w:rFonts w:ascii="Arial" w:cs="Arial" w:eastAsia="Arial" w:hAnsi="Arial"/>
          <w:sz w:val="17"/>
          <w:szCs w:val="17"/>
          <w:color w:val="auto"/>
        </w:rPr>
        <w:t>For the three and six months ended June 30, 2016, we had an average balance of $3.4 billion and $3.6 billion, respectively, of forward starting interest rate swaps outstanding, compared to $10.4 billion and $11.7 billion, respectively, for the prior year period. Forward starting interest rate swaps do not impact our adjusted net interest expense and cost of funds until they commence accruing net interest settlements on their forward start dates. We enter into forward starting interest rate swaps based on a variety of factors, including our view of the forward yield curve and the timing of potential changes in short-term interest rates, time to deploy new capital, amount and timing of expirations of our existing interest rate swap portfolio, current and anticipated swap spreads and our desire to mitigate our exposure to specific sectors of the yield curve.</w:t>
      </w:r>
    </w:p>
    <w:p>
      <w:pPr>
        <w:spacing w:after="0" w:line="124" w:lineRule="exact"/>
        <w:rPr>
          <w:sz w:val="20"/>
          <w:szCs w:val="20"/>
          <w:color w:val="auto"/>
        </w:rPr>
      </w:pPr>
    </w:p>
    <w:p>
      <w:pPr>
        <w:jc w:val="both"/>
        <w:ind w:left="60" w:firstLine="486"/>
        <w:spacing w:after="0" w:line="264" w:lineRule="auto"/>
        <w:rPr>
          <w:sz w:val="20"/>
          <w:szCs w:val="20"/>
          <w:color w:val="auto"/>
        </w:rPr>
      </w:pPr>
      <w:r>
        <w:rPr>
          <w:rFonts w:ascii="Arial" w:cs="Arial" w:eastAsia="Arial" w:hAnsi="Arial"/>
          <w:sz w:val="18"/>
          <w:szCs w:val="18"/>
          <w:color w:val="auto"/>
        </w:rPr>
        <w:t>Including forward starting swaps and our net TBA position, our average ratio of interest rate swaps outstanding to our average mortgage borrowings and net TBA position (at cost) was 67% and 70% for the three and six months ended June 30, 2016, compared to 82% and 78%, respectively, for the prior year period.</w:t>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40" w:type="dxa"/>
            <w:vAlign w:val="bottom"/>
            <w:gridSpan w:val="6"/>
          </w:tcPr>
          <w:p>
            <w:pPr>
              <w:ind w:left="40"/>
              <w:spacing w:after="0"/>
              <w:rPr>
                <w:sz w:val="20"/>
                <w:szCs w:val="20"/>
                <w:color w:val="auto"/>
              </w:rPr>
            </w:pPr>
            <w:r>
              <w:rPr>
                <w:rFonts w:ascii="Arial" w:cs="Arial" w:eastAsia="Arial" w:hAnsi="Arial"/>
                <w:sz w:val="14"/>
                <w:szCs w:val="14"/>
                <w:b w:val="1"/>
                <w:bCs w:val="1"/>
                <w:color w:val="auto"/>
                <w:w w:val="99"/>
              </w:rPr>
              <w:t>Three Months Ended June 30,</w:t>
            </w:r>
          </w:p>
        </w:tc>
        <w:tc>
          <w:tcPr>
            <w:tcW w:w="120" w:type="dxa"/>
            <w:vAlign w:val="bottom"/>
          </w:tcPr>
          <w:p>
            <w:pPr>
              <w:spacing w:after="0"/>
              <w:rPr>
                <w:sz w:val="16"/>
                <w:szCs w:val="16"/>
                <w:color w:val="auto"/>
              </w:rPr>
            </w:pPr>
          </w:p>
        </w:tc>
        <w:tc>
          <w:tcPr>
            <w:tcW w:w="1840" w:type="dxa"/>
            <w:vAlign w:val="bottom"/>
            <w:gridSpan w:val="4"/>
          </w:tcPr>
          <w:p>
            <w:pPr>
              <w:jc w:val="right"/>
              <w:ind w:right="68"/>
              <w:spacing w:after="0"/>
              <w:rPr>
                <w:sz w:val="20"/>
                <w:szCs w:val="20"/>
                <w:color w:val="auto"/>
              </w:rPr>
            </w:pPr>
            <w:r>
              <w:rPr>
                <w:rFonts w:ascii="Arial" w:cs="Arial" w:eastAsia="Arial" w:hAnsi="Arial"/>
                <w:sz w:val="14"/>
                <w:szCs w:val="14"/>
                <w:b w:val="1"/>
                <w:bCs w:val="1"/>
                <w:color w:val="auto"/>
                <w:w w:val="92"/>
              </w:rPr>
              <w:t>Six Months Ended June 30,</w:t>
            </w:r>
          </w:p>
        </w:tc>
        <w:tc>
          <w:tcPr>
            <w:tcW w:w="0" w:type="dxa"/>
            <w:vAlign w:val="bottom"/>
          </w:tcPr>
          <w:p>
            <w:pPr>
              <w:spacing w:after="0"/>
              <w:rPr>
                <w:sz w:val="1"/>
                <w:szCs w:val="1"/>
                <w:color w:val="auto"/>
              </w:rPr>
            </w:pPr>
          </w:p>
        </w:tc>
      </w:tr>
      <w:tr>
        <w:trPr>
          <w:trHeight w:val="139"/>
        </w:trPr>
        <w:tc>
          <w:tcPr>
            <w:tcW w:w="7200" w:type="dxa"/>
            <w:vAlign w:val="bottom"/>
            <w:gridSpan w:val="2"/>
          </w:tcPr>
          <w:p>
            <w:pPr>
              <w:ind w:left="20"/>
              <w:spacing w:after="0" w:line="139" w:lineRule="exact"/>
              <w:rPr>
                <w:sz w:val="20"/>
                <w:szCs w:val="20"/>
                <w:color w:val="auto"/>
              </w:rPr>
            </w:pPr>
            <w:r>
              <w:rPr>
                <w:rFonts w:ascii="Arial" w:cs="Arial" w:eastAsia="Arial" w:hAnsi="Arial"/>
                <w:sz w:val="14"/>
                <w:szCs w:val="14"/>
                <w:b w:val="1"/>
                <w:bCs w:val="1"/>
                <w:color w:val="auto"/>
                <w:w w:val="96"/>
              </w:rPr>
              <w:t>Average Ratio of Interest Rate Swaps Outstanding (Including Forward Starting Swaps) to Mortgage Borrowings</w:t>
            </w: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vMerge w:val="restart"/>
          </w:tcPr>
          <w:p>
            <w:pPr>
              <w:jc w:val="right"/>
              <w:ind w:right="24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vMerge w:val="restart"/>
          </w:tcPr>
          <w:p>
            <w:pPr>
              <w:jc w:val="right"/>
              <w:ind w:right="248"/>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vMerge w:val="restart"/>
          </w:tcPr>
          <w:p>
            <w:pPr>
              <w:jc w:val="right"/>
              <w:ind w:right="24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vMerge w:val="restart"/>
          </w:tcPr>
          <w:p>
            <w:pPr>
              <w:jc w:val="right"/>
              <w:ind w:right="248"/>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92"/>
        </w:trPr>
        <w:tc>
          <w:tcPr>
            <w:tcW w:w="70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and Net TBA Position</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72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Average mortgage borrowings</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46,948</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50,410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46,437</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52,177</w:t>
            </w:r>
          </w:p>
        </w:tc>
        <w:tc>
          <w:tcPr>
            <w:tcW w:w="0" w:type="dxa"/>
            <w:vAlign w:val="bottom"/>
          </w:tcPr>
          <w:p>
            <w:pPr>
              <w:spacing w:after="0"/>
              <w:rPr>
                <w:sz w:val="1"/>
                <w:szCs w:val="1"/>
                <w:color w:val="auto"/>
              </w:rPr>
            </w:pPr>
          </w:p>
        </w:tc>
      </w:tr>
      <w:tr>
        <w:trPr>
          <w:trHeight w:val="264"/>
        </w:trPr>
        <w:tc>
          <w:tcPr>
            <w:tcW w:w="72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Average net TBA position - at cost</w:t>
            </w: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8,238</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5,973</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8,191</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6,462</w:t>
            </w:r>
          </w:p>
        </w:tc>
        <w:tc>
          <w:tcPr>
            <w:tcW w:w="0" w:type="dxa"/>
            <w:vAlign w:val="bottom"/>
          </w:tcPr>
          <w:p>
            <w:pPr>
              <w:spacing w:after="0"/>
              <w:rPr>
                <w:sz w:val="1"/>
                <w:szCs w:val="1"/>
                <w:color w:val="auto"/>
              </w:rPr>
            </w:pPr>
          </w:p>
        </w:tc>
      </w:tr>
      <w:tr>
        <w:trPr>
          <w:trHeight w:val="256"/>
        </w:trPr>
        <w:tc>
          <w:tcPr>
            <w:tcW w:w="72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Total average mortgage borrowings and net TBA position</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55,186</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56,383</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54,628</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58,639</w:t>
            </w:r>
          </w:p>
        </w:tc>
        <w:tc>
          <w:tcPr>
            <w:tcW w:w="0" w:type="dxa"/>
            <w:vAlign w:val="bottom"/>
          </w:tcPr>
          <w:p>
            <w:pPr>
              <w:spacing w:after="0"/>
              <w:rPr>
                <w:sz w:val="1"/>
                <w:szCs w:val="1"/>
                <w:color w:val="auto"/>
              </w:rPr>
            </w:pPr>
          </w:p>
        </w:tc>
      </w:tr>
      <w:tr>
        <w:trPr>
          <w:trHeight w:val="264"/>
        </w:trPr>
        <w:tc>
          <w:tcPr>
            <w:tcW w:w="72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Average notional amount of interest rate swaps (including of forward starting swaps)</w:t>
            </w: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37,105</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46,025</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38,418</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45,953</w:t>
            </w:r>
          </w:p>
        </w:tc>
        <w:tc>
          <w:tcPr>
            <w:tcW w:w="0" w:type="dxa"/>
            <w:vAlign w:val="bottom"/>
          </w:tcPr>
          <w:p>
            <w:pPr>
              <w:spacing w:after="0"/>
              <w:rPr>
                <w:sz w:val="1"/>
                <w:szCs w:val="1"/>
                <w:color w:val="auto"/>
              </w:rPr>
            </w:pPr>
          </w:p>
        </w:tc>
      </w:tr>
      <w:tr>
        <w:trPr>
          <w:trHeight w:val="243"/>
        </w:trPr>
        <w:tc>
          <w:tcPr>
            <w:tcW w:w="7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Average ratio of interest rate swaps to mortgage borrowings and net TBA position</w:t>
            </w:r>
          </w:p>
        </w:tc>
        <w:tc>
          <w:tcPr>
            <w:tcW w:w="2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38"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738" w:right="23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Net Spread and Dollar Roll Income</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table below presents a reconciliation of our net interest income (the most comparable GAAP financial measure) to our net spread and dollar roll income and to our net spread and dollar roll income, excluding estimated "catch-up" premium amortization cost, (non-GAAP financial measures) for the three and six months ended June 30, 2016 and 2015 (dollars in millions):</w:t>
      </w:r>
    </w:p>
    <w:p>
      <w:pPr>
        <w:spacing w:after="0" w:line="269"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1780" w:type="dxa"/>
            <w:vAlign w:val="bottom"/>
            <w:gridSpan w:val="7"/>
          </w:tcPr>
          <w:p>
            <w:pPr>
              <w:ind w:left="20"/>
              <w:spacing w:after="0"/>
              <w:rPr>
                <w:sz w:val="20"/>
                <w:szCs w:val="20"/>
                <w:color w:val="auto"/>
              </w:rPr>
            </w:pPr>
            <w:r>
              <w:rPr>
                <w:rFonts w:ascii="Arial" w:cs="Arial" w:eastAsia="Arial" w:hAnsi="Arial"/>
                <w:sz w:val="14"/>
                <w:szCs w:val="14"/>
                <w:b w:val="1"/>
                <w:bCs w:val="1"/>
                <w:color w:val="auto"/>
                <w:w w:val="99"/>
              </w:rPr>
              <w:t>Three Months Ended June</w:t>
            </w:r>
          </w:p>
        </w:tc>
        <w:tc>
          <w:tcPr>
            <w:tcW w:w="100" w:type="dxa"/>
            <w:vAlign w:val="bottom"/>
          </w:tcPr>
          <w:p>
            <w:pPr>
              <w:spacing w:after="0"/>
              <w:rPr>
                <w:sz w:val="14"/>
                <w:szCs w:val="14"/>
                <w:color w:val="auto"/>
              </w:rPr>
            </w:pPr>
          </w:p>
        </w:tc>
        <w:tc>
          <w:tcPr>
            <w:tcW w:w="1580" w:type="dxa"/>
            <w:vAlign w:val="bottom"/>
            <w:gridSpan w:val="5"/>
          </w:tcPr>
          <w:p>
            <w:pPr>
              <w:jc w:val="right"/>
              <w:ind w:right="28"/>
              <w:spacing w:after="0"/>
              <w:rPr>
                <w:sz w:val="20"/>
                <w:szCs w:val="20"/>
                <w:color w:val="auto"/>
              </w:rPr>
            </w:pPr>
            <w:r>
              <w:rPr>
                <w:rFonts w:ascii="Arial" w:cs="Arial" w:eastAsia="Arial" w:hAnsi="Arial"/>
                <w:sz w:val="14"/>
                <w:szCs w:val="14"/>
                <w:b w:val="1"/>
                <w:bCs w:val="1"/>
                <w:color w:val="auto"/>
                <w:w w:val="92"/>
              </w:rPr>
              <w:t>Six Months Ended June</w:t>
            </w:r>
          </w:p>
        </w:tc>
        <w:tc>
          <w:tcPr>
            <w:tcW w:w="0" w:type="dxa"/>
            <w:vAlign w:val="bottom"/>
          </w:tcPr>
          <w:p>
            <w:pPr>
              <w:spacing w:after="0"/>
              <w:rPr>
                <w:sz w:val="1"/>
                <w:szCs w:val="1"/>
                <w:color w:val="auto"/>
              </w:rPr>
            </w:pPr>
          </w:p>
        </w:tc>
      </w:tr>
      <w:tr>
        <w:trPr>
          <w:trHeight w:val="192"/>
        </w:trPr>
        <w:tc>
          <w:tcPr>
            <w:tcW w:w="57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w w:val="81"/>
              </w:rPr>
              <w:t>30,</w:t>
            </w:r>
          </w:p>
        </w:tc>
        <w:tc>
          <w:tcPr>
            <w:tcW w:w="6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92"/>
              </w:rPr>
              <w:t>30,</w:t>
            </w: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7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2016</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2016</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6"/>
        </w:trPr>
        <w:tc>
          <w:tcPr>
            <w:tcW w:w="5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interest income</w:t>
            </w:r>
          </w:p>
        </w:tc>
        <w:tc>
          <w:tcPr>
            <w:tcW w:w="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w:t>
            </w:r>
          </w:p>
        </w:tc>
        <w:tc>
          <w:tcPr>
            <w:tcW w:w="3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333</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413</w:t>
            </w:r>
          </w:p>
        </w:tc>
        <w:tc>
          <w:tcPr>
            <w:tcW w:w="3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630</w:t>
            </w:r>
          </w:p>
        </w:tc>
        <w:tc>
          <w:tcPr>
            <w:tcW w:w="0" w:type="dxa"/>
            <w:vAlign w:val="bottom"/>
          </w:tcPr>
          <w:p>
            <w:pPr>
              <w:spacing w:after="0"/>
              <w:rPr>
                <w:sz w:val="1"/>
                <w:szCs w:val="1"/>
                <w:color w:val="auto"/>
              </w:rPr>
            </w:pPr>
          </w:p>
        </w:tc>
      </w:tr>
      <w:tr>
        <w:trPr>
          <w:trHeight w:val="264"/>
        </w:trPr>
        <w:tc>
          <w:tcPr>
            <w:tcW w:w="5740" w:type="dxa"/>
            <w:vAlign w:val="bottom"/>
          </w:tcPr>
          <w:p>
            <w:pPr>
              <w:ind w:left="160"/>
              <w:spacing w:after="0"/>
              <w:rPr>
                <w:sz w:val="20"/>
                <w:szCs w:val="20"/>
                <w:color w:val="auto"/>
              </w:rPr>
            </w:pPr>
            <w:r>
              <w:rPr>
                <w:rFonts w:ascii="Arial" w:cs="Arial" w:eastAsia="Arial" w:hAnsi="Arial"/>
                <w:sz w:val="14"/>
                <w:szCs w:val="14"/>
                <w:color w:val="auto"/>
              </w:rPr>
              <w:t xml:space="preserve">Other periodic interest costs of interest rate swaps, net </w:t>
            </w:r>
            <w:r>
              <w:rPr>
                <w:rFonts w:ascii="Arial" w:cs="Arial" w:eastAsia="Arial" w:hAnsi="Arial"/>
                <w:sz w:val="8"/>
                <w:szCs w:val="8"/>
                <w:color w:val="auto"/>
              </w:rPr>
              <w:t>1</w:t>
            </w:r>
          </w:p>
        </w:tc>
        <w:tc>
          <w:tcPr>
            <w:tcW w:w="16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(69)</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(99)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(158)</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(183)</w:t>
            </w:r>
          </w:p>
        </w:tc>
        <w:tc>
          <w:tcPr>
            <w:tcW w:w="0" w:type="dxa"/>
            <w:vAlign w:val="bottom"/>
          </w:tcPr>
          <w:p>
            <w:pPr>
              <w:spacing w:after="0"/>
              <w:rPr>
                <w:sz w:val="1"/>
                <w:szCs w:val="1"/>
                <w:color w:val="auto"/>
              </w:rPr>
            </w:pPr>
          </w:p>
        </w:tc>
      </w:tr>
      <w:tr>
        <w:trPr>
          <w:trHeight w:val="276"/>
        </w:trPr>
        <w:tc>
          <w:tcPr>
            <w:tcW w:w="57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 xml:space="preserve">Dividend from REIT equity securities </w:t>
            </w:r>
            <w:r>
              <w:rPr>
                <w:rFonts w:ascii="Arial" w:cs="Arial" w:eastAsia="Arial" w:hAnsi="Arial"/>
                <w:sz w:val="8"/>
                <w:szCs w:val="8"/>
                <w:color w:val="auto"/>
              </w:rPr>
              <w:t>1</w:t>
            </w:r>
          </w:p>
        </w:tc>
        <w:tc>
          <w:tcPr>
            <w:tcW w:w="16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64"/>
        </w:trPr>
        <w:tc>
          <w:tcPr>
            <w:tcW w:w="574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 xml:space="preserve">TBA dollar roll income </w:t>
            </w:r>
            <w:r>
              <w:rPr>
                <w:rFonts w:ascii="Arial" w:cs="Arial" w:eastAsia="Arial" w:hAnsi="Arial"/>
                <w:sz w:val="8"/>
                <w:szCs w:val="8"/>
                <w:color w:val="auto"/>
              </w:rPr>
              <w:t>1</w:t>
            </w:r>
          </w:p>
        </w:tc>
        <w:tc>
          <w:tcPr>
            <w:tcW w:w="16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54</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256"/>
        </w:trPr>
        <w:tc>
          <w:tcPr>
            <w:tcW w:w="5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net interest and dollar roll income</w:t>
            </w:r>
          </w:p>
        </w:tc>
        <w:tc>
          <w:tcPr>
            <w:tcW w:w="16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w:t>
            </w: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290</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351</w:t>
            </w: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562</w:t>
            </w:r>
          </w:p>
        </w:tc>
        <w:tc>
          <w:tcPr>
            <w:tcW w:w="0" w:type="dxa"/>
            <w:vAlign w:val="bottom"/>
          </w:tcPr>
          <w:p>
            <w:pPr>
              <w:spacing w:after="0"/>
              <w:rPr>
                <w:sz w:val="1"/>
                <w:szCs w:val="1"/>
                <w:color w:val="auto"/>
              </w:rPr>
            </w:pPr>
          </w:p>
        </w:tc>
      </w:tr>
      <w:tr>
        <w:trPr>
          <w:trHeight w:val="264"/>
        </w:trPr>
        <w:tc>
          <w:tcPr>
            <w:tcW w:w="574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7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Total operating expenses</w:t>
            </w:r>
          </w:p>
        </w:tc>
        <w:tc>
          <w:tcPr>
            <w:tcW w:w="16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36</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264"/>
        </w:trPr>
        <w:tc>
          <w:tcPr>
            <w:tcW w:w="5740" w:type="dxa"/>
            <w:vAlign w:val="bottom"/>
          </w:tcPr>
          <w:p>
            <w:pPr>
              <w:ind w:left="160"/>
              <w:spacing w:after="0"/>
              <w:rPr>
                <w:sz w:val="20"/>
                <w:szCs w:val="20"/>
                <w:color w:val="auto"/>
              </w:rPr>
            </w:pPr>
            <w:r>
              <w:rPr>
                <w:rFonts w:ascii="Arial" w:cs="Arial" w:eastAsia="Arial" w:hAnsi="Arial"/>
                <w:sz w:val="14"/>
                <w:szCs w:val="14"/>
                <w:color w:val="auto"/>
              </w:rPr>
              <w:t>Non-recurring transaction costs</w:t>
            </w:r>
          </w:p>
        </w:tc>
        <w:tc>
          <w:tcPr>
            <w:tcW w:w="16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9</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5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operating expenses</w:t>
            </w: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36</w:t>
            </w: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250"/>
        </w:trPr>
        <w:tc>
          <w:tcPr>
            <w:tcW w:w="5740" w:type="dxa"/>
            <w:vAlign w:val="bottom"/>
          </w:tcPr>
          <w:p>
            <w:pPr>
              <w:ind w:left="20"/>
              <w:spacing w:after="0"/>
              <w:rPr>
                <w:sz w:val="20"/>
                <w:szCs w:val="20"/>
                <w:color w:val="auto"/>
              </w:rPr>
            </w:pPr>
            <w:r>
              <w:rPr>
                <w:rFonts w:ascii="Arial" w:cs="Arial" w:eastAsia="Arial" w:hAnsi="Arial"/>
                <w:sz w:val="14"/>
                <w:szCs w:val="14"/>
                <w:color w:val="auto"/>
              </w:rPr>
              <w:t>Net spread and dollar roll income</w:t>
            </w:r>
          </w:p>
        </w:tc>
        <w:tc>
          <w:tcPr>
            <w:tcW w:w="1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162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254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287</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490</w:t>
            </w:r>
          </w:p>
        </w:tc>
        <w:tc>
          <w:tcPr>
            <w:tcW w:w="0" w:type="dxa"/>
            <w:vAlign w:val="bottom"/>
          </w:tcPr>
          <w:p>
            <w:pPr>
              <w:spacing w:after="0"/>
              <w:rPr>
                <w:sz w:val="1"/>
                <w:szCs w:val="1"/>
                <w:color w:val="auto"/>
              </w:rPr>
            </w:pPr>
          </w:p>
        </w:tc>
      </w:tr>
      <w:tr>
        <w:trPr>
          <w:trHeight w:val="270"/>
        </w:trPr>
        <w:tc>
          <w:tcPr>
            <w:tcW w:w="57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Dividend on preferred stock</w:t>
            </w:r>
          </w:p>
        </w:tc>
        <w:tc>
          <w:tcPr>
            <w:tcW w:w="16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50"/>
        </w:trPr>
        <w:tc>
          <w:tcPr>
            <w:tcW w:w="5740" w:type="dxa"/>
            <w:vAlign w:val="bottom"/>
          </w:tcPr>
          <w:p>
            <w:pPr>
              <w:ind w:left="20"/>
              <w:spacing w:after="0"/>
              <w:rPr>
                <w:sz w:val="20"/>
                <w:szCs w:val="20"/>
                <w:color w:val="auto"/>
              </w:rPr>
            </w:pPr>
            <w:r>
              <w:rPr>
                <w:rFonts w:ascii="Arial" w:cs="Arial" w:eastAsia="Arial" w:hAnsi="Arial"/>
                <w:sz w:val="14"/>
                <w:szCs w:val="14"/>
                <w:color w:val="auto"/>
              </w:rPr>
              <w:t>Net spread and dollar roll income available to common stockholders</w:t>
            </w:r>
          </w:p>
        </w:tc>
        <w:tc>
          <w:tcPr>
            <w:tcW w:w="1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155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247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273</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476</w:t>
            </w:r>
          </w:p>
        </w:tc>
        <w:tc>
          <w:tcPr>
            <w:tcW w:w="0" w:type="dxa"/>
            <w:vAlign w:val="bottom"/>
          </w:tcPr>
          <w:p>
            <w:pPr>
              <w:spacing w:after="0"/>
              <w:rPr>
                <w:sz w:val="1"/>
                <w:szCs w:val="1"/>
                <w:color w:val="auto"/>
              </w:rPr>
            </w:pPr>
          </w:p>
        </w:tc>
      </w:tr>
      <w:tr>
        <w:trPr>
          <w:trHeight w:val="276"/>
        </w:trPr>
        <w:tc>
          <w:tcPr>
            <w:tcW w:w="57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Estimated "catch-up" premium amortization cost (benefit) due to change in CPR forecast</w:t>
            </w:r>
          </w:p>
        </w:tc>
        <w:tc>
          <w:tcPr>
            <w:tcW w:w="160" w:type="dxa"/>
            <w:vAlign w:val="bottom"/>
            <w:tcBorders>
              <w:bottom w:val="single" w:sz="8" w:color="auto"/>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4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2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4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37"/>
        </w:trPr>
        <w:tc>
          <w:tcPr>
            <w:tcW w:w="5740" w:type="dxa"/>
            <w:vAlign w:val="bottom"/>
          </w:tcPr>
          <w:p>
            <w:pPr>
              <w:ind w:left="20"/>
              <w:spacing w:after="0" w:line="137" w:lineRule="exact"/>
              <w:rPr>
                <w:sz w:val="20"/>
                <w:szCs w:val="20"/>
                <w:color w:val="auto"/>
              </w:rPr>
            </w:pPr>
            <w:r>
              <w:rPr>
                <w:rFonts w:ascii="Arial" w:cs="Arial" w:eastAsia="Arial" w:hAnsi="Arial"/>
                <w:sz w:val="14"/>
                <w:szCs w:val="14"/>
                <w:color w:val="auto"/>
              </w:rPr>
              <w:t>Net spread and dollar roll income, excluding "catch-up" premium amortization, available to</w:t>
            </w:r>
          </w:p>
        </w:tc>
        <w:tc>
          <w:tcPr>
            <w:tcW w:w="16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187</w:t>
            </w:r>
          </w:p>
        </w:tc>
        <w:tc>
          <w:tcPr>
            <w:tcW w:w="320" w:type="dxa"/>
            <w:vAlign w:val="bottom"/>
            <w:gridSpan w:val="3"/>
            <w:vMerge w:val="restart"/>
          </w:tcPr>
          <w:p>
            <w:pPr>
              <w:jc w:val="right"/>
              <w:ind w:right="80"/>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ind w:right="8"/>
              <w:spacing w:after="0"/>
              <w:rPr>
                <w:sz w:val="20"/>
                <w:szCs w:val="20"/>
                <w:color w:val="auto"/>
              </w:rPr>
            </w:pPr>
            <w:r>
              <w:rPr>
                <w:rFonts w:ascii="Arial" w:cs="Arial" w:eastAsia="Arial" w:hAnsi="Arial"/>
                <w:sz w:val="14"/>
                <w:szCs w:val="14"/>
                <w:color w:val="auto"/>
              </w:rPr>
              <w:t>210</w:t>
            </w:r>
          </w:p>
        </w:tc>
        <w:tc>
          <w:tcPr>
            <w:tcW w:w="12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360</w:t>
            </w:r>
          </w:p>
        </w:tc>
        <w:tc>
          <w:tcPr>
            <w:tcW w:w="320" w:type="dxa"/>
            <w:vAlign w:val="bottom"/>
            <w:gridSpan w:val="3"/>
            <w:vMerge w:val="restart"/>
          </w:tcPr>
          <w:p>
            <w:pPr>
              <w:jc w:val="right"/>
              <w:ind w:right="80"/>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right"/>
              <w:ind w:right="28"/>
              <w:spacing w:after="0"/>
              <w:rPr>
                <w:sz w:val="20"/>
                <w:szCs w:val="20"/>
                <w:color w:val="auto"/>
              </w:rPr>
            </w:pPr>
            <w:r>
              <w:rPr>
                <w:rFonts w:ascii="Arial" w:cs="Arial" w:eastAsia="Arial" w:hAnsi="Arial"/>
                <w:sz w:val="14"/>
                <w:szCs w:val="14"/>
                <w:color w:val="auto"/>
              </w:rPr>
              <w:t>458</w:t>
            </w:r>
          </w:p>
        </w:tc>
        <w:tc>
          <w:tcPr>
            <w:tcW w:w="0" w:type="dxa"/>
            <w:vAlign w:val="bottom"/>
          </w:tcPr>
          <w:p>
            <w:pPr>
              <w:spacing w:after="0"/>
              <w:rPr>
                <w:sz w:val="1"/>
                <w:szCs w:val="1"/>
                <w:color w:val="auto"/>
              </w:rPr>
            </w:pPr>
          </w:p>
        </w:tc>
      </w:tr>
      <w:tr>
        <w:trPr>
          <w:trHeight w:val="221"/>
        </w:trPr>
        <w:tc>
          <w:tcPr>
            <w:tcW w:w="5740" w:type="dxa"/>
            <w:vAlign w:val="bottom"/>
          </w:tcPr>
          <w:p>
            <w:pPr>
              <w:ind w:left="20"/>
              <w:spacing w:after="0"/>
              <w:rPr>
                <w:sz w:val="20"/>
                <w:szCs w:val="20"/>
                <w:color w:val="auto"/>
              </w:rPr>
            </w:pPr>
            <w:r>
              <w:rPr>
                <w:rFonts w:ascii="Arial" w:cs="Arial" w:eastAsia="Arial" w:hAnsi="Arial"/>
                <w:sz w:val="14"/>
                <w:szCs w:val="14"/>
                <w:color w:val="auto"/>
              </w:rPr>
              <w:t>common stockholders</w:t>
            </w:r>
          </w:p>
        </w:tc>
        <w:tc>
          <w:tcPr>
            <w:tcW w:w="160" w:type="dxa"/>
            <w:vAlign w:val="bottom"/>
            <w:vMerge w:val="continue"/>
          </w:tcPr>
          <w:p>
            <w:pPr>
              <w:spacing w:after="0"/>
              <w:rPr>
                <w:sz w:val="19"/>
                <w:szCs w:val="19"/>
                <w:color w:val="auto"/>
              </w:rPr>
            </w:pPr>
          </w:p>
        </w:tc>
        <w:tc>
          <w:tcPr>
            <w:tcW w:w="580" w:type="dxa"/>
            <w:vAlign w:val="bottom"/>
            <w:vMerge w:val="continue"/>
          </w:tcPr>
          <w:p>
            <w:pPr>
              <w:spacing w:after="0"/>
              <w:rPr>
                <w:sz w:val="19"/>
                <w:szCs w:val="19"/>
                <w:color w:val="auto"/>
              </w:rPr>
            </w:pPr>
          </w:p>
        </w:tc>
        <w:tc>
          <w:tcPr>
            <w:tcW w:w="320" w:type="dxa"/>
            <w:vAlign w:val="bottom"/>
            <w:gridSpan w:val="3"/>
            <w:vMerge w:val="continue"/>
          </w:tcPr>
          <w:p>
            <w:pPr>
              <w:spacing w:after="0"/>
              <w:rPr>
                <w:sz w:val="19"/>
                <w:szCs w:val="19"/>
                <w:color w:val="auto"/>
              </w:rPr>
            </w:pPr>
          </w:p>
        </w:tc>
        <w:tc>
          <w:tcPr>
            <w:tcW w:w="6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320" w:type="dxa"/>
            <w:vAlign w:val="bottom"/>
            <w:gridSpan w:val="3"/>
            <w:vMerge w:val="continue"/>
          </w:tcPr>
          <w:p>
            <w:pPr>
              <w:spacing w:after="0"/>
              <w:rPr>
                <w:sz w:val="19"/>
                <w:szCs w:val="19"/>
                <w:color w:val="auto"/>
              </w:rPr>
            </w:pPr>
          </w:p>
        </w:tc>
        <w:tc>
          <w:tcPr>
            <w:tcW w:w="6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574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580" w:type="dxa"/>
            <w:vAlign w:val="bottom"/>
            <w:tcBorders>
              <w:top w:val="single" w:sz="8" w:color="auto"/>
            </w:tcBorders>
            <w:shd w:val="clear" w:color="auto" w:fill="CCEEFF"/>
          </w:tcPr>
          <w:p>
            <w:pPr>
              <w:spacing w:after="0"/>
              <w:rPr>
                <w:sz w:val="22"/>
                <w:szCs w:val="22"/>
                <w:color w:val="auto"/>
              </w:rPr>
            </w:pPr>
          </w:p>
        </w:tc>
        <w:tc>
          <w:tcPr>
            <w:tcW w:w="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6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640" w:type="dxa"/>
            <w:vAlign w:val="bottom"/>
            <w:tcBorders>
              <w:top w:val="single" w:sz="8" w:color="auto"/>
            </w:tcBorders>
            <w:shd w:val="clear" w:color="auto" w:fill="CCEEFF"/>
          </w:tcPr>
          <w:p>
            <w:pPr>
              <w:spacing w:after="0"/>
              <w:rPr>
                <w:sz w:val="22"/>
                <w:szCs w:val="22"/>
                <w:color w:val="auto"/>
              </w:rPr>
            </w:pPr>
          </w:p>
        </w:tc>
        <w:tc>
          <w:tcPr>
            <w:tcW w:w="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62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57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Weighted average number of common shares outstanding - basic and diluted</w:t>
            </w: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331.0</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352.1</w:t>
            </w: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332.7</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352.5</w:t>
            </w:r>
          </w:p>
        </w:tc>
        <w:tc>
          <w:tcPr>
            <w:tcW w:w="0" w:type="dxa"/>
            <w:vAlign w:val="bottom"/>
          </w:tcPr>
          <w:p>
            <w:pPr>
              <w:spacing w:after="0"/>
              <w:rPr>
                <w:sz w:val="1"/>
                <w:szCs w:val="1"/>
                <w:color w:val="auto"/>
              </w:rPr>
            </w:pPr>
          </w:p>
        </w:tc>
      </w:tr>
      <w:tr>
        <w:trPr>
          <w:trHeight w:val="210"/>
        </w:trPr>
        <w:tc>
          <w:tcPr>
            <w:tcW w:w="5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spread and dollar roll income per common share - basic and diluted</w:t>
            </w:r>
          </w:p>
        </w:tc>
        <w:tc>
          <w:tcPr>
            <w:tcW w:w="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0.46</w:t>
            </w:r>
          </w:p>
        </w:tc>
        <w:tc>
          <w:tcPr>
            <w:tcW w:w="3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0.70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0.82</w:t>
            </w:r>
          </w:p>
        </w:tc>
        <w:tc>
          <w:tcPr>
            <w:tcW w:w="3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1.35</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bottom w:val="single" w:sz="8" w:color="CCEEFF"/>
            </w:tcBorders>
            <w:vMerge w:val="restart"/>
          </w:tcPr>
          <w:p>
            <w:pPr>
              <w:ind w:left="20"/>
              <w:spacing w:after="0" w:line="151" w:lineRule="exact"/>
              <w:rPr>
                <w:sz w:val="20"/>
                <w:szCs w:val="20"/>
                <w:color w:val="auto"/>
              </w:rPr>
            </w:pPr>
            <w:r>
              <w:rPr>
                <w:rFonts w:ascii="Arial" w:cs="Arial" w:eastAsia="Arial" w:hAnsi="Arial"/>
                <w:sz w:val="14"/>
                <w:szCs w:val="14"/>
                <w:color w:val="auto"/>
              </w:rPr>
              <w:t>Net spread and dollar roll income, excluding "catch-up" premium amortization, per common</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5740" w:type="dxa"/>
            <w:vAlign w:val="bottom"/>
            <w:vMerge w:val="continue"/>
          </w:tcPr>
          <w:p>
            <w:pPr>
              <w:spacing w:after="0"/>
              <w:rPr>
                <w:sz w:val="9"/>
                <w:szCs w:val="9"/>
                <w:color w:val="auto"/>
              </w:rPr>
            </w:pPr>
          </w:p>
        </w:tc>
        <w:tc>
          <w:tcPr>
            <w:tcW w:w="16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0.56</w:t>
            </w:r>
          </w:p>
        </w:tc>
        <w:tc>
          <w:tcPr>
            <w:tcW w:w="320" w:type="dxa"/>
            <w:vAlign w:val="bottom"/>
            <w:gridSpan w:val="3"/>
            <w:vMerge w:val="restart"/>
          </w:tcPr>
          <w:p>
            <w:pPr>
              <w:jc w:val="right"/>
              <w:ind w:right="80"/>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ind w:right="8"/>
              <w:spacing w:after="0"/>
              <w:rPr>
                <w:sz w:val="20"/>
                <w:szCs w:val="20"/>
                <w:color w:val="auto"/>
              </w:rPr>
            </w:pPr>
            <w:r>
              <w:rPr>
                <w:rFonts w:ascii="Arial" w:cs="Arial" w:eastAsia="Arial" w:hAnsi="Arial"/>
                <w:sz w:val="14"/>
                <w:szCs w:val="14"/>
                <w:color w:val="auto"/>
              </w:rPr>
              <w:t>0.60</w:t>
            </w:r>
          </w:p>
        </w:tc>
        <w:tc>
          <w:tcPr>
            <w:tcW w:w="120" w:type="dxa"/>
            <w:vAlign w:val="bottom"/>
          </w:tcPr>
          <w:p>
            <w:pPr>
              <w:spacing w:after="0"/>
              <w:rPr>
                <w:sz w:val="9"/>
                <w:szCs w:val="9"/>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1.08</w:t>
            </w:r>
          </w:p>
        </w:tc>
        <w:tc>
          <w:tcPr>
            <w:tcW w:w="320" w:type="dxa"/>
            <w:vAlign w:val="bottom"/>
            <w:gridSpan w:val="3"/>
            <w:vMerge w:val="restart"/>
          </w:tcPr>
          <w:p>
            <w:pPr>
              <w:jc w:val="right"/>
              <w:ind w:right="80"/>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right"/>
              <w:ind w:right="28"/>
              <w:spacing w:after="0"/>
              <w:rPr>
                <w:sz w:val="20"/>
                <w:szCs w:val="20"/>
                <w:color w:val="auto"/>
              </w:rPr>
            </w:pPr>
            <w:r>
              <w:rPr>
                <w:rFonts w:ascii="Arial" w:cs="Arial" w:eastAsia="Arial" w:hAnsi="Arial"/>
                <w:sz w:val="14"/>
                <w:szCs w:val="14"/>
                <w:color w:val="auto"/>
              </w:rPr>
              <w:t>1.30</w:t>
            </w:r>
          </w:p>
        </w:tc>
        <w:tc>
          <w:tcPr>
            <w:tcW w:w="0" w:type="dxa"/>
            <w:vAlign w:val="bottom"/>
          </w:tcPr>
          <w:p>
            <w:pPr>
              <w:spacing w:after="0"/>
              <w:rPr>
                <w:sz w:val="1"/>
                <w:szCs w:val="1"/>
                <w:color w:val="auto"/>
              </w:rPr>
            </w:pPr>
          </w:p>
        </w:tc>
      </w:tr>
      <w:tr>
        <w:trPr>
          <w:trHeight w:val="182"/>
        </w:trPr>
        <w:tc>
          <w:tcPr>
            <w:tcW w:w="5740" w:type="dxa"/>
            <w:vAlign w:val="bottom"/>
          </w:tcPr>
          <w:p>
            <w:pPr>
              <w:ind w:left="20"/>
              <w:spacing w:after="0"/>
              <w:rPr>
                <w:sz w:val="20"/>
                <w:szCs w:val="20"/>
                <w:color w:val="auto"/>
              </w:rPr>
            </w:pPr>
            <w:r>
              <w:rPr>
                <w:rFonts w:ascii="Arial" w:cs="Arial" w:eastAsia="Arial" w:hAnsi="Arial"/>
                <w:sz w:val="14"/>
                <w:szCs w:val="14"/>
                <w:color w:val="auto"/>
              </w:rPr>
              <w:t>share - basic and diluted</w:t>
            </w:r>
          </w:p>
        </w:tc>
        <w:tc>
          <w:tcPr>
            <w:tcW w:w="160" w:type="dxa"/>
            <w:vAlign w:val="bottom"/>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320" w:type="dxa"/>
            <w:vAlign w:val="bottom"/>
            <w:gridSpan w:val="3"/>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320" w:type="dxa"/>
            <w:vAlign w:val="bottom"/>
            <w:gridSpan w:val="3"/>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0</wp:posOffset>
            </wp:positionV>
            <wp:extent cx="219519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-98425</wp:posOffset>
            </wp:positionV>
            <wp:extent cx="219519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ind w:left="660" w:hanging="328"/>
        <w:spacing w:after="0"/>
        <w:tabs>
          <w:tab w:leader="none" w:pos="6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Reported in gain (loss) on derivative instruments and other securities, net in our consolidated statements of comprehensive income</w:t>
      </w:r>
    </w:p>
    <w:p>
      <w:pPr>
        <w:spacing w:after="0" w:line="15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Net spread and dollar roll income, excluding "catch-up" premium amortization adjustments, for the three and six months ended June 30, 2016 decreased to $0.56 and $1.08, respectively, per common share from $0.60 and $1.30, respectively, per common share for the prior year period, reflective of the increase in our average cost of funds and a decline in dollar roll income relative to our average TBA position, which was partially offset by an increase in our average "at risk" leverage.</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6"/>
          <w:szCs w:val="16"/>
          <w:color w:val="auto"/>
        </w:rPr>
        <w:t>Our average net interest rate spread and dollar roll income (i.e., the difference between the average yield on our assets and our average cost of funds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inclusive of TBAs), excluding catch-up premium amortization cost, was 1.38% and 1.35% for the three and six months ended June 30, 2016, compared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1.50% and 1.59% for the prior year period. Including catch-up premium amortization adjustments, our net interest rate spread and dollar roll income was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1.16% and 1.05% for the three and six months ended June 30, 2016, compared to 1.74% and 1.65%, respectively, for the prior year period.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(Loss) on Sale of Mortgage-Backed Securities, Net</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is a summary of our net gain (loss) on sale of MBS for the three and six months ended June 30, 2016 and 2015 (in millions):</w:t>
      </w:r>
    </w:p>
    <w:p>
      <w:pPr>
        <w:spacing w:after="0" w:line="324" w:lineRule="exact"/>
        <w:rPr>
          <w:sz w:val="20"/>
          <w:szCs w:val="20"/>
          <w:color w:val="auto"/>
        </w:rPr>
      </w:pPr>
    </w:p>
    <w:tbl>
      <w:tblPr>
        <w:tblLayout w:type="fixed"/>
        <w:tblInd w:w="176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6"/>
          </w:tcPr>
          <w:p>
            <w:pPr>
              <w:ind w:left="20"/>
              <w:spacing w:after="0"/>
              <w:rPr>
                <w:sz w:val="20"/>
                <w:szCs w:val="20"/>
                <w:color w:val="auto"/>
              </w:rPr>
            </w:pPr>
            <w:r>
              <w:rPr>
                <w:rFonts w:ascii="Arial" w:cs="Arial" w:eastAsia="Arial" w:hAnsi="Arial"/>
                <w:sz w:val="14"/>
                <w:szCs w:val="14"/>
                <w:b w:val="1"/>
                <w:bCs w:val="1"/>
                <w:color w:val="auto"/>
              </w:rPr>
              <w:t>Three Months Ended June</w:t>
            </w:r>
          </w:p>
        </w:tc>
        <w:tc>
          <w:tcPr>
            <w:tcW w:w="100" w:type="dxa"/>
            <w:vAlign w:val="bottom"/>
          </w:tcPr>
          <w:p>
            <w:pPr>
              <w:spacing w:after="0"/>
              <w:rPr>
                <w:sz w:val="14"/>
                <w:szCs w:val="14"/>
                <w:color w:val="auto"/>
              </w:rPr>
            </w:pPr>
          </w:p>
        </w:tc>
        <w:tc>
          <w:tcPr>
            <w:tcW w:w="1780" w:type="dxa"/>
            <w:vAlign w:val="bottom"/>
            <w:gridSpan w:val="4"/>
            <w:vMerge w:val="restart"/>
          </w:tcPr>
          <w:p>
            <w:pPr>
              <w:jc w:val="right"/>
              <w:ind w:right="8"/>
              <w:spacing w:after="0"/>
              <w:rPr>
                <w:sz w:val="20"/>
                <w:szCs w:val="20"/>
                <w:color w:val="auto"/>
              </w:rPr>
            </w:pPr>
            <w:r>
              <w:rPr>
                <w:rFonts w:ascii="Arial" w:cs="Arial" w:eastAsia="Arial" w:hAnsi="Arial"/>
                <w:sz w:val="14"/>
                <w:szCs w:val="14"/>
                <w:b w:val="1"/>
                <w:bCs w:val="1"/>
                <w:color w:val="auto"/>
                <w:w w:val="92"/>
              </w:rPr>
              <w:t>Six Months Ended June 30,</w:t>
            </w:r>
          </w:p>
        </w:tc>
        <w:tc>
          <w:tcPr>
            <w:tcW w:w="0" w:type="dxa"/>
            <w:vAlign w:val="bottom"/>
          </w:tcPr>
          <w:p>
            <w:pPr>
              <w:spacing w:after="0"/>
              <w:rPr>
                <w:sz w:val="1"/>
                <w:szCs w:val="1"/>
                <w:color w:val="auto"/>
              </w:rPr>
            </w:pPr>
          </w:p>
        </w:tc>
      </w:tr>
      <w:tr>
        <w:trPr>
          <w:trHeight w:val="192"/>
        </w:trPr>
        <w:tc>
          <w:tcPr>
            <w:tcW w:w="40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w w:val="92"/>
              </w:rPr>
              <w:t>30,</w:t>
            </w:r>
          </w:p>
        </w:tc>
        <w:tc>
          <w:tcPr>
            <w:tcW w:w="6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6"/>
        </w:trPr>
        <w:tc>
          <w:tcPr>
            <w:tcW w:w="4020" w:type="dxa"/>
            <w:vAlign w:val="bottom"/>
            <w:shd w:val="clear" w:color="auto" w:fill="CCEEFF"/>
          </w:tcPr>
          <w:p>
            <w:pPr>
              <w:ind w:left="40"/>
              <w:spacing w:after="0"/>
              <w:rPr>
                <w:sz w:val="20"/>
                <w:szCs w:val="20"/>
                <w:color w:val="auto"/>
              </w:rPr>
            </w:pPr>
            <w:r>
              <w:rPr>
                <w:rFonts w:ascii="Arial" w:cs="Arial" w:eastAsia="Arial" w:hAnsi="Arial"/>
                <w:sz w:val="14"/>
                <w:szCs w:val="14"/>
                <w:color w:val="auto"/>
              </w:rPr>
              <w:t>MBS sold, at cost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(7,508)</w:t>
            </w:r>
          </w:p>
        </w:tc>
        <w:tc>
          <w:tcPr>
            <w:tcW w:w="3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(10,241)</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(11,023)</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(17,974)</w:t>
            </w:r>
          </w:p>
        </w:tc>
        <w:tc>
          <w:tcPr>
            <w:tcW w:w="0" w:type="dxa"/>
            <w:vAlign w:val="bottom"/>
          </w:tcPr>
          <w:p>
            <w:pPr>
              <w:spacing w:after="0"/>
              <w:rPr>
                <w:sz w:val="1"/>
                <w:szCs w:val="1"/>
                <w:color w:val="auto"/>
              </w:rPr>
            </w:pPr>
          </w:p>
        </w:tc>
      </w:tr>
      <w:tr>
        <w:trPr>
          <w:trHeight w:val="264"/>
        </w:trPr>
        <w:tc>
          <w:tcPr>
            <w:tcW w:w="40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 xml:space="preserve">Proceeds from MBS sold </w:t>
            </w:r>
            <w:r>
              <w:rPr>
                <w:rFonts w:ascii="Arial" w:cs="Arial" w:eastAsia="Arial" w:hAnsi="Arial"/>
                <w:sz w:val="8"/>
                <w:szCs w:val="8"/>
                <w:color w:val="auto"/>
              </w:rPr>
              <w:t>1</w:t>
            </w:r>
          </w:p>
        </w:tc>
        <w:tc>
          <w:tcPr>
            <w:tcW w:w="1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7,563</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10,219</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11,076</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17,988</w:t>
            </w:r>
          </w:p>
        </w:tc>
        <w:tc>
          <w:tcPr>
            <w:tcW w:w="0" w:type="dxa"/>
            <w:vAlign w:val="bottom"/>
          </w:tcPr>
          <w:p>
            <w:pPr>
              <w:spacing w:after="0"/>
              <w:rPr>
                <w:sz w:val="1"/>
                <w:szCs w:val="1"/>
                <w:color w:val="auto"/>
              </w:rPr>
            </w:pPr>
          </w:p>
        </w:tc>
      </w:tr>
      <w:tr>
        <w:trPr>
          <w:trHeight w:val="243"/>
        </w:trPr>
        <w:tc>
          <w:tcPr>
            <w:tcW w:w="40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gain (loss) on sale of MBS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3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53</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020" w:type="dxa"/>
            <w:vAlign w:val="bottom"/>
            <w:shd w:val="clear" w:color="auto" w:fill="CCEEFF"/>
          </w:tcPr>
          <w:p>
            <w:pPr>
              <w:ind w:left="40"/>
              <w:spacing w:after="0"/>
              <w:rPr>
                <w:sz w:val="20"/>
                <w:szCs w:val="20"/>
                <w:color w:val="auto"/>
              </w:rPr>
            </w:pPr>
            <w:r>
              <w:rPr>
                <w:rFonts w:ascii="Arial" w:cs="Arial" w:eastAsia="Arial" w:hAnsi="Arial"/>
                <w:sz w:val="14"/>
                <w:szCs w:val="14"/>
                <w:color w:val="auto"/>
              </w:rPr>
              <w:t>Gross gain on sale of MBS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3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60</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264"/>
        </w:trPr>
        <w:tc>
          <w:tcPr>
            <w:tcW w:w="40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Gross loss on sale of MBS</w:t>
            </w:r>
          </w:p>
        </w:tc>
        <w:tc>
          <w:tcPr>
            <w:tcW w:w="1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243"/>
        </w:trPr>
        <w:tc>
          <w:tcPr>
            <w:tcW w:w="40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gain (loss) on sale of MBS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3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53</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4"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584" w:right="239" w:bottom="1440" w:gutter="0" w:footer="0" w:header="0"/>
          <w:type w:val="continuous"/>
        </w:sectPr>
      </w:pPr>
    </w:p>
    <w:bookmarkStart w:id="43" w:name="page44"/>
    <w:bookmarkEnd w:id="43"/>
    <w:p>
      <w:pPr>
        <w:ind w:left="40"/>
        <w:spacing w:after="0"/>
        <w:rPr>
          <w:sz w:val="20"/>
          <w:szCs w:val="20"/>
          <w:color w:val="auto"/>
        </w:rPr>
      </w:pPr>
      <w:r>
        <w:rPr>
          <w:rFonts w:ascii="Arial" w:cs="Arial" w:eastAsia="Arial" w:hAnsi="Arial"/>
          <w:sz w:val="14"/>
          <w:szCs w:val="14"/>
          <w:color w:val="auto"/>
        </w:rPr>
        <w:t>_______________________</w:t>
      </w:r>
    </w:p>
    <w:p>
      <w:pPr>
        <w:spacing w:after="0" w:line="13"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Proceeds include cash received during the period, plus receivable for MBS sold during the period as of period end.</w:t>
      </w:r>
    </w:p>
    <w:p>
      <w:pPr>
        <w:spacing w:after="0" w:line="21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Asset sales primarily resulted from leverage adjustments and portfolio repositioning.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(Loss) on Derivative Instruments and Other Securities, Net</w:t>
      </w:r>
    </w:p>
    <w:p>
      <w:pPr>
        <w:spacing w:after="0" w:line="18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table is a summary of our gain (loss) on derivative instruments and other securities, net for the three and six months ended June 30, 2016 and 2015 (in millions):</w:t>
      </w:r>
    </w:p>
    <w:p>
      <w:pPr>
        <w:spacing w:after="0" w:line="338" w:lineRule="exact"/>
        <w:rPr>
          <w:sz w:val="20"/>
          <w:szCs w:val="20"/>
          <w:color w:val="auto"/>
        </w:rPr>
      </w:pPr>
    </w:p>
    <w:tbl>
      <w:tblPr>
        <w:tblLayout w:type="fixed"/>
        <w:tblInd w:w="720" w:type="dxa"/>
        <w:tblCellMar>
          <w:top w:w="0" w:type="dxa"/>
          <w:left w:w="0" w:type="dxa"/>
          <w:bottom w:w="0" w:type="dxa"/>
          <w:right w:w="0" w:type="dxa"/>
        </w:tblCellMar>
      </w:tblPr>
      <w:tr>
        <w:trPr>
          <w:trHeight w:val="192"/>
        </w:trPr>
        <w:tc>
          <w:tcPr>
            <w:tcW w:w="6100" w:type="dxa"/>
            <w:vAlign w:val="bottom"/>
          </w:tcPr>
          <w:p>
            <w:pPr>
              <w:spacing w:after="0"/>
              <w:rPr>
                <w:sz w:val="16"/>
                <w:szCs w:val="16"/>
                <w:color w:val="auto"/>
              </w:rPr>
            </w:pPr>
          </w:p>
        </w:tc>
        <w:tc>
          <w:tcPr>
            <w:tcW w:w="2000" w:type="dxa"/>
            <w:vAlign w:val="bottom"/>
            <w:gridSpan w:val="6"/>
          </w:tcPr>
          <w:p>
            <w:pPr>
              <w:ind w:left="40"/>
              <w:spacing w:after="0"/>
              <w:rPr>
                <w:sz w:val="20"/>
                <w:szCs w:val="20"/>
                <w:color w:val="auto"/>
              </w:rPr>
            </w:pPr>
            <w:r>
              <w:rPr>
                <w:rFonts w:ascii="Arial" w:cs="Arial" w:eastAsia="Arial" w:hAnsi="Arial"/>
                <w:sz w:val="14"/>
                <w:szCs w:val="14"/>
                <w:b w:val="1"/>
                <w:bCs w:val="1"/>
                <w:color w:val="auto"/>
                <w:w w:val="97"/>
              </w:rPr>
              <w:t>Three Months Ended June 30,</w:t>
            </w:r>
          </w:p>
        </w:tc>
        <w:tc>
          <w:tcPr>
            <w:tcW w:w="120" w:type="dxa"/>
            <w:vAlign w:val="bottom"/>
          </w:tcPr>
          <w:p>
            <w:pPr>
              <w:spacing w:after="0"/>
              <w:rPr>
                <w:sz w:val="16"/>
                <w:szCs w:val="16"/>
                <w:color w:val="auto"/>
              </w:rPr>
            </w:pPr>
          </w:p>
        </w:tc>
        <w:tc>
          <w:tcPr>
            <w:tcW w:w="1780" w:type="dxa"/>
            <w:vAlign w:val="bottom"/>
            <w:gridSpan w:val="4"/>
          </w:tcPr>
          <w:p>
            <w:pPr>
              <w:jc w:val="right"/>
              <w:ind w:right="28"/>
              <w:spacing w:after="0"/>
              <w:rPr>
                <w:sz w:val="20"/>
                <w:szCs w:val="20"/>
                <w:color w:val="auto"/>
              </w:rPr>
            </w:pPr>
            <w:r>
              <w:rPr>
                <w:rFonts w:ascii="Arial" w:cs="Arial" w:eastAsia="Arial" w:hAnsi="Arial"/>
                <w:sz w:val="14"/>
                <w:szCs w:val="14"/>
                <w:b w:val="1"/>
                <w:bCs w:val="1"/>
                <w:color w:val="auto"/>
                <w:w w:val="91"/>
              </w:rPr>
              <w:t>Six Months Ended June 30,</w:t>
            </w:r>
          </w:p>
        </w:tc>
      </w:tr>
      <w:tr>
        <w:trPr>
          <w:trHeight w:val="264"/>
        </w:trPr>
        <w:tc>
          <w:tcPr>
            <w:tcW w:w="610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2015</w:t>
            </w:r>
          </w:p>
        </w:tc>
      </w:tr>
      <w:tr>
        <w:trPr>
          <w:trHeight w:val="256"/>
        </w:trPr>
        <w:tc>
          <w:tcPr>
            <w:tcW w:w="6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Periodic interest costs of interest rate swaps, net</w:t>
            </w:r>
          </w:p>
        </w:tc>
        <w:tc>
          <w:tcPr>
            <w:tcW w:w="2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(158)</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(183)</w:t>
            </w:r>
          </w:p>
        </w:tc>
      </w:tr>
      <w:tr>
        <w:trPr>
          <w:trHeight w:val="258"/>
        </w:trPr>
        <w:tc>
          <w:tcPr>
            <w:tcW w:w="6100" w:type="dxa"/>
            <w:vAlign w:val="bottom"/>
          </w:tcPr>
          <w:p>
            <w:pPr>
              <w:ind w:left="20"/>
              <w:spacing w:after="0"/>
              <w:rPr>
                <w:sz w:val="20"/>
                <w:szCs w:val="20"/>
                <w:color w:val="auto"/>
              </w:rPr>
            </w:pPr>
            <w:r>
              <w:rPr>
                <w:rFonts w:ascii="Arial" w:cs="Arial" w:eastAsia="Arial" w:hAnsi="Arial"/>
                <w:sz w:val="14"/>
                <w:szCs w:val="14"/>
                <w:color w:val="auto"/>
              </w:rPr>
              <w:t>Realized gain (loss) on derivative instruments and other securities, net:</w:t>
            </w: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r>
      <w:tr>
        <w:trPr>
          <w:trHeight w:val="276"/>
        </w:trPr>
        <w:tc>
          <w:tcPr>
            <w:tcW w:w="6100" w:type="dxa"/>
            <w:vAlign w:val="bottom"/>
            <w:shd w:val="clear" w:color="auto" w:fill="CCEEFF"/>
          </w:tcPr>
          <w:p>
            <w:pPr>
              <w:ind w:left="1100"/>
              <w:spacing w:after="0"/>
              <w:rPr>
                <w:sz w:val="20"/>
                <w:szCs w:val="20"/>
                <w:color w:val="auto"/>
              </w:rPr>
            </w:pPr>
            <w:r>
              <w:rPr>
                <w:rFonts w:ascii="Arial" w:cs="Arial" w:eastAsia="Arial" w:hAnsi="Arial"/>
                <w:sz w:val="14"/>
                <w:szCs w:val="14"/>
                <w:color w:val="auto"/>
              </w:rPr>
              <w:t>TBA securities - dollar roll income, net</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111</w:t>
            </w:r>
          </w:p>
        </w:tc>
      </w:tr>
      <w:tr>
        <w:trPr>
          <w:trHeight w:val="264"/>
        </w:trPr>
        <w:tc>
          <w:tcPr>
            <w:tcW w:w="6100" w:type="dxa"/>
            <w:vAlign w:val="bottom"/>
          </w:tcPr>
          <w:p>
            <w:pPr>
              <w:ind w:left="300"/>
              <w:spacing w:after="0"/>
              <w:rPr>
                <w:sz w:val="20"/>
                <w:szCs w:val="20"/>
                <w:color w:val="auto"/>
              </w:rPr>
            </w:pPr>
            <w:r>
              <w:rPr>
                <w:rFonts w:ascii="Arial" w:cs="Arial" w:eastAsia="Arial" w:hAnsi="Arial"/>
                <w:sz w:val="14"/>
                <w:szCs w:val="14"/>
                <w:color w:val="auto"/>
              </w:rPr>
              <w:t>TBA securities - mark-to-market net gain (loss)</w:t>
            </w: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147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250</w:t>
            </w:r>
          </w:p>
        </w:tc>
      </w:tr>
      <w:tr>
        <w:trPr>
          <w:trHeight w:val="276"/>
        </w:trPr>
        <w:tc>
          <w:tcPr>
            <w:tcW w:w="6100" w:type="dxa"/>
            <w:vAlign w:val="bottom"/>
            <w:shd w:val="clear" w:color="auto" w:fill="CCEEFF"/>
          </w:tcPr>
          <w:p>
            <w:pPr>
              <w:ind w:left="1100"/>
              <w:spacing w:after="0"/>
              <w:rPr>
                <w:sz w:val="20"/>
                <w:szCs w:val="20"/>
                <w:color w:val="auto"/>
              </w:rPr>
            </w:pPr>
            <w:r>
              <w:rPr>
                <w:rFonts w:ascii="Arial" w:cs="Arial" w:eastAsia="Arial" w:hAnsi="Arial"/>
                <w:sz w:val="14"/>
                <w:szCs w:val="14"/>
                <w:color w:val="auto"/>
              </w:rPr>
              <w:t>Payer swaptions</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r>
      <w:tr>
        <w:trPr>
          <w:trHeight w:val="264"/>
        </w:trPr>
        <w:tc>
          <w:tcPr>
            <w:tcW w:w="6100" w:type="dxa"/>
            <w:vAlign w:val="bottom"/>
          </w:tcPr>
          <w:p>
            <w:pPr>
              <w:ind w:left="1100"/>
              <w:spacing w:after="0"/>
              <w:rPr>
                <w:sz w:val="20"/>
                <w:szCs w:val="20"/>
                <w:color w:val="auto"/>
              </w:rPr>
            </w:pPr>
            <w:r>
              <w:rPr>
                <w:rFonts w:ascii="Arial" w:cs="Arial" w:eastAsia="Arial" w:hAnsi="Arial"/>
                <w:sz w:val="14"/>
                <w:szCs w:val="14"/>
                <w:color w:val="auto"/>
              </w:rPr>
              <w:t>Receiver swaptions</w:t>
            </w:r>
          </w:p>
        </w:tc>
        <w:tc>
          <w:tcPr>
            <w:tcW w:w="20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15</w:t>
            </w:r>
          </w:p>
        </w:tc>
      </w:tr>
      <w:tr>
        <w:trPr>
          <w:trHeight w:val="276"/>
        </w:trPr>
        <w:tc>
          <w:tcPr>
            <w:tcW w:w="6100" w:type="dxa"/>
            <w:vAlign w:val="bottom"/>
            <w:shd w:val="clear" w:color="auto" w:fill="CCEEFF"/>
          </w:tcPr>
          <w:p>
            <w:pPr>
              <w:ind w:left="1100"/>
              <w:spacing w:after="0"/>
              <w:rPr>
                <w:sz w:val="20"/>
                <w:szCs w:val="20"/>
                <w:color w:val="auto"/>
              </w:rPr>
            </w:pPr>
            <w:r>
              <w:rPr>
                <w:rFonts w:ascii="Arial" w:cs="Arial" w:eastAsia="Arial" w:hAnsi="Arial"/>
                <w:sz w:val="14"/>
                <w:szCs w:val="14"/>
                <w:color w:val="auto"/>
              </w:rPr>
              <w:t>U.S. Treasury securities - long position</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r>
      <w:tr>
        <w:trPr>
          <w:trHeight w:val="264"/>
        </w:trPr>
        <w:tc>
          <w:tcPr>
            <w:tcW w:w="6100" w:type="dxa"/>
            <w:vAlign w:val="bottom"/>
          </w:tcPr>
          <w:p>
            <w:pPr>
              <w:ind w:left="1100"/>
              <w:spacing w:after="0"/>
              <w:rPr>
                <w:sz w:val="20"/>
                <w:szCs w:val="20"/>
                <w:color w:val="auto"/>
              </w:rPr>
            </w:pPr>
            <w:r>
              <w:rPr>
                <w:rFonts w:ascii="Arial" w:cs="Arial" w:eastAsia="Arial" w:hAnsi="Arial"/>
                <w:sz w:val="14"/>
                <w:szCs w:val="14"/>
                <w:color w:val="auto"/>
              </w:rPr>
              <w:t>U.S. Treasury securities - short position</w:t>
            </w: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(65)</w:t>
            </w:r>
          </w:p>
        </w:tc>
      </w:tr>
      <w:tr>
        <w:trPr>
          <w:trHeight w:val="276"/>
        </w:trPr>
        <w:tc>
          <w:tcPr>
            <w:tcW w:w="6100" w:type="dxa"/>
            <w:vAlign w:val="bottom"/>
            <w:shd w:val="clear" w:color="auto" w:fill="CCEEFF"/>
          </w:tcPr>
          <w:p>
            <w:pPr>
              <w:ind w:left="1100"/>
              <w:spacing w:after="0"/>
              <w:rPr>
                <w:sz w:val="20"/>
                <w:szCs w:val="20"/>
                <w:color w:val="auto"/>
              </w:rPr>
            </w:pPr>
            <w:r>
              <w:rPr>
                <w:rFonts w:ascii="Arial" w:cs="Arial" w:eastAsia="Arial" w:hAnsi="Arial"/>
                <w:sz w:val="14"/>
                <w:szCs w:val="14"/>
                <w:color w:val="auto"/>
              </w:rPr>
              <w:t>U.S. Treasury futures - short position</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r>
      <w:tr>
        <w:trPr>
          <w:trHeight w:val="264"/>
        </w:trPr>
        <w:tc>
          <w:tcPr>
            <w:tcW w:w="6100" w:type="dxa"/>
            <w:vAlign w:val="bottom"/>
          </w:tcPr>
          <w:p>
            <w:pPr>
              <w:ind w:left="1100"/>
              <w:spacing w:after="0"/>
              <w:rPr>
                <w:sz w:val="20"/>
                <w:szCs w:val="20"/>
                <w:color w:val="auto"/>
              </w:rPr>
            </w:pPr>
            <w:r>
              <w:rPr>
                <w:rFonts w:ascii="Arial" w:cs="Arial" w:eastAsia="Arial" w:hAnsi="Arial"/>
                <w:sz w:val="14"/>
                <w:szCs w:val="14"/>
                <w:color w:val="auto"/>
              </w:rPr>
              <w:t>Interest rate swap termination fees</w:t>
            </w: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(430)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(566)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(162)</w:t>
            </w:r>
          </w:p>
        </w:tc>
      </w:tr>
      <w:tr>
        <w:trPr>
          <w:trHeight w:val="276"/>
        </w:trPr>
        <w:tc>
          <w:tcPr>
            <w:tcW w:w="6100" w:type="dxa"/>
            <w:vAlign w:val="bottom"/>
            <w:shd w:val="clear" w:color="auto" w:fill="CCEEFF"/>
          </w:tcPr>
          <w:p>
            <w:pPr>
              <w:ind w:left="260"/>
              <w:spacing w:after="0"/>
              <w:rPr>
                <w:sz w:val="20"/>
                <w:szCs w:val="20"/>
                <w:color w:val="auto"/>
              </w:rPr>
            </w:pPr>
            <w:r>
              <w:rPr>
                <w:rFonts w:ascii="Arial" w:cs="Arial" w:eastAsia="Arial" w:hAnsi="Arial"/>
                <w:sz w:val="14"/>
                <w:szCs w:val="14"/>
                <w:color w:val="auto"/>
              </w:rPr>
              <w:t>REIT equity securities</w:t>
            </w:r>
          </w:p>
        </w:tc>
        <w:tc>
          <w:tcPr>
            <w:tcW w:w="2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w:t>
            </w:r>
          </w:p>
        </w:tc>
      </w:tr>
      <w:tr>
        <w:trPr>
          <w:trHeight w:val="264"/>
        </w:trPr>
        <w:tc>
          <w:tcPr>
            <w:tcW w:w="6100" w:type="dxa"/>
            <w:vAlign w:val="bottom"/>
            <w:tcBorders>
              <w:bottom w:val="single" w:sz="8" w:color="CCEEFF"/>
            </w:tcBorders>
          </w:tcPr>
          <w:p>
            <w:pPr>
              <w:ind w:left="260"/>
              <w:spacing w:after="0"/>
              <w:rPr>
                <w:sz w:val="20"/>
                <w:szCs w:val="20"/>
                <w:color w:val="auto"/>
              </w:rPr>
            </w:pPr>
            <w:r>
              <w:rPr>
                <w:rFonts w:ascii="Arial" w:cs="Arial" w:eastAsia="Arial" w:hAnsi="Arial"/>
                <w:sz w:val="14"/>
                <w:szCs w:val="14"/>
                <w:color w:val="auto"/>
              </w:rPr>
              <w:t>Other</w:t>
            </w: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w:t>
            </w:r>
          </w:p>
        </w:tc>
      </w:tr>
      <w:tr>
        <w:trPr>
          <w:trHeight w:val="256"/>
        </w:trPr>
        <w:tc>
          <w:tcPr>
            <w:tcW w:w="6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realized gain (loss) on derivative instruments and other securities, net</w:t>
            </w:r>
          </w:p>
        </w:tc>
        <w:tc>
          <w:tcPr>
            <w:tcW w:w="20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(402)</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(443)</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81</w:t>
            </w:r>
          </w:p>
        </w:tc>
      </w:tr>
      <w:tr>
        <w:trPr>
          <w:trHeight w:val="258"/>
        </w:trPr>
        <w:tc>
          <w:tcPr>
            <w:tcW w:w="6100" w:type="dxa"/>
            <w:vAlign w:val="bottom"/>
          </w:tcPr>
          <w:p>
            <w:pPr>
              <w:ind w:left="20"/>
              <w:spacing w:after="0"/>
              <w:rPr>
                <w:sz w:val="20"/>
                <w:szCs w:val="20"/>
                <w:color w:val="auto"/>
              </w:rPr>
            </w:pPr>
            <w:r>
              <w:rPr>
                <w:rFonts w:ascii="Arial" w:cs="Arial" w:eastAsia="Arial" w:hAnsi="Arial"/>
                <w:sz w:val="14"/>
                <w:szCs w:val="14"/>
                <w:color w:val="auto"/>
              </w:rPr>
              <w:t>Unrealized gain (loss) on derivative instruments and other securities, net:</w:t>
            </w: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r>
      <w:tr>
        <w:trPr>
          <w:trHeight w:val="276"/>
        </w:trPr>
        <w:tc>
          <w:tcPr>
            <w:tcW w:w="6100" w:type="dxa"/>
            <w:vAlign w:val="bottom"/>
            <w:shd w:val="clear" w:color="auto" w:fill="CCEEFF"/>
          </w:tcPr>
          <w:p>
            <w:pPr>
              <w:ind w:left="1100"/>
              <w:spacing w:after="0"/>
              <w:rPr>
                <w:sz w:val="20"/>
                <w:szCs w:val="20"/>
                <w:color w:val="auto"/>
              </w:rPr>
            </w:pPr>
            <w:r>
              <w:rPr>
                <w:rFonts w:ascii="Arial" w:cs="Arial" w:eastAsia="Arial" w:hAnsi="Arial"/>
                <w:sz w:val="14"/>
                <w:szCs w:val="14"/>
                <w:color w:val="auto"/>
              </w:rPr>
              <w:t>TBA securities - mark-to-market net gain (loss)</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w:t>
            </w:r>
          </w:p>
        </w:tc>
      </w:tr>
      <w:tr>
        <w:trPr>
          <w:trHeight w:val="264"/>
        </w:trPr>
        <w:tc>
          <w:tcPr>
            <w:tcW w:w="6100" w:type="dxa"/>
            <w:vAlign w:val="bottom"/>
          </w:tcPr>
          <w:p>
            <w:pPr>
              <w:ind w:left="1100"/>
              <w:spacing w:after="0"/>
              <w:rPr>
                <w:sz w:val="20"/>
                <w:szCs w:val="20"/>
                <w:color w:val="auto"/>
              </w:rPr>
            </w:pPr>
            <w:r>
              <w:rPr>
                <w:rFonts w:ascii="Arial" w:cs="Arial" w:eastAsia="Arial" w:hAnsi="Arial"/>
                <w:sz w:val="14"/>
                <w:szCs w:val="14"/>
                <w:color w:val="auto"/>
              </w:rPr>
              <w:t>Interest rate swaps</w:t>
            </w: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143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533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(637)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33</w:t>
            </w:r>
          </w:p>
        </w:tc>
      </w:tr>
      <w:tr>
        <w:trPr>
          <w:trHeight w:val="276"/>
        </w:trPr>
        <w:tc>
          <w:tcPr>
            <w:tcW w:w="6100" w:type="dxa"/>
            <w:vAlign w:val="bottom"/>
            <w:shd w:val="clear" w:color="auto" w:fill="CCEEFF"/>
          </w:tcPr>
          <w:p>
            <w:pPr>
              <w:ind w:left="1100"/>
              <w:spacing w:after="0"/>
              <w:rPr>
                <w:sz w:val="20"/>
                <w:szCs w:val="20"/>
                <w:color w:val="auto"/>
              </w:rPr>
            </w:pPr>
            <w:r>
              <w:rPr>
                <w:rFonts w:ascii="Arial" w:cs="Arial" w:eastAsia="Arial" w:hAnsi="Arial"/>
                <w:sz w:val="14"/>
                <w:szCs w:val="14"/>
                <w:color w:val="auto"/>
              </w:rPr>
              <w:t>Payer swaptions</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w:t>
            </w:r>
          </w:p>
        </w:tc>
      </w:tr>
      <w:tr>
        <w:trPr>
          <w:trHeight w:val="264"/>
        </w:trPr>
        <w:tc>
          <w:tcPr>
            <w:tcW w:w="6100" w:type="dxa"/>
            <w:vAlign w:val="bottom"/>
          </w:tcPr>
          <w:p>
            <w:pPr>
              <w:ind w:left="1100"/>
              <w:spacing w:after="0"/>
              <w:rPr>
                <w:sz w:val="20"/>
                <w:szCs w:val="20"/>
                <w:color w:val="auto"/>
              </w:rPr>
            </w:pPr>
            <w:r>
              <w:rPr>
                <w:rFonts w:ascii="Arial" w:cs="Arial" w:eastAsia="Arial" w:hAnsi="Arial"/>
                <w:sz w:val="14"/>
                <w:szCs w:val="14"/>
                <w:color w:val="auto"/>
              </w:rPr>
              <w:t>Receiver swaptions</w:t>
            </w:r>
          </w:p>
        </w:tc>
        <w:tc>
          <w:tcPr>
            <w:tcW w:w="20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w:t>
            </w:r>
          </w:p>
        </w:tc>
      </w:tr>
      <w:tr>
        <w:trPr>
          <w:trHeight w:val="276"/>
        </w:trPr>
        <w:tc>
          <w:tcPr>
            <w:tcW w:w="6100" w:type="dxa"/>
            <w:vAlign w:val="bottom"/>
            <w:shd w:val="clear" w:color="auto" w:fill="CCEEFF"/>
          </w:tcPr>
          <w:p>
            <w:pPr>
              <w:ind w:left="1100"/>
              <w:spacing w:after="0"/>
              <w:rPr>
                <w:sz w:val="20"/>
                <w:szCs w:val="20"/>
                <w:color w:val="auto"/>
              </w:rPr>
            </w:pPr>
            <w:r>
              <w:rPr>
                <w:rFonts w:ascii="Arial" w:cs="Arial" w:eastAsia="Arial" w:hAnsi="Arial"/>
                <w:sz w:val="14"/>
                <w:szCs w:val="14"/>
                <w:color w:val="auto"/>
              </w:rPr>
              <w:t>Interest and principal-only strips</w:t>
            </w:r>
          </w:p>
        </w:tc>
        <w:tc>
          <w:tcPr>
            <w:tcW w:w="2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w:t>
            </w:r>
          </w:p>
        </w:tc>
      </w:tr>
      <w:tr>
        <w:trPr>
          <w:trHeight w:val="264"/>
        </w:trPr>
        <w:tc>
          <w:tcPr>
            <w:tcW w:w="6100" w:type="dxa"/>
            <w:vAlign w:val="bottom"/>
          </w:tcPr>
          <w:p>
            <w:pPr>
              <w:ind w:left="1100"/>
              <w:spacing w:after="0"/>
              <w:rPr>
                <w:sz w:val="20"/>
                <w:szCs w:val="20"/>
                <w:color w:val="auto"/>
              </w:rPr>
            </w:pPr>
            <w:r>
              <w:rPr>
                <w:rFonts w:ascii="Arial" w:cs="Arial" w:eastAsia="Arial" w:hAnsi="Arial"/>
                <w:sz w:val="14"/>
                <w:szCs w:val="14"/>
                <w:color w:val="auto"/>
              </w:rPr>
              <w:t>U.S. Treasury securities - long position</w:t>
            </w:r>
          </w:p>
        </w:tc>
        <w:tc>
          <w:tcPr>
            <w:tcW w:w="20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(17)</w:t>
            </w:r>
          </w:p>
        </w:tc>
      </w:tr>
      <w:tr>
        <w:trPr>
          <w:trHeight w:val="276"/>
        </w:trPr>
        <w:tc>
          <w:tcPr>
            <w:tcW w:w="6100" w:type="dxa"/>
            <w:vAlign w:val="bottom"/>
            <w:shd w:val="clear" w:color="auto" w:fill="CCEEFF"/>
          </w:tcPr>
          <w:p>
            <w:pPr>
              <w:ind w:left="1100"/>
              <w:spacing w:after="0"/>
              <w:rPr>
                <w:sz w:val="20"/>
                <w:szCs w:val="20"/>
                <w:color w:val="auto"/>
              </w:rPr>
            </w:pPr>
            <w:r>
              <w:rPr>
                <w:rFonts w:ascii="Arial" w:cs="Arial" w:eastAsia="Arial" w:hAnsi="Arial"/>
                <w:sz w:val="14"/>
                <w:szCs w:val="14"/>
                <w:color w:val="auto"/>
              </w:rPr>
              <w:t>U.S. Treasury securities - short position</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r>
      <w:tr>
        <w:trPr>
          <w:trHeight w:val="264"/>
        </w:trPr>
        <w:tc>
          <w:tcPr>
            <w:tcW w:w="6100" w:type="dxa"/>
            <w:vAlign w:val="bottom"/>
          </w:tcPr>
          <w:p>
            <w:pPr>
              <w:ind w:left="1100"/>
              <w:spacing w:after="0"/>
              <w:rPr>
                <w:sz w:val="20"/>
                <w:szCs w:val="20"/>
                <w:color w:val="auto"/>
              </w:rPr>
            </w:pPr>
            <w:r>
              <w:rPr>
                <w:rFonts w:ascii="Arial" w:cs="Arial" w:eastAsia="Arial" w:hAnsi="Arial"/>
                <w:sz w:val="14"/>
                <w:szCs w:val="14"/>
                <w:color w:val="auto"/>
              </w:rPr>
              <w:t>U.S. Treasury futures - short position</w:t>
            </w: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9</w:t>
            </w:r>
          </w:p>
        </w:tc>
      </w:tr>
      <w:tr>
        <w:trPr>
          <w:trHeight w:val="276"/>
        </w:trPr>
        <w:tc>
          <w:tcPr>
            <w:tcW w:w="6100" w:type="dxa"/>
            <w:vAlign w:val="bottom"/>
            <w:shd w:val="clear" w:color="auto" w:fill="CCEEFF"/>
          </w:tcPr>
          <w:p>
            <w:pPr>
              <w:ind w:left="1100"/>
              <w:spacing w:after="0"/>
              <w:rPr>
                <w:sz w:val="20"/>
                <w:szCs w:val="20"/>
                <w:color w:val="auto"/>
              </w:rPr>
            </w:pPr>
            <w:r>
              <w:rPr>
                <w:rFonts w:ascii="Arial" w:cs="Arial" w:eastAsia="Arial" w:hAnsi="Arial"/>
                <w:sz w:val="14"/>
                <w:szCs w:val="14"/>
                <w:color w:val="auto"/>
              </w:rPr>
              <w:t>Debt of consolidated VIEs</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w:t>
            </w:r>
          </w:p>
        </w:tc>
      </w:tr>
      <w:tr>
        <w:trPr>
          <w:trHeight w:val="264"/>
        </w:trPr>
        <w:tc>
          <w:tcPr>
            <w:tcW w:w="6100" w:type="dxa"/>
            <w:vAlign w:val="bottom"/>
          </w:tcPr>
          <w:p>
            <w:pPr>
              <w:ind w:left="1100"/>
              <w:spacing w:after="0"/>
              <w:rPr>
                <w:sz w:val="20"/>
                <w:szCs w:val="20"/>
                <w:color w:val="auto"/>
              </w:rPr>
            </w:pPr>
            <w:r>
              <w:rPr>
                <w:rFonts w:ascii="Arial" w:cs="Arial" w:eastAsia="Arial" w:hAnsi="Arial"/>
                <w:sz w:val="14"/>
                <w:szCs w:val="14"/>
                <w:color w:val="auto"/>
              </w:rPr>
              <w:t>REIT equity securities</w:t>
            </w: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270"/>
        </w:trPr>
        <w:tc>
          <w:tcPr>
            <w:tcW w:w="6100" w:type="dxa"/>
            <w:vAlign w:val="bottom"/>
            <w:shd w:val="clear" w:color="auto" w:fill="CCEEFF"/>
          </w:tcPr>
          <w:p>
            <w:pPr>
              <w:ind w:left="1100"/>
              <w:spacing w:after="0"/>
              <w:rPr>
                <w:sz w:val="20"/>
                <w:szCs w:val="20"/>
                <w:color w:val="auto"/>
              </w:rPr>
            </w:pPr>
            <w:r>
              <w:rPr>
                <w:rFonts w:ascii="Arial" w:cs="Arial" w:eastAsia="Arial" w:hAnsi="Arial"/>
                <w:sz w:val="14"/>
                <w:szCs w:val="14"/>
                <w:color w:val="auto"/>
              </w:rPr>
              <w:t>Other</w:t>
            </w: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r>
      <w:tr>
        <w:trPr>
          <w:trHeight w:val="250"/>
        </w:trPr>
        <w:tc>
          <w:tcPr>
            <w:tcW w:w="61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unrealized gain (loss) on derivative instruments and other securities, net</w:t>
            </w: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104</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417</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(699)</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(210)</w:t>
            </w:r>
          </w:p>
        </w:tc>
      </w:tr>
      <w:tr>
        <w:trPr>
          <w:trHeight w:val="243"/>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gain (loss) on derivative instruments and other securities, net</w:t>
            </w:r>
          </w:p>
        </w:tc>
        <w:tc>
          <w:tcPr>
            <w:tcW w:w="2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(312)</w:t>
            </w:r>
          </w:p>
        </w:tc>
      </w:tr>
      <w:tr>
        <w:trPr>
          <w:trHeight w:val="20"/>
        </w:trPr>
        <w:tc>
          <w:tcPr>
            <w:tcW w:w="6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For further details regarding our use of derivative instruments and related activity refer to Notes 3 and 6 of our Consolidated Financial Statements in this Form 10-Q.</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Fees and General, Administrative and Other Expenses</w:t>
      </w:r>
    </w:p>
    <w:p>
      <w:pPr>
        <w:spacing w:after="0" w:line="171"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Prior to July 1, 2016, we paid our Manager a management fee payable monthly in arrears in an amount equal to one-twelfth of 1.25% of our month-end stockholders' equity, adjusted to exclude the effect of any unrealized gains or losses included in either retained earnings or accumulated OCI, each as computed in accordance with GAAP. There was no incentive compensation payable to our Manager pursuant to the management agreement. We incurred management fees of $25 million and $29 million for the three months ended June 30, 2016 and 2015, respectively, and $52 million and $59 million for the six months ended June 30, 2016 and 2015, respectively. Following the Internalization, we will no longer incur a management fee, but we will incur expenses associated with an internally managed organization, including compensation expense previously borne by our Manager</w:t>
      </w:r>
    </w:p>
    <w:p>
      <w:pPr>
        <w:spacing w:after="0" w:line="11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General, administrative and other expenses were $15 million and $7 million for the three months ended June 30, 2016 and 2015, respectively, and $21 million and $13 million for the six months ended June 30, 2016 and 2015, respectively. Our general, administrative and other expenses primarily consisted of prime broker fees, information technology costs, accounting fees, legal</w:t>
      </w:r>
    </w:p>
    <w:p>
      <w:pPr>
        <w:sectPr>
          <w:pgSz w:w="11900" w:h="16838" w:orient="portrait"/>
          <w:cols w:equalWidth="0" w:num="1">
            <w:col w:w="11420"/>
          </w:cols>
          <w:pgMar w:left="240" w:top="580"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420"/>
          </w:cols>
          <w:pgMar w:left="240" w:top="580" w:right="239" w:bottom="1440" w:gutter="0" w:footer="0" w:header="0"/>
          <w:type w:val="continuous"/>
        </w:sectPr>
      </w:pPr>
    </w:p>
    <w:bookmarkStart w:id="44" w:name="page45"/>
    <w:bookmarkEnd w:id="44"/>
    <w:p>
      <w:pPr>
        <w:jc w:val="both"/>
        <w:spacing w:after="0" w:line="264" w:lineRule="auto"/>
        <w:rPr>
          <w:sz w:val="20"/>
          <w:szCs w:val="20"/>
          <w:color w:val="auto"/>
        </w:rPr>
      </w:pPr>
      <w:r>
        <w:rPr>
          <w:rFonts w:ascii="Arial" w:cs="Arial" w:eastAsia="Arial" w:hAnsi="Arial"/>
          <w:sz w:val="18"/>
          <w:szCs w:val="18"/>
          <w:color w:val="auto"/>
        </w:rPr>
        <w:t>fees, Board of Director fees, insurance expense and general overhead expense. For the three and six months ended June 30, 2016, our general and administrative expenses also included compensation costs of our wholly-owned captive broker-dealer subsidiary, Bethesda Securities, LLC, and $9 million of non-recurring transaction costs associated with our acquisition of ACMM.</w:t>
      </w:r>
    </w:p>
    <w:p>
      <w:pPr>
        <w:spacing w:after="0" w:line="127"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Our total annualized operating expense as a percentage of our average stockholders' equity was 2.08% and 1.59% for the three months ended June 30, 2016 and 2015, respectively, and 1.89% and 1.57% for the six months ended June 30, 2016 and 2015, respectively. Excluding non-recurring transaction costs, our total annualized operating expense as a percentage of our average stockholders equity was 1.61% and 1.65% for the three and six months ended June 30, 2016, respectively. We expect our total annualized operating expenses to be reduced for subsequent fiscal periods as a result of the Internalization.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 and Income Taxes</w:t>
      </w:r>
    </w:p>
    <w:p>
      <w:pPr>
        <w:spacing w:after="0" w:line="185"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For the three months ended June 30, 2016 and 2015, we had estimated taxable income available to common stockholders of $73 million and $115 million (or $0.22 and $0.33 per common share), respectively, and for the six months ended June 30, 2016 and 2015, we had estimated taxable income available to common stockholders of $147 million and $281 million (or $0.44 and $0.80 per common share), respectively.</w:t>
      </w:r>
    </w:p>
    <w:p>
      <w:pPr>
        <w:spacing w:after="0" w:line="111" w:lineRule="exact"/>
        <w:rPr>
          <w:sz w:val="20"/>
          <w:szCs w:val="20"/>
          <w:color w:val="auto"/>
        </w:rPr>
      </w:pPr>
    </w:p>
    <w:p>
      <w:pPr>
        <w:jc w:val="both"/>
        <w:ind w:firstLine="432"/>
        <w:spacing w:after="0" w:line="284" w:lineRule="auto"/>
        <w:rPr>
          <w:sz w:val="20"/>
          <w:szCs w:val="20"/>
          <w:color w:val="auto"/>
        </w:rPr>
      </w:pPr>
      <w:r>
        <w:rPr>
          <w:rFonts w:ascii="Arial" w:cs="Arial" w:eastAsia="Arial" w:hAnsi="Arial"/>
          <w:sz w:val="16"/>
          <w:szCs w:val="16"/>
          <w:color w:val="auto"/>
        </w:rPr>
        <w:t>As a REIT, we are required to distribute annually 90% of our ordinary taxable income to maintain our status as a REIT and all of our taxable income to avoid federal and state corporate income taxes. We can treat dividends declared by September 15 and paid by December 31 as having been a distribution of our taxable income for our prior tax year ("spill-back provision"). Income as determined under GAAP differs from income as determined under tax rules because of both temporary and permanent differences in income and expense recognition. The primary differences are (i) unrealized gains and losses associated with interest rate swaps and other derivatives and securities marked-to-market in current income for GAAP purposes, but excluded from taxable income until realized or settled, (ii) timing differences, both temporary and potentially permanent, in the recognition of certain realized gains and losses and</w:t>
      </w:r>
    </w:p>
    <w:p>
      <w:pPr>
        <w:spacing w:after="0" w:line="5" w:lineRule="exact"/>
        <w:rPr>
          <w:sz w:val="20"/>
          <w:szCs w:val="20"/>
          <w:color w:val="auto"/>
        </w:rPr>
      </w:pPr>
    </w:p>
    <w:p>
      <w:pPr>
        <w:ind w:firstLine="8"/>
        <w:spacing w:after="0" w:line="261" w:lineRule="auto"/>
        <w:tabs>
          <w:tab w:leader="none" w:pos="333" w:val="left"/>
        </w:tabs>
        <w:numPr>
          <w:ilvl w:val="0"/>
          <w:numId w:val="33"/>
        </w:numPr>
        <w:rPr>
          <w:rFonts w:ascii="Arial" w:cs="Arial" w:eastAsia="Arial" w:hAnsi="Arial"/>
          <w:sz w:val="18"/>
          <w:szCs w:val="18"/>
          <w:color w:val="auto"/>
        </w:rPr>
      </w:pPr>
      <w:r>
        <w:rPr>
          <w:rFonts w:ascii="Arial" w:cs="Arial" w:eastAsia="Arial" w:hAnsi="Arial"/>
          <w:sz w:val="18"/>
          <w:szCs w:val="18"/>
          <w:color w:val="auto"/>
        </w:rPr>
        <w:t>temporary differences related to the amortization of premiums and discounts on investments. Furthermore, our estimated taxable income is subject to potential adjustments up to the time of filing our appropriate tax returns, which occurs after the end of our fiscal year.</w:t>
      </w:r>
    </w:p>
    <w:p>
      <w:pPr>
        <w:spacing w:after="0" w:line="130"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following is a reconciliation of our GAAP net income to our estimated taxable income for the three and six months ended June 30, 2016 and 2015 (dollars in millions):</w:t>
      </w:r>
    </w:p>
    <w:p>
      <w:pPr>
        <w:spacing w:after="0" w:line="258" w:lineRule="exact"/>
        <w:rPr>
          <w:sz w:val="20"/>
          <w:szCs w:val="20"/>
          <w:color w:val="auto"/>
        </w:rPr>
      </w:pPr>
    </w:p>
    <w:tbl>
      <w:tblPr>
        <w:tblLayout w:type="fixed"/>
        <w:tblInd w:w="76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1900" w:type="dxa"/>
            <w:vAlign w:val="bottom"/>
            <w:gridSpan w:val="6"/>
          </w:tcPr>
          <w:p>
            <w:pPr>
              <w:ind w:left="80"/>
              <w:spacing w:after="0"/>
              <w:rPr>
                <w:sz w:val="20"/>
                <w:szCs w:val="20"/>
                <w:color w:val="auto"/>
              </w:rPr>
            </w:pPr>
            <w:r>
              <w:rPr>
                <w:rFonts w:ascii="Arial" w:cs="Arial" w:eastAsia="Arial" w:hAnsi="Arial"/>
                <w:sz w:val="14"/>
                <w:szCs w:val="14"/>
                <w:b w:val="1"/>
                <w:bCs w:val="1"/>
                <w:color w:val="auto"/>
              </w:rPr>
              <w:t>Three Months Ended June</w:t>
            </w:r>
          </w:p>
        </w:tc>
        <w:tc>
          <w:tcPr>
            <w:tcW w:w="1800" w:type="dxa"/>
            <w:vAlign w:val="bottom"/>
            <w:gridSpan w:val="5"/>
            <w:vMerge w:val="restart"/>
          </w:tcPr>
          <w:p>
            <w:pPr>
              <w:jc w:val="right"/>
              <w:spacing w:after="0"/>
              <w:rPr>
                <w:sz w:val="20"/>
                <w:szCs w:val="20"/>
                <w:color w:val="auto"/>
              </w:rPr>
            </w:pPr>
            <w:r>
              <w:rPr>
                <w:rFonts w:ascii="Arial" w:cs="Arial" w:eastAsia="Arial" w:hAnsi="Arial"/>
                <w:sz w:val="14"/>
                <w:szCs w:val="14"/>
                <w:b w:val="1"/>
                <w:bCs w:val="1"/>
                <w:color w:val="auto"/>
                <w:w w:val="94"/>
              </w:rPr>
              <w:t>Six Months Ended June 30,</w:t>
            </w:r>
          </w:p>
        </w:tc>
        <w:tc>
          <w:tcPr>
            <w:tcW w:w="0" w:type="dxa"/>
            <w:vAlign w:val="bottom"/>
          </w:tcPr>
          <w:p>
            <w:pPr>
              <w:spacing w:after="0"/>
              <w:rPr>
                <w:sz w:val="1"/>
                <w:szCs w:val="1"/>
                <w:color w:val="auto"/>
              </w:rPr>
            </w:pPr>
          </w:p>
        </w:tc>
      </w:tr>
      <w:tr>
        <w:trPr>
          <w:trHeight w:val="192"/>
        </w:trPr>
        <w:tc>
          <w:tcPr>
            <w:tcW w:w="6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4"/>
                <w:szCs w:val="14"/>
                <w:b w:val="1"/>
                <w:bCs w:val="1"/>
                <w:color w:val="auto"/>
                <w:w w:val="92"/>
              </w:rPr>
              <w:t>30,</w:t>
            </w: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tcBorders>
              <w:bottom w:val="single" w:sz="8" w:color="auto"/>
            </w:tcBorders>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2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6"/>
        </w:trPr>
        <w:tc>
          <w:tcPr>
            <w:tcW w:w="6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w:t>
            </w:r>
          </w:p>
        </w:tc>
        <w:tc>
          <w:tcPr>
            <w:tcW w:w="30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512</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260</w:t>
            </w:r>
          </w:p>
        </w:tc>
        <w:tc>
          <w:tcPr>
            <w:tcW w:w="0" w:type="dxa"/>
            <w:vAlign w:val="bottom"/>
          </w:tcPr>
          <w:p>
            <w:pPr>
              <w:spacing w:after="0"/>
              <w:rPr>
                <w:sz w:val="1"/>
                <w:szCs w:val="1"/>
                <w:color w:val="auto"/>
              </w:rPr>
            </w:pPr>
          </w:p>
        </w:tc>
      </w:tr>
      <w:tr>
        <w:trPr>
          <w:trHeight w:val="264"/>
        </w:trPr>
        <w:tc>
          <w:tcPr>
            <w:tcW w:w="6240" w:type="dxa"/>
            <w:vAlign w:val="bottom"/>
          </w:tcPr>
          <w:p>
            <w:pPr>
              <w:ind w:left="20"/>
              <w:spacing w:after="0"/>
              <w:rPr>
                <w:sz w:val="20"/>
                <w:szCs w:val="20"/>
                <w:color w:val="auto"/>
              </w:rPr>
            </w:pPr>
            <w:r>
              <w:rPr>
                <w:rFonts w:ascii="Arial" w:cs="Arial" w:eastAsia="Arial" w:hAnsi="Arial"/>
                <w:sz w:val="14"/>
                <w:szCs w:val="14"/>
                <w:color w:val="auto"/>
              </w:rPr>
              <w:t>Estimated book to tax differences:</w:t>
            </w: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62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Premium amortization, net</w:t>
            </w: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264"/>
        </w:trPr>
        <w:tc>
          <w:tcPr>
            <w:tcW w:w="6240" w:type="dxa"/>
            <w:vAlign w:val="bottom"/>
          </w:tcPr>
          <w:p>
            <w:pPr>
              <w:ind w:left="140"/>
              <w:spacing w:after="0"/>
              <w:rPr>
                <w:sz w:val="20"/>
                <w:szCs w:val="20"/>
                <w:color w:val="auto"/>
              </w:rPr>
            </w:pPr>
            <w:r>
              <w:rPr>
                <w:rFonts w:ascii="Arial" w:cs="Arial" w:eastAsia="Arial" w:hAnsi="Arial"/>
                <w:sz w:val="14"/>
                <w:szCs w:val="14"/>
                <w:color w:val="auto"/>
              </w:rPr>
              <w:t>Realized gain/loss, net</w:t>
            </w:r>
          </w:p>
        </w:tc>
        <w:tc>
          <w:tcPr>
            <w:tcW w:w="16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391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484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r>
        <w:trPr>
          <w:trHeight w:val="276"/>
        </w:trPr>
        <w:tc>
          <w:tcPr>
            <w:tcW w:w="62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capital loss/(utilization of net capital loss carryforward)</w:t>
            </w: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64"/>
        </w:trPr>
        <w:tc>
          <w:tcPr>
            <w:tcW w:w="6240" w:type="dxa"/>
            <w:vAlign w:val="bottom"/>
          </w:tcPr>
          <w:p>
            <w:pPr>
              <w:ind w:left="140"/>
              <w:spacing w:after="0"/>
              <w:rPr>
                <w:sz w:val="20"/>
                <w:szCs w:val="20"/>
                <w:color w:val="auto"/>
              </w:rPr>
            </w:pPr>
            <w:r>
              <w:rPr>
                <w:rFonts w:ascii="Arial" w:cs="Arial" w:eastAsia="Arial" w:hAnsi="Arial"/>
                <w:sz w:val="14"/>
                <w:szCs w:val="14"/>
                <w:color w:val="auto"/>
              </w:rPr>
              <w:t>Unrealized gain/loss, net</w:t>
            </w:r>
          </w:p>
        </w:tc>
        <w:tc>
          <w:tcPr>
            <w:tcW w:w="1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(106)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(417)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698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210</w:t>
            </w:r>
          </w:p>
        </w:tc>
        <w:tc>
          <w:tcPr>
            <w:tcW w:w="0" w:type="dxa"/>
            <w:vAlign w:val="bottom"/>
          </w:tcPr>
          <w:p>
            <w:pPr>
              <w:spacing w:after="0"/>
              <w:rPr>
                <w:sz w:val="1"/>
                <w:szCs w:val="1"/>
                <w:color w:val="auto"/>
              </w:rPr>
            </w:pPr>
          </w:p>
        </w:tc>
      </w:tr>
      <w:tr>
        <w:trPr>
          <w:trHeight w:val="270"/>
        </w:trPr>
        <w:tc>
          <w:tcPr>
            <w:tcW w:w="62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w:t>
            </w: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6240" w:type="dxa"/>
            <w:vAlign w:val="bottom"/>
            <w:tcBorders>
              <w:bottom w:val="single" w:sz="8" w:color="CCEEFF"/>
            </w:tcBorders>
          </w:tcPr>
          <w:p>
            <w:pPr>
              <w:ind w:left="820"/>
              <w:spacing w:after="0"/>
              <w:rPr>
                <w:sz w:val="20"/>
                <w:szCs w:val="20"/>
                <w:color w:val="auto"/>
              </w:rPr>
            </w:pPr>
            <w:r>
              <w:rPr>
                <w:rFonts w:ascii="Arial" w:cs="Arial" w:eastAsia="Arial" w:hAnsi="Arial"/>
                <w:sz w:val="14"/>
                <w:szCs w:val="14"/>
                <w:color w:val="auto"/>
              </w:rPr>
              <w:t>Total book to tax differences</w:t>
            </w:r>
          </w:p>
        </w:tc>
        <w:tc>
          <w:tcPr>
            <w:tcW w:w="160" w:type="dxa"/>
            <w:vAlign w:val="bottom"/>
            <w:tcBorders>
              <w:top w:val="single" w:sz="8" w:color="auto"/>
              <w:bottom w:val="single" w:sz="8" w:color="auto"/>
            </w:tcBorders>
          </w:tcPr>
          <w:p>
            <w:pPr>
              <w:spacing w:after="0"/>
              <w:rPr>
                <w:sz w:val="21"/>
                <w:szCs w:val="21"/>
                <w:color w:val="auto"/>
              </w:rPr>
            </w:pPr>
          </w:p>
        </w:tc>
        <w:tc>
          <w:tcPr>
            <w:tcW w:w="6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215</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(390)</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6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1,068</w:t>
            </w:r>
          </w:p>
        </w:tc>
        <w:tc>
          <w:tcPr>
            <w:tcW w:w="1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256"/>
        </w:trPr>
        <w:tc>
          <w:tcPr>
            <w:tcW w:w="6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Estimated REIT taxable income</w:t>
            </w: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122</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295</w:t>
            </w:r>
          </w:p>
        </w:tc>
        <w:tc>
          <w:tcPr>
            <w:tcW w:w="0" w:type="dxa"/>
            <w:vAlign w:val="bottom"/>
          </w:tcPr>
          <w:p>
            <w:pPr>
              <w:spacing w:after="0"/>
              <w:rPr>
                <w:sz w:val="1"/>
                <w:szCs w:val="1"/>
                <w:color w:val="auto"/>
              </w:rPr>
            </w:pPr>
          </w:p>
        </w:tc>
      </w:tr>
      <w:tr>
        <w:trPr>
          <w:trHeight w:val="264"/>
        </w:trPr>
        <w:tc>
          <w:tcPr>
            <w:tcW w:w="624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Dividend on preferred stock</w:t>
            </w: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43"/>
        </w:trPr>
        <w:tc>
          <w:tcPr>
            <w:tcW w:w="6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Estimated REIT taxable income available to common stockholders</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73</w:t>
            </w:r>
          </w:p>
        </w:tc>
        <w:tc>
          <w:tcPr>
            <w:tcW w:w="30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115</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281</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Weighted average number of common shares outstanding - basic and diluted</w:t>
            </w:r>
          </w:p>
        </w:tc>
        <w:tc>
          <w:tcPr>
            <w:tcW w:w="1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331.0</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352.1</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332.7</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352.5</w:t>
            </w:r>
          </w:p>
        </w:tc>
        <w:tc>
          <w:tcPr>
            <w:tcW w:w="0" w:type="dxa"/>
            <w:vAlign w:val="bottom"/>
          </w:tcPr>
          <w:p>
            <w:pPr>
              <w:spacing w:after="0"/>
              <w:rPr>
                <w:sz w:val="1"/>
                <w:szCs w:val="1"/>
                <w:color w:val="auto"/>
              </w:rPr>
            </w:pPr>
          </w:p>
        </w:tc>
      </w:tr>
      <w:tr>
        <w:trPr>
          <w:trHeight w:val="210"/>
        </w:trPr>
        <w:tc>
          <w:tcPr>
            <w:tcW w:w="6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Estimated REIT taxable income per common share - basic and diluted</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0.22</w:t>
            </w:r>
          </w:p>
        </w:tc>
        <w:tc>
          <w:tcPr>
            <w:tcW w:w="30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0.33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0.44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0.80</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Beginning cumulative non-deductible net capital loss</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585</w:t>
            </w:r>
          </w:p>
        </w:tc>
        <w:tc>
          <w:tcPr>
            <w:tcW w:w="30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646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684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761</w:t>
            </w:r>
          </w:p>
        </w:tc>
        <w:tc>
          <w:tcPr>
            <w:tcW w:w="0" w:type="dxa"/>
            <w:vAlign w:val="bottom"/>
          </w:tcPr>
          <w:p>
            <w:pPr>
              <w:spacing w:after="0"/>
              <w:rPr>
                <w:sz w:val="1"/>
                <w:szCs w:val="1"/>
                <w:color w:val="auto"/>
              </w:rPr>
            </w:pPr>
          </w:p>
        </w:tc>
      </w:tr>
      <w:tr>
        <w:trPr>
          <w:trHeight w:val="264"/>
        </w:trPr>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Utilization of net capital loss carryforward</w:t>
            </w: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121</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(198)</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50"/>
        </w:trPr>
        <w:tc>
          <w:tcPr>
            <w:tcW w:w="6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Ending cumulative non-deductible net capital loss</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486</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767</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486</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767</w:t>
            </w:r>
          </w:p>
        </w:tc>
        <w:tc>
          <w:tcPr>
            <w:tcW w:w="0" w:type="dxa"/>
            <w:vAlign w:val="bottom"/>
          </w:tcPr>
          <w:p>
            <w:pPr>
              <w:spacing w:after="0"/>
              <w:rPr>
                <w:sz w:val="1"/>
                <w:szCs w:val="1"/>
                <w:color w:val="auto"/>
              </w:rPr>
            </w:pPr>
          </w:p>
        </w:tc>
      </w:tr>
      <w:tr>
        <w:trPr>
          <w:trHeight w:val="243"/>
        </w:trPr>
        <w:tc>
          <w:tcPr>
            <w:tcW w:w="6240" w:type="dxa"/>
            <w:vAlign w:val="bottom"/>
          </w:tcPr>
          <w:p>
            <w:pPr>
              <w:ind w:left="20"/>
              <w:spacing w:after="0"/>
              <w:rPr>
                <w:sz w:val="20"/>
                <w:szCs w:val="20"/>
                <w:color w:val="auto"/>
              </w:rPr>
            </w:pPr>
            <w:r>
              <w:rPr>
                <w:rFonts w:ascii="Arial" w:cs="Arial" w:eastAsia="Arial" w:hAnsi="Arial"/>
                <w:sz w:val="14"/>
                <w:szCs w:val="14"/>
                <w:color w:val="auto"/>
              </w:rPr>
              <w:t>Ending cumulative non-deductible net capital loss per ending common share</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1.47</w:t>
            </w:r>
          </w:p>
        </w:tc>
        <w:tc>
          <w:tcPr>
            <w:tcW w:w="30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2.20</w:t>
            </w:r>
          </w:p>
        </w:tc>
        <w:tc>
          <w:tcPr>
            <w:tcW w:w="120" w:type="dxa"/>
            <w:vAlign w:val="bottom"/>
          </w:tcPr>
          <w:p>
            <w:pPr>
              <w:spacing w:after="0"/>
              <w:rPr>
                <w:sz w:val="21"/>
                <w:szCs w:val="21"/>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1.47</w:t>
            </w:r>
          </w:p>
        </w:tc>
        <w:tc>
          <w:tcPr>
            <w:tcW w:w="100" w:type="dxa"/>
            <w:vAlign w:val="bottom"/>
          </w:tcPr>
          <w:p>
            <w:pPr>
              <w:spacing w:after="0"/>
              <w:rPr>
                <w:sz w:val="21"/>
                <w:szCs w:val="21"/>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2.20</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As of June 30, 2016, we had $0.5 billion (or $1.47 per common share) of net capital loss carryforwards, which can be carried forward and applied against future net capital gains through fiscal year 2018.</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746" w:right="239" w:bottom="1440" w:gutter="0" w:footer="0" w:header="0"/>
        </w:sectPr>
      </w:pPr>
    </w:p>
    <w:bookmarkStart w:id="45" w:name="page46"/>
    <w:bookmarkEnd w:id="45"/>
    <w:p>
      <w:pPr>
        <w:ind w:right="20" w:firstLine="432"/>
        <w:spacing w:after="0" w:line="277" w:lineRule="auto"/>
        <w:rPr>
          <w:sz w:val="20"/>
          <w:szCs w:val="20"/>
          <w:color w:val="auto"/>
        </w:rPr>
      </w:pPr>
      <w:r>
        <w:rPr>
          <w:rFonts w:ascii="Arial" w:cs="Arial" w:eastAsia="Arial" w:hAnsi="Arial"/>
          <w:sz w:val="18"/>
          <w:szCs w:val="18"/>
          <w:color w:val="auto"/>
        </w:rPr>
        <w:t>The following table summarizes dividends declared on our Series A Preferred Stock, depositary shares underlying our Series B Preferred Stock and common stock during the six months ended June 30, 2016 and 2015:</w:t>
      </w:r>
    </w:p>
    <w:p>
      <w:pPr>
        <w:spacing w:after="0" w:line="293" w:lineRule="exact"/>
        <w:rPr>
          <w:sz w:val="20"/>
          <w:szCs w:val="20"/>
          <w:color w:val="auto"/>
        </w:rPr>
      </w:pPr>
    </w:p>
    <w:tbl>
      <w:tblPr>
        <w:tblLayout w:type="fixed"/>
        <w:tblInd w:w="1200" w:type="dxa"/>
        <w:tblCellMar>
          <w:top w:w="0" w:type="dxa"/>
          <w:left w:w="0" w:type="dxa"/>
          <w:bottom w:w="0" w:type="dxa"/>
          <w:right w:w="0" w:type="dxa"/>
        </w:tblCellMar>
      </w:tblPr>
      <w:tr>
        <w:trPr>
          <w:trHeight w:val="210"/>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20" w:type="dxa"/>
            <w:vAlign w:val="bottom"/>
            <w:gridSpan w:val="6"/>
          </w:tcPr>
          <w:p>
            <w:pPr>
              <w:jc w:val="right"/>
              <w:spacing w:after="0"/>
              <w:rPr>
                <w:sz w:val="20"/>
                <w:szCs w:val="20"/>
                <w:color w:val="auto"/>
              </w:rPr>
            </w:pPr>
            <w:r>
              <w:rPr>
                <w:rFonts w:ascii="Arial" w:cs="Arial" w:eastAsia="Arial" w:hAnsi="Arial"/>
                <w:sz w:val="16"/>
                <w:szCs w:val="16"/>
                <w:b w:val="1"/>
                <w:bCs w:val="1"/>
                <w:color w:val="auto"/>
              </w:rPr>
              <w:t>Dividends Declared per Share</w:t>
            </w:r>
          </w:p>
        </w:tc>
        <w:tc>
          <w:tcPr>
            <w:tcW w:w="1360" w:type="dxa"/>
            <w:vAlign w:val="bottom"/>
          </w:tcPr>
          <w:p>
            <w:pPr>
              <w:spacing w:after="0"/>
              <w:rPr>
                <w:sz w:val="18"/>
                <w:szCs w:val="18"/>
                <w:color w:val="auto"/>
              </w:rPr>
            </w:pPr>
          </w:p>
        </w:tc>
      </w:tr>
      <w:tr>
        <w:trPr>
          <w:trHeight w:val="33"/>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9"/>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Series B Preferred</w:t>
            </w: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03"/>
        </w:trPr>
        <w:tc>
          <w:tcPr>
            <w:tcW w:w="4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Series A Preferred</w:t>
            </w:r>
          </w:p>
        </w:tc>
        <w:tc>
          <w:tcPr>
            <w:tcW w:w="120" w:type="dxa"/>
            <w:vAlign w:val="bottom"/>
          </w:tcPr>
          <w:p>
            <w:pPr>
              <w:spacing w:after="0"/>
              <w:rPr>
                <w:sz w:val="17"/>
                <w:szCs w:val="17"/>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Stock (Per</w:t>
            </w: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10"/>
        </w:trPr>
        <w:tc>
          <w:tcPr>
            <w:tcW w:w="4120" w:type="dxa"/>
            <w:vAlign w:val="bottom"/>
            <w:gridSpan w:val="2"/>
          </w:tcPr>
          <w:p>
            <w:pPr>
              <w:ind w:left="20"/>
              <w:spacing w:after="0"/>
              <w:rPr>
                <w:sz w:val="20"/>
                <w:szCs w:val="20"/>
                <w:color w:val="auto"/>
              </w:rPr>
            </w:pPr>
            <w:r>
              <w:rPr>
                <w:rFonts w:ascii="Arial" w:cs="Arial" w:eastAsia="Arial" w:hAnsi="Arial"/>
                <w:sz w:val="16"/>
                <w:szCs w:val="16"/>
                <w:b w:val="1"/>
                <w:bCs w:val="1"/>
                <w:color w:val="auto"/>
              </w:rPr>
              <w:t>Quarter Ended</w:t>
            </w:r>
          </w:p>
        </w:tc>
        <w:tc>
          <w:tcPr>
            <w:tcW w:w="140" w:type="dxa"/>
            <w:vAlign w:val="bottom"/>
          </w:tcPr>
          <w:p>
            <w:pPr>
              <w:spacing w:after="0"/>
              <w:rPr>
                <w:sz w:val="18"/>
                <w:szCs w:val="18"/>
                <w:color w:val="auto"/>
              </w:rPr>
            </w:pPr>
          </w:p>
        </w:tc>
        <w:tc>
          <w:tcPr>
            <w:tcW w:w="16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Stock</w:t>
            </w:r>
          </w:p>
        </w:tc>
        <w:tc>
          <w:tcPr>
            <w:tcW w:w="120" w:type="dxa"/>
            <w:vAlign w:val="bottom"/>
          </w:tcPr>
          <w:p>
            <w:pPr>
              <w:spacing w:after="0"/>
              <w:rPr>
                <w:sz w:val="18"/>
                <w:szCs w:val="18"/>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Depositary Share)</w:t>
            </w:r>
          </w:p>
        </w:tc>
        <w:tc>
          <w:tcPr>
            <w:tcW w:w="180" w:type="dxa"/>
            <w:vAlign w:val="bottom"/>
          </w:tcPr>
          <w:p>
            <w:pPr>
              <w:spacing w:after="0"/>
              <w:rPr>
                <w:sz w:val="18"/>
                <w:szCs w:val="18"/>
                <w:color w:val="auto"/>
              </w:rPr>
            </w:pPr>
          </w:p>
        </w:tc>
        <w:tc>
          <w:tcPr>
            <w:tcW w:w="1360" w:type="dxa"/>
            <w:vAlign w:val="bottom"/>
          </w:tcPr>
          <w:p>
            <w:pPr>
              <w:jc w:val="right"/>
              <w:ind w:right="159"/>
              <w:spacing w:after="0"/>
              <w:rPr>
                <w:sz w:val="20"/>
                <w:szCs w:val="20"/>
                <w:color w:val="auto"/>
              </w:rPr>
            </w:pPr>
            <w:r>
              <w:rPr>
                <w:rFonts w:ascii="Arial" w:cs="Arial" w:eastAsia="Arial" w:hAnsi="Arial"/>
                <w:sz w:val="16"/>
                <w:szCs w:val="16"/>
                <w:b w:val="1"/>
                <w:bCs w:val="1"/>
                <w:color w:val="auto"/>
                <w:w w:val="93"/>
              </w:rPr>
              <w:t>Common Stock</w:t>
            </w:r>
          </w:p>
        </w:tc>
      </w:tr>
      <w:tr>
        <w:trPr>
          <w:trHeight w:val="33"/>
        </w:trPr>
        <w:tc>
          <w:tcPr>
            <w:tcW w:w="4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0"/>
        </w:trPr>
        <w:tc>
          <w:tcPr>
            <w:tcW w:w="4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June 30, 2016</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0.50000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0.484375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0.60</w:t>
            </w:r>
          </w:p>
        </w:tc>
      </w:tr>
      <w:tr>
        <w:trPr>
          <w:trHeight w:val="237"/>
        </w:trPr>
        <w:tc>
          <w:tcPr>
            <w:tcW w:w="4120" w:type="dxa"/>
            <w:vAlign w:val="bottom"/>
            <w:gridSpan w:val="2"/>
          </w:tcPr>
          <w:p>
            <w:pPr>
              <w:ind w:left="20"/>
              <w:spacing w:after="0"/>
              <w:rPr>
                <w:sz w:val="20"/>
                <w:szCs w:val="20"/>
                <w:color w:val="auto"/>
              </w:rPr>
            </w:pPr>
            <w:r>
              <w:rPr>
                <w:rFonts w:ascii="Arial" w:cs="Arial" w:eastAsia="Arial" w:hAnsi="Arial"/>
                <w:sz w:val="16"/>
                <w:szCs w:val="16"/>
                <w:color w:val="auto"/>
              </w:rPr>
              <w:t>March 31, 2016</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0.50000</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0.484375</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0.60</w:t>
            </w:r>
          </w:p>
        </w:tc>
      </w:tr>
      <w:tr>
        <w:trPr>
          <w:trHeight w:val="33"/>
        </w:trPr>
        <w:tc>
          <w:tcPr>
            <w:tcW w:w="4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0.968750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w:t>
            </w:r>
          </w:p>
        </w:tc>
      </w:tr>
      <w:tr>
        <w:trPr>
          <w:trHeight w:val="20"/>
        </w:trPr>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311"/>
        </w:trPr>
        <w:tc>
          <w:tcPr>
            <w:tcW w:w="4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50"/>
        </w:trPr>
        <w:tc>
          <w:tcPr>
            <w:tcW w:w="4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June 30, 2015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0.50000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0.484375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0.62</w:t>
            </w:r>
          </w:p>
        </w:tc>
      </w:tr>
      <w:tr>
        <w:trPr>
          <w:trHeight w:val="237"/>
        </w:trPr>
        <w:tc>
          <w:tcPr>
            <w:tcW w:w="4120" w:type="dxa"/>
            <w:vAlign w:val="bottom"/>
            <w:gridSpan w:val="2"/>
          </w:tcPr>
          <w:p>
            <w:pPr>
              <w:ind w:left="20"/>
              <w:spacing w:after="0"/>
              <w:rPr>
                <w:sz w:val="20"/>
                <w:szCs w:val="20"/>
                <w:color w:val="auto"/>
              </w:rPr>
            </w:pPr>
            <w:r>
              <w:rPr>
                <w:rFonts w:ascii="Arial" w:cs="Arial" w:eastAsia="Arial" w:hAnsi="Arial"/>
                <w:sz w:val="16"/>
                <w:szCs w:val="16"/>
                <w:color w:val="auto"/>
              </w:rPr>
              <w:t>March 31, 2015</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0.50000</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0.484375</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0.66</w:t>
            </w:r>
          </w:p>
        </w:tc>
      </w:tr>
      <w:tr>
        <w:trPr>
          <w:trHeight w:val="33"/>
        </w:trPr>
        <w:tc>
          <w:tcPr>
            <w:tcW w:w="4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0.968750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w:t>
            </w:r>
          </w:p>
        </w:tc>
      </w:tr>
      <w:tr>
        <w:trPr>
          <w:trHeight w:val="20"/>
        </w:trPr>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tax characterization of our fiscal year 2016 dividends will be determined and reported to stockholders on their annual Form 1099-DIV statement after the end of the year.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Comprehensive Income (Loss)</w:t>
      </w:r>
    </w:p>
    <w:p>
      <w:pPr>
        <w:spacing w:after="0" w:line="171"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The following table summarizes the components of our other comprehensive income (loss) for the three and six months ended June 30, 2016 and 2015 (in millions):</w:t>
      </w:r>
    </w:p>
    <w:p>
      <w:pPr>
        <w:spacing w:after="0" w:line="365" w:lineRule="exact"/>
        <w:rPr>
          <w:sz w:val="20"/>
          <w:szCs w:val="20"/>
          <w:color w:val="auto"/>
        </w:rPr>
      </w:pPr>
    </w:p>
    <w:tbl>
      <w:tblPr>
        <w:tblLayout w:type="fixed"/>
        <w:tblInd w:w="520" w:type="dxa"/>
        <w:tblCellMar>
          <w:top w:w="0" w:type="dxa"/>
          <w:left w:w="0" w:type="dxa"/>
          <w:bottom w:w="0" w:type="dxa"/>
          <w:right w:w="0" w:type="dxa"/>
        </w:tblCellMar>
      </w:tblPr>
      <w:tr>
        <w:trPr>
          <w:trHeight w:val="192"/>
        </w:trPr>
        <w:tc>
          <w:tcPr>
            <w:tcW w:w="6340" w:type="dxa"/>
            <w:vAlign w:val="bottom"/>
          </w:tcPr>
          <w:p>
            <w:pPr>
              <w:spacing w:after="0"/>
              <w:rPr>
                <w:sz w:val="16"/>
                <w:szCs w:val="16"/>
                <w:color w:val="auto"/>
              </w:rPr>
            </w:pPr>
          </w:p>
        </w:tc>
        <w:tc>
          <w:tcPr>
            <w:tcW w:w="2100" w:type="dxa"/>
            <w:vAlign w:val="bottom"/>
            <w:gridSpan w:val="6"/>
          </w:tcPr>
          <w:p>
            <w:pPr>
              <w:ind w:left="80"/>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Pr>
          <w:p>
            <w:pPr>
              <w:spacing w:after="0"/>
              <w:rPr>
                <w:sz w:val="16"/>
                <w:szCs w:val="16"/>
                <w:color w:val="auto"/>
              </w:rPr>
            </w:pPr>
          </w:p>
        </w:tc>
        <w:tc>
          <w:tcPr>
            <w:tcW w:w="1820" w:type="dxa"/>
            <w:vAlign w:val="bottom"/>
            <w:gridSpan w:val="4"/>
          </w:tcPr>
          <w:p>
            <w:pPr>
              <w:jc w:val="right"/>
              <w:ind w:right="48"/>
              <w:spacing w:after="0"/>
              <w:rPr>
                <w:sz w:val="20"/>
                <w:szCs w:val="20"/>
                <w:color w:val="auto"/>
              </w:rPr>
            </w:pPr>
            <w:r>
              <w:rPr>
                <w:rFonts w:ascii="Arial" w:cs="Arial" w:eastAsia="Arial" w:hAnsi="Arial"/>
                <w:sz w:val="14"/>
                <w:szCs w:val="14"/>
                <w:b w:val="1"/>
                <w:bCs w:val="1"/>
                <w:color w:val="auto"/>
                <w:w w:val="92"/>
              </w:rPr>
              <w:t>Six Months Ended June 30,</w:t>
            </w:r>
          </w:p>
        </w:tc>
      </w:tr>
      <w:tr>
        <w:trPr>
          <w:trHeight w:val="264"/>
        </w:trPr>
        <w:tc>
          <w:tcPr>
            <w:tcW w:w="6340" w:type="dxa"/>
            <w:vAlign w:val="bottom"/>
            <w:tcBorders>
              <w:bottom w:val="single" w:sz="8" w:color="CCEEFF"/>
            </w:tcBorders>
          </w:tcPr>
          <w:p>
            <w:pPr>
              <w:spacing w:after="0"/>
              <w:rPr>
                <w:sz w:val="22"/>
                <w:szCs w:val="22"/>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3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2015</w:t>
            </w:r>
          </w:p>
        </w:tc>
      </w:tr>
      <w:tr>
        <w:trPr>
          <w:trHeight w:val="270"/>
        </w:trPr>
        <w:tc>
          <w:tcPr>
            <w:tcW w:w="6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Unrealized gain (loss) on available-for-sale securities, net:</w:t>
            </w:r>
          </w:p>
        </w:tc>
        <w:tc>
          <w:tcPr>
            <w:tcW w:w="6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r>
      <w:tr>
        <w:trPr>
          <w:trHeight w:val="264"/>
        </w:trPr>
        <w:tc>
          <w:tcPr>
            <w:tcW w:w="6340" w:type="dxa"/>
            <w:vAlign w:val="bottom"/>
          </w:tcPr>
          <w:p>
            <w:pPr>
              <w:ind w:left="100"/>
              <w:spacing w:after="0"/>
              <w:rPr>
                <w:sz w:val="20"/>
                <w:szCs w:val="20"/>
                <w:color w:val="auto"/>
              </w:rPr>
            </w:pPr>
            <w:r>
              <w:rPr>
                <w:rFonts w:ascii="Arial" w:cs="Arial" w:eastAsia="Arial" w:hAnsi="Arial"/>
                <w:sz w:val="14"/>
                <w:szCs w:val="14"/>
                <w:color w:val="auto"/>
              </w:rPr>
              <w:t>Unrealized gain (loss), net</w:t>
            </w:r>
          </w:p>
        </w:tc>
        <w:tc>
          <w:tcPr>
            <w:tcW w:w="64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28"/>
              <w:spacing w:after="0"/>
              <w:rPr>
                <w:sz w:val="20"/>
                <w:szCs w:val="20"/>
                <w:color w:val="auto"/>
              </w:rPr>
            </w:pPr>
            <w:r>
              <w:rPr>
                <w:rFonts w:ascii="Arial" w:cs="Arial" w:eastAsia="Arial" w:hAnsi="Arial"/>
                <w:sz w:val="14"/>
                <w:szCs w:val="14"/>
                <w:color w:val="auto"/>
                <w:w w:val="85"/>
              </w:rPr>
              <w:t>425</w:t>
            </w:r>
          </w:p>
        </w:tc>
        <w:tc>
          <w:tcPr>
            <w:tcW w:w="12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(894)</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1,188</w:t>
            </w:r>
          </w:p>
        </w:tc>
        <w:tc>
          <w:tcPr>
            <w:tcW w:w="10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(467)</w:t>
            </w:r>
          </w:p>
        </w:tc>
      </w:tr>
      <w:tr>
        <w:trPr>
          <w:trHeight w:val="270"/>
        </w:trPr>
        <w:tc>
          <w:tcPr>
            <w:tcW w:w="63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Reversal of prior period unrealized (gain) loss, net, upon realization</w:t>
            </w:r>
          </w:p>
        </w:tc>
        <w:tc>
          <w:tcPr>
            <w:tcW w:w="640" w:type="dxa"/>
            <w:vAlign w:val="bottom"/>
            <w:tcBorders>
              <w:bottom w:val="single" w:sz="8" w:color="auto"/>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(55)</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w:t>
            </w:r>
          </w:p>
        </w:tc>
      </w:tr>
      <w:tr>
        <w:trPr>
          <w:trHeight w:val="250"/>
        </w:trPr>
        <w:tc>
          <w:tcPr>
            <w:tcW w:w="63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Unrealized gain (loss) on available-for-sale securities, net:</w:t>
            </w:r>
          </w:p>
        </w:tc>
        <w:tc>
          <w:tcPr>
            <w:tcW w:w="64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85"/>
              </w:rPr>
              <w:t>370</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(872)</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1,135</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(481)</w:t>
            </w:r>
          </w:p>
        </w:tc>
      </w:tr>
      <w:tr>
        <w:trPr>
          <w:trHeight w:val="270"/>
        </w:trPr>
        <w:tc>
          <w:tcPr>
            <w:tcW w:w="6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Unrealized gain on interest rate swaps designated as cash flow hedges:</w:t>
            </w:r>
          </w:p>
        </w:tc>
        <w:tc>
          <w:tcPr>
            <w:tcW w:w="6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r>
      <w:tr>
        <w:trPr>
          <w:trHeight w:val="264"/>
        </w:trPr>
        <w:tc>
          <w:tcPr>
            <w:tcW w:w="634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w w:val="93"/>
              </w:rPr>
              <w:t>Reversal of prior period unrealized loss on interest rate swaps, net, upon reclassification to interest expense</w:t>
            </w:r>
          </w:p>
        </w:tc>
        <w:tc>
          <w:tcPr>
            <w:tcW w:w="64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55</w:t>
            </w:r>
          </w:p>
        </w:tc>
      </w:tr>
      <w:tr>
        <w:trPr>
          <w:trHeight w:val="243"/>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other comprehensive income (loss)</w:t>
            </w:r>
          </w:p>
        </w:tc>
        <w:tc>
          <w:tcPr>
            <w:tcW w:w="640" w:type="dxa"/>
            <w:vAlign w:val="bottom"/>
            <w:tcBorders>
              <w:bottom w:val="single" w:sz="8" w:color="auto"/>
            </w:tcBorders>
            <w:shd w:val="clear" w:color="auto" w:fill="CCEEFF"/>
          </w:tcPr>
          <w:p>
            <w:pPr>
              <w:jc w:val="right"/>
              <w:ind w:right="46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85"/>
              </w:rPr>
              <w:t>382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(426)</w:t>
            </w:r>
          </w:p>
        </w:tc>
      </w:tr>
      <w:tr>
        <w:trPr>
          <w:trHeight w:val="20"/>
        </w:trPr>
        <w:tc>
          <w:tcPr>
            <w:tcW w:w="63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746"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Our primary sources of funds are borrowings under master repurchase agreements, asset sales, receipts of monthly principal and interest payments on our investment portfolio and equity offerings. Because the level of our borrowings can be adjusted on a daily basis, the level of cash and cash equivalents carried on our balance sheet is significantly less important than the potential liquidity available under our borrowing arrangements. Our leverage may vary periodically depending on market conditions and our assessment of risks and returns. We generally would expect our leverage to be within six to eleven times the amount of our stockholders' equity. However, under certain market conditions, we may operate at leverage levels outside of this range for extended periods of time.</w:t>
      </w:r>
    </w:p>
    <w:p>
      <w:pPr>
        <w:spacing w:after="0" w:line="139"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We currently believe that we have sufficient liquidity and capital resources available for the acquisition of additional investments, repayments on borrowings, maintenance of any margin requirements and the payment of cash dividends as required for our continued qualification as a REIT. To qualify as a REIT, we must distribute annually at least 90% of our taxable income. As long as we qualify as a REIT, we will generally not be subject to U.S. federal or state corporate taxes on our taxable net income to the extent that we distribute our annual taxable net income to our stockholders in a timely manner. We currently expect to distribute 100% of our taxable income so that we are not subject to federal and state income taxes. This distribution requirement limits our ability to retain earnings and thereby replenish or increase capital from operations.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Capital</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Repurchase Agreements</w:t>
      </w:r>
    </w:p>
    <w:p>
      <w:pPr>
        <w:spacing w:after="0" w:line="17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As part of our investment strategy, we borrow against our investment portfolio pursuant to master repurchase agreements. We expect that the majority of our borrowings under such master repurchase agreements will have maturities ranging up to one year, but we may have longer-term borrowings ranging up to five years or longer. Borrowings under our master repurchase agreements with maturities greater than 90 days will typically have floating rates of interest based on LIBOR plus or minus a fixed spread.</w:t>
      </w:r>
    </w:p>
    <w:p>
      <w:pPr>
        <w:spacing w:after="0" w:line="133"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As of June 30, 2016, we had $41.9 billion of repurchase agreements outstanding used to fund acquisitions of agency securities. Our "at risk" leverage ratio was 7.2x as of June 30, 2016, compared to 6.8x as of December 31, 2015, measured as the sum of our mortgage borrowings (primarily consisting of our agency repurchase agreements), our net TBA position (at cost) and our net receivable / payable for unsettled mortgage securities divided by the sum of our total stockholders' equity less the fair value of our investment in REIT equity securities as of period end. Excluding our net TBA position, our leverage ratio was 6.3x our stockholders' equity as of June 30, 2016, compared to 5.8x as of December 31, 2015.</w:t>
      </w:r>
    </w:p>
    <w:p>
      <w:pPr>
        <w:spacing w:after="0" w:line="11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As of June 30, 2016, our agency repurchase agreements had a weighted average cost of funds of 0.78% and a weighted average remaining days-to-maturity of 202 days, compared 0.61% and 173 days, respectively, as of December 31, 2015.</w:t>
      </w:r>
    </w:p>
    <w:p>
      <w:pPr>
        <w:spacing w:after="0" w:line="116"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To limit our exposure to counterparty credit risk, we diversify our funding across multiple counterparties and by counterparty region. As of June 30, 2016, we had master repurchase agreements with 37 financial institutions located throughout North America, Europe and Asia. As of June 30, 2016, less than 4% of our stockholders' equity was at risk with any one repo counterparty, with the top five repo counterparties representing less than 13% of our stockholders' equity. The table below includes a summary of our repurchase agreement funding by number of repo counterparties and counterparty region as of June 30, 2016. For further details regarding our borrowings under repurchase agreements and concentration of credit risk as of June 30, 2016, please refer to Notes 5 and 7 to our Consolidated Financial Statements in this Quarterly Report on Form 10-Q.</w:t>
      </w:r>
    </w:p>
    <w:p>
      <w:pPr>
        <w:spacing w:after="0" w:line="346" w:lineRule="exact"/>
        <w:rPr>
          <w:sz w:val="20"/>
          <w:szCs w:val="20"/>
          <w:color w:val="auto"/>
        </w:rPr>
      </w:pPr>
    </w:p>
    <w:tbl>
      <w:tblPr>
        <w:tblLayout w:type="fixed"/>
        <w:tblInd w:w="2720" w:type="dxa"/>
        <w:tblCellMar>
          <w:top w:w="0" w:type="dxa"/>
          <w:left w:w="0" w:type="dxa"/>
          <w:bottom w:w="0" w:type="dxa"/>
          <w:right w:w="0" w:type="dxa"/>
        </w:tblCellMar>
      </w:tblPr>
      <w:tr>
        <w:trPr>
          <w:trHeight w:val="192"/>
        </w:trPr>
        <w:tc>
          <w:tcPr>
            <w:tcW w:w="2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40" w:type="dxa"/>
            <w:vAlign w:val="bottom"/>
            <w:tcBorders>
              <w:bottom w:val="single" w:sz="8" w:color="auto"/>
            </w:tcBorders>
            <w:gridSpan w:val="3"/>
          </w:tcPr>
          <w:p>
            <w:pPr>
              <w:ind w:left="1060"/>
              <w:spacing w:after="0"/>
              <w:rPr>
                <w:sz w:val="20"/>
                <w:szCs w:val="20"/>
                <w:color w:val="auto"/>
              </w:rPr>
            </w:pPr>
            <w:r>
              <w:rPr>
                <w:rFonts w:ascii="Arial" w:cs="Arial" w:eastAsia="Arial" w:hAnsi="Arial"/>
                <w:sz w:val="14"/>
                <w:szCs w:val="14"/>
                <w:b w:val="1"/>
                <w:bCs w:val="1"/>
                <w:color w:val="auto"/>
              </w:rPr>
              <w:t>June 30, 2016</w:t>
            </w:r>
          </w:p>
        </w:tc>
        <w:tc>
          <w:tcPr>
            <w:tcW w:w="0" w:type="dxa"/>
            <w:vAlign w:val="bottom"/>
          </w:tcPr>
          <w:p>
            <w:pPr>
              <w:spacing w:after="0"/>
              <w:rPr>
                <w:sz w:val="1"/>
                <w:szCs w:val="1"/>
                <w:color w:val="auto"/>
              </w:rPr>
            </w:pPr>
          </w:p>
        </w:tc>
      </w:tr>
      <w:tr>
        <w:trPr>
          <w:trHeight w:val="152"/>
        </w:trPr>
        <w:tc>
          <w:tcPr>
            <w:tcW w:w="2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Number of Counter-</w:t>
            </w:r>
          </w:p>
        </w:tc>
        <w:tc>
          <w:tcPr>
            <w:tcW w:w="14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Percent of</w:t>
            </w:r>
          </w:p>
        </w:tc>
        <w:tc>
          <w:tcPr>
            <w:tcW w:w="0" w:type="dxa"/>
            <w:vAlign w:val="bottom"/>
          </w:tcPr>
          <w:p>
            <w:pPr>
              <w:spacing w:after="0"/>
              <w:rPr>
                <w:sz w:val="1"/>
                <w:szCs w:val="1"/>
                <w:color w:val="auto"/>
              </w:rPr>
            </w:pPr>
          </w:p>
        </w:tc>
      </w:tr>
      <w:tr>
        <w:trPr>
          <w:trHeight w:val="149"/>
        </w:trPr>
        <w:tc>
          <w:tcPr>
            <w:tcW w:w="29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Counter-Party Region</w:t>
            </w:r>
          </w:p>
        </w:tc>
        <w:tc>
          <w:tcPr>
            <w:tcW w:w="100" w:type="dxa"/>
            <w:vAlign w:val="bottom"/>
            <w:vMerge w:val="restart"/>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Repurchase</w:t>
            </w:r>
          </w:p>
        </w:tc>
        <w:tc>
          <w:tcPr>
            <w:tcW w:w="0" w:type="dxa"/>
            <w:vAlign w:val="bottom"/>
          </w:tcPr>
          <w:p>
            <w:pPr>
              <w:spacing w:after="0"/>
              <w:rPr>
                <w:sz w:val="1"/>
                <w:szCs w:val="1"/>
                <w:color w:val="auto"/>
              </w:rPr>
            </w:pPr>
          </w:p>
        </w:tc>
      </w:tr>
      <w:tr>
        <w:trPr>
          <w:trHeight w:val="192"/>
        </w:trPr>
        <w:tc>
          <w:tcPr>
            <w:tcW w:w="2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Parties</w:t>
            </w:r>
          </w:p>
        </w:tc>
        <w:tc>
          <w:tcPr>
            <w:tcW w:w="10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Agreement Funding</w:t>
            </w:r>
          </w:p>
        </w:tc>
        <w:tc>
          <w:tcPr>
            <w:tcW w:w="0" w:type="dxa"/>
            <w:vAlign w:val="bottom"/>
          </w:tcPr>
          <w:p>
            <w:pPr>
              <w:spacing w:after="0"/>
              <w:rPr>
                <w:sz w:val="1"/>
                <w:szCs w:val="1"/>
                <w:color w:val="auto"/>
              </w:rPr>
            </w:pPr>
          </w:p>
        </w:tc>
      </w:tr>
      <w:tr>
        <w:trPr>
          <w:trHeight w:val="256"/>
        </w:trPr>
        <w:tc>
          <w:tcPr>
            <w:tcW w:w="3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North America</w:t>
            </w:r>
          </w:p>
        </w:tc>
        <w:tc>
          <w:tcPr>
            <w:tcW w:w="14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w:t>
            </w:r>
          </w:p>
        </w:tc>
        <w:tc>
          <w:tcPr>
            <w:tcW w:w="100" w:type="dxa"/>
            <w:vAlign w:val="bottom"/>
            <w:shd w:val="clear" w:color="auto" w:fill="CCEEFF"/>
          </w:tcPr>
          <w:p>
            <w:pPr>
              <w:spacing w:after="0"/>
              <w:rPr>
                <w:sz w:val="22"/>
                <w:szCs w:val="22"/>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64%</w:t>
            </w:r>
          </w:p>
        </w:tc>
        <w:tc>
          <w:tcPr>
            <w:tcW w:w="0" w:type="dxa"/>
            <w:vAlign w:val="bottom"/>
          </w:tcPr>
          <w:p>
            <w:pPr>
              <w:spacing w:after="0"/>
              <w:rPr>
                <w:sz w:val="1"/>
                <w:szCs w:val="1"/>
                <w:color w:val="auto"/>
              </w:rPr>
            </w:pPr>
          </w:p>
        </w:tc>
      </w:tr>
      <w:tr>
        <w:trPr>
          <w:trHeight w:val="264"/>
        </w:trPr>
        <w:tc>
          <w:tcPr>
            <w:tcW w:w="3040" w:type="dxa"/>
            <w:vAlign w:val="bottom"/>
            <w:gridSpan w:val="2"/>
          </w:tcPr>
          <w:p>
            <w:pPr>
              <w:ind w:left="20"/>
              <w:spacing w:after="0"/>
              <w:rPr>
                <w:sz w:val="20"/>
                <w:szCs w:val="20"/>
                <w:color w:val="auto"/>
              </w:rPr>
            </w:pPr>
            <w:r>
              <w:rPr>
                <w:rFonts w:ascii="Arial" w:cs="Arial" w:eastAsia="Arial" w:hAnsi="Arial"/>
                <w:sz w:val="14"/>
                <w:szCs w:val="14"/>
                <w:color w:val="auto"/>
              </w:rPr>
              <w:t>Europe</w:t>
            </w:r>
          </w:p>
        </w:tc>
        <w:tc>
          <w:tcPr>
            <w:tcW w:w="1420" w:type="dxa"/>
            <w:vAlign w:val="bottom"/>
          </w:tcPr>
          <w:p>
            <w:pPr>
              <w:jc w:val="center"/>
              <w:spacing w:after="0"/>
              <w:rPr>
                <w:sz w:val="20"/>
                <w:szCs w:val="20"/>
                <w:color w:val="auto"/>
              </w:rPr>
            </w:pPr>
            <w:r>
              <w:rPr>
                <w:rFonts w:ascii="Arial" w:cs="Arial" w:eastAsia="Arial" w:hAnsi="Arial"/>
                <w:sz w:val="14"/>
                <w:szCs w:val="14"/>
                <w:color w:val="auto"/>
                <w:w w:val="89"/>
              </w:rPr>
              <w:t>13</w:t>
            </w:r>
          </w:p>
        </w:tc>
        <w:tc>
          <w:tcPr>
            <w:tcW w:w="100" w:type="dxa"/>
            <w:vAlign w:val="bottom"/>
          </w:tcPr>
          <w:p>
            <w:pPr>
              <w:spacing w:after="0"/>
              <w:rPr>
                <w:sz w:val="22"/>
                <w:szCs w:val="22"/>
                <w:color w:val="auto"/>
              </w:rPr>
            </w:pPr>
          </w:p>
        </w:tc>
        <w:tc>
          <w:tcPr>
            <w:tcW w:w="1420" w:type="dxa"/>
            <w:vAlign w:val="bottom"/>
          </w:tcPr>
          <w:p>
            <w:pPr>
              <w:jc w:val="center"/>
              <w:spacing w:after="0"/>
              <w:rPr>
                <w:sz w:val="20"/>
                <w:szCs w:val="20"/>
                <w:color w:val="auto"/>
              </w:rPr>
            </w:pPr>
            <w:r>
              <w:rPr>
                <w:rFonts w:ascii="Arial" w:cs="Arial" w:eastAsia="Arial" w:hAnsi="Arial"/>
                <w:sz w:val="14"/>
                <w:szCs w:val="14"/>
                <w:color w:val="auto"/>
                <w:w w:val="92"/>
              </w:rPr>
              <w:t>24%</w:t>
            </w:r>
          </w:p>
        </w:tc>
        <w:tc>
          <w:tcPr>
            <w:tcW w:w="0" w:type="dxa"/>
            <w:vAlign w:val="bottom"/>
          </w:tcPr>
          <w:p>
            <w:pPr>
              <w:spacing w:after="0"/>
              <w:rPr>
                <w:sz w:val="1"/>
                <w:szCs w:val="1"/>
                <w:color w:val="auto"/>
              </w:rPr>
            </w:pPr>
          </w:p>
        </w:tc>
      </w:tr>
      <w:tr>
        <w:trPr>
          <w:trHeight w:val="270"/>
        </w:trPr>
        <w:tc>
          <w:tcPr>
            <w:tcW w:w="3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Asia</w:t>
            </w:r>
          </w:p>
        </w:tc>
        <w:tc>
          <w:tcPr>
            <w:tcW w:w="14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76"/>
              </w:rPr>
              <w:t>5</w:t>
            </w:r>
          </w:p>
        </w:tc>
        <w:tc>
          <w:tcPr>
            <w:tcW w:w="100" w:type="dxa"/>
            <w:vAlign w:val="bottom"/>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12%</w:t>
            </w:r>
          </w:p>
        </w:tc>
        <w:tc>
          <w:tcPr>
            <w:tcW w:w="0" w:type="dxa"/>
            <w:vAlign w:val="bottom"/>
          </w:tcPr>
          <w:p>
            <w:pPr>
              <w:spacing w:after="0"/>
              <w:rPr>
                <w:sz w:val="1"/>
                <w:szCs w:val="1"/>
                <w:color w:val="auto"/>
              </w:rPr>
            </w:pPr>
          </w:p>
        </w:tc>
      </w:tr>
      <w:tr>
        <w:trPr>
          <w:trHeight w:val="237"/>
        </w:trPr>
        <w:tc>
          <w:tcPr>
            <w:tcW w:w="2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37</w:t>
            </w:r>
          </w:p>
        </w:tc>
        <w:tc>
          <w:tcPr>
            <w:tcW w:w="100" w:type="dxa"/>
            <w:vAlign w:val="bottom"/>
          </w:tcPr>
          <w:p>
            <w:pPr>
              <w:spacing w:after="0"/>
              <w:rPr>
                <w:sz w:val="20"/>
                <w:szCs w:val="20"/>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100%</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Amounts available to be borrowed under our repurchase agreements are dependent upon lender collateral requirements and the lender's determination of the fair value of the securities pledged as collateral, which fluctuates with changes in interest rates, credit quality and liquidity conditions within the investment banking, mortgage finance and real estate industries. In addition, our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742" w:right="239" w:bottom="1440" w:gutter="0" w:footer="0" w:header="0"/>
        </w:sectPr>
      </w:pPr>
    </w:p>
    <w:bookmarkStart w:id="47" w:name="page48"/>
    <w:bookmarkEnd w:id="47"/>
    <w:p>
      <w:pPr>
        <w:jc w:val="both"/>
        <w:ind w:right="20"/>
        <w:spacing w:after="0" w:line="276" w:lineRule="auto"/>
        <w:rPr>
          <w:sz w:val="20"/>
          <w:szCs w:val="20"/>
          <w:color w:val="auto"/>
        </w:rPr>
      </w:pPr>
      <w:r>
        <w:rPr>
          <w:rFonts w:ascii="Arial" w:cs="Arial" w:eastAsia="Arial" w:hAnsi="Arial"/>
          <w:sz w:val="17"/>
          <w:szCs w:val="17"/>
          <w:color w:val="auto"/>
        </w:rPr>
        <w:t>counterparties apply a "haircut" to our pledged collateral, which means our collateral is valued at slightly less than market value. This haircut reflects the underlying risk of the specific collateral and protects our counterparty against a change in its value, but conversely subjects us to counterparty risk and limits the amount we can borrow against our investment securities. Our master repurchase agreements do not specify the haircut; rather haircuts are determined on an individual repurchase transaction basis. Throughout the six months ended June 30, 2016, haircuts on our pledged collateral remained stable and as of June 30, 2016, our weighted average haircut was approximately 5% of the value of our collateral.</w:t>
      </w:r>
    </w:p>
    <w:p>
      <w:pPr>
        <w:spacing w:after="0" w:line="119"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Under our repurchase agreements, we may be required to pledge additional assets to the repurchase agreement counterparties in the event the estimated fair value of the existing pledged collateral under such agreements declines and such counterparties demand additional collateral (a "margin call"), which may take the form of additional securities or cash. Specifically, margin calls would result from a decline in the value of our securities securing our repurchase agreements and prepayments on the mortgages securing such securities. Similarly, if the estimated fair value of our investment securities increases due to changes in interest rates or other factors, counterparties may release collateral back to us. Our repurchase agreements generally provide that the valuations of securities securing our repurchase agreements are to be obtained from a generally recognized source agreed to by the parties. However, in certain circumstances under certain of our repurchase agreements our lenders have the sole discretion to determine their value. In such instances, our lenders are required to act in good faith in making determinations of value. Our repurchase agreements generally provide that in the event of a margin call, we must provide additional securities or cash on the same business day that a margin call is made if the lender provides us notice prior to the margin notice deadline on such day.</w:t>
      </w:r>
    </w:p>
    <w:p>
      <w:pPr>
        <w:spacing w:after="0" w:line="124"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As of June 30, 2016, we had met all of our margin requirements and we had unrestricted cash and cash equivalents of $1.1 billion and unpledged securities of approximately $2.7 billion, including securities pledged to us and unpledged interests in our consolidated VIEs, available to meet margin calls on our repurchase agreements and other funding liabilities, derivative instruments and for other corporate purposes.</w:t>
      </w:r>
    </w:p>
    <w:p>
      <w:pPr>
        <w:spacing w:after="0" w:line="11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Although we believe we will have adequate sources of liquidity available to us through repurchase agreement financing to execute our business strategy, there can be no assurances that repurchase agreement financing will be available to us upon the maturity of our current repurchase agreements to allow us to renew or replace our repurchase agreement financing on favorable terms or at all. If our repurchase agreement lenders default on their obligations to resell the underlying collateral back to us at the end of the term, we could incur a loss equal to the difference between the value of the collateral and the cash we originally received.</w:t>
      </w:r>
    </w:p>
    <w:p>
      <w:pPr>
        <w:spacing w:after="0" w:line="134"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Our wholly-owned captive broker-dealer subsidiary, Bethesda Securities, LLC ("BES"), was formed in 2015, has completed its regulatory application process and is in the final stages of building its clearing infrastructure. BES expects to become operational during 2016 and intends to become a member of the Fixed Income Clearing Corporation ("FICC"), thereby providing us with additional repurchase agreement funding and TBA trade clearing capabilities. However, there can be no assurances that BES will become operational or that it will be successful in becoming a member of the FICC.</w:t>
      </w:r>
    </w:p>
    <w:p>
      <w:pPr>
        <w:spacing w:after="0" w:line="100"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To help manage the adverse impact of interest rate changes on the value of our investment portfolio as well as our cash flows, we utilize an interest rate risk management strategy under which we use derivative financial instruments. In particular, we attempt to mitigate the risk of the cost of our variable rate liabilities increasing at a faster rate than the earnings of our long-term fixed rate assets during a period of rising interest rates. The principal derivative instruments that we use are interest rate swaps, supplemented with the use of interest rate swaptions, U.S. Treasury securities, U.S. Treasury futures contracts, TBA securities and other instruments. Please refer to Notes 3 and 6 to our Consolidated Financial Statements in this Quarterly Report on Form 10-Q for further details regarding our use of derivative instruments.</w:t>
      </w:r>
    </w:p>
    <w:p>
      <w:pPr>
        <w:spacing w:after="0" w:line="13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Our derivative agreements typically require that we pledge/receive collateral on such agreements to/from our counterparties in a similar manner as we are required to under our repurchase agreements. Our counterparties, or the clearing agency in the case of centrally cleared interest rate swaps, typically have the sole discretion to determine the value of the derivative instruments and the value of the collateral securing such instruments. In the event of a margin call, we must generally provide additional collateral on the same business day.</w:t>
      </w:r>
    </w:p>
    <w:p>
      <w:pPr>
        <w:spacing w:after="0" w:line="133"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Similar to repurchase agreements, our use of derivatives exposes us to counterparty credit risk relating to potential losses that could be recognized in the event that our counterparties to these instruments fail to perform their obligations under the contracts. We minimize this risk by limiting our counterparties to major financial institutions with acceptable credit ratings and by monitoring positions with individual counterparties. Excluding centrally cleared interest rate swaps, as of June 30, 2016, our amount at risk with any counterparty related to our interest rate swap and swaption agreements was less than 1% of our stockholders' equity. In the case of centrally cleared interest rate swap contracts, we could be exposed to credit risk if the central clearing agency or a clearing member defaults on its respective obligation to perform under the contract. However, we believe that the risk is minimal due to the exchange's initial and daily mark to market margin requirements and a clearinghouse guarantee fund and other resources that are available in the event of a clearing member default.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584" w:right="239" w:bottom="1440" w:gutter="0" w:footer="0" w:header="0"/>
        </w:sectPr>
      </w:pPr>
    </w:p>
    <w:bookmarkStart w:id="48" w:name="page49"/>
    <w:bookmarkEnd w:id="48"/>
    <w:p>
      <w:pPr>
        <w:ind w:left="420"/>
        <w:spacing w:after="0"/>
        <w:rPr>
          <w:sz w:val="20"/>
          <w:szCs w:val="20"/>
          <w:color w:val="auto"/>
        </w:rPr>
      </w:pPr>
      <w:r>
        <w:rPr>
          <w:rFonts w:ascii="Arial" w:cs="Arial" w:eastAsia="Arial" w:hAnsi="Arial"/>
          <w:sz w:val="18"/>
          <w:szCs w:val="18"/>
          <w:i w:val="1"/>
          <w:iCs w:val="1"/>
          <w:color w:val="auto"/>
        </w:rPr>
        <w:t>TBA Dollar Roll Transactions</w:t>
      </w:r>
    </w:p>
    <w:p>
      <w:pPr>
        <w:spacing w:after="0" w:line="17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TBA dollar roll transactions represent a form of off-balance sheet financing accounted for as derivative instruments and we may use them as a means of leveraging (or deleveraging) our investment portfolio through the use of long (or short) TBA contracts. (See Notes 3 and 6 to our Consolidated Financial Statements in this Quarterly Report on Form 10-Q).</w:t>
      </w:r>
    </w:p>
    <w:p>
      <w:pPr>
        <w:spacing w:after="0" w:line="181"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Under certain market conditions, it may be uneconomical for us to roll our TBA contracts into future months and we may need to take or make physical delivery of the underlying securities. If we were required to take physical delivery to settle a long TBA contract, we would have to fund our total purchase commitment with cash or other financing sources and our liquidity position could be negatively impacted. As of June 30, 2016, we had a net long TBA position with a total market value and a total cost basis of $7.1 billion and $7.0 billion, respectively, and a net carrying value of $97 million recognized in derivative assets/(liabilities), at fair value, on our Consolidated Balance Sheets in this Quarterly Report on Form 10-Q.</w:t>
      </w:r>
    </w:p>
    <w:p>
      <w:pPr>
        <w:spacing w:after="0" w:line="173"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Our TBA dollar roll contracts are also subject to margin requirements governed by the Mortgage-Backed Securities Division ("MBSD") of the FICC and by our prime brokerage agreements, which may establish margin levels in excess of the MBSD. Such provisions require that we establish an initial margin based on the notional value of the TBA contract, which is subject to increase if the estimated fair value of our TBA contract or the estimated fair value of our pledged collateral declines. The MBSD has the sole discretion to determine the value of our TBA contracts and of the pledged collateral securing such contracts. In the event of a margin call, we must generally provide additional collateral on the same business day.</w:t>
      </w:r>
    </w:p>
    <w:p>
      <w:pPr>
        <w:spacing w:after="0" w:line="173"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Settlement of our TBA obligations by taking delivery of the underlying securities as well as satisfying margin requirements could negatively impact our liquidity position. However, since we do not use TBA dollar roll transactions as our primary source of financing, we believe that we will have adequate sources of liquidity to meet such obligations.</w:t>
      </w:r>
    </w:p>
    <w:p>
      <w:pPr>
        <w:spacing w:after="0" w:line="12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Federal Home Loan Bank Membership</w:t>
      </w:r>
    </w:p>
    <w:p>
      <w:pPr>
        <w:spacing w:after="0" w:line="225"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In April 2015, our wholly-owned captive insurance subsidiary, Old Georgetown Insurance Co., LLC ("OGI"), was approved as a member of the FHLB of Des Moines. The FHLBs provide a variety of products and services to their members, including short and long-term secured loans, called "advances." In January 2016, the FHFA released its final rule on changes to regulations concerning FHLB membership criteria. The final rule terminates OGI's FHLB membership and requires repayment of all advances at the earlier of their contractual maturity dates or one year after the effective date of the final rule (February 2017). As of June 30, 2016, we had $3.0 billion of FHLB advances outstanding with a weighted average interest rate of 0.61% and a weighted average remaining days to maturity of 215 days up to February 2017. Termination of our FHLB membership could negatively impact our liquidity position; however, since FHLB advances do not represent our primary source of funding, we believe that we will have adequate alternative sources of funding upon such termination.</w:t>
      </w:r>
    </w:p>
    <w:p>
      <w:pPr>
        <w:spacing w:after="0" w:line="192"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FHLB members may use a variety of real estate related assets, including agency MBS and AAA non-agency securities, as collateral for advances. The ability to borrow from the FHLB during the duration of our FHLB membership is subject to our subsidiary's continued creditworthiness, pledging of sufficient eligible collateral to secure advances, and compliance with certain agreements with the FHLB. FHLB advances typically require higher effective "haircuts" than those required under our current repurchase agreements due to the combination of slightly higher haircuts implemented by the FHLB of Des Moines and the requirement to acquire activity-based stock in the FHLB concurrent with such borrowings. The FHLBs also determine the fair value of the securities pledged as collateral and retain the right to adjust collateral haircuts over the term of the secured borrowings.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Sales and TBA Eligible Securities</w:t>
      </w:r>
    </w:p>
    <w:p>
      <w:pPr>
        <w:spacing w:after="0" w:line="171"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We maintain a portfolio of highly liquid mortgage-backed securities. We may sell our agency securities through the TBA market by delivering them into TBA contracts, subject to "good delivery" provisions promulgated by Securities Industry and Financial Markets Association ("SIFMA"). We may alternatively sell agency securities that have more unique attributes on a specified basis when such securities trade at a premium over generic TBA securities or if the securities are not otherwise eligible for TBA delivery. Since the TBA market is the second most liquid market (second to the U.S. Treasury market), maintaining a significant level of agency securities eligible for TBA delivery enhances our liquidity profile and provides price support for our TBA eligible securities at or above generic TBA prices. As of June 30, 2016, approximately 88% of our fixed rate agency MBS portfolio was eligible for TBA delivery.</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Capital</w:t>
      </w:r>
    </w:p>
    <w:p>
      <w:pPr>
        <w:spacing w:after="0" w:line="17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To the extent we raise additional equity capital through follow-on equity offerings or under our dividend reinvestment and direct stock purchase plan, we may use cash proceeds from such transactions to purchase additional investment securities, to make scheduled payments of principal and interest on our funding liabilities and for other general corporate purposes. There can be no</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746" w:right="239" w:bottom="1440" w:gutter="0" w:footer="0" w:header="0"/>
        </w:sectPr>
      </w:pPr>
    </w:p>
    <w:bookmarkStart w:id="49" w:name="page50"/>
    <w:bookmarkEnd w:id="49"/>
    <w:p>
      <w:pPr>
        <w:jc w:val="both"/>
        <w:spacing w:after="0" w:line="264" w:lineRule="auto"/>
        <w:rPr>
          <w:sz w:val="20"/>
          <w:szCs w:val="20"/>
          <w:color w:val="auto"/>
        </w:rPr>
      </w:pPr>
      <w:r>
        <w:rPr>
          <w:rFonts w:ascii="Arial" w:cs="Arial" w:eastAsia="Arial" w:hAnsi="Arial"/>
          <w:sz w:val="18"/>
          <w:szCs w:val="18"/>
          <w:color w:val="auto"/>
        </w:rPr>
        <w:t>assurance, however, that we will be able to raise additional equity capital at any particular time or on any particular terms. Furthermore, when the trading price of our common stock is significantly less than our estimate of our current net asset value per common share, among other conditions, we may repurchase shares of our common stock.</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Common Stock Repurchase Program</w:t>
      </w:r>
    </w:p>
    <w:p>
      <w:pPr>
        <w:spacing w:after="0" w:line="171"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Our Board of Directors adopted a program that authorizes repurchases of our common stock up to $2 billion. In October 2015, our Board of Directors extended its authorization through December 31, 2016. Shares of our common stock may be purchased in the open market, including through block purchases, or through privately negotiated transactions, or pursuant to any trading plan that may be adopted in accordance with Rule 10b5-1 of the Securities Exchange Act of 1934, as amended. The timing, manner, price and amount of any repurchases will be determined at our discretion and the program may be suspended, terminated or modified at any time for any reason. Among other factors, we intend to only consider repurchasing shares of our common stock when the purchase price is less than our estimate of our current net asset value per common share. Generally, when we repurchase our common stock at a discount to our net asset value, the net asset value of our remaining shares of common stock outstanding increases. In addition, we do not intend to repurchase any shares from directors, officers or other affiliates. The program does not obligate us to acquire any specific number of shares, and all repurchases will be made in accordance with Rule 10b-18, which sets certain restrictions on the method, timing, price and volume of stock repurchases.</w:t>
      </w:r>
    </w:p>
    <w:p>
      <w:pPr>
        <w:spacing w:after="0" w:line="113" w:lineRule="exact"/>
        <w:rPr>
          <w:sz w:val="20"/>
          <w:szCs w:val="20"/>
          <w:color w:val="auto"/>
        </w:rPr>
      </w:pPr>
    </w:p>
    <w:p>
      <w:pPr>
        <w:jc w:val="both"/>
        <w:ind w:right="20" w:firstLine="405"/>
        <w:spacing w:after="0" w:line="342" w:lineRule="auto"/>
        <w:rPr>
          <w:sz w:val="20"/>
          <w:szCs w:val="20"/>
          <w:color w:val="auto"/>
        </w:rPr>
      </w:pPr>
      <w:r>
        <w:rPr>
          <w:rFonts w:ascii="Arial" w:cs="Arial" w:eastAsia="Arial" w:hAnsi="Arial"/>
          <w:sz w:val="16"/>
          <w:szCs w:val="16"/>
          <w:color w:val="auto"/>
        </w:rPr>
        <w:t>During the six months ended June 30, 2016, we repurchased 6.5 million shares of our common stock at an average repurchase price of $17.89 per share, including expenses, totaling $116 million. As of June 30, 2016, the total remaining amount authorized for repurchases of our common stock was $0.6 billion.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As of June 30, 2016, we did not maintain any relationships with unconsolidated entities or financial partnerships, such as entities often referred to as structured finance, or special purpose or variable interest entities, established for the purpose of facilitating off-balance sheet arrangements or other contractually narrow or limited purposes. Further, as of June 30, 2016, we had not guaranteed any obligations of unconsolidated entities or entered into any commitment or intent to provide funding to any such entities.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This document contains "forward-looking statements" (within the meaning of the Private Securities Litigation Reform Act of 1995) that inherently involve risks and uncertainties. Our actual results and liquidity can differ materially from those anticipated in these forward-looking statements because of changes in the level and composition of our investments and other factors. These factors may include, but are not limited to, changes in general economic conditions, the availability of suitable investments from both an investment return and regulatory perspective, the availability of new investment capital, fluctuations in interest rates and levels of mortgage prepayments, deterioration in credit quality and ratings, the effectiveness of risk management strategies, the impact of leverage, liquidity of secondary markets and credit markets, increases in costs and other general competitive factors.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746"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175"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Market risk is the exposure to loss resulting from changes in market factors such as interest rates, foreign currency exchange rates, commodity prices and equity prices. The primary market risks that we are exposed to are interest rate, prepayment, spread, liquidity, extension, credit and inflation risk.</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7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Interest rate risk is highly sensitive to many factors, including governmental monetary and tax policies, domestic and international economic and political considerations and other factors beyond our control.</w:t>
      </w:r>
    </w:p>
    <w:p>
      <w:pPr>
        <w:spacing w:after="0" w:line="116"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Changes in the general level of interest rates can affect our net interest income, which is the difference between the interest income earned on interest-earning assets and the interest expense incurred in connection with our interest-bearing liabilities, by affecting the spread between our interest-earning assets and interest-bearing liabilities. Changes in the level of interest rates can also affect the rate of prepayments of our securities and the value of the mortgage securities that constitute our investment portfolio, which affects our net income and ability to realize gains from the sale of these assets and impacts our ability and the amount that we can borrow against these securities.</w:t>
      </w:r>
    </w:p>
    <w:p>
      <w:pPr>
        <w:spacing w:after="0" w:line="13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We may utilize a variety of financial instruments in order to limit the effects of changes in interest rates on our operations. The principal instruments that we use are interest rate swaps and swaptions. We also utilize U.S. Treasury securities and U.S. Treasury futures contracts, primarily through short sales, as well as TBA contracts. We may also purchase or write put or call options on TBA securities and invest in mortgage and other types of derivative instruments, such as interest and principal-only securities. Derivative instruments may expose us to certain risks, including the risk that losses on a hedge position will reduce the funds available for payments to holders of our common stock and that the losses may exceed the amount we invested in the instruments.</w:t>
      </w:r>
    </w:p>
    <w:p>
      <w:pPr>
        <w:spacing w:after="0" w:line="13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Our profitability and the value of our investment portfolio (including derivatives used for hedging purposes) may be adversely affected during any period as a result of changing interest rates including changes in the forward yield curve.</w:t>
      </w:r>
    </w:p>
    <w:p>
      <w:pPr>
        <w:spacing w:after="0" w:line="116"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Primary measures of an instrument's price sensitivity to interest rate fluctuations are its duration and convexity. Duration measures the estimated percentage change in market value of our mortgage assets or our hedge portfolio that would be caused by a parallel change in short and long-term interest rates. The duration of our investment portfolio changes with interest rates and tends to increase when interest rates rise and decrease when interest rates fall. This "negative convexity" generally increases the interest rate exposure of our investment portfolio in excess of what is measured by duration alone.</w:t>
      </w:r>
    </w:p>
    <w:p>
      <w:pPr>
        <w:spacing w:after="0" w:line="10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estimate the duration and convexity of our portfolio using both a third-party risk management system and market data. We review the duration estimates from the third-party model and may make adjustments based on our judgment. These adjustments are intended to better reflect the unique characteristics and market trading conventions associated with certain types of securities.</w:t>
      </w:r>
    </w:p>
    <w:p>
      <w:pPr>
        <w:spacing w:after="0" w:line="12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table below quantifies the estimated changes in (i) net interest income (including periodic interest costs on our interest rate swaps); (ii) the fair value of our investment portfolio (including derivatives and other securities used for hedging purposes); and (iii) our net asset value as of June 30, 2016 and December 31, 2015 should interest rates go up or down by 50 and 100 basis points, assuming instantaneous parallel shifts in the yield curve and including the impact of both duration and convexity.</w:t>
      </w:r>
    </w:p>
    <w:p>
      <w:pPr>
        <w:spacing w:after="0" w:line="13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All changes in income and value in the table below are measured as percentage changes from the base interest rate scenario. The base interest rate scenario assumes interest rates and prepayment projections as of June 30, 2016 and December 31, 2015. We apply a floor of 0% for the down rate scenarios on our interest bearing liabilities and the variable leg of our interest rate swaps, such that any hypothetical interest rate decrease would have a limited positive impact on our funding costs beyond a certain level.</w:t>
      </w:r>
    </w:p>
    <w:p>
      <w:pPr>
        <w:spacing w:after="0" w:line="133"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Actual results could differ materially from estimates, especially in the current market environment. To the extent that these estimates or other assumptions do not hold true, which is likely in a period of high price volatility, actual results will likely differ materially from projections. Moreover, if different models were employed in the analysis, materially different projections could result. Lastly, while the table below reflects the estimated impact of interest rate changes on a static portfolio, we actively manage our portfolio and we continuously make adjustments to the size and composition of our asset and hedge portfolio.</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742" w:right="239" w:bottom="1440" w:gutter="0" w:footer="0" w:header="0"/>
        </w:sectPr>
      </w:pPr>
    </w:p>
    <w:bookmarkStart w:id="51" w:name="page52"/>
    <w:bookmarkEnd w:id="51"/>
    <w:p>
      <w:pPr>
        <w:jc w:val="center"/>
        <w:spacing w:after="0"/>
        <w:rPr>
          <w:sz w:val="20"/>
          <w:szCs w:val="20"/>
          <w:color w:val="auto"/>
        </w:rPr>
      </w:pPr>
      <w:r>
        <w:rPr>
          <w:rFonts w:ascii="Arial" w:cs="Arial" w:eastAsia="Arial" w:hAnsi="Arial"/>
          <w:sz w:val="14"/>
          <w:szCs w:val="14"/>
          <w:b w:val="1"/>
          <w:bCs w:val="1"/>
          <w:color w:val="auto"/>
        </w:rPr>
        <w:t xml:space="preserve">Interest Rate Sensitivity </w:t>
      </w:r>
      <w:r>
        <w:rPr>
          <w:rFonts w:ascii="Arial" w:cs="Arial" w:eastAsia="Arial" w:hAnsi="Arial"/>
          <w:sz w:val="8"/>
          <w:szCs w:val="8"/>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1385570</wp:posOffset>
            </wp:positionH>
            <wp:positionV relativeFrom="paragraph">
              <wp:posOffset>23495</wp:posOffset>
            </wp:positionV>
            <wp:extent cx="449389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493895" cy="8890"/>
                    </a:xfrm>
                    <a:prstGeom prst="rect">
                      <a:avLst/>
                    </a:prstGeom>
                    <a:noFill/>
                  </pic:spPr>
                </pic:pic>
              </a:graphicData>
            </a:graphic>
          </wp:anchor>
        </w:drawing>
      </w:r>
    </w:p>
    <w:p>
      <w:pPr>
        <w:spacing w:after="0" w:line="103" w:lineRule="exact"/>
        <w:rPr>
          <w:sz w:val="20"/>
          <w:szCs w:val="20"/>
          <w:color w:val="auto"/>
        </w:rPr>
      </w:pPr>
    </w:p>
    <w:tbl>
      <w:tblPr>
        <w:tblLayout w:type="fixed"/>
        <w:tblInd w:w="2180" w:type="dxa"/>
        <w:tblCellMar>
          <w:top w:w="0" w:type="dxa"/>
          <w:left w:w="0" w:type="dxa"/>
          <w:bottom w:w="0" w:type="dxa"/>
          <w:right w:w="0" w:type="dxa"/>
        </w:tblCellMar>
      </w:tblPr>
      <w:tr>
        <w:trPr>
          <w:trHeight w:val="192"/>
        </w:trPr>
        <w:tc>
          <w:tcPr>
            <w:tcW w:w="3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80" w:type="dxa"/>
            <w:vAlign w:val="bottom"/>
            <w:tcBorders>
              <w:bottom w:val="single" w:sz="8" w:color="auto"/>
            </w:tcBorders>
            <w:gridSpan w:val="5"/>
          </w:tcPr>
          <w:p>
            <w:pPr>
              <w:ind w:left="800"/>
              <w:spacing w:after="0"/>
              <w:rPr>
                <w:sz w:val="20"/>
                <w:szCs w:val="20"/>
                <w:color w:val="auto"/>
              </w:rPr>
            </w:pPr>
            <w:r>
              <w:rPr>
                <w:rFonts w:ascii="Arial" w:cs="Arial" w:eastAsia="Arial" w:hAnsi="Arial"/>
                <w:sz w:val="14"/>
                <w:szCs w:val="14"/>
                <w:b w:val="1"/>
                <w:bCs w:val="1"/>
                <w:color w:val="auto"/>
              </w:rPr>
              <w:t>Percentage Change in Projected</w:t>
            </w:r>
          </w:p>
        </w:tc>
        <w:tc>
          <w:tcPr>
            <w:tcW w:w="0" w:type="dxa"/>
            <w:vAlign w:val="bottom"/>
          </w:tcPr>
          <w:p>
            <w:pPr>
              <w:spacing w:after="0"/>
              <w:rPr>
                <w:sz w:val="1"/>
                <w:szCs w:val="1"/>
                <w:color w:val="auto"/>
              </w:rPr>
            </w:pPr>
          </w:p>
        </w:tc>
      </w:tr>
      <w:tr>
        <w:trPr>
          <w:trHeight w:val="152"/>
        </w:trPr>
        <w:tc>
          <w:tcPr>
            <w:tcW w:w="3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3"/>
              </w:rPr>
              <w:t>Portfolio</w:t>
            </w: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34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Change in Interest Rate</w:t>
            </w:r>
          </w:p>
        </w:tc>
        <w:tc>
          <w:tcPr>
            <w:tcW w:w="100" w:type="dxa"/>
            <w:vAlign w:val="bottom"/>
            <w:vMerge w:val="restart"/>
          </w:tcPr>
          <w:p>
            <w:pPr>
              <w:spacing w:after="0"/>
              <w:rPr>
                <w:sz w:val="16"/>
                <w:szCs w:val="16"/>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Net Interest</w:t>
            </w:r>
          </w:p>
        </w:tc>
        <w:tc>
          <w:tcPr>
            <w:tcW w:w="11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Market</w:t>
            </w:r>
          </w:p>
        </w:tc>
        <w:tc>
          <w:tcPr>
            <w:tcW w:w="1120" w:type="dxa"/>
            <w:vAlign w:val="bottom"/>
          </w:tcPr>
          <w:p>
            <w:pPr>
              <w:ind w:left="80"/>
              <w:spacing w:after="0"/>
              <w:rPr>
                <w:sz w:val="20"/>
                <w:szCs w:val="20"/>
                <w:color w:val="auto"/>
              </w:rPr>
            </w:pPr>
            <w:r>
              <w:rPr>
                <w:rFonts w:ascii="Arial" w:cs="Arial" w:eastAsia="Arial" w:hAnsi="Arial"/>
                <w:sz w:val="14"/>
                <w:szCs w:val="14"/>
                <w:b w:val="1"/>
                <w:bCs w:val="1"/>
                <w:color w:val="auto"/>
                <w:w w:val="96"/>
              </w:rPr>
              <w:t>Net Asset Value</w:t>
            </w:r>
          </w:p>
        </w:tc>
        <w:tc>
          <w:tcPr>
            <w:tcW w:w="0" w:type="dxa"/>
            <w:vAlign w:val="bottom"/>
          </w:tcPr>
          <w:p>
            <w:pPr>
              <w:spacing w:after="0"/>
              <w:rPr>
                <w:sz w:val="1"/>
                <w:szCs w:val="1"/>
                <w:color w:val="auto"/>
              </w:rPr>
            </w:pPr>
          </w:p>
        </w:tc>
      </w:tr>
      <w:tr>
        <w:trPr>
          <w:trHeight w:val="162"/>
        </w:trPr>
        <w:tc>
          <w:tcPr>
            <w:tcW w:w="34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 xml:space="preserve">Income </w:t>
            </w:r>
            <w:r>
              <w:rPr>
                <w:rFonts w:ascii="Arial" w:cs="Arial" w:eastAsia="Arial" w:hAnsi="Arial"/>
                <w:sz w:val="8"/>
                <w:szCs w:val="8"/>
                <w:b w:val="1"/>
                <w:bCs w:val="1"/>
                <w:color w:val="auto"/>
                <w:w w:val="94"/>
              </w:rPr>
              <w:t>2</w:t>
            </w:r>
          </w:p>
        </w:tc>
        <w:tc>
          <w:tcPr>
            <w:tcW w:w="12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 xml:space="preserve">Value </w:t>
            </w:r>
            <w:r>
              <w:rPr>
                <w:rFonts w:ascii="Arial" w:cs="Arial" w:eastAsia="Arial" w:hAnsi="Arial"/>
                <w:sz w:val="8"/>
                <w:szCs w:val="8"/>
                <w:b w:val="1"/>
                <w:bCs w:val="1"/>
                <w:color w:val="auto"/>
                <w:w w:val="95"/>
              </w:rPr>
              <w:t>3,4</w:t>
            </w:r>
          </w:p>
        </w:tc>
        <w:tc>
          <w:tcPr>
            <w:tcW w:w="10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79"/>
              </w:rPr>
              <w:t>3,5</w:t>
            </w:r>
          </w:p>
        </w:tc>
        <w:tc>
          <w:tcPr>
            <w:tcW w:w="0" w:type="dxa"/>
            <w:vAlign w:val="bottom"/>
          </w:tcPr>
          <w:p>
            <w:pPr>
              <w:spacing w:after="0"/>
              <w:rPr>
                <w:sz w:val="1"/>
                <w:szCs w:val="1"/>
                <w:color w:val="auto"/>
              </w:rPr>
            </w:pPr>
          </w:p>
        </w:tc>
      </w:tr>
      <w:tr>
        <w:trPr>
          <w:trHeight w:val="264"/>
        </w:trPr>
        <w:tc>
          <w:tcPr>
            <w:tcW w:w="35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As of June 30, 2016</w:t>
            </w:r>
          </w:p>
        </w:tc>
        <w:tc>
          <w:tcPr>
            <w:tcW w:w="1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500" w:type="dxa"/>
            <w:vAlign w:val="bottom"/>
            <w:gridSpan w:val="2"/>
          </w:tcPr>
          <w:p>
            <w:pPr>
              <w:ind w:left="20"/>
              <w:spacing w:after="0"/>
              <w:rPr>
                <w:sz w:val="20"/>
                <w:szCs w:val="20"/>
                <w:color w:val="auto"/>
              </w:rPr>
            </w:pPr>
            <w:r>
              <w:rPr>
                <w:rFonts w:ascii="Arial" w:cs="Arial" w:eastAsia="Arial" w:hAnsi="Arial"/>
                <w:sz w:val="14"/>
                <w:szCs w:val="14"/>
                <w:color w:val="auto"/>
              </w:rPr>
              <w:t>-100 Basis Points</w:t>
            </w:r>
          </w:p>
        </w:tc>
        <w:tc>
          <w:tcPr>
            <w:tcW w:w="1180" w:type="dxa"/>
            <w:vAlign w:val="bottom"/>
          </w:tcPr>
          <w:p>
            <w:pPr>
              <w:jc w:val="center"/>
              <w:spacing w:after="0"/>
              <w:rPr>
                <w:sz w:val="20"/>
                <w:szCs w:val="20"/>
                <w:color w:val="auto"/>
              </w:rPr>
            </w:pPr>
            <w:r>
              <w:rPr>
                <w:rFonts w:ascii="Arial" w:cs="Arial" w:eastAsia="Arial" w:hAnsi="Arial"/>
                <w:sz w:val="14"/>
                <w:szCs w:val="14"/>
                <w:color w:val="auto"/>
                <w:w w:val="94"/>
              </w:rPr>
              <w:t>-22.9%</w:t>
            </w:r>
          </w:p>
        </w:tc>
        <w:tc>
          <w:tcPr>
            <w:tcW w:w="120" w:type="dxa"/>
            <w:vAlign w:val="bottom"/>
          </w:tcPr>
          <w:p>
            <w:pPr>
              <w:spacing w:after="0"/>
              <w:rPr>
                <w:sz w:val="22"/>
                <w:szCs w:val="22"/>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8"/>
              </w:rPr>
              <w:t>-1.1%</w:t>
            </w:r>
          </w:p>
        </w:tc>
        <w:tc>
          <w:tcPr>
            <w:tcW w:w="10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92"/>
              </w:rPr>
              <w:t>-8.8%</w:t>
            </w:r>
          </w:p>
        </w:tc>
        <w:tc>
          <w:tcPr>
            <w:tcW w:w="0" w:type="dxa"/>
            <w:vAlign w:val="bottom"/>
          </w:tcPr>
          <w:p>
            <w:pPr>
              <w:spacing w:after="0"/>
              <w:rPr>
                <w:sz w:val="1"/>
                <w:szCs w:val="1"/>
                <w:color w:val="auto"/>
              </w:rPr>
            </w:pPr>
          </w:p>
        </w:tc>
      </w:tr>
      <w:tr>
        <w:trPr>
          <w:trHeight w:val="276"/>
        </w:trPr>
        <w:tc>
          <w:tcPr>
            <w:tcW w:w="3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-50 Basis Points</w:t>
            </w:r>
          </w:p>
        </w:tc>
        <w:tc>
          <w:tcPr>
            <w:tcW w:w="11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-8.2%</w:t>
            </w: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-0.3%</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-2.1%</w:t>
            </w:r>
          </w:p>
        </w:tc>
        <w:tc>
          <w:tcPr>
            <w:tcW w:w="0" w:type="dxa"/>
            <w:vAlign w:val="bottom"/>
          </w:tcPr>
          <w:p>
            <w:pPr>
              <w:spacing w:after="0"/>
              <w:rPr>
                <w:sz w:val="1"/>
                <w:szCs w:val="1"/>
                <w:color w:val="auto"/>
              </w:rPr>
            </w:pPr>
          </w:p>
        </w:tc>
      </w:tr>
      <w:tr>
        <w:trPr>
          <w:trHeight w:val="264"/>
        </w:trPr>
        <w:tc>
          <w:tcPr>
            <w:tcW w:w="3500" w:type="dxa"/>
            <w:vAlign w:val="bottom"/>
            <w:gridSpan w:val="2"/>
          </w:tcPr>
          <w:p>
            <w:pPr>
              <w:ind w:left="20"/>
              <w:spacing w:after="0"/>
              <w:rPr>
                <w:sz w:val="20"/>
                <w:szCs w:val="20"/>
                <w:color w:val="auto"/>
              </w:rPr>
            </w:pPr>
            <w:r>
              <w:rPr>
                <w:rFonts w:ascii="Arial" w:cs="Arial" w:eastAsia="Arial" w:hAnsi="Arial"/>
                <w:sz w:val="14"/>
                <w:szCs w:val="14"/>
                <w:color w:val="auto"/>
              </w:rPr>
              <w:t>+50 Basis Points</w:t>
            </w:r>
          </w:p>
        </w:tc>
        <w:tc>
          <w:tcPr>
            <w:tcW w:w="1180" w:type="dxa"/>
            <w:vAlign w:val="bottom"/>
          </w:tcPr>
          <w:p>
            <w:pPr>
              <w:jc w:val="center"/>
              <w:spacing w:after="0"/>
              <w:rPr>
                <w:sz w:val="20"/>
                <w:szCs w:val="20"/>
                <w:color w:val="auto"/>
              </w:rPr>
            </w:pPr>
            <w:r>
              <w:rPr>
                <w:rFonts w:ascii="Arial" w:cs="Arial" w:eastAsia="Arial" w:hAnsi="Arial"/>
                <w:sz w:val="14"/>
                <w:szCs w:val="14"/>
                <w:color w:val="auto"/>
                <w:w w:val="94"/>
              </w:rPr>
              <w:t>+4.5%</w:t>
            </w:r>
          </w:p>
        </w:tc>
        <w:tc>
          <w:tcPr>
            <w:tcW w:w="120" w:type="dxa"/>
            <w:vAlign w:val="bottom"/>
          </w:tcPr>
          <w:p>
            <w:pPr>
              <w:spacing w:after="0"/>
              <w:rPr>
                <w:sz w:val="22"/>
                <w:szCs w:val="22"/>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8"/>
              </w:rPr>
              <w:t>-0.2%</w:t>
            </w:r>
          </w:p>
        </w:tc>
        <w:tc>
          <w:tcPr>
            <w:tcW w:w="10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92"/>
              </w:rPr>
              <w:t>-2.0%</w:t>
            </w:r>
          </w:p>
        </w:tc>
        <w:tc>
          <w:tcPr>
            <w:tcW w:w="0" w:type="dxa"/>
            <w:vAlign w:val="bottom"/>
          </w:tcPr>
          <w:p>
            <w:pPr>
              <w:spacing w:after="0"/>
              <w:rPr>
                <w:sz w:val="1"/>
                <w:szCs w:val="1"/>
                <w:color w:val="auto"/>
              </w:rPr>
            </w:pPr>
          </w:p>
        </w:tc>
      </w:tr>
      <w:tr>
        <w:trPr>
          <w:trHeight w:val="276"/>
        </w:trPr>
        <w:tc>
          <w:tcPr>
            <w:tcW w:w="3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+100 Basis Points</w:t>
            </w:r>
          </w:p>
        </w:tc>
        <w:tc>
          <w:tcPr>
            <w:tcW w:w="11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+7.3%</w:t>
            </w: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-0.9%</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-7.7%</w:t>
            </w:r>
          </w:p>
        </w:tc>
        <w:tc>
          <w:tcPr>
            <w:tcW w:w="0" w:type="dxa"/>
            <w:vAlign w:val="bottom"/>
          </w:tcPr>
          <w:p>
            <w:pPr>
              <w:spacing w:after="0"/>
              <w:rPr>
                <w:sz w:val="1"/>
                <w:szCs w:val="1"/>
                <w:color w:val="auto"/>
              </w:rPr>
            </w:pPr>
          </w:p>
        </w:tc>
      </w:tr>
      <w:tr>
        <w:trPr>
          <w:trHeight w:val="324"/>
        </w:trPr>
        <w:tc>
          <w:tcPr>
            <w:tcW w:w="3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As of December 31, 2015</w:t>
            </w: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500" w:type="dxa"/>
            <w:vAlign w:val="bottom"/>
            <w:gridSpan w:val="2"/>
          </w:tcPr>
          <w:p>
            <w:pPr>
              <w:ind w:left="20"/>
              <w:spacing w:after="0"/>
              <w:rPr>
                <w:sz w:val="20"/>
                <w:szCs w:val="20"/>
                <w:color w:val="auto"/>
              </w:rPr>
            </w:pPr>
            <w:r>
              <w:rPr>
                <w:rFonts w:ascii="Arial" w:cs="Arial" w:eastAsia="Arial" w:hAnsi="Arial"/>
                <w:sz w:val="14"/>
                <w:szCs w:val="14"/>
                <w:color w:val="auto"/>
              </w:rPr>
              <w:t>-100 Basis Points</w:t>
            </w:r>
          </w:p>
        </w:tc>
        <w:tc>
          <w:tcPr>
            <w:tcW w:w="1180" w:type="dxa"/>
            <w:vAlign w:val="bottom"/>
          </w:tcPr>
          <w:p>
            <w:pPr>
              <w:jc w:val="center"/>
              <w:spacing w:after="0"/>
              <w:rPr>
                <w:sz w:val="20"/>
                <w:szCs w:val="20"/>
                <w:color w:val="auto"/>
              </w:rPr>
            </w:pPr>
            <w:r>
              <w:rPr>
                <w:rFonts w:ascii="Arial" w:cs="Arial" w:eastAsia="Arial" w:hAnsi="Arial"/>
                <w:sz w:val="14"/>
                <w:szCs w:val="14"/>
                <w:color w:val="auto"/>
                <w:w w:val="94"/>
              </w:rPr>
              <w:t>-17.3%</w:t>
            </w:r>
          </w:p>
        </w:tc>
        <w:tc>
          <w:tcPr>
            <w:tcW w:w="120" w:type="dxa"/>
            <w:vAlign w:val="bottom"/>
          </w:tcPr>
          <w:p>
            <w:pPr>
              <w:spacing w:after="0"/>
              <w:rPr>
                <w:sz w:val="22"/>
                <w:szCs w:val="22"/>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8"/>
              </w:rPr>
              <w:t>-0.4%</w:t>
            </w:r>
          </w:p>
        </w:tc>
        <w:tc>
          <w:tcPr>
            <w:tcW w:w="10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92"/>
              </w:rPr>
              <w:t>-2.8%</w:t>
            </w:r>
          </w:p>
        </w:tc>
        <w:tc>
          <w:tcPr>
            <w:tcW w:w="0" w:type="dxa"/>
            <w:vAlign w:val="bottom"/>
          </w:tcPr>
          <w:p>
            <w:pPr>
              <w:spacing w:after="0"/>
              <w:rPr>
                <w:sz w:val="1"/>
                <w:szCs w:val="1"/>
                <w:color w:val="auto"/>
              </w:rPr>
            </w:pPr>
          </w:p>
        </w:tc>
      </w:tr>
      <w:tr>
        <w:trPr>
          <w:trHeight w:val="276"/>
        </w:trPr>
        <w:tc>
          <w:tcPr>
            <w:tcW w:w="3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-50 Basis Points</w:t>
            </w:r>
          </w:p>
        </w:tc>
        <w:tc>
          <w:tcPr>
            <w:tcW w:w="11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-4.2%</w:t>
            </w: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+0.1%</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+0.6%</w:t>
            </w:r>
          </w:p>
        </w:tc>
        <w:tc>
          <w:tcPr>
            <w:tcW w:w="0" w:type="dxa"/>
            <w:vAlign w:val="bottom"/>
          </w:tcPr>
          <w:p>
            <w:pPr>
              <w:spacing w:after="0"/>
              <w:rPr>
                <w:sz w:val="1"/>
                <w:szCs w:val="1"/>
                <w:color w:val="auto"/>
              </w:rPr>
            </w:pPr>
          </w:p>
        </w:tc>
      </w:tr>
      <w:tr>
        <w:trPr>
          <w:trHeight w:val="264"/>
        </w:trPr>
        <w:tc>
          <w:tcPr>
            <w:tcW w:w="3500" w:type="dxa"/>
            <w:vAlign w:val="bottom"/>
            <w:gridSpan w:val="2"/>
          </w:tcPr>
          <w:p>
            <w:pPr>
              <w:ind w:left="20"/>
              <w:spacing w:after="0"/>
              <w:rPr>
                <w:sz w:val="20"/>
                <w:szCs w:val="20"/>
                <w:color w:val="auto"/>
              </w:rPr>
            </w:pPr>
            <w:r>
              <w:rPr>
                <w:rFonts w:ascii="Arial" w:cs="Arial" w:eastAsia="Arial" w:hAnsi="Arial"/>
                <w:sz w:val="14"/>
                <w:szCs w:val="14"/>
                <w:color w:val="auto"/>
              </w:rPr>
              <w:t>+50 Basis Points</w:t>
            </w:r>
          </w:p>
        </w:tc>
        <w:tc>
          <w:tcPr>
            <w:tcW w:w="1180" w:type="dxa"/>
            <w:vAlign w:val="bottom"/>
          </w:tcPr>
          <w:p>
            <w:pPr>
              <w:jc w:val="center"/>
              <w:spacing w:after="0"/>
              <w:rPr>
                <w:sz w:val="20"/>
                <w:szCs w:val="20"/>
                <w:color w:val="auto"/>
              </w:rPr>
            </w:pPr>
            <w:r>
              <w:rPr>
                <w:rFonts w:ascii="Arial" w:cs="Arial" w:eastAsia="Arial" w:hAnsi="Arial"/>
                <w:sz w:val="14"/>
                <w:szCs w:val="14"/>
                <w:color w:val="auto"/>
                <w:w w:val="94"/>
              </w:rPr>
              <w:t>+2.0%</w:t>
            </w:r>
          </w:p>
        </w:tc>
        <w:tc>
          <w:tcPr>
            <w:tcW w:w="120" w:type="dxa"/>
            <w:vAlign w:val="bottom"/>
          </w:tcPr>
          <w:p>
            <w:pPr>
              <w:spacing w:after="0"/>
              <w:rPr>
                <w:sz w:val="22"/>
                <w:szCs w:val="22"/>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8"/>
              </w:rPr>
              <w:t>-0.5%</w:t>
            </w:r>
          </w:p>
        </w:tc>
        <w:tc>
          <w:tcPr>
            <w:tcW w:w="10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92"/>
              </w:rPr>
              <w:t>-3.7%</w:t>
            </w:r>
          </w:p>
        </w:tc>
        <w:tc>
          <w:tcPr>
            <w:tcW w:w="0" w:type="dxa"/>
            <w:vAlign w:val="bottom"/>
          </w:tcPr>
          <w:p>
            <w:pPr>
              <w:spacing w:after="0"/>
              <w:rPr>
                <w:sz w:val="1"/>
                <w:szCs w:val="1"/>
                <w:color w:val="auto"/>
              </w:rPr>
            </w:pPr>
          </w:p>
        </w:tc>
      </w:tr>
      <w:tr>
        <w:trPr>
          <w:trHeight w:val="276"/>
        </w:trPr>
        <w:tc>
          <w:tcPr>
            <w:tcW w:w="3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+100 Basis Points</w:t>
            </w:r>
          </w:p>
        </w:tc>
        <w:tc>
          <w:tcPr>
            <w:tcW w:w="11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+2.5%</w:t>
            </w: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-1.2%</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-9.4%</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________________</w:t>
      </w:r>
    </w:p>
    <w:p>
      <w:pPr>
        <w:spacing w:after="0" w:line="2" w:lineRule="exact"/>
        <w:rPr>
          <w:sz w:val="20"/>
          <w:szCs w:val="20"/>
          <w:color w:val="auto"/>
        </w:rPr>
      </w:pPr>
    </w:p>
    <w:p>
      <w:pPr>
        <w:ind w:left="660" w:right="20" w:hanging="328"/>
        <w:spacing w:after="0" w:line="241" w:lineRule="auto"/>
        <w:tabs>
          <w:tab w:leader="none" w:pos="6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Interest rate sensitivity is derived from models that are dependent on inputs and assumptions provided by third parties, assumes there are no changes in mortgage spreads and assumes a static portfolio. Actual results could differ materially from these estimates.</w:t>
      </w:r>
    </w:p>
    <w:p>
      <w:pPr>
        <w:jc w:val="both"/>
        <w:ind w:left="660" w:hanging="328"/>
        <w:spacing w:after="0" w:line="260" w:lineRule="auto"/>
        <w:tabs>
          <w:tab w:leader="none" w:pos="660" w:val="left"/>
        </w:tabs>
        <w:numPr>
          <w:ilvl w:val="0"/>
          <w:numId w:val="34"/>
        </w:numPr>
        <w:rPr>
          <w:rFonts w:ascii="Arial" w:cs="Arial" w:eastAsia="Arial" w:hAnsi="Arial"/>
          <w:sz w:val="13"/>
          <w:szCs w:val="13"/>
          <w:color w:val="auto"/>
        </w:rPr>
      </w:pPr>
      <w:r>
        <w:rPr>
          <w:rFonts w:ascii="Arial" w:cs="Arial" w:eastAsia="Arial" w:hAnsi="Arial"/>
          <w:sz w:val="13"/>
          <w:szCs w:val="13"/>
          <w:color w:val="auto"/>
        </w:rPr>
        <w:t>Represents the estimated dollar change in net interest income expressed as a percent of net interest income based on asset yields and cost of funds as of such date. It includes the effect of periodic interest costs on our interest rate swaps, but excludes costs associated with our forward starting swaps and other supplemental hedges, such as swaptions and U.S. Treasury securities. Amounts also exclude costs associated with our TBA position and TBA dollar roll income/loss, which are accounted for as derivative instruments in accordance with GAAP. Base case scenario assumes interest rates and forecasted CPR of 11% and 8% as of June 30, 2016 and December 31, 2015, respectively. As of June 30, 2016, rate shock scenarios assume a forecasted CPR of 18%, 14%, 9% and 8% for the -100, -50, +50 and +100 basis points scenarios, respectively. As of December 31, 2015, rate shock scenarios assume a forecasted CPR of 12%, 10%, 8% and 7% for such scenarios, respectively. Estimated dollar change in net interest income does not include the impact of retroactive "catch-up" premium amortization adjustments due to changes in our forecasted CPR. Down rate scenarios assume a floor of 0% for anticipated interest rates.</w:t>
      </w:r>
    </w:p>
    <w:p>
      <w:pPr>
        <w:ind w:left="660" w:hanging="328"/>
        <w:spacing w:after="0"/>
        <w:tabs>
          <w:tab w:leader="none" w:pos="6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Includes the effect of derivatives and other securities used for hedging purposes.</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Estimated dollar change in investment portfolio value expressed as a percent of the total fair value of our investment portfolio as of such date.</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34"/>
        </w:numPr>
        <w:rPr>
          <w:rFonts w:ascii="Arial" w:cs="Arial" w:eastAsia="Arial" w:hAnsi="Arial"/>
          <w:sz w:val="13"/>
          <w:szCs w:val="13"/>
          <w:color w:val="auto"/>
        </w:rPr>
      </w:pPr>
      <w:r>
        <w:rPr>
          <w:rFonts w:ascii="Arial" w:cs="Arial" w:eastAsia="Arial" w:hAnsi="Arial"/>
          <w:sz w:val="13"/>
          <w:szCs w:val="13"/>
          <w:color w:val="auto"/>
        </w:rPr>
        <w:t>Estimated dollar change in portfolio value expressed as a percent of stockholders' equity, net of the Series A and Series B Preferred Stock liquidation preference, as of such date.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Prepayment Risk</w:t>
      </w:r>
    </w:p>
    <w:p>
      <w:pPr>
        <w:spacing w:after="0" w:line="171"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Because residential borrowers have the option to prepay their mortgage loans at par at any time, we face the risk that we will experience a return of principal on our investments faster than anticipated. Various factors affect the rate at which mortgage prepayments occur, including changes in the level of and directional trends in housing prices, interest rates, general economic conditions, loan age and size, loan-to-value ratio, the location of the property and social and demographic conditions. Additionally, changes to GSE underwriting practices or other governmental programs could also significantly impact prepayment rates or expectations. Also, the pace at which the loans underlying our securities become seriously delinquent or are modified and the timing of GSE repurchases of such loans from our securities can materially impact the rate of prepayments. Generally, prepayments on residential mortgage-backed securities increase during periods of falling mortgage interest rates and decrease during periods of rising mortgage interest rates. However, this may not always be the case.</w:t>
      </w:r>
    </w:p>
    <w:p>
      <w:pPr>
        <w:spacing w:after="0" w:line="138"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We may reinvest principal repayments at a yield that is lower or higher than the yield on the repaid investment, thus affecting our net interest income by altering the average yield on our assets. We also amortize or accrete premiums and discounts associated with the purchase of mortgage securities into interest income over the projected lives of the securities, including contractual payments and estimated prepayments using the effective interest method. Our policy for estimating prepayment speeds for calculating the effective yield is to evaluate published prepayment data for similar securities, market consensus and current market conditions. If the actual prepayment experienced differs from our estimate of prepayments, we will be required to make an adjustment to the amortization or accretion of premiums and discounts that would have an impact on future income.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Spread Risk</w:t>
      </w:r>
    </w:p>
    <w:p>
      <w:pPr>
        <w:spacing w:after="0" w:line="23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When the market spread between the yield on our investment securities and benchmark interest rates widens, our net book value could decline if the value of our investment securities fall by more than the offsetting fair value increases on our hedging instruments tied to the underlying benchmark interest rates. We refer to this as "spread risk" or "basis risk." The spread risk associated with our mortgage assets and the resulting fluctuations in fair value of these securities can occur independent of changes in benchmark interest rates and may relate to other factors impacting the mortgage and fixed income markets, such as actual or</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900" w:right="239" w:bottom="1440" w:gutter="0" w:footer="0" w:header="0"/>
        </w:sectPr>
      </w:pPr>
    </w:p>
    <w:bookmarkStart w:id="52" w:name="page53"/>
    <w:bookmarkEnd w:id="52"/>
    <w:p>
      <w:pPr>
        <w:jc w:val="both"/>
        <w:spacing w:after="0" w:line="264" w:lineRule="auto"/>
        <w:rPr>
          <w:sz w:val="20"/>
          <w:szCs w:val="20"/>
          <w:color w:val="auto"/>
        </w:rPr>
      </w:pPr>
      <w:r>
        <w:rPr>
          <w:rFonts w:ascii="Arial" w:cs="Arial" w:eastAsia="Arial" w:hAnsi="Arial"/>
          <w:sz w:val="18"/>
          <w:szCs w:val="18"/>
          <w:color w:val="auto"/>
        </w:rPr>
        <w:t>anticipated monetary policy actions by the Federal Reserve, market liquidity, or changes in required rates of return on different assets. Consequently, while we use interest rate swaps and other supplemental hedges to attempt to protect against moves in interest rates, such instruments typically will not protect our net book value against spread risk.</w:t>
      </w:r>
    </w:p>
    <w:p>
      <w:pPr>
        <w:spacing w:after="0" w:line="127"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The table below quantifies the estimated changes in the fair value of our investment portfolio (including derivatives and other securities used for hedging purposes) and in our net asset value as of June 30, 2016 and December 31, 2015 should spreads widen or tighten by 10 and 25 basis points. The estimated impact of changes in spreads is in addition to our interest rate shock sensitivity included in the interest rate shock table above. The table below assumes a spread duration of 4.5 years and 5.2 years as of June 30, 2016 and December 31, 2015, respectively, based on interest rates and MBS prices as of such dates. However, our portfolio's sensitivity of mortgage spread changes will vary with changes in interest rates and in the size and composition of our investment portfolio. Therefore, actual results could differ materially from our estimates.</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xml:space="preserve">Spread Sensitivity of Agency MBS Portfolio </w:t>
      </w:r>
      <w:r>
        <w:rPr>
          <w:rFonts w:ascii="Arial" w:cs="Arial" w:eastAsia="Arial" w:hAnsi="Arial"/>
          <w:sz w:val="8"/>
          <w:szCs w:val="8"/>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1763395</wp:posOffset>
            </wp:positionH>
            <wp:positionV relativeFrom="paragraph">
              <wp:posOffset>23495</wp:posOffset>
            </wp:positionV>
            <wp:extent cx="373062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730625" cy="8890"/>
                    </a:xfrm>
                    <a:prstGeom prst="rect">
                      <a:avLst/>
                    </a:prstGeom>
                    <a:noFill/>
                  </pic:spPr>
                </pic:pic>
              </a:graphicData>
            </a:graphic>
          </wp:anchor>
        </w:drawing>
      </w:r>
    </w:p>
    <w:p>
      <w:pPr>
        <w:spacing w:after="0" w:line="103" w:lineRule="exact"/>
        <w:rPr>
          <w:sz w:val="20"/>
          <w:szCs w:val="20"/>
          <w:color w:val="auto"/>
        </w:rPr>
      </w:pPr>
    </w:p>
    <w:tbl>
      <w:tblPr>
        <w:tblLayout w:type="fixed"/>
        <w:tblInd w:w="2780" w:type="dxa"/>
        <w:tblCellMar>
          <w:top w:w="0" w:type="dxa"/>
          <w:left w:w="0" w:type="dxa"/>
          <w:bottom w:w="0" w:type="dxa"/>
          <w:right w:w="0" w:type="dxa"/>
        </w:tblCellMar>
      </w:tblPr>
      <w:tr>
        <w:trPr>
          <w:trHeight w:val="192"/>
        </w:trPr>
        <w:tc>
          <w:tcPr>
            <w:tcW w:w="3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0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rPr>
              <w:t>Percentage Change in Projected</w:t>
            </w:r>
          </w:p>
        </w:tc>
        <w:tc>
          <w:tcPr>
            <w:tcW w:w="0" w:type="dxa"/>
            <w:vAlign w:val="bottom"/>
          </w:tcPr>
          <w:p>
            <w:pPr>
              <w:spacing w:after="0"/>
              <w:rPr>
                <w:sz w:val="1"/>
                <w:szCs w:val="1"/>
                <w:color w:val="auto"/>
              </w:rPr>
            </w:pPr>
          </w:p>
        </w:tc>
      </w:tr>
      <w:tr>
        <w:trPr>
          <w:trHeight w:val="152"/>
        </w:trPr>
        <w:tc>
          <w:tcPr>
            <w:tcW w:w="3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3"/>
              </w:rPr>
              <w:t>Portfolio</w:t>
            </w:r>
          </w:p>
        </w:tc>
        <w:tc>
          <w:tcPr>
            <w:tcW w:w="13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Net Asset</w:t>
            </w:r>
          </w:p>
        </w:tc>
        <w:tc>
          <w:tcPr>
            <w:tcW w:w="0" w:type="dxa"/>
            <w:vAlign w:val="bottom"/>
          </w:tcPr>
          <w:p>
            <w:pPr>
              <w:spacing w:after="0"/>
              <w:rPr>
                <w:sz w:val="1"/>
                <w:szCs w:val="1"/>
                <w:color w:val="auto"/>
              </w:rPr>
            </w:pPr>
          </w:p>
        </w:tc>
      </w:tr>
      <w:tr>
        <w:trPr>
          <w:trHeight w:val="149"/>
        </w:trPr>
        <w:tc>
          <w:tcPr>
            <w:tcW w:w="30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Change in MBS Spread</w:t>
            </w:r>
          </w:p>
        </w:tc>
        <w:tc>
          <w:tcPr>
            <w:tcW w:w="120" w:type="dxa"/>
            <w:vAlign w:val="bottom"/>
            <w:vMerge w:val="restart"/>
          </w:tcPr>
          <w:p>
            <w:pPr>
              <w:spacing w:after="0"/>
              <w:rPr>
                <w:sz w:val="12"/>
                <w:szCs w:val="12"/>
                <w:color w:val="auto"/>
              </w:rPr>
            </w:pPr>
          </w:p>
        </w:tc>
        <w:tc>
          <w:tcPr>
            <w:tcW w:w="14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Market</w:t>
            </w: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 xml:space="preserve">Value </w:t>
            </w:r>
            <w:r>
              <w:rPr>
                <w:rFonts w:ascii="Arial" w:cs="Arial" w:eastAsia="Arial" w:hAnsi="Arial"/>
                <w:sz w:val="8"/>
                <w:szCs w:val="8"/>
                <w:b w:val="1"/>
                <w:bCs w:val="1"/>
                <w:color w:val="auto"/>
                <w:w w:val="95"/>
              </w:rPr>
              <w:t>2,3</w:t>
            </w:r>
          </w:p>
        </w:tc>
        <w:tc>
          <w:tcPr>
            <w:tcW w:w="1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 xml:space="preserve">Value </w:t>
            </w:r>
            <w:r>
              <w:rPr>
                <w:rFonts w:ascii="Arial" w:cs="Arial" w:eastAsia="Arial" w:hAnsi="Arial"/>
                <w:sz w:val="8"/>
                <w:szCs w:val="8"/>
                <w:b w:val="1"/>
                <w:bCs w:val="1"/>
                <w:color w:val="auto"/>
                <w:w w:val="95"/>
              </w:rPr>
              <w:t>2,4</w:t>
            </w:r>
          </w:p>
        </w:tc>
        <w:tc>
          <w:tcPr>
            <w:tcW w:w="0" w:type="dxa"/>
            <w:vAlign w:val="bottom"/>
          </w:tcPr>
          <w:p>
            <w:pPr>
              <w:spacing w:after="0"/>
              <w:rPr>
                <w:sz w:val="1"/>
                <w:szCs w:val="1"/>
                <w:color w:val="auto"/>
              </w:rPr>
            </w:pPr>
          </w:p>
        </w:tc>
      </w:tr>
      <w:tr>
        <w:trPr>
          <w:trHeight w:val="270"/>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As of June 30, 2016</w:t>
            </w: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180" w:type="dxa"/>
            <w:vAlign w:val="bottom"/>
            <w:gridSpan w:val="2"/>
          </w:tcPr>
          <w:p>
            <w:pPr>
              <w:ind w:left="20"/>
              <w:spacing w:after="0"/>
              <w:rPr>
                <w:sz w:val="20"/>
                <w:szCs w:val="20"/>
                <w:color w:val="auto"/>
              </w:rPr>
            </w:pPr>
            <w:r>
              <w:rPr>
                <w:rFonts w:ascii="Arial" w:cs="Arial" w:eastAsia="Arial" w:hAnsi="Arial"/>
                <w:sz w:val="14"/>
                <w:szCs w:val="14"/>
                <w:color w:val="auto"/>
              </w:rPr>
              <w:t>-25 Basis Points</w:t>
            </w:r>
          </w:p>
        </w:tc>
        <w:tc>
          <w:tcPr>
            <w:tcW w:w="1300" w:type="dxa"/>
            <w:vAlign w:val="bottom"/>
          </w:tcPr>
          <w:p>
            <w:pPr>
              <w:jc w:val="center"/>
              <w:spacing w:after="0"/>
              <w:rPr>
                <w:sz w:val="20"/>
                <w:szCs w:val="20"/>
                <w:color w:val="auto"/>
              </w:rPr>
            </w:pPr>
            <w:r>
              <w:rPr>
                <w:rFonts w:ascii="Arial" w:cs="Arial" w:eastAsia="Arial" w:hAnsi="Arial"/>
                <w:sz w:val="14"/>
                <w:szCs w:val="14"/>
                <w:color w:val="auto"/>
                <w:w w:val="94"/>
              </w:rPr>
              <w:t>+1.1%</w:t>
            </w:r>
          </w:p>
        </w:tc>
        <w:tc>
          <w:tcPr>
            <w:tcW w:w="100" w:type="dxa"/>
            <w:vAlign w:val="bottom"/>
          </w:tcPr>
          <w:p>
            <w:pPr>
              <w:spacing w:after="0"/>
              <w:rPr>
                <w:sz w:val="22"/>
                <w:szCs w:val="22"/>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4"/>
              </w:rPr>
              <w:t>+9.3%</w:t>
            </w:r>
          </w:p>
        </w:tc>
        <w:tc>
          <w:tcPr>
            <w:tcW w:w="0" w:type="dxa"/>
            <w:vAlign w:val="bottom"/>
          </w:tcPr>
          <w:p>
            <w:pPr>
              <w:spacing w:after="0"/>
              <w:rPr>
                <w:sz w:val="1"/>
                <w:szCs w:val="1"/>
                <w:color w:val="auto"/>
              </w:rPr>
            </w:pPr>
          </w:p>
        </w:tc>
      </w:tr>
      <w:tr>
        <w:trPr>
          <w:trHeight w:val="276"/>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-10 Basis Points</w:t>
            </w: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+0.4%</w:t>
            </w:r>
          </w:p>
        </w:tc>
        <w:tc>
          <w:tcPr>
            <w:tcW w:w="100" w:type="dxa"/>
            <w:vAlign w:val="bottom"/>
            <w:shd w:val="clear" w:color="auto" w:fill="CCEEFF"/>
          </w:tcPr>
          <w:p>
            <w:pPr>
              <w:spacing w:after="0"/>
              <w:rPr>
                <w:sz w:val="24"/>
                <w:szCs w:val="24"/>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+3.7%</w:t>
            </w:r>
          </w:p>
        </w:tc>
        <w:tc>
          <w:tcPr>
            <w:tcW w:w="0" w:type="dxa"/>
            <w:vAlign w:val="bottom"/>
          </w:tcPr>
          <w:p>
            <w:pPr>
              <w:spacing w:after="0"/>
              <w:rPr>
                <w:sz w:val="1"/>
                <w:szCs w:val="1"/>
                <w:color w:val="auto"/>
              </w:rPr>
            </w:pPr>
          </w:p>
        </w:tc>
      </w:tr>
      <w:tr>
        <w:trPr>
          <w:trHeight w:val="264"/>
        </w:trPr>
        <w:tc>
          <w:tcPr>
            <w:tcW w:w="3180" w:type="dxa"/>
            <w:vAlign w:val="bottom"/>
            <w:gridSpan w:val="2"/>
          </w:tcPr>
          <w:p>
            <w:pPr>
              <w:ind w:left="20"/>
              <w:spacing w:after="0"/>
              <w:rPr>
                <w:sz w:val="20"/>
                <w:szCs w:val="20"/>
                <w:color w:val="auto"/>
              </w:rPr>
            </w:pPr>
            <w:r>
              <w:rPr>
                <w:rFonts w:ascii="Arial" w:cs="Arial" w:eastAsia="Arial" w:hAnsi="Arial"/>
                <w:sz w:val="14"/>
                <w:szCs w:val="14"/>
                <w:color w:val="auto"/>
              </w:rPr>
              <w:t>+10 Basis Points</w:t>
            </w:r>
          </w:p>
        </w:tc>
        <w:tc>
          <w:tcPr>
            <w:tcW w:w="1300" w:type="dxa"/>
            <w:vAlign w:val="bottom"/>
          </w:tcPr>
          <w:p>
            <w:pPr>
              <w:jc w:val="center"/>
              <w:spacing w:after="0"/>
              <w:rPr>
                <w:sz w:val="20"/>
                <w:szCs w:val="20"/>
                <w:color w:val="auto"/>
              </w:rPr>
            </w:pPr>
            <w:r>
              <w:rPr>
                <w:rFonts w:ascii="Arial" w:cs="Arial" w:eastAsia="Arial" w:hAnsi="Arial"/>
                <w:sz w:val="14"/>
                <w:szCs w:val="14"/>
                <w:color w:val="auto"/>
                <w:w w:val="92"/>
              </w:rPr>
              <w:t>-0.4%</w:t>
            </w:r>
          </w:p>
        </w:tc>
        <w:tc>
          <w:tcPr>
            <w:tcW w:w="100" w:type="dxa"/>
            <w:vAlign w:val="bottom"/>
          </w:tcPr>
          <w:p>
            <w:pPr>
              <w:spacing w:after="0"/>
              <w:rPr>
                <w:sz w:val="22"/>
                <w:szCs w:val="22"/>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2"/>
              </w:rPr>
              <w:t>-3.7%</w:t>
            </w:r>
          </w:p>
        </w:tc>
        <w:tc>
          <w:tcPr>
            <w:tcW w:w="0" w:type="dxa"/>
            <w:vAlign w:val="bottom"/>
          </w:tcPr>
          <w:p>
            <w:pPr>
              <w:spacing w:after="0"/>
              <w:rPr>
                <w:sz w:val="1"/>
                <w:szCs w:val="1"/>
                <w:color w:val="auto"/>
              </w:rPr>
            </w:pPr>
          </w:p>
        </w:tc>
      </w:tr>
      <w:tr>
        <w:trPr>
          <w:trHeight w:val="276"/>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+25 Basis Points</w:t>
            </w: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-1.1%</w:t>
            </w:r>
          </w:p>
        </w:tc>
        <w:tc>
          <w:tcPr>
            <w:tcW w:w="100" w:type="dxa"/>
            <w:vAlign w:val="bottom"/>
            <w:shd w:val="clear" w:color="auto" w:fill="CCEEFF"/>
          </w:tcPr>
          <w:p>
            <w:pPr>
              <w:spacing w:after="0"/>
              <w:rPr>
                <w:sz w:val="24"/>
                <w:szCs w:val="24"/>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-9.3%</w:t>
            </w:r>
          </w:p>
        </w:tc>
        <w:tc>
          <w:tcPr>
            <w:tcW w:w="0" w:type="dxa"/>
            <w:vAlign w:val="bottom"/>
          </w:tcPr>
          <w:p>
            <w:pPr>
              <w:spacing w:after="0"/>
              <w:rPr>
                <w:sz w:val="1"/>
                <w:szCs w:val="1"/>
                <w:color w:val="auto"/>
              </w:rPr>
            </w:pPr>
          </w:p>
        </w:tc>
      </w:tr>
      <w:tr>
        <w:trPr>
          <w:trHeight w:val="324"/>
        </w:trPr>
        <w:tc>
          <w:tcPr>
            <w:tcW w:w="3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As of December 31, 2015</w:t>
            </w: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180" w:type="dxa"/>
            <w:vAlign w:val="bottom"/>
            <w:gridSpan w:val="2"/>
          </w:tcPr>
          <w:p>
            <w:pPr>
              <w:ind w:left="20"/>
              <w:spacing w:after="0"/>
              <w:rPr>
                <w:sz w:val="20"/>
                <w:szCs w:val="20"/>
                <w:color w:val="auto"/>
              </w:rPr>
            </w:pPr>
            <w:r>
              <w:rPr>
                <w:rFonts w:ascii="Arial" w:cs="Arial" w:eastAsia="Arial" w:hAnsi="Arial"/>
                <w:sz w:val="14"/>
                <w:szCs w:val="14"/>
                <w:color w:val="auto"/>
              </w:rPr>
              <w:t>-25 Basis Points</w:t>
            </w:r>
          </w:p>
        </w:tc>
        <w:tc>
          <w:tcPr>
            <w:tcW w:w="1300" w:type="dxa"/>
            <w:vAlign w:val="bottom"/>
          </w:tcPr>
          <w:p>
            <w:pPr>
              <w:jc w:val="center"/>
              <w:spacing w:after="0"/>
              <w:rPr>
                <w:sz w:val="20"/>
                <w:szCs w:val="20"/>
                <w:color w:val="auto"/>
              </w:rPr>
            </w:pPr>
            <w:r>
              <w:rPr>
                <w:rFonts w:ascii="Arial" w:cs="Arial" w:eastAsia="Arial" w:hAnsi="Arial"/>
                <w:sz w:val="14"/>
                <w:szCs w:val="14"/>
                <w:color w:val="auto"/>
                <w:w w:val="94"/>
              </w:rPr>
              <w:t>+1.3%</w:t>
            </w:r>
          </w:p>
        </w:tc>
        <w:tc>
          <w:tcPr>
            <w:tcW w:w="100" w:type="dxa"/>
            <w:vAlign w:val="bottom"/>
          </w:tcPr>
          <w:p>
            <w:pPr>
              <w:spacing w:after="0"/>
              <w:rPr>
                <w:sz w:val="22"/>
                <w:szCs w:val="22"/>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5"/>
              </w:rPr>
              <w:t>+10.2%</w:t>
            </w:r>
          </w:p>
        </w:tc>
        <w:tc>
          <w:tcPr>
            <w:tcW w:w="0" w:type="dxa"/>
            <w:vAlign w:val="bottom"/>
          </w:tcPr>
          <w:p>
            <w:pPr>
              <w:spacing w:after="0"/>
              <w:rPr>
                <w:sz w:val="1"/>
                <w:szCs w:val="1"/>
                <w:color w:val="auto"/>
              </w:rPr>
            </w:pPr>
          </w:p>
        </w:tc>
      </w:tr>
      <w:tr>
        <w:trPr>
          <w:trHeight w:val="276"/>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-10 Basis Points</w:t>
            </w: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+0.5%</w:t>
            </w:r>
          </w:p>
        </w:tc>
        <w:tc>
          <w:tcPr>
            <w:tcW w:w="100" w:type="dxa"/>
            <w:vAlign w:val="bottom"/>
            <w:shd w:val="clear" w:color="auto" w:fill="CCEEFF"/>
          </w:tcPr>
          <w:p>
            <w:pPr>
              <w:spacing w:after="0"/>
              <w:rPr>
                <w:sz w:val="24"/>
                <w:szCs w:val="24"/>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+4.1%</w:t>
            </w:r>
          </w:p>
        </w:tc>
        <w:tc>
          <w:tcPr>
            <w:tcW w:w="0" w:type="dxa"/>
            <w:vAlign w:val="bottom"/>
          </w:tcPr>
          <w:p>
            <w:pPr>
              <w:spacing w:after="0"/>
              <w:rPr>
                <w:sz w:val="1"/>
                <w:szCs w:val="1"/>
                <w:color w:val="auto"/>
              </w:rPr>
            </w:pPr>
          </w:p>
        </w:tc>
      </w:tr>
      <w:tr>
        <w:trPr>
          <w:trHeight w:val="258"/>
        </w:trPr>
        <w:tc>
          <w:tcPr>
            <w:tcW w:w="3180" w:type="dxa"/>
            <w:vAlign w:val="bottom"/>
            <w:gridSpan w:val="2"/>
          </w:tcPr>
          <w:p>
            <w:pPr>
              <w:ind w:left="20"/>
              <w:spacing w:after="0"/>
              <w:rPr>
                <w:sz w:val="20"/>
                <w:szCs w:val="20"/>
                <w:color w:val="auto"/>
              </w:rPr>
            </w:pPr>
            <w:r>
              <w:rPr>
                <w:rFonts w:ascii="Arial" w:cs="Arial" w:eastAsia="Arial" w:hAnsi="Arial"/>
                <w:sz w:val="14"/>
                <w:szCs w:val="14"/>
                <w:color w:val="auto"/>
              </w:rPr>
              <w:t>+10 Basis Points</w:t>
            </w:r>
          </w:p>
        </w:tc>
        <w:tc>
          <w:tcPr>
            <w:tcW w:w="1300" w:type="dxa"/>
            <w:vAlign w:val="bottom"/>
          </w:tcPr>
          <w:p>
            <w:pPr>
              <w:jc w:val="center"/>
              <w:spacing w:after="0"/>
              <w:rPr>
                <w:sz w:val="20"/>
                <w:szCs w:val="20"/>
                <w:color w:val="auto"/>
              </w:rPr>
            </w:pPr>
            <w:r>
              <w:rPr>
                <w:rFonts w:ascii="Arial" w:cs="Arial" w:eastAsia="Arial" w:hAnsi="Arial"/>
                <w:sz w:val="14"/>
                <w:szCs w:val="14"/>
                <w:color w:val="auto"/>
                <w:w w:val="92"/>
              </w:rPr>
              <w:t>-0.5%</w:t>
            </w:r>
          </w:p>
        </w:tc>
        <w:tc>
          <w:tcPr>
            <w:tcW w:w="100" w:type="dxa"/>
            <w:vAlign w:val="bottom"/>
          </w:tcPr>
          <w:p>
            <w:pPr>
              <w:spacing w:after="0"/>
              <w:rPr>
                <w:sz w:val="22"/>
                <w:szCs w:val="22"/>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2"/>
              </w:rPr>
              <w:t>-4.1%</w:t>
            </w:r>
          </w:p>
        </w:tc>
        <w:tc>
          <w:tcPr>
            <w:tcW w:w="0" w:type="dxa"/>
            <w:vAlign w:val="bottom"/>
          </w:tcPr>
          <w:p>
            <w:pPr>
              <w:spacing w:after="0"/>
              <w:rPr>
                <w:sz w:val="1"/>
                <w:szCs w:val="1"/>
                <w:color w:val="auto"/>
              </w:rPr>
            </w:pPr>
          </w:p>
        </w:tc>
      </w:tr>
      <w:tr>
        <w:trPr>
          <w:trHeight w:val="270"/>
        </w:trPr>
        <w:tc>
          <w:tcPr>
            <w:tcW w:w="3180" w:type="dxa"/>
            <w:vAlign w:val="bottom"/>
            <w:gridSpan w:val="2"/>
          </w:tcPr>
          <w:p>
            <w:pPr>
              <w:ind w:left="20"/>
              <w:spacing w:after="0"/>
              <w:rPr>
                <w:sz w:val="20"/>
                <w:szCs w:val="20"/>
                <w:color w:val="auto"/>
              </w:rPr>
            </w:pPr>
            <w:r>
              <w:rPr>
                <w:rFonts w:ascii="Arial" w:cs="Arial" w:eastAsia="Arial" w:hAnsi="Arial"/>
                <w:sz w:val="14"/>
                <w:szCs w:val="14"/>
                <w:color w:val="auto"/>
              </w:rPr>
              <w:t>+25 Basis Points</w:t>
            </w:r>
          </w:p>
        </w:tc>
        <w:tc>
          <w:tcPr>
            <w:tcW w:w="1300" w:type="dxa"/>
            <w:vAlign w:val="bottom"/>
          </w:tcPr>
          <w:p>
            <w:pPr>
              <w:jc w:val="center"/>
              <w:spacing w:after="0"/>
              <w:rPr>
                <w:sz w:val="20"/>
                <w:szCs w:val="20"/>
                <w:color w:val="auto"/>
              </w:rPr>
            </w:pPr>
            <w:r>
              <w:rPr>
                <w:rFonts w:ascii="Arial" w:cs="Arial" w:eastAsia="Arial" w:hAnsi="Arial"/>
                <w:sz w:val="14"/>
                <w:szCs w:val="14"/>
                <w:color w:val="auto"/>
                <w:w w:val="92"/>
              </w:rPr>
              <w:t>-1.3%</w:t>
            </w:r>
          </w:p>
        </w:tc>
        <w:tc>
          <w:tcPr>
            <w:tcW w:w="100" w:type="dxa"/>
            <w:vAlign w:val="bottom"/>
          </w:tcPr>
          <w:p>
            <w:pPr>
              <w:spacing w:after="0"/>
              <w:rPr>
                <w:sz w:val="23"/>
                <w:szCs w:val="23"/>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4"/>
              </w:rPr>
              <w:t>-10.2%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1763395</wp:posOffset>
            </wp:positionH>
            <wp:positionV relativeFrom="paragraph">
              <wp:posOffset>-163195</wp:posOffset>
            </wp:positionV>
            <wp:extent cx="3730625"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730625" cy="17145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________________</w:t>
      </w:r>
    </w:p>
    <w:p>
      <w:pPr>
        <w:spacing w:after="0" w:line="6" w:lineRule="exact"/>
        <w:rPr>
          <w:sz w:val="20"/>
          <w:szCs w:val="20"/>
          <w:color w:val="auto"/>
        </w:rPr>
      </w:pPr>
    </w:p>
    <w:p>
      <w:pPr>
        <w:ind w:left="660" w:hanging="328"/>
        <w:spacing w:after="0" w:line="241" w:lineRule="auto"/>
        <w:tabs>
          <w:tab w:leader="none" w:pos="6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Spread sensitivity is derived from models that are dependent on inputs and assumptions provided by third parties, assumes there are no changes in interest rates and assumes a static portfolio. Actual results could differ materially from these estimates.</w:t>
      </w:r>
    </w:p>
    <w:p>
      <w:pPr>
        <w:ind w:left="660" w:hanging="328"/>
        <w:spacing w:after="0"/>
        <w:tabs>
          <w:tab w:leader="none" w:pos="6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Includes the effect of derivatives and other securities used for hedging purposes.</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Estimated dollar change in investment portfolio value expressed as a percent of the total fair value of our investment portfolio as of such date.</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35"/>
        </w:numPr>
        <w:rPr>
          <w:rFonts w:ascii="Arial" w:cs="Arial" w:eastAsia="Arial" w:hAnsi="Arial"/>
          <w:sz w:val="13"/>
          <w:szCs w:val="13"/>
          <w:color w:val="auto"/>
        </w:rPr>
      </w:pPr>
      <w:r>
        <w:rPr>
          <w:rFonts w:ascii="Arial" w:cs="Arial" w:eastAsia="Arial" w:hAnsi="Arial"/>
          <w:sz w:val="13"/>
          <w:szCs w:val="13"/>
          <w:color w:val="auto"/>
        </w:rPr>
        <w:t>Estimated dollar change in portfolio value expressed as a percent of stockholders' equity, net of the Series A and Series B Preferred Stock liquidation preference, as of such date.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Risk</w:t>
      </w:r>
    </w:p>
    <w:p>
      <w:pPr>
        <w:spacing w:after="0" w:line="171"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6"/>
          <w:szCs w:val="16"/>
          <w:color w:val="auto"/>
        </w:rPr>
        <w:t>The primary liquidity risk for us arises from financing long-term assets with shorter-term borrowings through repurchase agreements, FHLB advances and other short-term funding agreements. As of June 30, 2016, we had unrestricted cash and cash equivalents of $1.1 billion and unpledged securities of approximately $2.7 billion, including securities pledged to us and unpledged interests in our consolidated VIEs, available to meet margin calls on our funding liabilities and derivative contracts and for other corporate purposes. However, should the value of our collateral or the value of our derivative instruments suddenly decrease, margin calls relating to our funding liabilities and derivative agreements could increase, causing an adverse change in our liquidity position. Furthermore, there is no assurance that we will always be able to renew (or roll) our short-term funding liabilities. In addition, our counterparties have the option to increase our haircuts (margin requirements) on the assets we pledge against our funding liabilities, thereby reducing the amount that can be borrowed against an asset even if they agree to renew or roll such funding liabilities. Significantly higher haircuts can reduce our ability to leverage our portfolio or even force us to sell assets, especially if correlated with asset price declines or faster prepayment rates on our assets.</w:t>
      </w:r>
    </w:p>
    <w:p>
      <w:pPr>
        <w:spacing w:after="0" w:line="11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addition, we often utilize TBA dollar roll transactions as a means of investing in and financing agency mortgage-backed securities. Under certain economic conditions it may be uneconomical to roll our TBA dollar roll transactions prior to the settlement date and we could have to take physical delivery of the underlying securities and settle our obligations for cash, which could negatively impact our liquidity position, result in defaults or force us to sell assets under adverse conditions.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Extension Risk</w:t>
      </w:r>
    </w:p>
    <w:p>
      <w:pPr>
        <w:spacing w:after="0" w:line="171"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projected weighted-average life and estimated duration, or interest rate sensitivity, of our investments is based on our assumptions regarding the rate at which the borrowers will prepay the underlying mortgage loans. In general, we use interest rate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584" w:right="239" w:bottom="1440" w:gutter="0" w:footer="0" w:header="0"/>
        </w:sectPr>
      </w:pPr>
    </w:p>
    <w:bookmarkStart w:id="53" w:name="page54"/>
    <w:bookmarkEnd w:id="53"/>
    <w:p>
      <w:pPr>
        <w:jc w:val="both"/>
        <w:spacing w:after="0" w:line="264" w:lineRule="auto"/>
        <w:rPr>
          <w:sz w:val="20"/>
          <w:szCs w:val="20"/>
          <w:color w:val="auto"/>
        </w:rPr>
      </w:pPr>
      <w:r>
        <w:rPr>
          <w:rFonts w:ascii="Arial" w:cs="Arial" w:eastAsia="Arial" w:hAnsi="Arial"/>
          <w:sz w:val="18"/>
          <w:szCs w:val="18"/>
          <w:color w:val="auto"/>
        </w:rPr>
        <w:t>swaps and swaptions to help manage our funding cost on our investments in the event that interest rates rise. These swaps (or swaptions) allow us to reduce our funding exposure on the notional amount of the swap for a specified period of time by establishing a fixed rate to pay in exchange for receiving a floating rate that generally tracks our financing costs under our funding liabilities.</w:t>
      </w:r>
    </w:p>
    <w:p>
      <w:pPr>
        <w:spacing w:after="0" w:line="127"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However, if prepayment rates decrease in a rising interest rate environment, the average life or duration of our fixed rate assets generally extends. This could have a negative impact on our results from operations, as our interest rate swap maturities are fixed and will, therefore, cover a smaller percentage of our funding exposure on our mortgage assets to the extent that their average lives increase due to slower prepayments. This situation may also cause the market value of our fixed rate securities to decline by more than otherwise would be the case while most of our hedging instruments would not receive any incremental offsetting gains. In extreme situations, we may be forced to sell assets to maintain adequate liquidity, which could cause us to incur realized losses.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225"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We are exposed to credit risk relating to potential losses that could be recognized on our non-agency securities due to delinquency, foreclosure and related losses on the underlying mortgage loans, and to counterparty credit risk relating to potential losses on our repurchase agreements, other debt and derivative contracts in the event that the counterparties fail to perform their obligations under such agreements. The amount of assets we pledge as collateral in accordance with our agreements varies over time based on the market value and notional amount of such assets as well as the value of our derivative contracts. In the event of a default by a counterparty, we may not receive payments provided for under the terms of our agreements and may have difficulty obtaining our assets pledged as collateral under such agreements. Our credit risk related to certain derivative transactions is largely mitigated through daily adjustments to collateral pledged based on changes in market value and we limit our counterparties to major financial institutions with acceptable credit ratings. We seek to manage credit risk related to investments in non-agency securities through prudent asset selection, pre-acquisition due diligence, post-acquisition performance monitoring, sale of assets where we have identified negative credit trends and the use of various types of credit enhancements. Our overall management of credit exposure may also include the use of credit default swaps or other financial derivatives that we believe are appropriate. Additionally, we intend to limit our non-agency mortgage investments to investment grade, AAA rated securities and to up to 10% of our portfolio. However, there is no guarantee our efforts to manage credit risk will be successful and we could suffer significant losses if unsuccessful.</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Risk</w:t>
      </w:r>
    </w:p>
    <w:p>
      <w:pPr>
        <w:spacing w:after="0" w:line="17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Virtually all of our assets and liabilities are interest rate sensitive in nature. As a result, interest rates and other factors influence our performance more so than does inflation. Changes in interest rates do not necessarily correlate with inflation rates or changes in inflation rates. Further, our consolidated financial statements are prepared in accordance with GAAP and our distributions are determined by our Board of Directors based in part on our net income as calculated for income tax purposes. In each case, our activities and consolidated balance sheets are measured with reference to historical cost and/or fair market value without considering inflation.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94"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in our Securities Exchange Act of 1934, as amended (the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based on the definition of "disclosure controls and procedures" as promulgated under the Exchange Act and the rules and regulations thereunder. In designing and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possible controls and procedures.</w:t>
      </w:r>
    </w:p>
    <w:p>
      <w:pPr>
        <w:spacing w:after="0" w:line="3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including our Chief Executive Officer and Chief Financial Officer, evaluated the effectiveness of the design and operation of our disclosure controls and procedures as of June 30, 2016. Based on the foregoing, our Chief Executive Officer and Chief Financial Officer concluded that our disclosure controls and procedures were effective.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90"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There have been no changes in our "internal control over financial reporting" (as defined in Rule 13a-15(f) of the Exchange Act) that occurred during the last fiscal quarter that have materially affected, or are reasonably likely to materially affect, our internal control over financial reporting.</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746" w:right="239" w:bottom="1440" w:gutter="0" w:footer="0" w:header="0"/>
        </w:sectPr>
      </w:pPr>
    </w:p>
    <w:bookmarkStart w:id="54" w:name="page55"/>
    <w:bookmarkEnd w:id="54"/>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108" w:lineRule="exact"/>
        <w:rPr>
          <w:sz w:val="20"/>
          <w:szCs w:val="20"/>
          <w:color w:val="auto"/>
        </w:rPr>
      </w:pPr>
    </w:p>
    <w:p>
      <w:pPr>
        <w:ind w:right="560" w:firstLine="432"/>
        <w:spacing w:after="0" w:line="264" w:lineRule="auto"/>
        <w:rPr>
          <w:sz w:val="20"/>
          <w:szCs w:val="20"/>
          <w:color w:val="auto"/>
        </w:rPr>
      </w:pPr>
      <w:r>
        <w:rPr>
          <w:rFonts w:ascii="Arial" w:cs="Arial" w:eastAsia="Arial" w:hAnsi="Arial"/>
          <w:sz w:val="18"/>
          <w:szCs w:val="18"/>
          <w:color w:val="auto"/>
        </w:rPr>
        <w:t>From time to time, we may be involved in various claims and legal actions arising in the ordinary course of business. Neither we, nor any of our consolidated subsidiaries, are currently subject to any material litigation nor, to our knowledge, is any material litigation threatened against us or any consolidated subsidiary.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4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There have been no material changes to the risk factors previously disclosed in our Annual Report on Form 10-K for the year ended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Defaults upon Senior Securities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Other Information</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Exhibits and Financial Statement Schedules</w:t>
      </w:r>
    </w:p>
    <w:p>
      <w:pPr>
        <w:spacing w:after="0" w:line="175"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7"/>
          <w:szCs w:val="17"/>
          <w:color w:val="auto"/>
        </w:rPr>
        <w:t>Exhibit Index</w:t>
      </w:r>
    </w:p>
    <w:p>
      <w:pPr>
        <w:spacing w:after="0" w:line="163"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4"/>
          <w:szCs w:val="14"/>
          <w:b w:val="1"/>
          <w:bCs w:val="1"/>
          <w:u w:val="single" w:color="auto"/>
          <w:color w:val="auto"/>
        </w:rPr>
        <w:t>Exhibit No.</w:t>
      </w:r>
      <w:r>
        <w:rPr>
          <w:sz w:val="20"/>
          <w:szCs w:val="20"/>
          <w:color w:val="auto"/>
        </w:rPr>
        <w:tab/>
      </w:r>
      <w:r>
        <w:rPr>
          <w:rFonts w:ascii="Arial" w:cs="Arial" w:eastAsia="Arial" w:hAnsi="Arial"/>
          <w:sz w:val="12"/>
          <w:szCs w:val="12"/>
          <w:b w:val="1"/>
          <w:bCs w:val="1"/>
          <w:u w:val="single" w:color="auto"/>
          <w:color w:val="auto"/>
        </w:rPr>
        <w:t>Description</w:t>
      </w:r>
    </w:p>
    <w:p>
      <w:pPr>
        <w:spacing w:after="0" w:line="172" w:lineRule="exact"/>
        <w:rPr>
          <w:sz w:val="20"/>
          <w:szCs w:val="20"/>
          <w:color w:val="auto"/>
        </w:rPr>
      </w:pPr>
    </w:p>
    <w:p>
      <w:pPr>
        <w:jc w:val="both"/>
        <w:ind w:left="1300" w:hanging="449"/>
        <w:spacing w:after="0" w:line="264" w:lineRule="auto"/>
        <w:rPr>
          <w:sz w:val="20"/>
          <w:szCs w:val="20"/>
          <w:color w:val="auto"/>
        </w:rPr>
      </w:pPr>
      <w:r>
        <w:rPr>
          <w:rFonts w:ascii="Arial" w:cs="Arial" w:eastAsia="Arial" w:hAnsi="Arial"/>
          <w:sz w:val="18"/>
          <w:szCs w:val="18"/>
          <w:color w:val="auto"/>
        </w:rPr>
        <w:t>*2.1 Purchase and Sale Agreement, dated May 23, 2016, by and among American Capital Asset Management, LLC, American Capital Mortgage Management, LLC, American Capital, Ltd. and American Capital Agency Corp., incorporated herein by reference to Exhibit 2.1 of Form 8-K (File No. 001-34057), filed May 25, 2016.</w:t>
      </w:r>
    </w:p>
    <w:p>
      <w:pPr>
        <w:spacing w:after="0" w:line="141" w:lineRule="exact"/>
        <w:rPr>
          <w:sz w:val="20"/>
          <w:szCs w:val="20"/>
          <w:color w:val="auto"/>
        </w:rPr>
      </w:pPr>
    </w:p>
    <w:p>
      <w:pPr>
        <w:ind w:left="1300" w:right="260" w:hanging="449"/>
        <w:spacing w:after="0" w:line="264" w:lineRule="auto"/>
        <w:rPr>
          <w:sz w:val="20"/>
          <w:szCs w:val="20"/>
          <w:color w:val="auto"/>
        </w:rPr>
      </w:pPr>
      <w:r>
        <w:rPr>
          <w:rFonts w:ascii="Arial" w:cs="Arial" w:eastAsia="Arial" w:hAnsi="Arial"/>
          <w:sz w:val="18"/>
          <w:szCs w:val="18"/>
          <w:color w:val="auto"/>
        </w:rPr>
        <w:t>*2.2 Transition Services Agreement, dated July 1, 2016, by and among American Capital Agency Corp., American Capital, Ltd., American Capital Asset Management, LLC and American Capital Mortgage Management, LLC, incorporated herein by reference to Exhibit 2.1 of Form 8-K (File No. 001-34057), filed July 8, 2016.</w:t>
      </w:r>
    </w:p>
    <w:p>
      <w:pPr>
        <w:spacing w:after="0" w:line="141" w:lineRule="exact"/>
        <w:rPr>
          <w:sz w:val="20"/>
          <w:szCs w:val="20"/>
          <w:color w:val="auto"/>
        </w:rPr>
      </w:pPr>
    </w:p>
    <w:p>
      <w:pPr>
        <w:ind w:left="1300" w:right="460" w:hanging="449"/>
        <w:spacing w:after="0" w:line="277" w:lineRule="auto"/>
        <w:rPr>
          <w:sz w:val="20"/>
          <w:szCs w:val="20"/>
          <w:color w:val="auto"/>
        </w:rPr>
      </w:pPr>
      <w:r>
        <w:rPr>
          <w:rFonts w:ascii="Arial" w:cs="Arial" w:eastAsia="Arial" w:hAnsi="Arial"/>
          <w:sz w:val="18"/>
          <w:szCs w:val="18"/>
          <w:color w:val="auto"/>
        </w:rPr>
        <w:t>*3.1 American Capital Agency Corp. Amended and Restated Certificate of Incorporation, as amended, incorporated herein by reference to Exhibit 3.1 of Form 10-Q for the quarter ended March 31, 2016 (File No.001-34057), filed May 5, 2016.</w:t>
      </w:r>
    </w:p>
    <w:p>
      <w:pPr>
        <w:spacing w:after="0" w:line="130" w:lineRule="exact"/>
        <w:rPr>
          <w:sz w:val="20"/>
          <w:szCs w:val="20"/>
          <w:color w:val="auto"/>
        </w:rPr>
      </w:pPr>
    </w:p>
    <w:p>
      <w:pPr>
        <w:ind w:left="1300" w:right="300" w:hanging="449"/>
        <w:spacing w:after="0" w:line="277" w:lineRule="auto"/>
        <w:rPr>
          <w:sz w:val="20"/>
          <w:szCs w:val="20"/>
          <w:color w:val="auto"/>
        </w:rPr>
      </w:pPr>
      <w:r>
        <w:rPr>
          <w:rFonts w:ascii="Arial" w:cs="Arial" w:eastAsia="Arial" w:hAnsi="Arial"/>
          <w:sz w:val="18"/>
          <w:szCs w:val="18"/>
          <w:color w:val="auto"/>
        </w:rPr>
        <w:t>*3.2 American Capital Agency Corp. Second Amended and Restated Bylaws, as amended, incorporated herein by reference to Exhibit 3.2 of Form 10-K for the year ended December 31, 2011 (File No. 001-34057), filed February 23, 2012.</w:t>
      </w:r>
    </w:p>
    <w:p>
      <w:pPr>
        <w:spacing w:after="0" w:line="130" w:lineRule="exact"/>
        <w:rPr>
          <w:sz w:val="20"/>
          <w:szCs w:val="20"/>
          <w:color w:val="auto"/>
        </w:rPr>
      </w:pPr>
    </w:p>
    <w:p>
      <w:pPr>
        <w:ind w:left="1300" w:right="40" w:hanging="449"/>
        <w:spacing w:after="0" w:line="277" w:lineRule="auto"/>
        <w:rPr>
          <w:sz w:val="20"/>
          <w:szCs w:val="20"/>
          <w:color w:val="auto"/>
        </w:rPr>
      </w:pPr>
      <w:r>
        <w:rPr>
          <w:rFonts w:ascii="Arial" w:cs="Arial" w:eastAsia="Arial" w:hAnsi="Arial"/>
          <w:sz w:val="18"/>
          <w:szCs w:val="18"/>
          <w:color w:val="auto"/>
        </w:rPr>
        <w:t>*3.3 Certificate of Designations of 8.000% Series A Cumulative Redeemable Preferred Stock, incorporated herein by reference to Exhibit 3.1 of Form 8-K (File No 001-34057), filed April 3, 2012.</w:t>
      </w:r>
    </w:p>
    <w:p>
      <w:pPr>
        <w:spacing w:after="0" w:line="130" w:lineRule="exact"/>
        <w:rPr>
          <w:sz w:val="20"/>
          <w:szCs w:val="20"/>
          <w:color w:val="auto"/>
        </w:rPr>
      </w:pPr>
    </w:p>
    <w:p>
      <w:pPr>
        <w:ind w:left="1300" w:right="60" w:hanging="449"/>
        <w:spacing w:after="0" w:line="277" w:lineRule="auto"/>
        <w:rPr>
          <w:sz w:val="20"/>
          <w:szCs w:val="20"/>
          <w:color w:val="auto"/>
        </w:rPr>
      </w:pPr>
      <w:r>
        <w:rPr>
          <w:rFonts w:ascii="Arial" w:cs="Arial" w:eastAsia="Arial" w:hAnsi="Arial"/>
          <w:sz w:val="18"/>
          <w:szCs w:val="18"/>
          <w:color w:val="auto"/>
        </w:rPr>
        <w:t>*3.4 Certificate of Designations of 7.750% Series B Cumulative Redeemable Preferred Stock, incorporated herein by reference to Exhibit 3.3 of Form 8-A (File No. 001-34057), filed May 7, 2014.</w:t>
      </w:r>
    </w:p>
    <w:p>
      <w:pPr>
        <w:spacing w:after="0" w:line="130" w:lineRule="exact"/>
        <w:rPr>
          <w:sz w:val="20"/>
          <w:szCs w:val="20"/>
          <w:color w:val="auto"/>
        </w:rPr>
      </w:pPr>
    </w:p>
    <w:p>
      <w:pPr>
        <w:ind w:left="1300" w:right="200" w:hanging="449"/>
        <w:spacing w:after="0" w:line="264" w:lineRule="auto"/>
        <w:rPr>
          <w:sz w:val="20"/>
          <w:szCs w:val="20"/>
          <w:color w:val="auto"/>
        </w:rPr>
      </w:pPr>
      <w:r>
        <w:rPr>
          <w:rFonts w:ascii="Arial" w:cs="Arial" w:eastAsia="Arial" w:hAnsi="Arial"/>
          <w:sz w:val="18"/>
          <w:szCs w:val="18"/>
          <w:color w:val="auto"/>
        </w:rPr>
        <w:t>*4.1 Instruments defining the rights of holders of securities: See Article IV of our Amended and Restated Certificate of Incorporation, as amended, incorporated herein by reference to Exhibit 3.1 of Form 10-Q for the quarter ended March 31, 2012 (File No. 001-34057), filed May 9, 2012.</w:t>
      </w:r>
    </w:p>
    <w:p>
      <w:pPr>
        <w:spacing w:after="0" w:line="141" w:lineRule="exact"/>
        <w:rPr>
          <w:sz w:val="20"/>
          <w:szCs w:val="20"/>
          <w:color w:val="auto"/>
        </w:rPr>
      </w:pPr>
    </w:p>
    <w:p>
      <w:pPr>
        <w:ind w:left="1300" w:right="180" w:hanging="449"/>
        <w:spacing w:after="0" w:line="264" w:lineRule="auto"/>
        <w:rPr>
          <w:sz w:val="20"/>
          <w:szCs w:val="20"/>
          <w:color w:val="auto"/>
        </w:rPr>
      </w:pPr>
      <w:r>
        <w:rPr>
          <w:rFonts w:ascii="Arial" w:cs="Arial" w:eastAsia="Arial" w:hAnsi="Arial"/>
          <w:sz w:val="18"/>
          <w:szCs w:val="18"/>
          <w:color w:val="auto"/>
        </w:rPr>
        <w:t>*4.2 Instruments defining the rights of holders of securities: See Article VI of our Second Amended and Restated Bylaws, as amended, incorporated herein by reference to Exhibit 3.2 of Form 10-K for the year ended December 31, 2011 (File No. 001-34057), filed February 23, 2012.</w:t>
      </w:r>
    </w:p>
    <w:p>
      <w:pPr>
        <w:spacing w:after="0" w:line="141" w:lineRule="exact"/>
        <w:rPr>
          <w:sz w:val="20"/>
          <w:szCs w:val="20"/>
          <w:color w:val="auto"/>
        </w:rPr>
      </w:pPr>
    </w:p>
    <w:p>
      <w:pPr>
        <w:ind w:left="1300" w:right="100" w:hanging="449"/>
        <w:spacing w:after="0" w:line="277" w:lineRule="auto"/>
        <w:rPr>
          <w:sz w:val="20"/>
          <w:szCs w:val="20"/>
          <w:color w:val="auto"/>
        </w:rPr>
      </w:pPr>
      <w:r>
        <w:rPr>
          <w:rFonts w:ascii="Arial" w:cs="Arial" w:eastAsia="Arial" w:hAnsi="Arial"/>
          <w:sz w:val="18"/>
          <w:szCs w:val="18"/>
          <w:color w:val="auto"/>
        </w:rPr>
        <w:t>*4.3 Form of Certificate for Common Stock, incorporated herein by reference to Exhibit 4.1 to Amendment No. 4 to the Registration Statement on Form S-11 (Registration No. 333-149167), filed May 9, 2008.</w:t>
      </w:r>
    </w:p>
    <w:p>
      <w:pPr>
        <w:sectPr>
          <w:pgSz w:w="11900" w:h="16838" w:orient="portrait"/>
          <w:cols w:equalWidth="0" w:num="1">
            <w:col w:w="11380"/>
          </w:cols>
          <w:pgMar w:left="240" w:top="580" w:right="279" w:bottom="1440" w:gutter="0" w:footer="0" w:header="0"/>
        </w:sectPr>
      </w:pP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380"/>
          </w:cols>
          <w:pgMar w:left="240" w:top="580" w:right="279" w:bottom="1440" w:gutter="0" w:footer="0" w:header="0"/>
          <w:type w:val="continuous"/>
        </w:sectPr>
      </w:pPr>
    </w:p>
    <w:bookmarkStart w:id="55" w:name="page56"/>
    <w:bookmarkEnd w:id="55"/>
    <w:p>
      <w:pPr>
        <w:ind w:left="1300" w:hanging="449"/>
        <w:spacing w:after="0" w:line="277" w:lineRule="auto"/>
        <w:rPr>
          <w:sz w:val="20"/>
          <w:szCs w:val="20"/>
          <w:color w:val="auto"/>
        </w:rPr>
      </w:pPr>
      <w:r>
        <w:rPr>
          <w:rFonts w:ascii="Arial" w:cs="Arial" w:eastAsia="Arial" w:hAnsi="Arial"/>
          <w:sz w:val="18"/>
          <w:szCs w:val="18"/>
          <w:color w:val="auto"/>
        </w:rPr>
        <w:t>*4.4 Specimen 8.000% Series A Cumulative Redeemable Preferred Stock Certificate, incorporated herein by reference to Exhibit 4.1 of Form 8-K (File No. 001-34057), filed April 3, 2012.</w:t>
      </w:r>
    </w:p>
    <w:p>
      <w:pPr>
        <w:spacing w:after="0" w:line="130" w:lineRule="exact"/>
        <w:rPr>
          <w:sz w:val="20"/>
          <w:szCs w:val="20"/>
          <w:color w:val="auto"/>
        </w:rPr>
      </w:pPr>
    </w:p>
    <w:p>
      <w:pPr>
        <w:ind w:left="1300" w:hanging="449"/>
        <w:spacing w:after="0" w:line="277" w:lineRule="auto"/>
        <w:rPr>
          <w:sz w:val="20"/>
          <w:szCs w:val="20"/>
          <w:color w:val="auto"/>
        </w:rPr>
      </w:pPr>
      <w:r>
        <w:rPr>
          <w:rFonts w:ascii="Arial" w:cs="Arial" w:eastAsia="Arial" w:hAnsi="Arial"/>
          <w:sz w:val="18"/>
          <w:szCs w:val="18"/>
          <w:color w:val="auto"/>
        </w:rPr>
        <w:t>*4.5 Specimen 7.750% Series B Cumulative Redeemable Preferred Stock Certificate, incorporated herein by reference to Exhibit 4.1 of Form 8-A (File No. 001-34057), filed May 7, 2014.</w:t>
      </w:r>
    </w:p>
    <w:p>
      <w:pPr>
        <w:spacing w:after="0" w:line="130" w:lineRule="exact"/>
        <w:rPr>
          <w:sz w:val="20"/>
          <w:szCs w:val="20"/>
          <w:color w:val="auto"/>
        </w:rPr>
      </w:pPr>
    </w:p>
    <w:p>
      <w:pPr>
        <w:ind w:left="1300" w:right="100" w:hanging="449"/>
        <w:spacing w:after="0" w:line="342" w:lineRule="auto"/>
        <w:rPr>
          <w:sz w:val="20"/>
          <w:szCs w:val="20"/>
          <w:color w:val="auto"/>
        </w:rPr>
      </w:pPr>
      <w:r>
        <w:rPr>
          <w:rFonts w:ascii="Arial" w:cs="Arial" w:eastAsia="Arial" w:hAnsi="Arial"/>
          <w:sz w:val="16"/>
          <w:szCs w:val="16"/>
          <w:color w:val="auto"/>
        </w:rPr>
        <w:t>*4.6 Deposit Agreement, dated May 8, 2014, among American Capital Agency Corp., Computershare Inc. and Computershare Trust Company, N.A., jointly as depositary, incorporated herein by reference to Exhibit 4.2 of Form 8-K (File No. 001-34067), filed May 8, 2014.</w:t>
      </w:r>
    </w:p>
    <w:p>
      <w:pPr>
        <w:spacing w:after="0" w:line="83" w:lineRule="exact"/>
        <w:rPr>
          <w:sz w:val="20"/>
          <w:szCs w:val="20"/>
          <w:color w:val="auto"/>
        </w:rPr>
      </w:pPr>
    </w:p>
    <w:p>
      <w:pPr>
        <w:ind w:left="840"/>
        <w:spacing w:after="0"/>
        <w:rPr>
          <w:sz w:val="20"/>
          <w:szCs w:val="20"/>
          <w:color w:val="auto"/>
        </w:rPr>
      </w:pPr>
      <w:r>
        <w:rPr>
          <w:rFonts w:ascii="Arial" w:cs="Arial" w:eastAsia="Arial" w:hAnsi="Arial"/>
          <w:sz w:val="17"/>
          <w:szCs w:val="17"/>
          <w:color w:val="auto"/>
        </w:rPr>
        <w:t>*4.7  Form of Depositary Receipt, incorporated herein by reference to Exhibit 4.3 of Form 8-K (File No. 001-34067), filed May 8, 2014.</w:t>
      </w:r>
    </w:p>
    <w:p>
      <w:pPr>
        <w:spacing w:after="0" w:line="196" w:lineRule="exact"/>
        <w:rPr>
          <w:sz w:val="20"/>
          <w:szCs w:val="20"/>
          <w:color w:val="auto"/>
        </w:rPr>
      </w:pPr>
    </w:p>
    <w:p>
      <w:pPr>
        <w:ind w:left="1300" w:right="140" w:hanging="539"/>
        <w:spacing w:after="0" w:line="342" w:lineRule="auto"/>
        <w:rPr>
          <w:sz w:val="20"/>
          <w:szCs w:val="20"/>
          <w:color w:val="auto"/>
        </w:rPr>
      </w:pPr>
      <w:r>
        <w:rPr>
          <w:rFonts w:ascii="Arial" w:cs="Arial" w:eastAsia="Arial" w:hAnsi="Arial"/>
          <w:sz w:val="16"/>
          <w:szCs w:val="16"/>
          <w:color w:val="auto"/>
        </w:rPr>
        <w:t>*10.1 Form of American Capital Agency Corp. Amended and Restated Equity Incentive Plan for Independent Directors, incorporated herein by reference to Appendix 1 of the Definitive Proxy Statement for the 2016 Annual Meeting (File No. 001-34057), filed March 11, 2016.</w:t>
      </w:r>
    </w:p>
    <w:p>
      <w:pPr>
        <w:spacing w:after="0" w:line="83" w:lineRule="exact"/>
        <w:rPr>
          <w:sz w:val="20"/>
          <w:szCs w:val="20"/>
          <w:color w:val="auto"/>
        </w:rPr>
      </w:pPr>
    </w:p>
    <w:p>
      <w:pPr>
        <w:ind w:left="1300" w:right="100" w:hanging="539"/>
        <w:spacing w:after="0" w:line="342" w:lineRule="auto"/>
        <w:rPr>
          <w:sz w:val="20"/>
          <w:szCs w:val="20"/>
          <w:color w:val="auto"/>
        </w:rPr>
      </w:pPr>
      <w:r>
        <w:rPr>
          <w:rFonts w:ascii="Arial" w:cs="Arial" w:eastAsia="Arial" w:hAnsi="Arial"/>
          <w:sz w:val="16"/>
          <w:szCs w:val="16"/>
          <w:color w:val="auto"/>
        </w:rPr>
        <w:t>*10.2 Employment Agreement, dated September 22, 2014, as amended on July 1, 2016, by and between American Capital Mortgage Management, LLC and Gary Kain, incorporated herein by reference to Exhibit 10.1 of Form 8-K (File No. 001-34057), filed July 8, 2016.</w:t>
      </w:r>
    </w:p>
    <w:p>
      <w:pPr>
        <w:spacing w:after="0" w:line="83" w:lineRule="exact"/>
        <w:rPr>
          <w:sz w:val="20"/>
          <w:szCs w:val="20"/>
          <w:color w:val="auto"/>
        </w:rPr>
      </w:pPr>
    </w:p>
    <w:p>
      <w:pPr>
        <w:ind w:left="1300" w:right="200" w:hanging="539"/>
        <w:spacing w:after="0" w:line="342" w:lineRule="auto"/>
        <w:rPr>
          <w:sz w:val="20"/>
          <w:szCs w:val="20"/>
          <w:color w:val="auto"/>
        </w:rPr>
      </w:pPr>
      <w:r>
        <w:rPr>
          <w:rFonts w:ascii="Arial" w:cs="Arial" w:eastAsia="Arial" w:hAnsi="Arial"/>
          <w:sz w:val="16"/>
          <w:szCs w:val="16"/>
          <w:color w:val="auto"/>
        </w:rPr>
        <w:t>*10.3 Employment Agreement, dated March 30, 2012, as amended on July 1, 2016, by and between American Capital Mortgage Management, LLC and Peter J. Federico, incorporated herein by reference to Exhibit 10.2 of Form 8-K (File No. 001-34057), filed July 8, 2016.</w:t>
      </w:r>
    </w:p>
    <w:p>
      <w:pPr>
        <w:spacing w:after="0" w:line="83" w:lineRule="exact"/>
        <w:rPr>
          <w:sz w:val="20"/>
          <w:szCs w:val="20"/>
          <w:color w:val="auto"/>
        </w:rPr>
      </w:pPr>
    </w:p>
    <w:p>
      <w:pPr>
        <w:ind w:left="1300" w:right="200" w:hanging="539"/>
        <w:spacing w:after="0" w:line="342" w:lineRule="auto"/>
        <w:rPr>
          <w:sz w:val="20"/>
          <w:szCs w:val="20"/>
          <w:color w:val="auto"/>
        </w:rPr>
      </w:pPr>
      <w:r>
        <w:rPr>
          <w:rFonts w:ascii="Arial" w:cs="Arial" w:eastAsia="Arial" w:hAnsi="Arial"/>
          <w:sz w:val="16"/>
          <w:szCs w:val="16"/>
          <w:color w:val="auto"/>
        </w:rPr>
        <w:t>*10.4 Employment Agreement, dated March 30, 2012, as amended on July 1, 2016, by and between American Capital Mortgage Management, LLC and Christopher J. Kuehl, incorporated herein by reference to Exhibit 10.3 of Form 8-K (File No. 001-34057), filed July 8, 2016.</w:t>
      </w:r>
    </w:p>
    <w:p>
      <w:pPr>
        <w:spacing w:after="0" w:line="83" w:lineRule="exact"/>
        <w:rPr>
          <w:sz w:val="20"/>
          <w:szCs w:val="20"/>
          <w:color w:val="auto"/>
        </w:rPr>
      </w:pPr>
    </w:p>
    <w:p>
      <w:pPr>
        <w:ind w:left="1300" w:right="140" w:hanging="539"/>
        <w:spacing w:after="0" w:line="342" w:lineRule="auto"/>
        <w:rPr>
          <w:sz w:val="20"/>
          <w:szCs w:val="20"/>
          <w:color w:val="auto"/>
        </w:rPr>
      </w:pPr>
      <w:r>
        <w:rPr>
          <w:rFonts w:ascii="Arial" w:cs="Arial" w:eastAsia="Arial" w:hAnsi="Arial"/>
          <w:sz w:val="16"/>
          <w:szCs w:val="16"/>
          <w:color w:val="auto"/>
        </w:rPr>
        <w:t>*10.5 Letter Agreement, dated December 1, 2015, as amended on July 1, 2016, by and between American Capital Mortgage Management, LLC and Bernice E. Bell, incorporated herein by reference to Exhibit 10.4 of Form 8-K (File No. 001-34057), filed July 8, 2016.</w:t>
      </w:r>
    </w:p>
    <w:p>
      <w:pPr>
        <w:spacing w:after="0" w:line="83" w:lineRule="exact"/>
        <w:rPr>
          <w:sz w:val="20"/>
          <w:szCs w:val="20"/>
          <w:color w:val="auto"/>
        </w:rPr>
      </w:pPr>
    </w:p>
    <w:p>
      <w:pPr>
        <w:ind w:left="1300" w:right="320" w:hanging="539"/>
        <w:spacing w:after="0" w:line="277" w:lineRule="auto"/>
        <w:rPr>
          <w:sz w:val="20"/>
          <w:szCs w:val="20"/>
          <w:color w:val="auto"/>
        </w:rPr>
      </w:pPr>
      <w:r>
        <w:rPr>
          <w:rFonts w:ascii="Arial" w:cs="Arial" w:eastAsia="Arial" w:hAnsi="Arial"/>
          <w:sz w:val="18"/>
          <w:szCs w:val="18"/>
          <w:color w:val="auto"/>
        </w:rPr>
        <w:t>*10.6 Retention Bonus Grant Letter, dated July 1, 2016, by and between American Capital Mortgage Management, LLC and Bernice E. Bell, incorporated herein by reference to Exhibit 10.5 of Form 8-K (File No. 001-34057), filed July 8, 2016.</w:t>
      </w:r>
    </w:p>
    <w:p>
      <w:pPr>
        <w:spacing w:after="0" w:line="130" w:lineRule="exact"/>
        <w:rPr>
          <w:sz w:val="20"/>
          <w:szCs w:val="20"/>
          <w:color w:val="auto"/>
        </w:rPr>
      </w:pPr>
    </w:p>
    <w:p>
      <w:pPr>
        <w:ind w:left="840"/>
        <w:spacing w:after="0"/>
        <w:rPr>
          <w:sz w:val="20"/>
          <w:szCs w:val="20"/>
          <w:color w:val="auto"/>
        </w:rPr>
      </w:pPr>
      <w:r>
        <w:rPr>
          <w:rFonts w:ascii="Arial" w:cs="Arial" w:eastAsia="Arial" w:hAnsi="Arial"/>
          <w:sz w:val="18"/>
          <w:szCs w:val="18"/>
          <w:color w:val="auto"/>
        </w:rPr>
        <w:t>31.1  Certification of CEO Pursuant to Section 302(a) of the Sarbanes-Oxley Act of 2002.</w:t>
      </w:r>
    </w:p>
    <w:p>
      <w:pPr>
        <w:spacing w:after="0" w:line="18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31.2  Certification of CFO Pursuant to Section 302(a) of the Sarbanes-Oxley Act of 2002.</w:t>
      </w:r>
    </w:p>
    <w:p>
      <w:pPr>
        <w:spacing w:after="0" w:line="185" w:lineRule="exact"/>
        <w:rPr>
          <w:sz w:val="20"/>
          <w:szCs w:val="20"/>
          <w:color w:val="auto"/>
        </w:rPr>
      </w:pPr>
    </w:p>
    <w:p>
      <w:pPr>
        <w:ind w:left="380" w:right="3480" w:firstLine="596"/>
        <w:spacing w:after="0" w:line="454" w:lineRule="auto"/>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Certification of CEO and CFO Pursuant to Section 906 of the Sarbanes-Oxley Act of 2002. 101.INS** XBRL Instance Document</w:t>
      </w:r>
    </w:p>
    <w:p>
      <w:pPr>
        <w:ind w:left="320"/>
        <w:spacing w:after="0"/>
        <w:rPr>
          <w:sz w:val="20"/>
          <w:szCs w:val="20"/>
          <w:color w:val="auto"/>
        </w:rPr>
      </w:pPr>
      <w:r>
        <w:rPr>
          <w:rFonts w:ascii="Arial" w:cs="Arial" w:eastAsia="Arial" w:hAnsi="Arial"/>
          <w:sz w:val="18"/>
          <w:szCs w:val="18"/>
          <w:color w:val="auto"/>
        </w:rPr>
        <w:t>101.SCH**  XBRL Taxonomy Extension Schema Document</w:t>
      </w:r>
    </w:p>
    <w:p>
      <w:pPr>
        <w:spacing w:after="0" w:line="18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101.CAL**  XBRL Taxonomy Extension Calculation Linkbase Document</w:t>
      </w:r>
    </w:p>
    <w:p>
      <w:pPr>
        <w:spacing w:after="0" w:line="18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101.LAB**  XBRL Taxonomy Extension Labels Linkbase Document</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101.PRE**  XBRL Taxonomy Extension Presentation Linkbase Document</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101.DEF**  XBRL Taxonomy Extension Definition Linkbase Document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w:t>
      </w:r>
    </w:p>
    <w:p>
      <w:pPr>
        <w:spacing w:after="0" w:line="23"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Previously filed</w:t>
      </w:r>
    </w:p>
    <w:p>
      <w:pPr>
        <w:spacing w:after="0" w:line="9" w:lineRule="exact"/>
        <w:rPr>
          <w:sz w:val="20"/>
          <w:szCs w:val="20"/>
          <w:color w:val="auto"/>
        </w:rPr>
      </w:pPr>
    </w:p>
    <w:p>
      <w:pPr>
        <w:ind w:left="660" w:right="160" w:hanging="652"/>
        <w:spacing w:after="0" w:line="261"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This exhibit is being furnished rather than filed, and shall not be deemed incorporated by reference into any filing, in accordance with Item 601 of Regulation S-K</w:t>
      </w:r>
    </w:p>
    <w:p>
      <w:pPr>
        <w:spacing w:after="0" w:line="183" w:lineRule="exact"/>
        <w:rPr>
          <w:rFonts w:ascii="Arial" w:cs="Arial" w:eastAsia="Arial" w:hAnsi="Arial"/>
          <w:sz w:val="18"/>
          <w:szCs w:val="18"/>
          <w:color w:val="auto"/>
        </w:rPr>
      </w:pPr>
    </w:p>
    <w:p>
      <w:pPr>
        <w:ind w:left="880" w:hanging="467"/>
        <w:spacing w:after="0"/>
        <w:tabs>
          <w:tab w:leader="none" w:pos="8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Exhibits</w:t>
      </w:r>
    </w:p>
    <w:p>
      <w:pPr>
        <w:spacing w:after="0" w:line="23"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18"/>
          <w:szCs w:val="18"/>
          <w:color w:val="auto"/>
        </w:rPr>
        <w:t>See the exhibits filed herewith.</w:t>
      </w:r>
    </w:p>
    <w:p>
      <w:pPr>
        <w:spacing w:after="0" w:line="210" w:lineRule="exact"/>
        <w:rPr>
          <w:rFonts w:ascii="Arial" w:cs="Arial" w:eastAsia="Arial" w:hAnsi="Arial"/>
          <w:sz w:val="18"/>
          <w:szCs w:val="18"/>
          <w:color w:val="auto"/>
        </w:rPr>
      </w:pPr>
    </w:p>
    <w:p>
      <w:pPr>
        <w:ind w:left="880" w:right="7540" w:hanging="467"/>
        <w:spacing w:after="0" w:line="277" w:lineRule="auto"/>
        <w:tabs>
          <w:tab w:leader="none" w:pos="8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Additional financial statement schedules None.</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40"/>
          </w:cols>
          <w:pgMar w:left="240" w:top="746" w:right="319" w:bottom="1440" w:gutter="0" w:footer="0" w:header="0"/>
        </w:sectPr>
      </w:pPr>
    </w:p>
    <w:bookmarkStart w:id="56" w:name="page57"/>
    <w:bookmarkEnd w:id="56"/>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Company has duly caused this report to be signed on its behalf by the undersigned, thereunto duly authorized.</w:t>
      </w:r>
    </w:p>
    <w:p>
      <w:pPr>
        <w:spacing w:after="0" w:line="30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MERICAN</w:t>
      </w:r>
      <w:r>
        <w:rPr>
          <w:rFonts w:ascii="Arial" w:cs="Arial" w:eastAsia="Arial" w:hAnsi="Arial"/>
          <w:sz w:val="18"/>
          <w:szCs w:val="18"/>
          <w:color w:val="auto"/>
        </w:rPr>
        <w:t xml:space="preserve"> C</w:t>
      </w:r>
      <w:r>
        <w:rPr>
          <w:rFonts w:ascii="Arial" w:cs="Arial" w:eastAsia="Arial" w:hAnsi="Arial"/>
          <w:sz w:val="14"/>
          <w:szCs w:val="14"/>
          <w:color w:val="auto"/>
        </w:rPr>
        <w:t>APITAL</w:t>
      </w:r>
      <w:r>
        <w:rPr>
          <w:rFonts w:ascii="Arial" w:cs="Arial" w:eastAsia="Arial" w:hAnsi="Arial"/>
          <w:sz w:val="18"/>
          <w:szCs w:val="18"/>
          <w:color w:val="auto"/>
        </w:rPr>
        <w:t xml:space="preserve"> A</w:t>
      </w:r>
      <w:r>
        <w:rPr>
          <w:rFonts w:ascii="Arial" w:cs="Arial" w:eastAsia="Arial" w:hAnsi="Arial"/>
          <w:sz w:val="14"/>
          <w:szCs w:val="14"/>
          <w:color w:val="auto"/>
        </w:rPr>
        <w:t>GENCY</w:t>
      </w:r>
      <w:r>
        <w:rPr>
          <w:rFonts w:ascii="Arial" w:cs="Arial" w:eastAsia="Arial" w:hAnsi="Arial"/>
          <w:sz w:val="18"/>
          <w:szCs w:val="18"/>
          <w:color w:val="auto"/>
        </w:rPr>
        <w:t xml:space="preserve"> C</w:t>
      </w:r>
      <w:r>
        <w:rPr>
          <w:rFonts w:ascii="Arial" w:cs="Arial" w:eastAsia="Arial" w:hAnsi="Arial"/>
          <w:sz w:val="14"/>
          <w:szCs w:val="14"/>
          <w:color w:val="auto"/>
        </w:rPr>
        <w:t>ORP</w:t>
      </w:r>
      <w:r>
        <w:rPr>
          <w:rFonts w:ascii="Arial" w:cs="Arial" w:eastAsia="Arial" w:hAnsi="Arial"/>
          <w:sz w:val="18"/>
          <w:szCs w:val="18"/>
          <w:color w:val="auto"/>
        </w:rPr>
        <w:t>.</w:t>
      </w:r>
    </w:p>
    <w:p>
      <w:pPr>
        <w:spacing w:after="0" w:line="185" w:lineRule="exact"/>
        <w:rPr>
          <w:sz w:val="20"/>
          <w:szCs w:val="20"/>
          <w:color w:val="auto"/>
        </w:rPr>
      </w:pPr>
    </w:p>
    <w:p>
      <w:pPr>
        <w:ind w:left="5640"/>
        <w:spacing w:after="0"/>
        <w:tabs>
          <w:tab w:leader="none" w:pos="8180" w:val="left"/>
          <w:tab w:leader="none" w:pos="8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G</w:t>
      </w:r>
      <w:r>
        <w:rPr>
          <w:rFonts w:ascii="Arial" w:cs="Arial" w:eastAsia="Arial" w:hAnsi="Arial"/>
          <w:sz w:val="14"/>
          <w:szCs w:val="14"/>
          <w:color w:val="auto"/>
        </w:rPr>
        <w:t>ARY</w:t>
      </w:r>
      <w:r>
        <w:rPr>
          <w:rFonts w:ascii="Arial" w:cs="Arial" w:eastAsia="Arial" w:hAnsi="Arial"/>
          <w:sz w:val="18"/>
          <w:szCs w:val="18"/>
          <w:color w:val="auto"/>
        </w:rPr>
        <w:t xml:space="preserve"> K</w:t>
      </w:r>
      <w:r>
        <w:rPr>
          <w:rFonts w:ascii="Arial" w:cs="Arial" w:eastAsia="Arial" w:hAnsi="Arial"/>
          <w:sz w:val="14"/>
          <w:szCs w:val="14"/>
          <w:color w:val="auto"/>
        </w:rPr>
        <w: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48" w:lineRule="exact"/>
        <w:rPr>
          <w:sz w:val="20"/>
          <w:szCs w:val="20"/>
          <w:color w:val="auto"/>
        </w:rPr>
      </w:pPr>
    </w:p>
    <w:p>
      <w:pPr>
        <w:jc w:val="center"/>
        <w:ind w:left="6180"/>
        <w:spacing w:after="0"/>
        <w:rPr>
          <w:sz w:val="20"/>
          <w:szCs w:val="20"/>
          <w:color w:val="auto"/>
        </w:rPr>
      </w:pPr>
      <w:r>
        <w:rPr>
          <w:rFonts w:ascii="Arial" w:cs="Arial" w:eastAsia="Arial" w:hAnsi="Arial"/>
          <w:sz w:val="14"/>
          <w:szCs w:val="14"/>
          <w:b w:val="1"/>
          <w:bCs w:val="1"/>
          <w:color w:val="auto"/>
        </w:rPr>
        <w:t>Gary Kain</w:t>
      </w:r>
    </w:p>
    <w:p>
      <w:pPr>
        <w:jc w:val="center"/>
        <w:ind w:left="6180"/>
        <w:spacing w:after="0" w:line="226" w:lineRule="auto"/>
        <w:rPr>
          <w:sz w:val="20"/>
          <w:szCs w:val="20"/>
          <w:color w:val="auto"/>
        </w:rPr>
      </w:pPr>
      <w:r>
        <w:rPr>
          <w:rFonts w:ascii="Arial" w:cs="Arial" w:eastAsia="Arial" w:hAnsi="Arial"/>
          <w:sz w:val="14"/>
          <w:szCs w:val="14"/>
          <w:b w:val="1"/>
          <w:bCs w:val="1"/>
          <w:color w:val="auto"/>
        </w:rPr>
        <w:t>Chief Executive Officer,</w:t>
      </w:r>
    </w:p>
    <w:p>
      <w:pPr>
        <w:spacing w:after="0" w:line="1" w:lineRule="exact"/>
        <w:rPr>
          <w:sz w:val="20"/>
          <w:szCs w:val="20"/>
          <w:color w:val="auto"/>
        </w:rPr>
      </w:pPr>
    </w:p>
    <w:p>
      <w:pPr>
        <w:jc w:val="center"/>
        <w:ind w:left="6180"/>
        <w:spacing w:after="0"/>
        <w:rPr>
          <w:sz w:val="20"/>
          <w:szCs w:val="20"/>
          <w:color w:val="auto"/>
        </w:rPr>
      </w:pPr>
      <w:r>
        <w:rPr>
          <w:rFonts w:ascii="Arial" w:cs="Arial" w:eastAsia="Arial" w:hAnsi="Arial"/>
          <w:sz w:val="14"/>
          <w:szCs w:val="14"/>
          <w:b w:val="1"/>
          <w:bCs w:val="1"/>
          <w:color w:val="auto"/>
        </w:rPr>
        <w:t>President and Chief Investment Officer</w:t>
      </w:r>
    </w:p>
    <w:p>
      <w:pPr>
        <w:spacing w:after="0" w:line="34"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tab/>
        <w:t>August 5, 2016</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80"/>
          </w:cols>
          <w:pgMar w:left="240" w:top="580" w:right="279" w:bottom="1440" w:gutter="0" w:footer="0" w:header="0"/>
        </w:sectPr>
      </w:pPr>
    </w:p>
    <w:bookmarkStart w:id="57" w:name="page58"/>
    <w:bookmarkEnd w:id="57"/>
    <w:p>
      <w:pPr>
        <w:ind w:left="10460"/>
        <w:spacing w:after="0"/>
        <w:rPr>
          <w:sz w:val="20"/>
          <w:szCs w:val="20"/>
          <w:color w:val="auto"/>
        </w:rPr>
      </w:pPr>
      <w:r>
        <w:rPr>
          <w:rFonts w:ascii="Arial" w:cs="Arial" w:eastAsia="Arial" w:hAnsi="Arial"/>
          <w:sz w:val="16"/>
          <w:szCs w:val="16"/>
          <w:b w:val="1"/>
          <w:bCs w:val="1"/>
          <w:color w:val="auto"/>
        </w:rPr>
        <w:t>Exhibit 31.1</w:t>
      </w:r>
    </w:p>
    <w:p>
      <w:pPr>
        <w:spacing w:after="0" w:line="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American Capital Agency Corp.</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 Pursuant to Section 302(a)</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of the Sarbanes-Oxley Act of 2002</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I, Gary Kain, certify that:</w:t>
      </w:r>
    </w:p>
    <w:p>
      <w:pPr>
        <w:spacing w:after="0" w:line="158" w:lineRule="exact"/>
        <w:rPr>
          <w:sz w:val="20"/>
          <w:szCs w:val="20"/>
          <w:color w:val="auto"/>
        </w:rPr>
      </w:pPr>
    </w:p>
    <w:p>
      <w:pPr>
        <w:ind w:left="860" w:hanging="467"/>
        <w:spacing w:after="0"/>
        <w:tabs>
          <w:tab w:leader="none" w:pos="8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American Capital Agency Corp.;</w:t>
      </w:r>
    </w:p>
    <w:p>
      <w:pPr>
        <w:spacing w:after="0" w:line="157" w:lineRule="exact"/>
        <w:rPr>
          <w:rFonts w:ascii="Arial" w:cs="Arial" w:eastAsia="Arial" w:hAnsi="Arial"/>
          <w:sz w:val="18"/>
          <w:szCs w:val="18"/>
          <w:color w:val="auto"/>
        </w:rPr>
      </w:pPr>
    </w:p>
    <w:p>
      <w:pPr>
        <w:jc w:val="both"/>
        <w:ind w:left="860" w:hanging="467"/>
        <w:spacing w:after="0" w:line="264" w:lineRule="auto"/>
        <w:tabs>
          <w:tab w:leader="none" w:pos="8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3" w:lineRule="exact"/>
        <w:rPr>
          <w:rFonts w:ascii="Arial" w:cs="Arial" w:eastAsia="Arial" w:hAnsi="Arial"/>
          <w:sz w:val="18"/>
          <w:szCs w:val="18"/>
          <w:color w:val="auto"/>
        </w:rPr>
      </w:pPr>
    </w:p>
    <w:p>
      <w:pPr>
        <w:ind w:left="860" w:hanging="467"/>
        <w:spacing w:after="0" w:line="308" w:lineRule="auto"/>
        <w:tabs>
          <w:tab w:leader="none" w:pos="8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9" w:lineRule="exact"/>
        <w:rPr>
          <w:rFonts w:ascii="Arial" w:cs="Arial" w:eastAsia="Arial" w:hAnsi="Arial"/>
          <w:sz w:val="17"/>
          <w:szCs w:val="17"/>
          <w:color w:val="auto"/>
        </w:rPr>
      </w:pPr>
    </w:p>
    <w:p>
      <w:pPr>
        <w:jc w:val="both"/>
        <w:ind w:left="860" w:hanging="467"/>
        <w:spacing w:after="0" w:line="264" w:lineRule="auto"/>
        <w:tabs>
          <w:tab w:leader="none" w:pos="8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3" w:lineRule="exact"/>
        <w:rPr>
          <w:rFonts w:ascii="Arial" w:cs="Arial" w:eastAsia="Arial" w:hAnsi="Arial"/>
          <w:sz w:val="18"/>
          <w:szCs w:val="18"/>
          <w:color w:val="auto"/>
        </w:rPr>
      </w:pPr>
    </w:p>
    <w:p>
      <w:pPr>
        <w:jc w:val="both"/>
        <w:ind w:left="1400" w:hanging="440"/>
        <w:spacing w:after="0" w:line="264" w:lineRule="auto"/>
        <w:tabs>
          <w:tab w:leader="none" w:pos="14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3" w:lineRule="exact"/>
        <w:rPr>
          <w:rFonts w:ascii="Arial" w:cs="Arial" w:eastAsia="Arial" w:hAnsi="Arial"/>
          <w:sz w:val="18"/>
          <w:szCs w:val="18"/>
          <w:color w:val="auto"/>
        </w:rPr>
      </w:pPr>
    </w:p>
    <w:p>
      <w:pPr>
        <w:jc w:val="both"/>
        <w:ind w:left="1400" w:hanging="440"/>
        <w:spacing w:after="0" w:line="264" w:lineRule="auto"/>
        <w:tabs>
          <w:tab w:leader="none" w:pos="14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3" w:lineRule="exact"/>
        <w:rPr>
          <w:rFonts w:ascii="Arial" w:cs="Arial" w:eastAsia="Arial" w:hAnsi="Arial"/>
          <w:sz w:val="18"/>
          <w:szCs w:val="18"/>
          <w:color w:val="auto"/>
        </w:rPr>
      </w:pPr>
    </w:p>
    <w:p>
      <w:pPr>
        <w:ind w:left="1400" w:right="20" w:hanging="440"/>
        <w:spacing w:after="0" w:line="342" w:lineRule="auto"/>
        <w:tabs>
          <w:tab w:leader="none" w:pos="1400" w:val="left"/>
        </w:tabs>
        <w:numPr>
          <w:ilvl w:val="1"/>
          <w:numId w:val="3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6" w:lineRule="exact"/>
        <w:rPr>
          <w:rFonts w:ascii="Arial" w:cs="Arial" w:eastAsia="Arial" w:hAnsi="Arial"/>
          <w:sz w:val="16"/>
          <w:szCs w:val="16"/>
          <w:color w:val="auto"/>
        </w:rPr>
      </w:pPr>
    </w:p>
    <w:p>
      <w:pPr>
        <w:jc w:val="both"/>
        <w:ind w:left="1400" w:hanging="440"/>
        <w:spacing w:after="0" w:line="264" w:lineRule="auto"/>
        <w:tabs>
          <w:tab w:leader="none" w:pos="14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3" w:lineRule="exact"/>
        <w:rPr>
          <w:rFonts w:ascii="Arial" w:cs="Arial" w:eastAsia="Arial" w:hAnsi="Arial"/>
          <w:sz w:val="18"/>
          <w:szCs w:val="18"/>
          <w:color w:val="auto"/>
        </w:rPr>
      </w:pPr>
    </w:p>
    <w:p>
      <w:pPr>
        <w:ind w:left="860" w:hanging="467"/>
        <w:spacing w:after="0" w:line="277" w:lineRule="auto"/>
        <w:tabs>
          <w:tab w:leader="none" w:pos="8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02" w:lineRule="exact"/>
        <w:rPr>
          <w:rFonts w:ascii="Arial" w:cs="Arial" w:eastAsia="Arial" w:hAnsi="Arial"/>
          <w:sz w:val="18"/>
          <w:szCs w:val="18"/>
          <w:color w:val="auto"/>
        </w:rPr>
      </w:pPr>
    </w:p>
    <w:p>
      <w:pPr>
        <w:ind w:left="1400" w:hanging="440"/>
        <w:spacing w:after="0" w:line="308" w:lineRule="auto"/>
        <w:tabs>
          <w:tab w:leader="none" w:pos="1400" w:val="left"/>
        </w:tabs>
        <w:numPr>
          <w:ilvl w:val="1"/>
          <w:numId w:val="3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9" w:lineRule="exact"/>
        <w:rPr>
          <w:rFonts w:ascii="Arial" w:cs="Arial" w:eastAsia="Arial" w:hAnsi="Arial"/>
          <w:sz w:val="17"/>
          <w:szCs w:val="17"/>
          <w:color w:val="auto"/>
        </w:rPr>
      </w:pPr>
    </w:p>
    <w:p>
      <w:pPr>
        <w:ind w:left="1400" w:right="20" w:hanging="440"/>
        <w:spacing w:after="0" w:line="277" w:lineRule="auto"/>
        <w:tabs>
          <w:tab w:leader="none" w:pos="14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0"/>
        <w:spacing w:after="0"/>
        <w:tabs>
          <w:tab w:leader="none" w:pos="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5, 2016</w:t>
      </w:r>
    </w:p>
    <w:p>
      <w:pPr>
        <w:spacing w:after="0" w:line="333" w:lineRule="exact"/>
        <w:rPr>
          <w:sz w:val="20"/>
          <w:szCs w:val="20"/>
          <w:color w:val="auto"/>
        </w:rPr>
      </w:pPr>
    </w:p>
    <w:p>
      <w:pPr>
        <w:ind w:left="700"/>
        <w:spacing w:after="0"/>
        <w:tabs>
          <w:tab w:leader="none" w:pos="1040" w:val="left"/>
        </w:tabs>
        <w:rPr>
          <w:sz w:val="20"/>
          <w:szCs w:val="20"/>
          <w:color w:val="auto"/>
        </w:rPr>
      </w:pPr>
      <w:r>
        <w:rPr>
          <w:rFonts w:ascii="Arial" w:cs="Arial" w:eastAsia="Arial" w:hAnsi="Arial"/>
          <w:sz w:val="18"/>
          <w:szCs w:val="18"/>
          <w:color w:val="auto"/>
        </w:rPr>
        <w:t>/s/</w:t>
        <w:tab/>
        <w:t>G</w:t>
      </w:r>
      <w:r>
        <w:rPr>
          <w:rFonts w:ascii="Arial" w:cs="Arial" w:eastAsia="Arial" w:hAnsi="Arial"/>
          <w:sz w:val="14"/>
          <w:szCs w:val="14"/>
          <w:color w:val="auto"/>
        </w:rPr>
        <w:t>ARY</w:t>
      </w:r>
      <w:r>
        <w:rPr>
          <w:rFonts w:ascii="Arial" w:cs="Arial" w:eastAsia="Arial" w:hAnsi="Arial"/>
          <w:sz w:val="18"/>
          <w:szCs w:val="18"/>
          <w:color w:val="auto"/>
        </w:rPr>
        <w:t xml:space="preserve"> K</w:t>
      </w:r>
      <w:r>
        <w:rPr>
          <w:rFonts w:ascii="Arial" w:cs="Arial" w:eastAsia="Arial" w:hAnsi="Arial"/>
          <w:sz w:val="14"/>
          <w:szCs w:val="14"/>
          <w:color w:val="auto"/>
        </w:rPr>
        <w: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31750</wp:posOffset>
            </wp:positionV>
            <wp:extent cx="237553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5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Gary Kain</w:t>
      </w:r>
    </w:p>
    <w:p>
      <w:pPr>
        <w:spacing w:after="0" w:line="6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Chief Executive Officer, President and Chief</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Investment Officer</w:t>
      </w:r>
    </w:p>
    <w:p>
      <w:pPr>
        <w:sectPr>
          <w:pgSz w:w="11900" w:h="16838" w:orient="portrait"/>
          <w:cols w:equalWidth="0" w:num="1">
            <w:col w:w="11400"/>
          </w:cols>
          <w:pgMar w:left="260" w:top="580" w:right="239" w:bottom="1440" w:gutter="0" w:footer="0" w:header="0"/>
        </w:sectPr>
      </w:pPr>
    </w:p>
    <w:bookmarkStart w:id="58" w:name="page59"/>
    <w:bookmarkEnd w:id="58"/>
    <w:p>
      <w:pPr>
        <w:ind w:left="10460"/>
        <w:spacing w:after="0"/>
        <w:rPr>
          <w:sz w:val="20"/>
          <w:szCs w:val="20"/>
          <w:color w:val="auto"/>
        </w:rPr>
      </w:pPr>
      <w:r>
        <w:rPr>
          <w:rFonts w:ascii="Arial" w:cs="Arial" w:eastAsia="Arial" w:hAnsi="Arial"/>
          <w:sz w:val="16"/>
          <w:szCs w:val="16"/>
          <w:b w:val="1"/>
          <w:bCs w:val="1"/>
          <w:color w:val="auto"/>
        </w:rPr>
        <w:t>Exhibit 31.2</w:t>
      </w:r>
    </w:p>
    <w:p>
      <w:pPr>
        <w:spacing w:after="0" w:line="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American Capital Agency Corp.</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 Pursuant to Section 302(a)</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of the Sarbanes-Oxley Act of 2002</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Peter Federico, certify that:</w:t>
      </w:r>
    </w:p>
    <w:p>
      <w:pPr>
        <w:spacing w:after="0" w:line="158" w:lineRule="exact"/>
        <w:rPr>
          <w:sz w:val="20"/>
          <w:szCs w:val="20"/>
          <w:color w:val="auto"/>
        </w:rPr>
      </w:pPr>
    </w:p>
    <w:p>
      <w:pPr>
        <w:ind w:left="860" w:hanging="467"/>
        <w:spacing w:after="0"/>
        <w:tabs>
          <w:tab w:leader="none" w:pos="8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American Capital Agency Corp;</w:t>
      </w:r>
    </w:p>
    <w:p>
      <w:pPr>
        <w:spacing w:after="0" w:line="157" w:lineRule="exact"/>
        <w:rPr>
          <w:rFonts w:ascii="Arial" w:cs="Arial" w:eastAsia="Arial" w:hAnsi="Arial"/>
          <w:sz w:val="18"/>
          <w:szCs w:val="18"/>
          <w:color w:val="auto"/>
        </w:rPr>
      </w:pPr>
    </w:p>
    <w:p>
      <w:pPr>
        <w:jc w:val="both"/>
        <w:ind w:left="860" w:hanging="467"/>
        <w:spacing w:after="0" w:line="264" w:lineRule="auto"/>
        <w:tabs>
          <w:tab w:leader="none" w:pos="8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3" w:lineRule="exact"/>
        <w:rPr>
          <w:rFonts w:ascii="Arial" w:cs="Arial" w:eastAsia="Arial" w:hAnsi="Arial"/>
          <w:sz w:val="18"/>
          <w:szCs w:val="18"/>
          <w:color w:val="auto"/>
        </w:rPr>
      </w:pPr>
    </w:p>
    <w:p>
      <w:pPr>
        <w:ind w:left="860" w:hanging="467"/>
        <w:spacing w:after="0" w:line="308" w:lineRule="auto"/>
        <w:tabs>
          <w:tab w:leader="none" w:pos="8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9" w:lineRule="exact"/>
        <w:rPr>
          <w:rFonts w:ascii="Arial" w:cs="Arial" w:eastAsia="Arial" w:hAnsi="Arial"/>
          <w:sz w:val="17"/>
          <w:szCs w:val="17"/>
          <w:color w:val="auto"/>
        </w:rPr>
      </w:pPr>
    </w:p>
    <w:p>
      <w:pPr>
        <w:jc w:val="both"/>
        <w:ind w:left="860" w:hanging="467"/>
        <w:spacing w:after="0" w:line="264" w:lineRule="auto"/>
        <w:tabs>
          <w:tab w:leader="none" w:pos="8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3" w:lineRule="exact"/>
        <w:rPr>
          <w:rFonts w:ascii="Arial" w:cs="Arial" w:eastAsia="Arial" w:hAnsi="Arial"/>
          <w:sz w:val="18"/>
          <w:szCs w:val="18"/>
          <w:color w:val="auto"/>
        </w:rPr>
      </w:pPr>
    </w:p>
    <w:p>
      <w:pPr>
        <w:jc w:val="both"/>
        <w:ind w:left="1400" w:hanging="440"/>
        <w:spacing w:after="0" w:line="264" w:lineRule="auto"/>
        <w:tabs>
          <w:tab w:leader="none" w:pos="14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entitles, particularly during the period in which this report is being prepared;</w:t>
      </w:r>
    </w:p>
    <w:p>
      <w:pPr>
        <w:spacing w:after="0" w:line="113" w:lineRule="exact"/>
        <w:rPr>
          <w:rFonts w:ascii="Arial" w:cs="Arial" w:eastAsia="Arial" w:hAnsi="Arial"/>
          <w:sz w:val="18"/>
          <w:szCs w:val="18"/>
          <w:color w:val="auto"/>
        </w:rPr>
      </w:pPr>
    </w:p>
    <w:p>
      <w:pPr>
        <w:jc w:val="both"/>
        <w:ind w:left="1400" w:hanging="440"/>
        <w:spacing w:after="0" w:line="264" w:lineRule="auto"/>
        <w:tabs>
          <w:tab w:leader="none" w:pos="14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3" w:lineRule="exact"/>
        <w:rPr>
          <w:rFonts w:ascii="Arial" w:cs="Arial" w:eastAsia="Arial" w:hAnsi="Arial"/>
          <w:sz w:val="18"/>
          <w:szCs w:val="18"/>
          <w:color w:val="auto"/>
        </w:rPr>
      </w:pPr>
    </w:p>
    <w:p>
      <w:pPr>
        <w:ind w:left="1400" w:right="20" w:hanging="440"/>
        <w:spacing w:after="0" w:line="342" w:lineRule="auto"/>
        <w:tabs>
          <w:tab w:leader="none" w:pos="1400" w:val="left"/>
        </w:tabs>
        <w:numPr>
          <w:ilvl w:val="1"/>
          <w:numId w:val="3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6" w:lineRule="exact"/>
        <w:rPr>
          <w:rFonts w:ascii="Arial" w:cs="Arial" w:eastAsia="Arial" w:hAnsi="Arial"/>
          <w:sz w:val="16"/>
          <w:szCs w:val="16"/>
          <w:color w:val="auto"/>
        </w:rPr>
      </w:pPr>
    </w:p>
    <w:p>
      <w:pPr>
        <w:jc w:val="both"/>
        <w:ind w:left="1400" w:hanging="440"/>
        <w:spacing w:after="0" w:line="264" w:lineRule="auto"/>
        <w:tabs>
          <w:tab w:leader="none" w:pos="14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3" w:lineRule="exact"/>
        <w:rPr>
          <w:rFonts w:ascii="Arial" w:cs="Arial" w:eastAsia="Arial" w:hAnsi="Arial"/>
          <w:sz w:val="18"/>
          <w:szCs w:val="18"/>
          <w:color w:val="auto"/>
        </w:rPr>
      </w:pPr>
    </w:p>
    <w:p>
      <w:pPr>
        <w:ind w:left="860" w:hanging="467"/>
        <w:spacing w:after="0" w:line="277" w:lineRule="auto"/>
        <w:tabs>
          <w:tab w:leader="none" w:pos="8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02" w:lineRule="exact"/>
        <w:rPr>
          <w:rFonts w:ascii="Arial" w:cs="Arial" w:eastAsia="Arial" w:hAnsi="Arial"/>
          <w:sz w:val="18"/>
          <w:szCs w:val="18"/>
          <w:color w:val="auto"/>
        </w:rPr>
      </w:pPr>
    </w:p>
    <w:p>
      <w:pPr>
        <w:ind w:left="1400" w:hanging="440"/>
        <w:spacing w:after="0" w:line="308" w:lineRule="auto"/>
        <w:tabs>
          <w:tab w:leader="none" w:pos="1400" w:val="left"/>
        </w:tabs>
        <w:numPr>
          <w:ilvl w:val="1"/>
          <w:numId w:val="3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 in the design or operation of internal control over financial reporting which are reasonably likely to adversely affect the registrant's ability to record, process, summarize and report financial information; and</w:t>
      </w:r>
    </w:p>
    <w:p>
      <w:pPr>
        <w:spacing w:after="0" w:line="79" w:lineRule="exact"/>
        <w:rPr>
          <w:rFonts w:ascii="Arial" w:cs="Arial" w:eastAsia="Arial" w:hAnsi="Arial"/>
          <w:sz w:val="17"/>
          <w:szCs w:val="17"/>
          <w:color w:val="auto"/>
        </w:rPr>
      </w:pPr>
    </w:p>
    <w:p>
      <w:pPr>
        <w:ind w:left="1400" w:right="20" w:hanging="440"/>
        <w:spacing w:after="0" w:line="277" w:lineRule="auto"/>
        <w:tabs>
          <w:tab w:leader="none" w:pos="14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1" w:lineRule="exact"/>
        <w:rPr>
          <w:sz w:val="20"/>
          <w:szCs w:val="20"/>
          <w:color w:val="auto"/>
        </w:rPr>
      </w:pPr>
    </w:p>
    <w:p>
      <w:pPr>
        <w:ind w:left="20"/>
        <w:spacing w:after="0"/>
        <w:tabs>
          <w:tab w:leader="none" w:pos="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5, 2016</w:t>
      </w:r>
    </w:p>
    <w:p>
      <w:pPr>
        <w:spacing w:after="0" w:line="333" w:lineRule="exact"/>
        <w:rPr>
          <w:sz w:val="20"/>
          <w:szCs w:val="20"/>
          <w:color w:val="auto"/>
        </w:rPr>
      </w:pPr>
    </w:p>
    <w:p>
      <w:pPr>
        <w:ind w:left="700"/>
        <w:spacing w:after="0"/>
        <w:tabs>
          <w:tab w:leader="none" w:pos="10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P</w:t>
      </w:r>
      <w:r>
        <w:rPr>
          <w:rFonts w:ascii="Arial" w:cs="Arial" w:eastAsia="Arial" w:hAnsi="Arial"/>
          <w:sz w:val="13"/>
          <w:szCs w:val="13"/>
          <w:color w:val="auto"/>
        </w:rPr>
        <w:t>ETER</w:t>
      </w:r>
      <w:r>
        <w:rPr>
          <w:rFonts w:ascii="Arial" w:cs="Arial" w:eastAsia="Arial" w:hAnsi="Arial"/>
          <w:sz w:val="17"/>
          <w:szCs w:val="17"/>
          <w:color w:val="auto"/>
        </w:rPr>
        <w:t xml:space="preserve"> F</w:t>
      </w:r>
      <w:r>
        <w:rPr>
          <w:rFonts w:ascii="Arial" w:cs="Arial" w:eastAsia="Arial" w:hAnsi="Arial"/>
          <w:sz w:val="13"/>
          <w:szCs w:val="13"/>
          <w:color w:val="auto"/>
        </w:rPr>
        <w:t>EDERICO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31750</wp:posOffset>
            </wp:positionV>
            <wp:extent cx="237553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5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Peter Federico</w:t>
      </w:r>
    </w:p>
    <w:p>
      <w:pPr>
        <w:spacing w:after="0" w:line="6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Chief Financial Officer and Executive Vice</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President</w:t>
      </w:r>
    </w:p>
    <w:p>
      <w:pPr>
        <w:sectPr>
          <w:pgSz w:w="11900" w:h="16838" w:orient="portrait"/>
          <w:cols w:equalWidth="0" w:num="1">
            <w:col w:w="11400"/>
          </w:cols>
          <w:pgMar w:left="260" w:top="580"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32</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Capital Agency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57" w:lineRule="exact"/>
        <w:rPr>
          <w:sz w:val="20"/>
          <w:szCs w:val="20"/>
          <w:color w:val="auto"/>
        </w:rPr>
      </w:pPr>
    </w:p>
    <w:p>
      <w:pPr>
        <w:ind w:right="20" w:firstLine="324"/>
        <w:spacing w:after="0" w:line="342" w:lineRule="auto"/>
        <w:rPr>
          <w:sz w:val="20"/>
          <w:szCs w:val="20"/>
          <w:color w:val="auto"/>
        </w:rPr>
      </w:pPr>
      <w:r>
        <w:rPr>
          <w:rFonts w:ascii="Arial" w:cs="Arial" w:eastAsia="Arial" w:hAnsi="Arial"/>
          <w:sz w:val="16"/>
          <w:szCs w:val="16"/>
          <w:color w:val="auto"/>
        </w:rPr>
        <w:t>We, Gary Kain, Chief Executive Officer, President and Chief Investment Officer, and Peter Federico, Executive Vice President and Chief Financial Officer of American Capital Agency Corp. (the “Company”), certify pursuant to Section 906 of the Sarbanes-Oxley Act of 2002, 18 U.S.C. Section 1350 that:</w:t>
      </w:r>
    </w:p>
    <w:p>
      <w:pPr>
        <w:spacing w:after="0" w:line="70" w:lineRule="exact"/>
        <w:rPr>
          <w:sz w:val="20"/>
          <w:szCs w:val="20"/>
          <w:color w:val="auto"/>
        </w:rPr>
      </w:pPr>
    </w:p>
    <w:p>
      <w:pPr>
        <w:ind w:left="660" w:right="360" w:hanging="328"/>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June 30, 2016 (the “Report”) fully complies with the requirements of Section 13(a) of the Securities Exchange Act of 1934 (15 U.S.C. 78m);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5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/s/</w:t>
            </w:r>
          </w:p>
        </w:tc>
        <w:tc>
          <w:tcPr>
            <w:tcW w:w="6100" w:type="dxa"/>
            <w:vAlign w:val="bottom"/>
          </w:tcPr>
          <w:p>
            <w:pPr>
              <w:ind w:left="100"/>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ARY</w:t>
            </w:r>
            <w:r>
              <w:rPr>
                <w:rFonts w:ascii="Arial" w:cs="Arial" w:eastAsia="Arial" w:hAnsi="Arial"/>
                <w:sz w:val="18"/>
                <w:szCs w:val="18"/>
                <w:color w:val="auto"/>
              </w:rPr>
              <w:t xml:space="preserve"> K</w:t>
            </w:r>
            <w:r>
              <w:rPr>
                <w:rFonts w:ascii="Arial" w:cs="Arial" w:eastAsia="Arial" w:hAnsi="Arial"/>
                <w:sz w:val="14"/>
                <w:szCs w:val="14"/>
                <w:color w:val="auto"/>
              </w:rPr>
              <w:t>AIN</w:t>
            </w:r>
          </w:p>
        </w:tc>
        <w:tc>
          <w:tcPr>
            <w:tcW w:w="0" w:type="dxa"/>
            <w:vAlign w:val="bottom"/>
          </w:tcPr>
          <w:p>
            <w:pPr>
              <w:spacing w:after="0"/>
              <w:rPr>
                <w:sz w:val="1"/>
                <w:szCs w:val="1"/>
                <w:color w:val="auto"/>
              </w:rPr>
            </w:pPr>
          </w:p>
        </w:tc>
      </w:tr>
      <w:tr>
        <w:trPr>
          <w:trHeight w:val="27"/>
        </w:trPr>
        <w:tc>
          <w:tcPr>
            <w:tcW w:w="66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63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0" w:type="dxa"/>
            <w:vAlign w:val="bottom"/>
            <w:vMerge w:val="continue"/>
          </w:tcPr>
          <w:p>
            <w:pPr>
              <w:spacing w:after="0"/>
              <w:rPr>
                <w:sz w:val="20"/>
                <w:szCs w:val="20"/>
                <w:color w:val="auto"/>
              </w:rPr>
            </w:pPr>
          </w:p>
        </w:tc>
        <w:tc>
          <w:tcPr>
            <w:tcW w:w="6380" w:type="dxa"/>
            <w:vAlign w:val="bottom"/>
            <w:gridSpan w:val="2"/>
          </w:tcPr>
          <w:p>
            <w:pPr>
              <w:ind w:left="20"/>
              <w:spacing w:after="0"/>
              <w:rPr>
                <w:sz w:val="20"/>
                <w:szCs w:val="20"/>
                <w:color w:val="auto"/>
              </w:rPr>
            </w:pPr>
            <w:r>
              <w:rPr>
                <w:rFonts w:ascii="Arial" w:cs="Arial" w:eastAsia="Arial" w:hAnsi="Arial"/>
                <w:sz w:val="18"/>
                <w:szCs w:val="18"/>
                <w:color w:val="auto"/>
              </w:rPr>
              <w:t>Gary Kain</w:t>
            </w:r>
          </w:p>
        </w:tc>
        <w:tc>
          <w:tcPr>
            <w:tcW w:w="0" w:type="dxa"/>
            <w:vAlign w:val="bottom"/>
          </w:tcPr>
          <w:p>
            <w:pPr>
              <w:spacing w:after="0"/>
              <w:rPr>
                <w:sz w:val="1"/>
                <w:szCs w:val="1"/>
                <w:color w:val="auto"/>
              </w:rPr>
            </w:pPr>
          </w:p>
        </w:tc>
      </w:tr>
      <w:tr>
        <w:trPr>
          <w:trHeight w:val="256"/>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6380" w:type="dxa"/>
            <w:vAlign w:val="bottom"/>
            <w:gridSpan w:val="2"/>
          </w:tcPr>
          <w:p>
            <w:pPr>
              <w:ind w:left="20"/>
              <w:spacing w:after="0"/>
              <w:rPr>
                <w:sz w:val="20"/>
                <w:szCs w:val="20"/>
                <w:color w:val="auto"/>
              </w:rPr>
            </w:pPr>
            <w:r>
              <w:rPr>
                <w:rFonts w:ascii="Arial" w:cs="Arial" w:eastAsia="Arial" w:hAnsi="Arial"/>
                <w:sz w:val="18"/>
                <w:szCs w:val="18"/>
                <w:color w:val="auto"/>
              </w:rPr>
              <w:t>Chief Executive Officer,</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6380" w:type="dxa"/>
            <w:vAlign w:val="bottom"/>
            <w:gridSpan w:val="2"/>
          </w:tcPr>
          <w:p>
            <w:pPr>
              <w:ind w:left="20"/>
              <w:spacing w:after="0"/>
              <w:rPr>
                <w:sz w:val="20"/>
                <w:szCs w:val="20"/>
                <w:color w:val="auto"/>
              </w:rPr>
            </w:pPr>
            <w:r>
              <w:rPr>
                <w:rFonts w:ascii="Arial" w:cs="Arial" w:eastAsia="Arial" w:hAnsi="Arial"/>
                <w:sz w:val="18"/>
                <w:szCs w:val="18"/>
                <w:color w:val="auto"/>
              </w:rPr>
              <w:t>President and Chief Investment Officer</w:t>
            </w:r>
          </w:p>
        </w:tc>
        <w:tc>
          <w:tcPr>
            <w:tcW w:w="0" w:type="dxa"/>
            <w:vAlign w:val="bottom"/>
          </w:tcPr>
          <w:p>
            <w:pPr>
              <w:spacing w:after="0"/>
              <w:rPr>
                <w:sz w:val="1"/>
                <w:szCs w:val="1"/>
                <w:color w:val="auto"/>
              </w:rPr>
            </w:pPr>
          </w:p>
        </w:tc>
      </w:tr>
      <w:tr>
        <w:trPr>
          <w:trHeight w:val="270"/>
        </w:trPr>
        <w:tc>
          <w:tcPr>
            <w:tcW w:w="660" w:type="dxa"/>
            <w:vAlign w:val="bottom"/>
          </w:tcPr>
          <w:p>
            <w:pPr>
              <w:spacing w:after="0"/>
              <w:rPr>
                <w:sz w:val="20"/>
                <w:szCs w:val="20"/>
                <w:color w:val="auto"/>
              </w:rPr>
            </w:pPr>
            <w:r>
              <w:rPr>
                <w:rFonts w:ascii="Arial" w:cs="Arial" w:eastAsia="Arial" w:hAnsi="Arial"/>
                <w:sz w:val="18"/>
                <w:szCs w:val="18"/>
                <w:color w:val="auto"/>
              </w:rPr>
              <w:t>Date:</w:t>
            </w:r>
          </w:p>
        </w:tc>
        <w:tc>
          <w:tcPr>
            <w:tcW w:w="6380" w:type="dxa"/>
            <w:vAlign w:val="bottom"/>
            <w:gridSpan w:val="2"/>
          </w:tcPr>
          <w:p>
            <w:pPr>
              <w:ind w:left="20"/>
              <w:spacing w:after="0"/>
              <w:rPr>
                <w:sz w:val="20"/>
                <w:szCs w:val="20"/>
                <w:color w:val="auto"/>
              </w:rPr>
            </w:pPr>
            <w:r>
              <w:rPr>
                <w:rFonts w:ascii="Arial" w:cs="Arial" w:eastAsia="Arial" w:hAnsi="Arial"/>
                <w:sz w:val="18"/>
                <w:szCs w:val="18"/>
                <w:color w:val="auto"/>
              </w:rPr>
              <w:t>August 5, 2016</w:t>
            </w:r>
          </w:p>
        </w:tc>
        <w:tc>
          <w:tcPr>
            <w:tcW w:w="0" w:type="dxa"/>
            <w:vAlign w:val="bottom"/>
          </w:tcPr>
          <w:p>
            <w:pPr>
              <w:spacing w:after="0"/>
              <w:rPr>
                <w:sz w:val="1"/>
                <w:szCs w:val="1"/>
                <w:color w:val="auto"/>
              </w:rPr>
            </w:pPr>
          </w:p>
        </w:tc>
      </w:tr>
      <w:tr>
        <w:trPr>
          <w:trHeight w:val="567"/>
        </w:trPr>
        <w:tc>
          <w:tcPr>
            <w:tcW w:w="660" w:type="dxa"/>
            <w:vAlign w:val="bottom"/>
          </w:tcPr>
          <w:p>
            <w:pPr>
              <w:spacing w:after="0"/>
              <w:rPr>
                <w:sz w:val="24"/>
                <w:szCs w:val="24"/>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/s/</w:t>
            </w:r>
          </w:p>
        </w:tc>
        <w:tc>
          <w:tcPr>
            <w:tcW w:w="6100" w:type="dxa"/>
            <w:vAlign w:val="bottom"/>
          </w:tcPr>
          <w:p>
            <w:pPr>
              <w:ind w:left="100"/>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ETER</w:t>
            </w:r>
            <w:r>
              <w:rPr>
                <w:rFonts w:ascii="Arial" w:cs="Arial" w:eastAsia="Arial" w:hAnsi="Arial"/>
                <w:sz w:val="18"/>
                <w:szCs w:val="18"/>
                <w:color w:val="auto"/>
              </w:rPr>
              <w:t xml:space="preserve"> F</w:t>
            </w:r>
            <w:r>
              <w:rPr>
                <w:rFonts w:ascii="Arial" w:cs="Arial" w:eastAsia="Arial" w:hAnsi="Arial"/>
                <w:sz w:val="14"/>
                <w:szCs w:val="14"/>
                <w:color w:val="auto"/>
              </w:rPr>
              <w:t>EDERICO</w:t>
            </w:r>
          </w:p>
        </w:tc>
        <w:tc>
          <w:tcPr>
            <w:tcW w:w="0" w:type="dxa"/>
            <w:vAlign w:val="bottom"/>
          </w:tcPr>
          <w:p>
            <w:pPr>
              <w:spacing w:after="0"/>
              <w:rPr>
                <w:sz w:val="1"/>
                <w:szCs w:val="1"/>
                <w:color w:val="auto"/>
              </w:rPr>
            </w:pPr>
          </w:p>
        </w:tc>
      </w:tr>
      <w:tr>
        <w:trPr>
          <w:trHeight w:val="27"/>
        </w:trPr>
        <w:tc>
          <w:tcPr>
            <w:tcW w:w="66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63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0" w:type="dxa"/>
            <w:vAlign w:val="bottom"/>
            <w:vMerge w:val="continue"/>
          </w:tcPr>
          <w:p>
            <w:pPr>
              <w:spacing w:after="0"/>
              <w:rPr>
                <w:sz w:val="20"/>
                <w:szCs w:val="20"/>
                <w:color w:val="auto"/>
              </w:rPr>
            </w:pPr>
          </w:p>
        </w:tc>
        <w:tc>
          <w:tcPr>
            <w:tcW w:w="6380" w:type="dxa"/>
            <w:vAlign w:val="bottom"/>
            <w:gridSpan w:val="2"/>
          </w:tcPr>
          <w:p>
            <w:pPr>
              <w:ind w:left="20"/>
              <w:spacing w:after="0"/>
              <w:rPr>
                <w:sz w:val="20"/>
                <w:szCs w:val="20"/>
                <w:color w:val="auto"/>
              </w:rPr>
            </w:pPr>
            <w:r>
              <w:rPr>
                <w:rFonts w:ascii="Arial" w:cs="Arial" w:eastAsia="Arial" w:hAnsi="Arial"/>
                <w:sz w:val="18"/>
                <w:szCs w:val="18"/>
                <w:color w:val="auto"/>
              </w:rPr>
              <w:t>Peter Federico</w:t>
            </w:r>
          </w:p>
        </w:tc>
        <w:tc>
          <w:tcPr>
            <w:tcW w:w="0" w:type="dxa"/>
            <w:vAlign w:val="bottom"/>
          </w:tcPr>
          <w:p>
            <w:pPr>
              <w:spacing w:after="0"/>
              <w:rPr>
                <w:sz w:val="1"/>
                <w:szCs w:val="1"/>
                <w:color w:val="auto"/>
              </w:rPr>
            </w:pPr>
          </w:p>
        </w:tc>
      </w:tr>
      <w:tr>
        <w:trPr>
          <w:trHeight w:val="256"/>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6380" w:type="dxa"/>
            <w:vAlign w:val="bottom"/>
            <w:gridSpan w:val="2"/>
          </w:tcPr>
          <w:p>
            <w:pPr>
              <w:ind w:left="20"/>
              <w:spacing w:after="0"/>
              <w:rPr>
                <w:sz w:val="20"/>
                <w:szCs w:val="20"/>
                <w:color w:val="auto"/>
              </w:rPr>
            </w:pPr>
            <w:r>
              <w:rPr>
                <w:rFonts w:ascii="Arial" w:cs="Arial" w:eastAsia="Arial" w:hAnsi="Arial"/>
                <w:sz w:val="18"/>
                <w:szCs w:val="18"/>
                <w:color w:val="auto"/>
              </w:rPr>
              <w:t>Chief Financial Officer and</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6380" w:type="dxa"/>
            <w:vAlign w:val="bottom"/>
            <w:gridSpan w:val="2"/>
          </w:tcPr>
          <w:p>
            <w:pPr>
              <w:ind w:left="20"/>
              <w:spacing w:after="0"/>
              <w:rPr>
                <w:sz w:val="20"/>
                <w:szCs w:val="20"/>
                <w:color w:val="auto"/>
              </w:rPr>
            </w:pPr>
            <w:r>
              <w:rPr>
                <w:rFonts w:ascii="Arial" w:cs="Arial" w:eastAsia="Arial" w:hAnsi="Arial"/>
                <w:sz w:val="18"/>
                <w:szCs w:val="18"/>
                <w:color w:val="auto"/>
              </w:rPr>
              <w:t>Executive Vice President</w:t>
            </w:r>
          </w:p>
        </w:tc>
        <w:tc>
          <w:tcPr>
            <w:tcW w:w="0" w:type="dxa"/>
            <w:vAlign w:val="bottom"/>
          </w:tcPr>
          <w:p>
            <w:pPr>
              <w:spacing w:after="0"/>
              <w:rPr>
                <w:sz w:val="1"/>
                <w:szCs w:val="1"/>
                <w:color w:val="auto"/>
              </w:rPr>
            </w:pPr>
          </w:p>
        </w:tc>
      </w:tr>
      <w:tr>
        <w:trPr>
          <w:trHeight w:val="284"/>
        </w:trPr>
        <w:tc>
          <w:tcPr>
            <w:tcW w:w="660" w:type="dxa"/>
            <w:vAlign w:val="bottom"/>
          </w:tcPr>
          <w:p>
            <w:pPr>
              <w:spacing w:after="0"/>
              <w:rPr>
                <w:sz w:val="20"/>
                <w:szCs w:val="20"/>
                <w:color w:val="auto"/>
              </w:rPr>
            </w:pPr>
            <w:r>
              <w:rPr>
                <w:rFonts w:ascii="Arial" w:cs="Arial" w:eastAsia="Arial" w:hAnsi="Arial"/>
                <w:sz w:val="18"/>
                <w:szCs w:val="18"/>
                <w:color w:val="auto"/>
              </w:rPr>
              <w:t>Date:</w:t>
            </w:r>
          </w:p>
        </w:tc>
        <w:tc>
          <w:tcPr>
            <w:tcW w:w="6380" w:type="dxa"/>
            <w:vAlign w:val="bottom"/>
            <w:gridSpan w:val="2"/>
          </w:tcPr>
          <w:p>
            <w:pPr>
              <w:ind w:left="20"/>
              <w:spacing w:after="0"/>
              <w:rPr>
                <w:sz w:val="20"/>
                <w:szCs w:val="20"/>
                <w:color w:val="auto"/>
              </w:rPr>
            </w:pPr>
            <w:r>
              <w:rPr>
                <w:rFonts w:ascii="Arial" w:cs="Arial" w:eastAsia="Arial" w:hAnsi="Arial"/>
                <w:sz w:val="18"/>
                <w:szCs w:val="18"/>
                <w:color w:val="auto"/>
              </w:rPr>
              <w:t>August 5, 2016</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1."/>
      <w:numFmt w:val="decimal"/>
      <w:start w:val="1"/>
    </w:lvl>
  </w:abstractNum>
  <w:abstractNum w:abstractNumId="3">
    <w:nsid w:val="721DA317"/>
    <w:multiLevelType w:val="hybridMultilevel"/>
    <w:lvl w:ilvl="0">
      <w:lvlJc w:val="left"/>
      <w:lvlText w:val="%1."/>
      <w:numFmt w:val="decimal"/>
      <w:start w:val="1"/>
    </w:lvl>
  </w:abstractNum>
  <w:abstractNum w:abstractNumId="4">
    <w:nsid w:val="2443A858"/>
    <w:multiLevelType w:val="hybridMultilevel"/>
    <w:lvl w:ilvl="0">
      <w:lvlJc w:val="left"/>
      <w:lvlText w:val="%1."/>
      <w:numFmt w:val="decimal"/>
      <w:start w:val="1"/>
    </w:lvl>
  </w:abstractNum>
  <w:abstractNum w:abstractNumId="5">
    <w:nsid w:val="2D1D5AE9"/>
    <w:multiLevelType w:val="hybridMultilevel"/>
    <w:lvl w:ilvl="0">
      <w:lvlJc w:val="left"/>
      <w:lvlText w:val="%1."/>
      <w:numFmt w:val="decimal"/>
      <w:start w:val="1"/>
    </w:lvl>
  </w:abstractNum>
  <w:abstractNum w:abstractNumId="6">
    <w:nsid w:val="6763845E"/>
    <w:multiLevelType w:val="hybridMultilevel"/>
    <w:lvl w:ilvl="0">
      <w:lvlJc w:val="left"/>
      <w:lvlText w:val="%1."/>
      <w:numFmt w:val="decimal"/>
      <w:start w:val="1"/>
    </w:lvl>
  </w:abstractNum>
  <w:abstractNum w:abstractNumId="7">
    <w:nsid w:val="75A2A8D4"/>
    <w:multiLevelType w:val="hybridMultilevel"/>
    <w:lvl w:ilvl="0">
      <w:lvlJc w:val="left"/>
      <w:lvlText w:val="%1."/>
      <w:numFmt w:val="decimal"/>
      <w:start w:val="1"/>
    </w:lvl>
  </w:abstractNum>
  <w:abstractNum w:abstractNumId="8">
    <w:nsid w:val="8EDBDAB"/>
    <w:multiLevelType w:val="hybridMultilevel"/>
    <w:lvl w:ilvl="0">
      <w:lvlJc w:val="left"/>
      <w:lvlText w:val="%1."/>
      <w:numFmt w:val="decimal"/>
      <w:start w:val="1"/>
    </w:lvl>
  </w:abstractNum>
  <w:abstractNum w:abstractNumId="9">
    <w:nsid w:val="79838CB2"/>
    <w:multiLevelType w:val="hybridMultilevel"/>
    <w:lvl w:ilvl="0">
      <w:lvlJc w:val="left"/>
      <w:lvlText w:val="%1."/>
      <w:numFmt w:val="decimal"/>
      <w:start w:val="1"/>
    </w:lvl>
  </w:abstractNum>
  <w:abstractNum w:abstractNumId="10">
    <w:nsid w:val="4353D0CD"/>
    <w:multiLevelType w:val="hybridMultilevel"/>
    <w:lvl w:ilvl="0">
      <w:lvlJc w:val="left"/>
      <w:lvlText w:val="%1."/>
      <w:numFmt w:val="decimal"/>
      <w:start w:val="1"/>
    </w:lvl>
  </w:abstractNum>
  <w:abstractNum w:abstractNumId="11">
    <w:nsid w:val="B03E0C6"/>
    <w:multiLevelType w:val="hybridMultilevel"/>
    <w:lvl w:ilvl="0">
      <w:lvlJc w:val="left"/>
      <w:lvlText w:val="%1."/>
      <w:numFmt w:val="decimal"/>
      <w:start w:val="1"/>
    </w:lvl>
  </w:abstractNum>
  <w:abstractNum w:abstractNumId="12">
    <w:nsid w:val="189A769B"/>
    <w:multiLevelType w:val="hybridMultilevel"/>
    <w:lvl w:ilvl="0">
      <w:lvlJc w:val="left"/>
      <w:lvlText w:val="%1."/>
      <w:numFmt w:val="decimal"/>
      <w:start w:val="1"/>
    </w:lvl>
  </w:abstractNum>
  <w:abstractNum w:abstractNumId="13">
    <w:nsid w:val="54E49EB4"/>
    <w:multiLevelType w:val="hybridMultilevel"/>
    <w:lvl w:ilvl="0">
      <w:lvlJc w:val="left"/>
      <w:lvlText w:val="%1."/>
      <w:numFmt w:val="decimal"/>
      <w:start w:val="1"/>
    </w:lvl>
  </w:abstractNum>
  <w:abstractNum w:abstractNumId="14">
    <w:nsid w:val="71F32454"/>
    <w:multiLevelType w:val="hybridMultilevel"/>
    <w:lvl w:ilvl="0">
      <w:lvlJc w:val="left"/>
      <w:lvlText w:val="%1."/>
      <w:numFmt w:val="decimal"/>
      <w:start w:val="1"/>
    </w:lvl>
  </w:abstractNum>
  <w:abstractNum w:abstractNumId="15">
    <w:nsid w:val="2CA88611"/>
    <w:multiLevelType w:val="hybridMultilevel"/>
    <w:lvl w:ilvl="0">
      <w:lvlJc w:val="left"/>
      <w:lvlText w:val="%1."/>
      <w:numFmt w:val="decimal"/>
      <w:start w:val="1"/>
    </w:lvl>
  </w:abstractNum>
  <w:abstractNum w:abstractNumId="16">
    <w:nsid w:val="836C40E"/>
    <w:multiLevelType w:val="hybridMultilevel"/>
    <w:lvl w:ilvl="0">
      <w:lvlJc w:val="left"/>
      <w:lvlText w:val="•"/>
      <w:numFmt w:val="bullet"/>
      <w:start w:val="1"/>
    </w:lvl>
  </w:abstractNum>
  <w:abstractNum w:abstractNumId="17">
    <w:nsid w:val="2901D82"/>
    <w:multiLevelType w:val="hybridMultilevel"/>
    <w:lvl w:ilvl="0">
      <w:lvlJc w:val="left"/>
      <w:lvlText w:val="•"/>
      <w:numFmt w:val="bullet"/>
      <w:start w:val="1"/>
    </w:lvl>
  </w:abstractNum>
  <w:abstractNum w:abstractNumId="18">
    <w:nsid w:val="3A95F874"/>
    <w:multiLevelType w:val="hybridMultilevel"/>
    <w:lvl w:ilvl="0">
      <w:lvlJc w:val="left"/>
      <w:lvlText w:val="•"/>
      <w:numFmt w:val="bullet"/>
      <w:start w:val="1"/>
    </w:lvl>
  </w:abstractNum>
  <w:abstractNum w:abstractNumId="19">
    <w:nsid w:val="8138641"/>
    <w:multiLevelType w:val="hybridMultilevel"/>
    <w:lvl w:ilvl="0">
      <w:lvlJc w:val="left"/>
      <w:lvlText w:val="•"/>
      <w:numFmt w:val="bullet"/>
      <w:start w:val="1"/>
    </w:lvl>
  </w:abstractNum>
  <w:abstractNum w:abstractNumId="20">
    <w:nsid w:val="1E7FF521"/>
    <w:multiLevelType w:val="hybridMultilevel"/>
    <w:lvl w:ilvl="0">
      <w:lvlJc w:val="left"/>
      <w:lvlText w:val="%1."/>
      <w:numFmt w:val="decimal"/>
      <w:start w:val="1"/>
    </w:lvl>
  </w:abstractNum>
  <w:abstractNum w:abstractNumId="21">
    <w:nsid w:val="7C3DBD3D"/>
    <w:multiLevelType w:val="hybridMultilevel"/>
    <w:lvl w:ilvl="0">
      <w:lvlJc w:val="left"/>
      <w:lvlText w:val="%1."/>
      <w:numFmt w:val="decimal"/>
      <w:start w:val="1"/>
    </w:lvl>
  </w:abstractNum>
  <w:abstractNum w:abstractNumId="22">
    <w:nsid w:val="737B8DDC"/>
    <w:multiLevelType w:val="hybridMultilevel"/>
    <w:lvl w:ilvl="0">
      <w:lvlJc w:val="left"/>
      <w:lvlText w:val="%1."/>
      <w:numFmt w:val="decimal"/>
      <w:start w:val="1"/>
    </w:lvl>
  </w:abstractNum>
  <w:abstractNum w:abstractNumId="23">
    <w:nsid w:val="6CEAF087"/>
    <w:multiLevelType w:val="hybridMultilevel"/>
    <w:lvl w:ilvl="0">
      <w:lvlJc w:val="left"/>
      <w:lvlText w:val="%1."/>
      <w:numFmt w:val="decimal"/>
      <w:start w:val="1"/>
    </w:lvl>
  </w:abstractNum>
  <w:abstractNum w:abstractNumId="24">
    <w:nsid w:val="22221A70"/>
    <w:multiLevelType w:val="hybridMultilevel"/>
    <w:lvl w:ilvl="0">
      <w:lvlJc w:val="left"/>
      <w:lvlText w:val="%1."/>
      <w:numFmt w:val="decimal"/>
      <w:start w:val="1"/>
    </w:lvl>
  </w:abstractNum>
  <w:abstractNum w:abstractNumId="25">
    <w:nsid w:val="4516DDE9"/>
    <w:multiLevelType w:val="hybridMultilevel"/>
    <w:lvl w:ilvl="0">
      <w:lvlJc w:val="left"/>
      <w:lvlText w:val="%1."/>
      <w:numFmt w:val="decimal"/>
      <w:start w:val="1"/>
    </w:lvl>
  </w:abstractNum>
  <w:abstractNum w:abstractNumId="26">
    <w:nsid w:val="3006C83E"/>
    <w:multiLevelType w:val="hybridMultilevel"/>
    <w:lvl w:ilvl="0">
      <w:lvlJc w:val="left"/>
      <w:lvlText w:val="%1."/>
      <w:numFmt w:val="decimal"/>
      <w:start w:val="1"/>
    </w:lvl>
  </w:abstractNum>
  <w:abstractNum w:abstractNumId="27">
    <w:nsid w:val="614FD4A1"/>
    <w:multiLevelType w:val="hybridMultilevel"/>
    <w:lvl w:ilvl="0">
      <w:lvlJc w:val="left"/>
      <w:lvlText w:val="%1."/>
      <w:numFmt w:val="decimal"/>
      <w:start w:val="3"/>
    </w:lvl>
  </w:abstractNum>
  <w:abstractNum w:abstractNumId="28">
    <w:nsid w:val="419AC241"/>
    <w:multiLevelType w:val="hybridMultilevel"/>
    <w:lvl w:ilvl="0">
      <w:lvlJc w:val="left"/>
      <w:lvlText w:val="%1."/>
      <w:numFmt w:val="decimal"/>
      <w:start w:val="1"/>
    </w:lvl>
  </w:abstractNum>
  <w:abstractNum w:abstractNumId="29">
    <w:nsid w:val="5577F8E1"/>
    <w:multiLevelType w:val="hybridMultilevel"/>
    <w:lvl w:ilvl="0">
      <w:lvlJc w:val="left"/>
      <w:lvlText w:val="%1."/>
      <w:numFmt w:val="decimal"/>
      <w:start w:val="1"/>
    </w:lvl>
  </w:abstractNum>
  <w:abstractNum w:abstractNumId="30">
    <w:nsid w:val="440BADFC"/>
    <w:multiLevelType w:val="hybridMultilevel"/>
    <w:lvl w:ilvl="0">
      <w:lvlJc w:val="left"/>
      <w:lvlText w:val="%1."/>
      <w:numFmt w:val="decimal"/>
      <w:start w:val="1"/>
    </w:lvl>
  </w:abstractNum>
  <w:abstractNum w:abstractNumId="31">
    <w:nsid w:val="5072367"/>
    <w:multiLevelType w:val="hybridMultilevel"/>
    <w:lvl w:ilvl="0">
      <w:lvlJc w:val="left"/>
      <w:lvlText w:val="%1."/>
      <w:numFmt w:val="decimal"/>
      <w:start w:val="1"/>
    </w:lvl>
  </w:abstractNum>
  <w:abstractNum w:abstractNumId="32">
    <w:nsid w:val="3804823E"/>
    <w:multiLevelType w:val="hybridMultilevel"/>
    <w:lvl w:ilvl="0">
      <w:lvlJc w:val="left"/>
      <w:lvlText w:val="(%1)"/>
      <w:numFmt w:val="lowerRoman"/>
      <w:start w:val="3"/>
    </w:lvl>
  </w:abstractNum>
  <w:abstractNum w:abstractNumId="33">
    <w:nsid w:val="77465F01"/>
    <w:multiLevelType w:val="hybridMultilevel"/>
    <w:lvl w:ilvl="0">
      <w:lvlJc w:val="left"/>
      <w:lvlText w:val="%1."/>
      <w:numFmt w:val="decimal"/>
      <w:start w:val="1"/>
    </w:lvl>
  </w:abstractNum>
  <w:abstractNum w:abstractNumId="34">
    <w:nsid w:val="7724C67E"/>
    <w:multiLevelType w:val="hybridMultilevel"/>
    <w:lvl w:ilvl="0">
      <w:lvlJc w:val="left"/>
      <w:lvlText w:val="%1."/>
      <w:numFmt w:val="decimal"/>
      <w:start w:val="1"/>
    </w:lvl>
  </w:abstractNum>
  <w:abstractNum w:abstractNumId="35">
    <w:nsid w:val="5C482A97"/>
    <w:multiLevelType w:val="hybridMultilevel"/>
    <w:lvl w:ilvl="0">
      <w:lvlJc w:val="left"/>
      <w:lvlText w:val="%1"/>
      <w:numFmt w:val="decimal"/>
      <w:start w:val="32"/>
    </w:lvl>
  </w:abstractNum>
  <w:abstractNum w:abstractNumId="36">
    <w:nsid w:val="2463B9EA"/>
    <w:multiLevelType w:val="hybridMultilevel"/>
    <w:lvl w:ilvl="0">
      <w:lvlJc w:val="left"/>
      <w:lvlText w:val="**"/>
      <w:numFmt w:val="bullet"/>
      <w:start w:val="1"/>
    </w:lvl>
    <w:lvl w:ilvl="1">
      <w:lvlJc w:val="left"/>
      <w:lvlText w:val="(%2)"/>
      <w:numFmt w:val="lowerLetter"/>
      <w:start w:val="2"/>
    </w:lvl>
  </w:abstractNum>
  <w:abstractNum w:abstractNumId="37">
    <w:nsid w:val="5E884ADC"/>
    <w:multiLevelType w:val="hybridMultilevel"/>
    <w:lvl w:ilvl="0">
      <w:lvlJc w:val="left"/>
      <w:lvlText w:val="%1."/>
      <w:numFmt w:val="decimal"/>
      <w:start w:val="1"/>
    </w:lvl>
    <w:lvl w:ilvl="1">
      <w:lvlJc w:val="left"/>
      <w:lvlText w:val="(%2)"/>
      <w:numFmt w:val="lowerLetter"/>
      <w:start w:val="1"/>
    </w:lvl>
  </w:abstractNum>
  <w:abstractNum w:abstractNumId="38">
    <w:nsid w:val="51EAD36B"/>
    <w:multiLevelType w:val="hybridMultilevel"/>
    <w:lvl w:ilvl="0">
      <w:lvlJc w:val="left"/>
      <w:lvlText w:val="%1."/>
      <w:numFmt w:val="decimal"/>
      <w:start w:val="1"/>
    </w:lvl>
    <w:lvl w:ilvl="1">
      <w:lvlJc w:val="left"/>
      <w:lvlText w:val="(%2)"/>
      <w:numFmt w:val="lowerLetter"/>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2019-12-29T11:04:54Z</dcterms:created>
  <dcterms:modified xsi:type="dcterms:W3CDTF">2019-12-29T11:04:54Z</dcterms:modified>
</cp:coreProperties>
</file>