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0" w:type="dxa"/>
            <w:vAlign w:val="bottom"/>
          </w:tcPr>
          <w:p>
            <w:pPr>
              <w:spacing w:after="0"/>
              <w:rPr>
                <w:sz w:val="1"/>
                <w:szCs w:val="1"/>
                <w:color w:val="auto"/>
              </w:rPr>
            </w:pPr>
          </w:p>
        </w:tc>
      </w:tr>
      <w:tr>
        <w:trPr>
          <w:trHeight w:val="238"/>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42"/>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0" w:type="dxa"/>
            <w:vAlign w:val="bottom"/>
          </w:tcPr>
          <w:p>
            <w:pPr>
              <w:spacing w:after="0"/>
              <w:rPr>
                <w:sz w:val="1"/>
                <w:szCs w:val="1"/>
                <w:color w:val="auto"/>
              </w:rPr>
            </w:pPr>
          </w:p>
        </w:tc>
      </w:tr>
      <w:tr>
        <w:trPr>
          <w:trHeight w:val="228"/>
        </w:trPr>
        <w:tc>
          <w:tcPr>
            <w:tcW w:w="1060" w:type="dxa"/>
            <w:vAlign w:val="bottom"/>
            <w:vMerge w:val="continue"/>
          </w:tcPr>
          <w:p>
            <w:pPr>
              <w:spacing w:after="0"/>
              <w:rPr>
                <w:sz w:val="19"/>
                <w:szCs w:val="19"/>
                <w:color w:val="auto"/>
              </w:rPr>
            </w:pPr>
          </w:p>
        </w:tc>
        <w:tc>
          <w:tcPr>
            <w:tcW w:w="83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60"/>
        </w:trPr>
        <w:tc>
          <w:tcPr>
            <w:tcW w:w="1060" w:type="dxa"/>
            <w:vAlign w:val="bottom"/>
          </w:tcPr>
          <w:p>
            <w:pPr>
              <w:spacing w:after="0"/>
              <w:rPr>
                <w:sz w:val="22"/>
                <w:szCs w:val="22"/>
                <w:color w:val="auto"/>
              </w:rPr>
            </w:pPr>
          </w:p>
        </w:tc>
        <w:tc>
          <w:tcPr>
            <w:tcW w:w="83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tc>
        <w:tc>
          <w:tcPr>
            <w:tcW w:w="0" w:type="dxa"/>
            <w:vAlign w:val="bottom"/>
          </w:tcPr>
          <w:p>
            <w:pPr>
              <w:spacing w:after="0"/>
              <w:rPr>
                <w:sz w:val="1"/>
                <w:szCs w:val="1"/>
                <w:color w:val="auto"/>
              </w:rPr>
            </w:pPr>
          </w:p>
        </w:tc>
      </w:tr>
      <w:tr>
        <w:trPr>
          <w:trHeight w:val="190"/>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238"/>
        </w:trPr>
        <w:tc>
          <w:tcPr>
            <w:tcW w:w="1060" w:type="dxa"/>
            <w:vAlign w:val="bottom"/>
            <w:vMerge w:val="continue"/>
          </w:tcPr>
          <w:p>
            <w:pPr>
              <w:spacing w:after="0"/>
              <w:rPr>
                <w:sz w:val="20"/>
                <w:szCs w:val="20"/>
                <w:color w:val="auto"/>
              </w:rPr>
            </w:pPr>
          </w:p>
        </w:tc>
        <w:tc>
          <w:tcPr>
            <w:tcW w:w="830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75"/>
        </w:trPr>
        <w:tc>
          <w:tcPr>
            <w:tcW w:w="1060" w:type="dxa"/>
            <w:vAlign w:val="bottom"/>
          </w:tcPr>
          <w:p>
            <w:pPr>
              <w:spacing w:after="0"/>
              <w:rPr>
                <w:sz w:val="23"/>
                <w:szCs w:val="23"/>
                <w:color w:val="auto"/>
              </w:rPr>
            </w:pPr>
          </w:p>
        </w:tc>
        <w:tc>
          <w:tcPr>
            <w:tcW w:w="830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483235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109220</wp:posOffset>
            </wp:positionV>
            <wp:extent cx="19030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1740" w:type="dxa"/>
        <w:tblCellMar>
          <w:top w:w="0" w:type="dxa"/>
          <w:left w:w="0" w:type="dxa"/>
          <w:bottom w:w="0" w:type="dxa"/>
          <w:right w:w="0" w:type="dxa"/>
        </w:tblCellMar>
      </w:tblPr>
      <w:tr>
        <w:trPr>
          <w:trHeight w:val="214"/>
        </w:trPr>
        <w:tc>
          <w:tcPr>
            <w:tcW w:w="2020" w:type="dxa"/>
            <w:vAlign w:val="bottom"/>
          </w:tcPr>
          <w:p>
            <w:pPr>
              <w:spacing w:after="0"/>
              <w:rPr>
                <w:sz w:val="18"/>
                <w:szCs w:val="18"/>
                <w:color w:val="auto"/>
              </w:rPr>
            </w:pPr>
          </w:p>
        </w:tc>
        <w:tc>
          <w:tcPr>
            <w:tcW w:w="5440" w:type="dxa"/>
            <w:vAlign w:val="bottom"/>
          </w:tcPr>
          <w:p>
            <w:pPr>
              <w:jc w:val="center"/>
              <w:ind w:right="1648"/>
              <w:spacing w:after="0"/>
              <w:rPr>
                <w:sz w:val="20"/>
                <w:szCs w:val="20"/>
                <w:color w:val="auto"/>
              </w:rPr>
            </w:pPr>
            <w:r>
              <w:rPr>
                <w:rFonts w:ascii="Times New Roman" w:cs="Times New Roman" w:eastAsia="Times New Roman" w:hAnsi="Times New Roman"/>
                <w:sz w:val="18"/>
                <w:szCs w:val="18"/>
                <w:b w:val="1"/>
                <w:bCs w:val="1"/>
                <w:color w:val="auto"/>
                <w:w w:val="98"/>
              </w:rPr>
              <w:t>AGNC INVESTMENT CORP.</w:t>
            </w:r>
          </w:p>
        </w:tc>
      </w:tr>
      <w:tr>
        <w:trPr>
          <w:trHeight w:val="182"/>
        </w:trPr>
        <w:tc>
          <w:tcPr>
            <w:tcW w:w="2020" w:type="dxa"/>
            <w:vAlign w:val="bottom"/>
          </w:tcPr>
          <w:p>
            <w:pPr>
              <w:spacing w:after="0"/>
              <w:rPr>
                <w:sz w:val="15"/>
                <w:szCs w:val="15"/>
                <w:color w:val="auto"/>
              </w:rPr>
            </w:pPr>
          </w:p>
        </w:tc>
        <w:tc>
          <w:tcPr>
            <w:tcW w:w="5440" w:type="dxa"/>
            <w:vAlign w:val="bottom"/>
          </w:tcPr>
          <w:p>
            <w:pPr>
              <w:jc w:val="center"/>
              <w:ind w:right="162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64"/>
        </w:trPr>
        <w:tc>
          <w:tcPr>
            <w:tcW w:w="2020" w:type="dxa"/>
            <w:vAlign w:val="bottom"/>
          </w:tcPr>
          <w:p>
            <w:pPr>
              <w:spacing w:after="0"/>
              <w:rPr>
                <w:sz w:val="14"/>
                <w:szCs w:val="14"/>
                <w:color w:val="auto"/>
              </w:rPr>
            </w:pPr>
          </w:p>
        </w:tc>
        <w:tc>
          <w:tcPr>
            <w:tcW w:w="5440" w:type="dxa"/>
            <w:vAlign w:val="bottom"/>
          </w:tcPr>
          <w:p>
            <w:pPr>
              <w:jc w:val="right"/>
              <w:ind w:right="1708"/>
              <w:spacing w:after="0"/>
              <w:rPr>
                <w:sz w:val="20"/>
                <w:szCs w:val="20"/>
                <w:color w:val="auto"/>
              </w:rPr>
            </w:pPr>
            <w:r>
              <w:rPr>
                <w:rFonts w:ascii="Times New Roman" w:cs="Times New Roman" w:eastAsia="Times New Roman" w:hAnsi="Times New Roman"/>
                <w:sz w:val="13"/>
                <w:szCs w:val="13"/>
                <w:color w:val="auto"/>
                <w:w w:val="98"/>
              </w:rPr>
              <w:t>_________________________________________________________</w:t>
            </w:r>
          </w:p>
        </w:tc>
      </w:tr>
      <w:tr>
        <w:trPr>
          <w:trHeight w:val="208"/>
        </w:trPr>
        <w:tc>
          <w:tcPr>
            <w:tcW w:w="2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440" w:type="dxa"/>
            <w:vAlign w:val="bottom"/>
          </w:tcPr>
          <w:p>
            <w:pPr>
              <w:jc w:val="center"/>
              <w:ind w:left="4248"/>
              <w:spacing w:after="0"/>
              <w:rPr>
                <w:sz w:val="20"/>
                <w:szCs w:val="20"/>
                <w:color w:val="auto"/>
              </w:rPr>
            </w:pPr>
            <w:r>
              <w:rPr>
                <w:rFonts w:ascii="Times New Roman" w:cs="Times New Roman" w:eastAsia="Times New Roman" w:hAnsi="Times New Roman"/>
                <w:sz w:val="14"/>
                <w:szCs w:val="14"/>
                <w:b w:val="1"/>
                <w:bCs w:val="1"/>
                <w:color w:val="auto"/>
              </w:rPr>
              <w:t>26-1701984</w:t>
            </w:r>
          </w:p>
        </w:tc>
      </w:tr>
      <w:tr>
        <w:trPr>
          <w:trHeight w:val="161"/>
        </w:trPr>
        <w:tc>
          <w:tcPr>
            <w:tcW w:w="2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40" w:type="dxa"/>
            <w:vAlign w:val="bottom"/>
          </w:tcPr>
          <w:p>
            <w:pPr>
              <w:jc w:val="center"/>
              <w:ind w:left="424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40" w:type="dxa"/>
            <w:vAlign w:val="bottom"/>
          </w:tcPr>
          <w:p>
            <w:pPr>
              <w:jc w:val="center"/>
              <w:ind w:left="42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9"/>
        </w:trPr>
        <w:tc>
          <w:tcPr>
            <w:tcW w:w="2020" w:type="dxa"/>
            <w:vAlign w:val="bottom"/>
          </w:tcPr>
          <w:p>
            <w:pPr>
              <w:spacing w:after="0"/>
              <w:rPr>
                <w:sz w:val="23"/>
                <w:szCs w:val="23"/>
                <w:color w:val="auto"/>
              </w:rPr>
            </w:pPr>
          </w:p>
        </w:tc>
        <w:tc>
          <w:tcPr>
            <w:tcW w:w="5440" w:type="dxa"/>
            <w:vAlign w:val="bottom"/>
          </w:tcPr>
          <w:p>
            <w:pPr>
              <w:jc w:val="center"/>
              <w:ind w:right="1648"/>
              <w:spacing w:after="0"/>
              <w:rPr>
                <w:sz w:val="20"/>
                <w:szCs w:val="20"/>
                <w:color w:val="auto"/>
              </w:rPr>
            </w:pPr>
            <w:r>
              <w:rPr>
                <w:rFonts w:ascii="Times New Roman" w:cs="Times New Roman" w:eastAsia="Times New Roman" w:hAnsi="Times New Roman"/>
                <w:sz w:val="14"/>
                <w:szCs w:val="14"/>
                <w:b w:val="1"/>
                <w:bCs w:val="1"/>
                <w:color w:val="auto"/>
              </w:rPr>
              <w:t>7373 Wisconsin Avenue, 22nd Floor</w:t>
            </w:r>
          </w:p>
        </w:tc>
      </w:tr>
      <w:tr>
        <w:trPr>
          <w:trHeight w:val="176"/>
        </w:trPr>
        <w:tc>
          <w:tcPr>
            <w:tcW w:w="2020" w:type="dxa"/>
            <w:vAlign w:val="bottom"/>
          </w:tcPr>
          <w:p>
            <w:pPr>
              <w:spacing w:after="0"/>
              <w:rPr>
                <w:sz w:val="15"/>
                <w:szCs w:val="15"/>
                <w:color w:val="auto"/>
              </w:rPr>
            </w:pPr>
          </w:p>
        </w:tc>
        <w:tc>
          <w:tcPr>
            <w:tcW w:w="5440" w:type="dxa"/>
            <w:vAlign w:val="bottom"/>
          </w:tcPr>
          <w:p>
            <w:pPr>
              <w:jc w:val="center"/>
              <w:ind w:right="1648"/>
              <w:spacing w:after="0"/>
              <w:rPr>
                <w:sz w:val="20"/>
                <w:szCs w:val="20"/>
                <w:color w:val="auto"/>
              </w:rPr>
            </w:pPr>
            <w:r>
              <w:rPr>
                <w:rFonts w:ascii="Times New Roman" w:cs="Times New Roman" w:eastAsia="Times New Roman" w:hAnsi="Times New Roman"/>
                <w:sz w:val="14"/>
                <w:szCs w:val="14"/>
                <w:b w:val="1"/>
                <w:bCs w:val="1"/>
                <w:color w:val="auto"/>
              </w:rPr>
              <w:t>Bethesda, Maryland 20814</w:t>
            </w:r>
          </w:p>
        </w:tc>
      </w:tr>
      <w:tr>
        <w:trPr>
          <w:trHeight w:val="176"/>
        </w:trPr>
        <w:tc>
          <w:tcPr>
            <w:tcW w:w="2020" w:type="dxa"/>
            <w:vAlign w:val="bottom"/>
          </w:tcPr>
          <w:p>
            <w:pPr>
              <w:spacing w:after="0"/>
              <w:rPr>
                <w:sz w:val="15"/>
                <w:szCs w:val="15"/>
                <w:color w:val="auto"/>
              </w:rPr>
            </w:pPr>
          </w:p>
        </w:tc>
        <w:tc>
          <w:tcPr>
            <w:tcW w:w="5440" w:type="dxa"/>
            <w:vAlign w:val="bottom"/>
          </w:tcPr>
          <w:p>
            <w:pPr>
              <w:jc w:val="center"/>
              <w:ind w:right="16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175"/>
        </w:trPr>
        <w:tc>
          <w:tcPr>
            <w:tcW w:w="2020" w:type="dxa"/>
            <w:vAlign w:val="bottom"/>
          </w:tcPr>
          <w:p>
            <w:pPr>
              <w:spacing w:after="0"/>
              <w:rPr>
                <w:sz w:val="15"/>
                <w:szCs w:val="15"/>
                <w:color w:val="auto"/>
              </w:rPr>
            </w:pPr>
          </w:p>
        </w:tc>
        <w:tc>
          <w:tcPr>
            <w:tcW w:w="5440" w:type="dxa"/>
            <w:vAlign w:val="bottom"/>
          </w:tcPr>
          <w:p>
            <w:pPr>
              <w:jc w:val="right"/>
              <w:ind w:right="3048"/>
              <w:spacing w:after="0"/>
              <w:rPr>
                <w:sz w:val="20"/>
                <w:szCs w:val="20"/>
                <w:color w:val="auto"/>
              </w:rPr>
            </w:pPr>
            <w:r>
              <w:rPr>
                <w:rFonts w:ascii="Times New Roman" w:cs="Times New Roman" w:eastAsia="Times New Roman" w:hAnsi="Times New Roman"/>
                <w:sz w:val="14"/>
                <w:szCs w:val="14"/>
                <w:b w:val="1"/>
                <w:bCs w:val="1"/>
                <w:color w:val="auto"/>
              </w:rPr>
              <w:t>(301) 968-9315</w:t>
            </w:r>
          </w:p>
        </w:tc>
      </w:tr>
      <w:tr>
        <w:trPr>
          <w:trHeight w:val="182"/>
        </w:trPr>
        <w:tc>
          <w:tcPr>
            <w:tcW w:w="2020" w:type="dxa"/>
            <w:vAlign w:val="bottom"/>
          </w:tcPr>
          <w:p>
            <w:pPr>
              <w:spacing w:after="0"/>
              <w:rPr>
                <w:sz w:val="15"/>
                <w:szCs w:val="15"/>
                <w:color w:val="auto"/>
              </w:rPr>
            </w:pPr>
          </w:p>
        </w:tc>
        <w:tc>
          <w:tcPr>
            <w:tcW w:w="5440" w:type="dxa"/>
            <w:vAlign w:val="bottom"/>
          </w:tcPr>
          <w:p>
            <w:pPr>
              <w:jc w:val="center"/>
              <w:ind w:right="16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164"/>
        </w:trPr>
        <w:tc>
          <w:tcPr>
            <w:tcW w:w="2020" w:type="dxa"/>
            <w:vAlign w:val="bottom"/>
          </w:tcPr>
          <w:p>
            <w:pPr>
              <w:spacing w:after="0"/>
              <w:rPr>
                <w:sz w:val="14"/>
                <w:szCs w:val="14"/>
                <w:color w:val="auto"/>
              </w:rPr>
            </w:pPr>
          </w:p>
        </w:tc>
        <w:tc>
          <w:tcPr>
            <w:tcW w:w="5440" w:type="dxa"/>
            <w:vAlign w:val="bottom"/>
          </w:tcPr>
          <w:p>
            <w:pPr>
              <w:jc w:val="center"/>
              <w:ind w:right="1608"/>
              <w:spacing w:after="0"/>
              <w:rPr>
                <w:sz w:val="20"/>
                <w:szCs w:val="20"/>
                <w:color w:val="auto"/>
              </w:rPr>
            </w:pPr>
            <w:r>
              <w:rPr>
                <w:rFonts w:ascii="Times New Roman" w:cs="Times New Roman" w:eastAsia="Times New Roman" w:hAnsi="Times New Roman"/>
                <w:sz w:val="13"/>
                <w:szCs w:val="13"/>
                <w:color w:val="auto"/>
                <w:w w:val="97"/>
              </w:rPr>
              <w:t>_________________________________________________________</w:t>
            </w:r>
          </w:p>
        </w:tc>
      </w:tr>
    </w:tbl>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AGNC</w:t>
            </w:r>
          </w:p>
        </w:tc>
        <w:tc>
          <w:tcPr>
            <w:tcW w:w="1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54"/>
        </w:trPr>
        <w:tc>
          <w:tcPr>
            <w:tcW w:w="574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color w:val="auto"/>
              </w:rPr>
              <w:t>Depositary shares of 7.000% Series C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AGNCN</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Depositary shares of 6.875% Series D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AGNCM</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Depositary shares of 6.50% Series E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AGNCO</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Depositary shares of 6.125% Series F Fixed-to-Floating Rate Cumulative Redeemable Preferred</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AGNCP</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Depositary shares of 7.75% Series G Fixed-Rate Reset Cumulative</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AGNCL</w:t>
            </w:r>
          </w:p>
        </w:tc>
        <w:tc>
          <w:tcPr>
            <w:tcW w:w="3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5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Redeemable Preferred Stock</w:t>
            </w:r>
          </w:p>
        </w:tc>
        <w:tc>
          <w:tcPr>
            <w:tcW w:w="1660" w:type="dxa"/>
            <w:vAlign w:val="bottom"/>
            <w:gridSpan w:val="2"/>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74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9" w:lineRule="exact"/>
        <w:rPr>
          <w:sz w:val="24"/>
          <w:szCs w:val="24"/>
          <w:color w:val="auto"/>
        </w:rPr>
      </w:pPr>
    </w:p>
    <w:p>
      <w:pPr>
        <w:ind w:right="10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300" w:type="dxa"/>
        <w:tblCellMar>
          <w:top w:w="0" w:type="dxa"/>
          <w:left w:w="0" w:type="dxa"/>
          <w:bottom w:w="0" w:type="dxa"/>
          <w:right w:w="0" w:type="dxa"/>
        </w:tblCellMar>
      </w:tblPr>
      <w:tr>
        <w:trPr>
          <w:trHeight w:val="199"/>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87" w:lineRule="exact"/>
        <w:rPr>
          <w:sz w:val="24"/>
          <w:szCs w:val="24"/>
          <w:color w:val="auto"/>
        </w:rPr>
      </w:pPr>
    </w:p>
    <w:p>
      <w:pPr>
        <w:ind w:right="460" w:firstLine="324"/>
        <w:spacing w:after="0" w:line="19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right="328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The number of shares of the issuer's common stock, $0.01 par value, outstanding as of July 31, 2024 was 782,464,442.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57785</wp:posOffset>
            </wp:positionV>
            <wp:extent cx="6990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00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23495</wp:posOffset>
            </wp:positionV>
            <wp:extent cx="6990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008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 w:name="page2"/>
    <w:bookmarkEnd w:id="1"/>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10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460" w:type="dxa"/>
            <w:vAlign w:val="bottom"/>
            <w:gridSpan w:val="2"/>
          </w:tcPr>
          <w:p>
            <w:pPr>
              <w:spacing w:after="0"/>
              <w:rPr>
                <w:sz w:val="16"/>
                <w:szCs w:val="16"/>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2"/>
              </w:rPr>
              <w:t>Item 1.</w:t>
            </w:r>
          </w:p>
        </w:tc>
        <w:tc>
          <w:tcPr>
            <w:tcW w:w="12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21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5440" w:type="dxa"/>
            <w:vAlign w:val="bottom"/>
            <w:gridSpan w:val="3"/>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w:t>
            </w:r>
          </w:p>
        </w:tc>
        <w:tc>
          <w:tcPr>
            <w:tcW w:w="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26</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3.</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39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Quantitative and Qualitative Disclosures About Market Risk</w:t>
            </w:r>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44</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680" w:type="dxa"/>
            <w:vAlign w:val="bottom"/>
            <w:tcBorders>
              <w:left w:val="single" w:sz="8" w:color="0000FF"/>
            </w:tcBorders>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580" w:type="dxa"/>
            <w:vAlign w:val="bottom"/>
            <w:gridSpan w:val="3"/>
          </w:tcPr>
          <w:p>
            <w:pPr>
              <w:spacing w:after="0"/>
              <w:rPr>
                <w:sz w:val="17"/>
                <w:szCs w:val="17"/>
                <w:color w:val="auto"/>
              </w:rPr>
            </w:pPr>
          </w:p>
        </w:tc>
        <w:tc>
          <w:tcPr>
            <w:tcW w:w="39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3680" w:type="dxa"/>
            <w:vAlign w:val="bottom"/>
            <w:gridSpan w:val="2"/>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47</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3"/>
        </w:trPr>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0000FF"/>
                <w:w w:val="99"/>
              </w:rPr>
              <w:t>PART II.</w:t>
            </w:r>
          </w:p>
        </w:tc>
        <w:tc>
          <w:tcPr>
            <w:tcW w:w="360" w:type="dxa"/>
            <w:vAlign w:val="bottom"/>
          </w:tcPr>
          <w:p>
            <w:pPr>
              <w:spacing w:after="0"/>
              <w:rPr>
                <w:sz w:val="24"/>
                <w:szCs w:val="24"/>
                <w:color w:val="auto"/>
              </w:rPr>
            </w:pPr>
          </w:p>
        </w:tc>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w w:val="99"/>
              </w:rPr>
              <w:t>OTHER INFORMATION</w:t>
            </w:r>
          </w:p>
        </w:tc>
        <w:tc>
          <w:tcPr>
            <w:tcW w:w="5760" w:type="dxa"/>
            <w:vAlign w:val="bottom"/>
            <w:gridSpan w:val="5"/>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80" w:type="dxa"/>
            <w:vAlign w:val="bottom"/>
            <w:tcBorders>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Item 1.</w:t>
            </w:r>
          </w:p>
        </w:tc>
        <w:tc>
          <w:tcPr>
            <w:tcW w:w="460" w:type="dxa"/>
            <w:vAlign w:val="bottom"/>
            <w:gridSpan w:val="2"/>
          </w:tcPr>
          <w:p>
            <w:pPr>
              <w:spacing w:after="0"/>
              <w:rPr>
                <w:sz w:val="18"/>
                <w:szCs w:val="18"/>
                <w:color w:val="auto"/>
              </w:rPr>
            </w:pPr>
          </w:p>
        </w:tc>
        <w:tc>
          <w:tcPr>
            <w:tcW w:w="120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w w:val="99"/>
              </w:rPr>
              <w:t>Legal Proceedings</w:t>
            </w:r>
          </w:p>
        </w:tc>
        <w:tc>
          <w:tcPr>
            <w:tcW w:w="840" w:type="dxa"/>
            <w:vAlign w:val="bottom"/>
            <w:tcBorders>
              <w:bottom w:val="single" w:sz="8" w:color="0000FF"/>
            </w:tcBorders>
            <w:gridSpan w:val="4"/>
          </w:tcPr>
          <w:p>
            <w:pPr>
              <w:spacing w:after="0"/>
              <w:rPr>
                <w:sz w:val="18"/>
                <w:szCs w:val="18"/>
                <w:color w:val="auto"/>
              </w:rPr>
            </w:pPr>
          </w:p>
        </w:tc>
        <w:tc>
          <w:tcPr>
            <w:tcW w:w="1860" w:type="dxa"/>
            <w:vAlign w:val="bottom"/>
            <w:gridSpan w:val="2"/>
          </w:tcPr>
          <w:p>
            <w:pPr>
              <w:spacing w:after="0"/>
              <w:rPr>
                <w:sz w:val="18"/>
                <w:szCs w:val="18"/>
                <w:color w:val="auto"/>
              </w:rPr>
            </w:pPr>
          </w:p>
        </w:tc>
        <w:tc>
          <w:tcPr>
            <w:tcW w:w="368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48</w:t>
            </w:r>
          </w:p>
        </w:tc>
      </w:tr>
      <w:tr>
        <w:trPr>
          <w:trHeight w:val="190"/>
        </w:trPr>
        <w:tc>
          <w:tcPr>
            <w:tcW w:w="10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1A.</w:t>
            </w: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48</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48</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3"/>
        </w:trPr>
        <w:tc>
          <w:tcPr>
            <w:tcW w:w="46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w w:val="92"/>
              </w:rPr>
              <w:t>Item 3.</w:t>
            </w:r>
          </w:p>
        </w:tc>
        <w:tc>
          <w:tcPr>
            <w:tcW w:w="220" w:type="dxa"/>
            <w:vAlign w:val="bottom"/>
            <w:tcBorders>
              <w:bottom w:val="single" w:sz="8" w:color="0000FF"/>
            </w:tcBorders>
            <w:gridSpan w:val="2"/>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Borders>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3680" w:type="dxa"/>
            <w:vAlign w:val="bottom"/>
            <w:tcBorders>
              <w:bottom w:val="single" w:sz="8" w:color="0000FF"/>
            </w:tcBorders>
            <w:gridSpan w:val="2"/>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48</w:t>
            </w:r>
          </w:p>
        </w:tc>
      </w:tr>
      <w:tr>
        <w:trPr>
          <w:trHeight w:val="203"/>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580" w:type="dxa"/>
            <w:vAlign w:val="bottom"/>
            <w:gridSpan w:val="3"/>
          </w:tcPr>
          <w:p>
            <w:pPr>
              <w:spacing w:after="0"/>
              <w:rPr>
                <w:sz w:val="17"/>
                <w:szCs w:val="17"/>
                <w:color w:val="auto"/>
              </w:rPr>
            </w:pPr>
          </w:p>
        </w:tc>
        <w:tc>
          <w:tcPr>
            <w:tcW w:w="75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48</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5.</w:t>
            </w:r>
          </w:p>
        </w:tc>
        <w:tc>
          <w:tcPr>
            <w:tcW w:w="580" w:type="dxa"/>
            <w:vAlign w:val="bottom"/>
            <w:gridSpan w:val="3"/>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400" w:type="dxa"/>
            <w:vAlign w:val="bottom"/>
            <w:gridSpan w:val="3"/>
          </w:tcPr>
          <w:p>
            <w:pPr>
              <w:spacing w:after="0"/>
              <w:rPr>
                <w:sz w:val="17"/>
                <w:szCs w:val="17"/>
                <w:color w:val="auto"/>
              </w:rPr>
            </w:pPr>
          </w:p>
        </w:tc>
        <w:tc>
          <w:tcPr>
            <w:tcW w:w="6000" w:type="dxa"/>
            <w:vAlign w:val="bottom"/>
            <w:gridSpan w:val="6"/>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48</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6.</w:t>
            </w:r>
          </w:p>
        </w:tc>
        <w:tc>
          <w:tcPr>
            <w:tcW w:w="580" w:type="dxa"/>
            <w:vAlign w:val="bottom"/>
            <w:gridSpan w:val="3"/>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gridSpan w:val="2"/>
          </w:tcPr>
          <w:p>
            <w:pPr>
              <w:spacing w:after="0"/>
              <w:rPr>
                <w:sz w:val="17"/>
                <w:szCs w:val="17"/>
                <w:color w:val="auto"/>
              </w:rPr>
            </w:pPr>
          </w:p>
        </w:tc>
        <w:tc>
          <w:tcPr>
            <w:tcW w:w="6400" w:type="dxa"/>
            <w:vAlign w:val="bottom"/>
            <w:gridSpan w:val="9"/>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48</w:t>
            </w:r>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453"/>
        </w:trPr>
        <w:tc>
          <w:tcPr>
            <w:tcW w:w="10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51</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40" w:top="887" w:right="9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Agency securities, at fair value (including pledged securities of $54,999 and $49,575, respectively)</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59,586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Agency securities transferred to consolidated variable interest entities, at fair value (pledged securities)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Credit risk transfer securities, at fair value (including pledged securities of $647 and $678, respectively)</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165"/>
        </w:trPr>
        <w:tc>
          <w:tcPr>
            <w:tcW w:w="790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Non-Agency securities, at fair value, and other mortgage credit investments (including pledged securities of $213 and</w:t>
            </w: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$262, respectively)</w:t>
            </w:r>
          </w:p>
        </w:tc>
        <w:tc>
          <w:tcPr>
            <w:tcW w:w="2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securities, at fair value (including pledged securities of $2,319 and $1,530, respectively)</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 under reverse repurchase agreements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71,596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 agreements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50,426</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of consolidated variable interest entities, at fair value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Payable for investment securities purchased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Dividends payable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 fair value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0" w:type="dxa"/>
            <w:vAlign w:val="bottom"/>
          </w:tcPr>
          <w:p>
            <w:pPr>
              <w:spacing w:after="0"/>
              <w:rPr>
                <w:sz w:val="1"/>
                <w:szCs w:val="1"/>
                <w:color w:val="auto"/>
              </w:rPr>
            </w:pPr>
          </w:p>
        </w:tc>
      </w:tr>
      <w:tr>
        <w:trPr>
          <w:trHeight w:val="207"/>
        </w:trPr>
        <w:tc>
          <w:tcPr>
            <w:tcW w:w="79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71,033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63,339</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 aggregate liquidation preference of $1,688</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0" w:type="dxa"/>
            <w:vAlign w:val="bottom"/>
          </w:tcPr>
          <w:p>
            <w:pPr>
              <w:spacing w:after="0"/>
              <w:rPr>
                <w:sz w:val="1"/>
                <w:szCs w:val="1"/>
                <w:color w:val="auto"/>
              </w:rPr>
            </w:pPr>
          </w:p>
        </w:tc>
      </w:tr>
      <w:tr>
        <w:trPr>
          <w:trHeight w:val="165"/>
        </w:trPr>
        <w:tc>
          <w:tcPr>
            <w:tcW w:w="790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Common stock - $0.01 par value; 1,500 shares authorized; 766.1 and 694.3 shares issued and outstanding,</w:t>
            </w: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Retained deficit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0" w:type="dxa"/>
            <w:vAlign w:val="bottom"/>
          </w:tcPr>
          <w:p>
            <w:pPr>
              <w:spacing w:after="0"/>
              <w:rPr>
                <w:sz w:val="1"/>
                <w:szCs w:val="1"/>
                <w:color w:val="auto"/>
              </w:rPr>
            </w:pPr>
          </w:p>
        </w:tc>
      </w:tr>
      <w:tr>
        <w:trPr>
          <w:trHeight w:val="212"/>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79,685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71,596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208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6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30,</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gain (loss), net: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sale of investment securities, net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184"/>
        </w:trPr>
        <w:tc>
          <w:tcPr>
            <w:tcW w:w="694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 net income,</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Gain on derivative instruments and other investments, net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gain (loss), net:</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operating expense</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available (attributable) to common stockholders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84"/>
        </w:trPr>
        <w:tc>
          <w:tcPr>
            <w:tcW w:w="694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 other</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 net</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available (attributable) to common stockholders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diluted</w:t>
            </w: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(loss) per common share - basic</w:t>
            </w: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0.72</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9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9"/>
                <w:szCs w:val="9"/>
                <w:color w:val="auto"/>
              </w:rPr>
            </w:pPr>
          </w:p>
        </w:tc>
        <w:tc>
          <w:tcPr>
            <w:tcW w:w="120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7,792</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6"/>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8,578</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6"/>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gain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6"/>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8,257</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loss on available-for-sale securities, net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dividends declared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6"/>
        </w:trPr>
        <w:tc>
          <w:tcPr>
            <w:tcW w:w="3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dividends declared</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887" w:right="6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premiums and discounts on mortgage-backed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sale of investment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 loss on investment securities measured at fair value through net income,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derivative instruments and other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(used in)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194"/>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Agency mortgage-backed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(11,138)</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credit risk transfer and non-Agency securities and other mortgage credit investments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credit risk transfer and non-Agency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collections on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collections on credit risk transfer and non-Agency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U.S. Treasury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(18,861)</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U.S. Treasury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18,628</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payments on reverse repurchase agreements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proceeds from derivative instruments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(6,229)</w:t>
            </w:r>
          </w:p>
        </w:tc>
      </w:tr>
      <w:tr>
        <w:trPr>
          <w:trHeight w:val="194"/>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repurchase arrangements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2,450,825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1,599,134</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on repurchase agreements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(2,444,303)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(1,593,367)</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debt of consolidated variable interest entities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proceeds from common stock issuances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07"/>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5,553</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w:t>
            </w: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16"/>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r>
      <w:tr>
        <w:trPr>
          <w:trHeight w:val="212"/>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960" w:top="887" w:right="9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2023.</w:t>
      </w:r>
    </w:p>
    <w:p>
      <w:pPr>
        <w:spacing w:after="0" w:line="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of loans exceed certain thresholds. By reducing the amount that they are obligated to repay to holders of CRT securities, the GSEs and/or other third parties offset credit losses on the related loans.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20"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All of our securities are reported at fair value on our consolidated balance sheet. Accounting Standards Codification ("ASC") Topic 320,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and Equity Securities</w:t>
      </w:r>
      <w:r>
        <w:rPr>
          <w:rFonts w:ascii="Times New Roman" w:cs="Times New Roman" w:eastAsia="Times New Roman" w:hAnsi="Times New Roman"/>
          <w:sz w:val="18"/>
          <w:szCs w:val="18"/>
          <w:color w:val="auto"/>
        </w:rPr>
        <w:t>, requires that at the time of purchase, we designate a security as held-to-maturity, available-for-sale or trading, depending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ability and intent to hold such security to maturity. Alternatively, we may elect the fair value option of accounting for securities pursuant to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4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We did not recognize any loss on available for sale securities through net income that we held as of June 30, 2024 because, as of such date, we did not intend to sell any of them in an unrealized loss position nor was it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18"/>
          <w:szCs w:val="18"/>
          <w:i w:val="1"/>
          <w:iCs w:val="1"/>
          <w:color w:val="auto"/>
        </w:rPr>
        <w:t>Receivables—Nonrefundable Fees and Other Costs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4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factors. Any resulting changes in effective yield are recognized prospectively based on the current amortized cost of the investment adjusted for credit impairments, if 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 and we receive the related principal and interest payments. Pursuant to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we account for repurchase agreements as collateralized financing transactions, which are carried at their contractual amounts (cost), plus accrued interest. Our repurchase agreements typically have maturities of less than one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 and Obligation to Return Securities Borrowed under Reverse Repurchase Agreements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borrow securities to cover short sales of U.S. Treasury securities through reverse repurchase transactions under our master repurchase agreements (see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account for derivative instruments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 w:name="page10"/>
    <w:bookmarkEnd w:id="9"/>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swaptions</w:t>
      </w:r>
    </w:p>
    <w:p>
      <w:pPr>
        <w:spacing w:after="0" w:line="17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TBA securities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 Treasury securities and US Treasury futures contracts</w:t>
      </w:r>
    </w:p>
    <w:p>
      <w:pPr>
        <w:spacing w:after="0" w:line="17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—Quoted prices (unadjusted) for identical unrestricted assets and liabilities in active markets that are accessible at the measurement date.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auto"/>
        </w:rPr>
        <w:t>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3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2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 are valued based on prices obtained from multiple third-party pricing sources. The pricing sources utilize various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approaches, including market and income approaches. For Agency RMBS, the pricing sources primarily utilize a matrix pricing technique that interpolates the estimated fair value based on observed quoted prices for TBA securities having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TBA securities </w:t>
      </w:r>
      <w:r>
        <w:rPr>
          <w:rFonts w:ascii="Times New Roman" w:cs="Times New Roman" w:eastAsia="Times New Roman" w:hAnsi="Times New Roman"/>
          <w:sz w:val="18"/>
          <w:szCs w:val="18"/>
          <w:color w:val="auto"/>
        </w:rPr>
        <w:t>- are valued using prices obtained from third-party pricing sources based on pricing models that reference recent trading activity.</w:t>
      </w:r>
    </w:p>
    <w:p>
      <w:pPr>
        <w:spacing w:after="0" w:line="171"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 are valued using the daily settlement price, or fair value, determined by the clearing exchange based on a pricing model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observable market inputs, including current benchmark rates and the forward yield curve.</w:t>
      </w:r>
    </w:p>
    <w:p>
      <w:pPr>
        <w:spacing w:after="0" w:line="104"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swaptions </w:t>
      </w:r>
      <w:r>
        <w:rPr>
          <w:rFonts w:ascii="Times New Roman" w:cs="Times New Roman" w:eastAsia="Times New Roman" w:hAnsi="Times New Roman"/>
          <w:sz w:val="18"/>
          <w:szCs w:val="18"/>
          <w:color w:val="auto"/>
        </w:rPr>
        <w:t>- are valued using prices obtained from the counterparty and other third-party pricing models. The pricing models are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value of the future interest rate swap that we have the option to enter into as well as the remaining length of time that we have to exercise the option based on observable market inputs, adjusted for non-performance risk, if any.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 Treasury securities and futures are valued based on quoted prices for identical instruments in active markets and are classified as Level 1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financial instruments are classified as Level 3 inputs.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our investment portfolio consisted of $60.6 billion and $54.8 billion investment securities, at fair value, respectively, $5.3 billion and $5.4 billion net TBA securities, at fair value, respectively, and other mortgage credit investments of $60 million and $44 million, respectively, which we account for under the equity method of accounting. Our TBA position is reported at its net carrying value totaling $30 million and $66 million as of June 30, 2024 and December 31, 2023,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w:t>
      </w:r>
    </w:p>
    <w:p>
      <w:pPr>
        <w:spacing w:after="0" w:line="1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our investment securities had a net unamortized premium balance of $1.1 billion and $1.2 billion,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investment securities as of June 30, 2024 and December 31, 2023, excluding TBA securities and other mortgage credit investments (dollars in millions). Details of our TBA securities are included in Note 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1240" w:type="dxa"/>
            <w:vAlign w:val="bottom"/>
            <w:gridSpan w:val="4"/>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tcPr>
          <w:p>
            <w:pPr>
              <w:jc w:val="right"/>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61,706</w:t>
            </w:r>
          </w:p>
        </w:tc>
        <w:tc>
          <w:tcPr>
            <w:tcW w:w="100" w:type="dxa"/>
            <w:vAlign w:val="bottom"/>
          </w:tcPr>
          <w:p>
            <w:pPr>
              <w:spacing w:after="0"/>
              <w:rPr>
                <w:sz w:val="16"/>
                <w:szCs w:val="16"/>
                <w:color w:val="auto"/>
              </w:rPr>
            </w:pPr>
          </w:p>
        </w:tc>
        <w:tc>
          <w:tcPr>
            <w:tcW w:w="780" w:type="dxa"/>
            <w:vAlign w:val="bottom"/>
          </w:tcPr>
          <w:p>
            <w:pPr>
              <w:jc w:val="right"/>
              <w:ind w:right="615"/>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58,729</w:t>
            </w:r>
          </w:p>
        </w:tc>
        <w:tc>
          <w:tcPr>
            <w:tcW w:w="720" w:type="dxa"/>
            <w:vAlign w:val="bottom"/>
            <w:gridSpan w:val="3"/>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55,289</w:t>
            </w: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Adjustable rate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CMO</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Interest-only and principal-only strips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Multifamily</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Agency RMBS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62,688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59,692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CRT securities</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63,599</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60,632</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7"/>
          </w:tcPr>
          <w:p>
            <w:pPr>
              <w:jc w:val="right"/>
              <w:ind w:right="535"/>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Fannie Mae</w:t>
            </w:r>
          </w:p>
        </w:tc>
        <w:tc>
          <w:tcPr>
            <w:tcW w:w="80" w:type="dxa"/>
            <w:vAlign w:val="bottom"/>
          </w:tcPr>
          <w:p>
            <w:pPr>
              <w:spacing w:after="0"/>
              <w:rPr>
                <w:sz w:val="11"/>
                <w:szCs w:val="11"/>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Ginnie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CMBS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CRT</w:t>
            </w:r>
          </w:p>
        </w:tc>
        <w:tc>
          <w:tcPr>
            <w:tcW w:w="260" w:type="dxa"/>
            <w:vAlign w:val="bottom"/>
          </w:tcPr>
          <w:p>
            <w:pPr>
              <w:spacing w:after="0"/>
              <w:rPr>
                <w:sz w:val="11"/>
                <w:szCs w:val="11"/>
                <w:color w:val="auto"/>
              </w:rPr>
            </w:pPr>
          </w:p>
        </w:tc>
        <w:tc>
          <w:tcPr>
            <w:tcW w:w="7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Mae</w:t>
            </w: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3"/>
                <w:szCs w:val="13"/>
                <w:color w:val="auto"/>
              </w:rPr>
              <w:t xml:space="preserve">Par value </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3,656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4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4,740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Unamortized discount</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Unamortized premium</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283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Amortized cost</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3,869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1,152</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5,022</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Gross unrealized gains</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Gross unrealized losses</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3,402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1,007</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4,410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3"/>
                <w:szCs w:val="13"/>
                <w:color w:val="auto"/>
              </w:rPr>
              <w:t xml:space="preserve">Par value </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32,264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24,603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273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w w:val="92"/>
              </w:rPr>
              <w:t>619</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57,809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Unamortized discount</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55"/>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Unamortized premium</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1,107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Amortized cost</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32,782</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24,854</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3"/>
                <w:szCs w:val="13"/>
                <w:color w:val="auto"/>
              </w:rPr>
              <w:t>267</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3"/>
                <w:szCs w:val="13"/>
                <w:color w:val="auto"/>
                <w:w w:val="92"/>
              </w:rPr>
              <w:t>627</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58,577</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Gross unrealized gains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56</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144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Gross unrealized losses</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55"/>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(2,499)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31,219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24,034</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243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w w:val="92"/>
              </w:rPr>
              <w:t>683</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56,222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34,621</w:t>
            </w:r>
          </w:p>
        </w:tc>
        <w:tc>
          <w:tcPr>
            <w:tcW w:w="10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25,041</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3"/>
                <w:szCs w:val="13"/>
                <w:color w:val="auto"/>
              </w:rPr>
              <w:t>243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3"/>
                <w:szCs w:val="13"/>
                <w:color w:val="auto"/>
                <w:w w:val="92"/>
              </w:rPr>
              <w:t>683</w:t>
            </w:r>
          </w:p>
        </w:tc>
        <w:tc>
          <w:tcPr>
            <w:tcW w:w="14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60,632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2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 xml:space="preserve">Weighted average coupon as of June 30, 2024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6.69 %</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11.04 %</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Weighted average yield as of June 30, 2024 </w:t>
            </w:r>
            <w:r>
              <w:rPr>
                <w:rFonts w:ascii="Times New Roman" w:cs="Times New Roman" w:eastAsia="Times New Roman" w:hAnsi="Times New Roman"/>
                <w:sz w:val="16"/>
                <w:szCs w:val="16"/>
                <w:color w:val="auto"/>
                <w:vertAlign w:val="superscript"/>
              </w:rPr>
              <w:t>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4.88 %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7.06 %</w:t>
            </w:r>
          </w:p>
        </w:tc>
        <w:tc>
          <w:tcPr>
            <w:tcW w:w="10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9.77 %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tbl>
      <w:tblPr>
        <w:tblLayout w:type="fixed"/>
        <w:tblInd w:w="34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497"/>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Non-Agency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11"/>
                <w:szCs w:val="11"/>
                <w:color w:val="auto"/>
              </w:rPr>
            </w:pPr>
          </w:p>
        </w:tc>
        <w:tc>
          <w:tcPr>
            <w:tcW w:w="760" w:type="dxa"/>
            <w:vAlign w:val="bottom"/>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Fannie</w:t>
            </w:r>
          </w:p>
        </w:tc>
        <w:tc>
          <w:tcPr>
            <w:tcW w:w="120" w:type="dxa"/>
            <w:vAlign w:val="bottom"/>
          </w:tcPr>
          <w:p>
            <w:pPr>
              <w:spacing w:after="0"/>
              <w:rPr>
                <w:sz w:val="11"/>
                <w:szCs w:val="11"/>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60" w:type="dxa"/>
            <w:vAlign w:val="bottom"/>
          </w:tcPr>
          <w:p>
            <w:pPr>
              <w:spacing w:after="0"/>
              <w:rPr>
                <w:sz w:val="11"/>
                <w:szCs w:val="11"/>
                <w:color w:val="auto"/>
              </w:rPr>
            </w:pPr>
          </w:p>
        </w:tc>
        <w:tc>
          <w:tcPr>
            <w:tcW w:w="740" w:type="dxa"/>
            <w:vAlign w:val="bottom"/>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Ginnie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RMBS</w:t>
            </w:r>
          </w:p>
        </w:tc>
        <w:tc>
          <w:tcPr>
            <w:tcW w:w="14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8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CRT</w:t>
            </w:r>
          </w:p>
        </w:tc>
        <w:tc>
          <w:tcPr>
            <w:tcW w:w="180" w:type="dxa"/>
            <w:vAlign w:val="bottom"/>
          </w:tcPr>
          <w:p>
            <w:pPr>
              <w:spacing w:after="0"/>
              <w:rPr>
                <w:sz w:val="11"/>
                <w:szCs w:val="11"/>
                <w:color w:val="auto"/>
              </w:rPr>
            </w:pPr>
          </w:p>
        </w:tc>
        <w:tc>
          <w:tcPr>
            <w:tcW w:w="74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Mae</w:t>
            </w: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3"/>
                <w:szCs w:val="13"/>
                <w:color w:val="auto"/>
              </w:rPr>
              <w:t xml:space="preserve">Par value </w:t>
            </w:r>
            <w:r>
              <w:rPr>
                <w:rFonts w:ascii="Times New Roman" w:cs="Times New Roman" w:eastAsia="Times New Roman" w:hAnsi="Times New Roman"/>
                <w:sz w:val="16"/>
                <w:szCs w:val="16"/>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3,881</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5,034</w:t>
            </w:r>
          </w:p>
        </w:tc>
        <w:tc>
          <w:tcPr>
            <w:tcW w:w="0" w:type="dxa"/>
            <w:vAlign w:val="bottom"/>
          </w:tcPr>
          <w:p>
            <w:pPr>
              <w:spacing w:after="0"/>
              <w:rPr>
                <w:sz w:val="1"/>
                <w:szCs w:val="1"/>
                <w:color w:val="auto"/>
              </w:rPr>
            </w:pPr>
          </w:p>
        </w:tc>
      </w:tr>
      <w:tr>
        <w:trPr>
          <w:trHeight w:val="170"/>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Unamortized premium</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6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Amortized cost</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4,107</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1,225</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5,333</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Gross unrealized losses</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(392)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(517)</w:t>
            </w:r>
          </w:p>
        </w:tc>
        <w:tc>
          <w:tcPr>
            <w:tcW w:w="0" w:type="dxa"/>
            <w:vAlign w:val="bottom"/>
          </w:tcPr>
          <w:p>
            <w:pPr>
              <w:spacing w:after="0"/>
              <w:rPr>
                <w:sz w:val="1"/>
                <w:szCs w:val="1"/>
                <w:color w:val="auto"/>
              </w:rPr>
            </w:pPr>
          </w:p>
        </w:tc>
      </w:tr>
      <w:tr>
        <w:trPr>
          <w:trHeight w:val="175"/>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3,715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4,816</w:t>
            </w:r>
          </w:p>
        </w:tc>
        <w:tc>
          <w:tcPr>
            <w:tcW w:w="0" w:type="dxa"/>
            <w:vAlign w:val="bottom"/>
          </w:tcPr>
          <w:p>
            <w:pPr>
              <w:spacing w:after="0"/>
              <w:rPr>
                <w:sz w:val="1"/>
                <w:szCs w:val="1"/>
                <w:color w:val="auto"/>
              </w:rPr>
            </w:pPr>
          </w:p>
        </w:tc>
      </w:tr>
      <w:tr>
        <w:trPr>
          <w:trHeight w:val="150"/>
        </w:trPr>
        <w:tc>
          <w:tcPr>
            <w:tcW w:w="352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3"/>
                <w:szCs w:val="13"/>
                <w:color w:val="auto"/>
              </w:rPr>
              <w:t xml:space="preserve">Par value </w:t>
            </w:r>
            <w:r>
              <w:rPr>
                <w:rFonts w:ascii="Times New Roman" w:cs="Times New Roman" w:eastAsia="Times New Roman" w:hAnsi="Times New Roman"/>
                <w:sz w:val="16"/>
                <w:szCs w:val="16"/>
                <w:color w:val="auto"/>
                <w:vertAlign w:val="superscript"/>
              </w:rPr>
              <w:t>2</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29,910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19,503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283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679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50,726</w:t>
            </w:r>
          </w:p>
        </w:tc>
        <w:tc>
          <w:tcPr>
            <w:tcW w:w="0" w:type="dxa"/>
            <w:vAlign w:val="bottom"/>
          </w:tcPr>
          <w:p>
            <w:pPr>
              <w:spacing w:after="0"/>
              <w:rPr>
                <w:sz w:val="1"/>
                <w:szCs w:val="1"/>
                <w:color w:val="auto"/>
              </w:rPr>
            </w:pPr>
          </w:p>
        </w:tc>
      </w:tr>
      <w:tr>
        <w:trPr>
          <w:trHeight w:val="170"/>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Unamortized premium</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702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1,095</w:t>
            </w:r>
          </w:p>
        </w:tc>
        <w:tc>
          <w:tcPr>
            <w:tcW w:w="0" w:type="dxa"/>
            <w:vAlign w:val="bottom"/>
          </w:tcPr>
          <w:p>
            <w:pPr>
              <w:spacing w:after="0"/>
              <w:rPr>
                <w:sz w:val="1"/>
                <w:szCs w:val="1"/>
                <w:color w:val="auto"/>
              </w:rPr>
            </w:pPr>
          </w:p>
        </w:tc>
      </w:tr>
      <w:tr>
        <w:trPr>
          <w:trHeight w:val="16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Amortized cost</w:t>
            </w:r>
          </w:p>
        </w:tc>
        <w:tc>
          <w:tcPr>
            <w:tcW w:w="1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30,504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19,820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280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682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51,632</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70"/>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Gross unrealized losses</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(1,270)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(1,949)</w:t>
            </w:r>
          </w:p>
        </w:tc>
        <w:tc>
          <w:tcPr>
            <w:tcW w:w="0" w:type="dxa"/>
            <w:vAlign w:val="bottom"/>
          </w:tcPr>
          <w:p>
            <w:pPr>
              <w:spacing w:after="0"/>
              <w:rPr>
                <w:sz w:val="1"/>
                <w:szCs w:val="1"/>
                <w:color w:val="auto"/>
              </w:rPr>
            </w:pPr>
          </w:p>
        </w:tc>
      </w:tr>
      <w:tr>
        <w:trPr>
          <w:trHeight w:val="175"/>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29,404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19,293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281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723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50,008</w:t>
            </w:r>
          </w:p>
        </w:tc>
        <w:tc>
          <w:tcPr>
            <w:tcW w:w="0" w:type="dxa"/>
            <w:vAlign w:val="bottom"/>
          </w:tcPr>
          <w:p>
            <w:pPr>
              <w:spacing w:after="0"/>
              <w:rPr>
                <w:sz w:val="1"/>
                <w:szCs w:val="1"/>
                <w:color w:val="auto"/>
              </w:rPr>
            </w:pPr>
          </w:p>
        </w:tc>
      </w:tr>
      <w:tr>
        <w:trPr>
          <w:trHeight w:val="16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33,119</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20,393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282</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723</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54,824</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Weighted average coupon as of December 31, 2023 </w:t>
            </w:r>
            <w:r>
              <w:rPr>
                <w:rFonts w:ascii="Times New Roman" w:cs="Times New Roman" w:eastAsia="Times New Roman" w:hAnsi="Times New Roman"/>
                <w:sz w:val="16"/>
                <w:szCs w:val="16"/>
                <w:color w:val="auto"/>
                <w:vertAlign w:val="superscript"/>
              </w:rPr>
              <w:t>3</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4.85 %</w:t>
            </w:r>
          </w:p>
        </w:tc>
        <w:tc>
          <w:tcPr>
            <w:tcW w:w="0" w:type="dxa"/>
            <w:vAlign w:val="bottom"/>
          </w:tcPr>
          <w:p>
            <w:pPr>
              <w:spacing w:after="0"/>
              <w:rPr>
                <w:sz w:val="1"/>
                <w:szCs w:val="1"/>
                <w:color w:val="auto"/>
              </w:rPr>
            </w:pPr>
          </w:p>
        </w:tc>
      </w:tr>
      <w:tr>
        <w:trPr>
          <w:trHeight w:val="21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Weighted average yield as of December 31, 2023 </w:t>
            </w:r>
            <w:r>
              <w:rPr>
                <w:rFonts w:ascii="Times New Roman" w:cs="Times New Roman" w:eastAsia="Times New Roman" w:hAnsi="Times New Roman"/>
                <w:sz w:val="16"/>
                <w:szCs w:val="16"/>
                <w:color w:val="auto"/>
                <w:vertAlign w:val="superscript"/>
              </w:rPr>
              <w:t>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4.41 %</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Non-Agency amounts exclude other mortgage credit investments of $60 million and $44 million as of June 30, 2024 and December 31, 2023, respectively.</w:t>
      </w:r>
    </w:p>
    <w:p>
      <w:pPr>
        <w:spacing w:after="0" w:line="11" w:lineRule="exact"/>
        <w:rPr>
          <w:rFonts w:ascii="Times New Roman" w:cs="Times New Roman" w:eastAsia="Times New Roman" w:hAnsi="Times New Roman"/>
          <w:sz w:val="14"/>
          <w:szCs w:val="14"/>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 value excludes interest-only securities. As of June 30, 2024 and December 31, 2023, Agency RMBS interest-only securities had a par value of $331 million and $336 million, respectively, and non-Agency interest-only securities had a par value of $97 million and $98 million, respectively.</w:t>
      </w:r>
    </w:p>
    <w:p>
      <w:pPr>
        <w:ind w:left="660" w:hanging="328"/>
        <w:spacing w:after="0" w:line="251" w:lineRule="auto"/>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coupon excludes interest-only and principle-only securities. As of June 30, 2024 and December 31, 2023 Agency RMBS interest-only securities have a weighted average coupon of 1.81% and 1.77%, respectively, and non-Agency interest-only securities had a weighted average coupon of 0.81% and 0.71%, respectively.</w:t>
      </w:r>
    </w:p>
    <w:p>
      <w:pPr>
        <w:ind w:left="660" w:hanging="328"/>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a weighted average future constant prepayment rate assumption of 9.2% and 11.4% based on forward rates as of June 30, 2024 and December 31, 2023, respectively.</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2024 and December 31, 2023, our investments in CRT and non-Agency securities had the following credit ratings (in millions):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CRT and Non-Agency Security Credit Ratings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CRT</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220"/>
              <w:spacing w:after="0" w:line="196" w:lineRule="exact"/>
              <w:rPr>
                <w:sz w:val="20"/>
                <w:szCs w:val="20"/>
                <w:color w:val="auto"/>
              </w:rPr>
            </w:pPr>
            <w:r>
              <w:rPr>
                <w:rFonts w:ascii="Times New Roman" w:cs="Times New Roman" w:eastAsia="Times New Roman" w:hAnsi="Times New Roman"/>
                <w:sz w:val="14"/>
                <w:szCs w:val="14"/>
                <w:b w:val="1"/>
                <w:bCs w:val="1"/>
                <w:color w:val="auto"/>
                <w:w w:val="96"/>
              </w:rPr>
              <w:t xml:space="preserve">RMBS </w:t>
            </w:r>
            <w:r>
              <w:rPr>
                <w:rFonts w:ascii="Times New Roman" w:cs="Times New Roman" w:eastAsia="Times New Roman" w:hAnsi="Times New Roman"/>
                <w:sz w:val="18"/>
                <w:szCs w:val="18"/>
                <w:b w:val="1"/>
                <w:bCs w:val="1"/>
                <w:color w:val="auto"/>
                <w:w w:val="96"/>
                <w:vertAlign w:val="superscript"/>
              </w:rPr>
              <w:t>2</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CMBS</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RMBS </w:t>
            </w:r>
            <w:r>
              <w:rPr>
                <w:rFonts w:ascii="Times New Roman" w:cs="Times New Roman" w:eastAsia="Times New Roman" w:hAnsi="Times New Roman"/>
                <w:sz w:val="18"/>
                <w:szCs w:val="18"/>
                <w:b w:val="1"/>
                <w:bCs w:val="1"/>
                <w:color w:val="auto"/>
                <w:vertAlign w:val="superscript"/>
              </w:rPr>
              <w:t>2</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196"/>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AA</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 Rated</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Fitch, DBRS, Kroll Bond Rating Agency ("KBRA") and Morningstar credit ratings, stated in terms of the S&amp;P equivalent rating as of each date.</w:t>
      </w:r>
    </w:p>
    <w:p>
      <w:pPr>
        <w:ind w:left="660" w:hanging="328"/>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RMBS excludes other mortgage credit investments of $60 million and $44 million as of June 30, 2024 and December 31, 2023, respectively.</w:t>
      </w:r>
    </w:p>
    <w:p>
      <w:pPr>
        <w:spacing w:after="0" w:line="1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CRT securities reference the performance of loans underlying Agency RMBS issued by Fannie Mae or Freddie Mac, which were subject to their underwriting standards.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June 30, 2024 and December 31, 2023, the weighted average expected constant prepayment rate ("CPR") over the remaining life of our Agency and high credit quality non-Agency RMBS investment portfolio was 9.2% and 11.4%,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3" w:name="page14"/>
    <w:bookmarkEnd w:id="13"/>
    <w:p>
      <w:pPr>
        <w:jc w:val="both"/>
        <w:spacing w:after="0" w:line="263" w:lineRule="auto"/>
        <w:rPr>
          <w:sz w:val="20"/>
          <w:szCs w:val="20"/>
          <w:color w:val="auto"/>
        </w:rPr>
      </w:pPr>
      <w:r>
        <w:rPr>
          <w:rFonts w:ascii="Times New Roman" w:cs="Times New Roman" w:eastAsia="Times New Roman" w:hAnsi="Times New Roman"/>
          <w:sz w:val="18"/>
          <w:szCs w:val="18"/>
          <w:color w:val="auto"/>
        </w:rPr>
        <w:t>respectively. Our estimates can differ materially for different securities and thus our individual holdings have a wide range of projected CPRs. The following table summarizes our investments as of June 30, 2024 and December 31, 2023 according to their estimated weighted average life classification (dollars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Weighted Average Life of</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03"/>
        </w:trPr>
        <w:tc>
          <w:tcPr>
            <w:tcW w:w="27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Investment Securities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6"/>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 years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7.35%</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9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3 years and ≤ 5 years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1,505</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1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years and ≤10 years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54,453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7,069</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5.32%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228"/>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63,599</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$60 million and $44 million as of June 30, 2024 and December 31, 2023, respectively.</w:t>
      </w:r>
    </w:p>
    <w:p>
      <w:pPr>
        <w:spacing w:after="0" w:line="18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unrealized loss and fair values of securities classified as available-for-sale by length of time that such securities have been in a continuous unrealized loss position as of June 30, 2024 and December 31, 2023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Loss Position For</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Classified as Available-for-Sale</w:t>
            </w:r>
          </w:p>
        </w:tc>
        <w:tc>
          <w:tcPr>
            <w:tcW w:w="120" w:type="dxa"/>
            <w:vAlign w:val="bottom"/>
            <w:vMerge w:val="restart"/>
          </w:tcPr>
          <w:p>
            <w:pPr>
              <w:spacing w:after="0"/>
              <w:rPr>
                <w:sz w:val="11"/>
                <w:szCs w:val="11"/>
                <w:color w:val="auto"/>
              </w:rPr>
            </w:pPr>
          </w:p>
        </w:tc>
        <w:tc>
          <w:tcPr>
            <w:tcW w:w="800" w:type="dxa"/>
            <w:vAlign w:val="bottom"/>
            <w:tcBorders>
              <w:top w:val="single" w:sz="8" w:color="auto"/>
            </w:tcBorders>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343"/>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34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4,797</w:t>
            </w:r>
          </w:p>
        </w:tc>
        <w:tc>
          <w:tcPr>
            <w:tcW w:w="10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Sale of Investment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is a summary of our net gain (loss) from the sale of investment securities for the three and six months ended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by investment classification of accounting (in millions):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21"/>
        </w:trPr>
        <w:tc>
          <w:tcPr>
            <w:tcW w:w="5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20" w:type="dxa"/>
            <w:vAlign w:val="bottom"/>
          </w:tcPr>
          <w:p>
            <w:pPr>
              <w:spacing w:after="0"/>
              <w:rPr>
                <w:sz w:val="10"/>
                <w:szCs w:val="10"/>
                <w:color w:val="auto"/>
              </w:rPr>
            </w:pPr>
          </w:p>
        </w:tc>
        <w:tc>
          <w:tcPr>
            <w:tcW w:w="760" w:type="dxa"/>
            <w:vAlign w:val="bottom"/>
          </w:tcPr>
          <w:p>
            <w:pPr>
              <w:jc w:val="center"/>
              <w:ind w:right="51"/>
              <w:spacing w:after="0" w:line="121"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5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20" w:type="dxa"/>
            <w:vAlign w:val="bottom"/>
          </w:tcPr>
          <w:p>
            <w:pPr>
              <w:spacing w:after="0"/>
              <w:rPr>
                <w:sz w:val="10"/>
                <w:szCs w:val="10"/>
                <w:color w:val="auto"/>
              </w:rPr>
            </w:pPr>
          </w:p>
        </w:tc>
        <w:tc>
          <w:tcPr>
            <w:tcW w:w="760" w:type="dxa"/>
            <w:vAlign w:val="bottom"/>
          </w:tcPr>
          <w:p>
            <w:pPr>
              <w:jc w:val="center"/>
              <w:ind w:right="51"/>
              <w:spacing w:after="0" w:line="122"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8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 xml:space="preserve">Securities </w:t>
            </w:r>
            <w:r>
              <w:rPr>
                <w:rFonts w:ascii="Times New Roman" w:cs="Times New Roman" w:eastAsia="Times New Roman" w:hAnsi="Times New Roman"/>
                <w:sz w:val="16"/>
                <w:szCs w:val="16"/>
                <w:b w:val="1"/>
                <w:bCs w:val="1"/>
                <w:color w:val="auto"/>
                <w:w w:val="95"/>
                <w:vertAlign w:val="superscript"/>
              </w:rPr>
              <w:t>2</w:t>
            </w:r>
          </w:p>
        </w:tc>
        <w:tc>
          <w:tcPr>
            <w:tcW w:w="120" w:type="dxa"/>
            <w:vAlign w:val="bottom"/>
          </w:tcPr>
          <w:p>
            <w:pPr>
              <w:spacing w:after="0"/>
              <w:rPr>
                <w:sz w:val="16"/>
                <w:szCs w:val="16"/>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 xml:space="preserve">Securities </w:t>
            </w:r>
            <w:r>
              <w:rPr>
                <w:rFonts w:ascii="Times New Roman" w:cs="Times New Roman" w:eastAsia="Times New Roman" w:hAnsi="Times New Roman"/>
                <w:sz w:val="16"/>
                <w:szCs w:val="16"/>
                <w:b w:val="1"/>
                <w:bCs w:val="1"/>
                <w:color w:val="auto"/>
                <w:w w:val="95"/>
                <w:vertAlign w:val="superscript"/>
              </w:rPr>
              <w:t>2</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6"/>
                <w:szCs w:val="16"/>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(2,337)</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w:t>
            </w:r>
          </w:p>
        </w:tc>
      </w:tr>
      <w:tr>
        <w:trPr>
          <w:trHeight w:val="19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3"/>
        </w:trPr>
        <w:tc>
          <w:tcPr>
            <w:tcW w:w="5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9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9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1"/>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62"/>
        </w:trPr>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
        </w:trPr>
        <w:tc>
          <w:tcPr>
            <w:tcW w:w="5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21"/>
        </w:trPr>
        <w:tc>
          <w:tcPr>
            <w:tcW w:w="5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20" w:type="dxa"/>
            <w:vAlign w:val="bottom"/>
          </w:tcPr>
          <w:p>
            <w:pPr>
              <w:spacing w:after="0"/>
              <w:rPr>
                <w:sz w:val="10"/>
                <w:szCs w:val="10"/>
                <w:color w:val="auto"/>
              </w:rPr>
            </w:pPr>
          </w:p>
        </w:tc>
        <w:tc>
          <w:tcPr>
            <w:tcW w:w="760" w:type="dxa"/>
            <w:vAlign w:val="bottom"/>
          </w:tcPr>
          <w:p>
            <w:pPr>
              <w:jc w:val="center"/>
              <w:ind w:right="51"/>
              <w:spacing w:after="0" w:line="121"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4"/>
              </w:rPr>
              <w:t>Available-for-</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5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20" w:type="dxa"/>
            <w:vAlign w:val="bottom"/>
          </w:tcPr>
          <w:p>
            <w:pPr>
              <w:spacing w:after="0"/>
              <w:rPr>
                <w:sz w:val="10"/>
                <w:szCs w:val="10"/>
                <w:color w:val="auto"/>
              </w:rPr>
            </w:pPr>
          </w:p>
        </w:tc>
        <w:tc>
          <w:tcPr>
            <w:tcW w:w="760" w:type="dxa"/>
            <w:vAlign w:val="bottom"/>
          </w:tcPr>
          <w:p>
            <w:pPr>
              <w:jc w:val="center"/>
              <w:ind w:right="51"/>
              <w:spacing w:after="0" w:line="122"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8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 xml:space="preserve">Securities </w:t>
            </w:r>
            <w:r>
              <w:rPr>
                <w:rFonts w:ascii="Times New Roman" w:cs="Times New Roman" w:eastAsia="Times New Roman" w:hAnsi="Times New Roman"/>
                <w:sz w:val="16"/>
                <w:szCs w:val="16"/>
                <w:b w:val="1"/>
                <w:bCs w:val="1"/>
                <w:color w:val="auto"/>
                <w:w w:val="93"/>
                <w:vertAlign w:val="superscript"/>
              </w:rPr>
              <w:t>2,3</w:t>
            </w:r>
          </w:p>
        </w:tc>
        <w:tc>
          <w:tcPr>
            <w:tcW w:w="120" w:type="dxa"/>
            <w:vAlign w:val="bottom"/>
          </w:tcPr>
          <w:p>
            <w:pPr>
              <w:spacing w:after="0"/>
              <w:rPr>
                <w:sz w:val="16"/>
                <w:szCs w:val="16"/>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 xml:space="preserve">Securities </w:t>
            </w:r>
            <w:r>
              <w:rPr>
                <w:rFonts w:ascii="Times New Roman" w:cs="Times New Roman" w:eastAsia="Times New Roman" w:hAnsi="Times New Roman"/>
                <w:sz w:val="16"/>
                <w:szCs w:val="16"/>
                <w:b w:val="1"/>
                <w:bCs w:val="1"/>
                <w:color w:val="auto"/>
                <w:w w:val="93"/>
                <w:vertAlign w:val="superscript"/>
              </w:rPr>
              <w:t>2,3</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6"/>
                <w:szCs w:val="16"/>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(6,595)</w:t>
            </w:r>
          </w:p>
        </w:tc>
        <w:tc>
          <w:tcPr>
            <w:tcW w:w="10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(4,211)</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w:t>
            </w:r>
          </w:p>
        </w:tc>
      </w:tr>
      <w:tr>
        <w:trPr>
          <w:trHeight w:val="19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19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9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20"/>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2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for a summary of changes in accumulated OCI.</w:t>
      </w:r>
    </w:p>
    <w:p>
      <w:pPr>
        <w:spacing w:after="0" w:line="14" w:lineRule="exact"/>
        <w:rPr>
          <w:rFonts w:ascii="Times New Roman" w:cs="Times New Roman" w:eastAsia="Times New Roman" w:hAnsi="Times New Roman"/>
          <w:sz w:val="14"/>
          <w:szCs w:val="14"/>
          <w:color w:val="auto"/>
        </w:rPr>
      </w:pPr>
    </w:p>
    <w:p>
      <w:pPr>
        <w:ind w:left="660" w:right="20" w:hanging="328"/>
        <w:spacing w:after="0" w:line="283"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six months ended June 30, 2024, we received principal repayments on available-for-sale securities of $295 million and $438 million, respectively. During the three and six months ended June 30, 2023, we received principal repayments on available-for-sale securities of $370 million and $549 million,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Repurchase Agreements and Reverse Repurchase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June 30, 2024, we had met all margin call requirements. For additional information regarding our pledged assets, please refer to Note 6.</w:t>
      </w:r>
    </w:p>
    <w:p>
      <w:pPr>
        <w:spacing w:after="0" w:line="13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we had $56.9 billion and $50.4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The following table summarizes our borrowings under repurchase agreements by their remaining maturities as of June 30, 2024 and December 31, 2023 (dollars in millions):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 Maturity</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0" w:type="dxa"/>
            <w:vAlign w:val="bottom"/>
          </w:tcPr>
          <w:p>
            <w:pPr>
              <w:spacing w:after="0"/>
              <w:rPr>
                <w:sz w:val="1"/>
                <w:szCs w:val="1"/>
                <w:color w:val="auto"/>
              </w:rPr>
            </w:pPr>
          </w:p>
        </w:tc>
      </w:tr>
      <w:tr>
        <w:trPr>
          <w:trHeight w:val="198"/>
        </w:trPr>
        <w:tc>
          <w:tcPr>
            <w:tcW w:w="2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16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0" w:type="dxa"/>
            <w:vAlign w:val="bottom"/>
          </w:tcPr>
          <w:p>
            <w:pPr>
              <w:spacing w:after="0"/>
              <w:rPr>
                <w:sz w:val="1"/>
                <w:szCs w:val="1"/>
                <w:color w:val="auto"/>
              </w:rPr>
            </w:pPr>
          </w:p>
        </w:tc>
      </w:tr>
      <w:tr>
        <w:trPr>
          <w:trHeight w:val="215"/>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1 month</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39,646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40,946</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&gt; 1 to ≤ 3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8,965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7,933</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&gt; 3 to ≤ 6 months</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5.45 %</w:t>
            </w:r>
          </w:p>
        </w:tc>
        <w:tc>
          <w:tcPr>
            <w:tcW w:w="1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 repo</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54,611</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48,879</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repo: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1 month</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2,336</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56,947</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4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50,426</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of June 30, 2024 and December 31, 2023, $22.5 billion and $16.7 billion, respectively, of our investment securities repurchase agreements and all of our U.S. Treasury repurchase agreements had an overnight maturity of one business day and none of our repurchase agreements were due on demand. As of June 30, 2024, we had $14.3 billion of forward commitments to enter into repurchase agreements with a weighted average forward start date of 3 days and a weighted average interest rate of 5.47%. As of December 31, 2023, we had $8.8 billion of forward commitments to enter into repurchase agreements, with a weighted average forward start date of 4 days and a weighted average interest rate of 5.54%. As of June 30, 2024 and December 31, 2023, 47% and 48%,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42% and 43% of our repurchase agreement funding outstanding as of June 30, 2024 and December 31, 2023,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we had $13.7 billion and $11.6 billion, respectively, of reverse repurchase agreements outstanding used primarily to borrow securities to cover short sales of U.S. Treasury securities, for which we had associated obligations to return borrowed securities at fair value of $13.2 billion and $10.9 billion, respectively. As of June 30, 2024 and December 31, 2023, $3.4 billion and $3.1 billion, respectively, of our reverse repurchase agreements were with the FICC sourced through BES.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and Other Hedging Instruments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Other Hedging Instrument Assets (Liabilities), at Fair Value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fair value information about our derivative and other hedging instrument assets/(liabilities)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428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4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320" w:type="dxa"/>
            <w:vAlign w:val="bottom"/>
            <w:tcBorders>
              <w:top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Swaptions</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2"/>
        </w:trPr>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derivative assets, at fair value</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1"/>
                <w:szCs w:val="21"/>
                <w:color w:val="auto"/>
                <w:vertAlign w:val="superscript"/>
              </w:rPr>
              <w:t>1</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and forward settling non-Agency securities</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futures contracts - long</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Credit default swaps </w:t>
            </w:r>
            <w:r>
              <w:rPr>
                <w:rFonts w:ascii="Times New Roman" w:cs="Times New Roman" w:eastAsia="Times New Roman" w:hAnsi="Times New Roman"/>
                <w:sz w:val="21"/>
                <w:szCs w:val="21"/>
                <w:color w:val="auto"/>
                <w:vertAlign w:val="superscript"/>
              </w:rPr>
              <w:t>1</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44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 at fair value</w:t>
            </w:r>
          </w:p>
        </w:tc>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at fair value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162"/>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w:t>
            </w:r>
          </w:p>
        </w:tc>
        <w:tc>
          <w:tcPr>
            <w:tcW w:w="42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Obligation to return securities borrowed under reverse</w:t>
            </w: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gridSpan w:val="2"/>
            <w:vMerge w:val="continue"/>
          </w:tcPr>
          <w:p>
            <w:pPr>
              <w:spacing w:after="0"/>
              <w:rPr>
                <w:sz w:val="18"/>
                <w:szCs w:val="18"/>
                <w:color w:val="auto"/>
              </w:rPr>
            </w:pPr>
          </w:p>
        </w:tc>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repurchase agreements, at fair value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U.S. Treasury securities, net at fair value</w:t>
            </w:r>
          </w:p>
        </w:tc>
        <w:tc>
          <w:tcPr>
            <w:tcW w:w="4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81" w:lineRule="auto"/>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and December 31, 2023, the net fair value of our interest rate swaps excluding the recognition of variation margin settlements as a direct reduction of carrying value (see Note 2) was a net asset (liability) of $2.7 billion and $2.9 billion, respectively. As of June 30, 2024 and December 31, 2023, the net fair value of our credit default swaps excluding the recognition of variation margin settlements was $(6) million and $(6) million, respectively.</w:t>
      </w:r>
    </w:p>
    <w:p>
      <w:pPr>
        <w:spacing w:after="0" w:line="12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characteristics of our derivative and other hedging instruments outstanding as of June 30, 2024 and December 31, 2023 (dollars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 Fixed / Receive Variable Interest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203"/>
        </w:trPr>
        <w:tc>
          <w:tcPr>
            <w:tcW w:w="2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09"/>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 years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 to ≤ 3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3 to ≤ 5 years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5 to ≤ 7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to ≤ 10 years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w:t>
            </w:r>
          </w:p>
        </w:tc>
        <w:tc>
          <w:tcPr>
            <w:tcW w:w="0" w:type="dxa"/>
            <w:vAlign w:val="bottom"/>
          </w:tcPr>
          <w:p>
            <w:pPr>
              <w:spacing w:after="0"/>
              <w:rPr>
                <w:sz w:val="1"/>
                <w:szCs w:val="1"/>
                <w:color w:val="auto"/>
              </w:rPr>
            </w:pPr>
          </w:p>
        </w:tc>
      </w:tr>
      <w:tr>
        <w:trPr>
          <w:trHeight w:val="237"/>
        </w:trPr>
        <w:tc>
          <w:tcPr>
            <w:tcW w:w="2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86% and 14% of notional amount receive index references SOFR and OIS, respectively. As of December 31, 2023, 80% and 20% of notional amount receive index references SOFR and OIS, respectively.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7" w:name="page18"/>
    <w:bookmarkEnd w:id="17"/>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Receive Fixed / Pay Variable</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vMerge w:val="continue"/>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vMerge w:val="continue"/>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3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tcBorders>
              <w:top w:val="single" w:sz="8" w:color="auto"/>
            </w:tcBorders>
            <w:gridSpan w:val="2"/>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tcBorders>
              <w:top w:val="single" w:sz="8" w:color="auto"/>
            </w:tcBorders>
            <w:gridSpan w:val="2"/>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tcBorders>
              <w:top w:val="single" w:sz="8" w:color="auto"/>
            </w:tcBorders>
            <w:gridSpan w:val="2"/>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tcBorders>
              <w:top w:val="single" w:sz="8" w:color="auto"/>
            </w:tcBorders>
            <w:gridSpan w:val="2"/>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Variable Pay</w:t>
            </w: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Fixed Receive</w:t>
            </w: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Variable Pay</w:t>
            </w: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Fixed Receive</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203"/>
        </w:trPr>
        <w:tc>
          <w:tcPr>
            <w:tcW w:w="2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1 to ≤ 3 years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0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 index references SOFR.</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1"/>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Payer Swaptions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Underlying Payer Swap</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gridSpan w:val="4"/>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4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Fixed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Current Option Expiration Date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gridSpan w:val="5"/>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Current Option</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203"/>
        </w:trPr>
        <w:tc>
          <w:tcPr>
            <w:tcW w:w="33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vMerge w:val="continue"/>
          </w:tcPr>
          <w:p>
            <w:pPr>
              <w:spacing w:after="0"/>
              <w:rPr>
                <w:sz w:val="17"/>
                <w:szCs w:val="17"/>
                <w:color w:val="auto"/>
              </w:rPr>
            </w:pPr>
          </w:p>
        </w:tc>
        <w:tc>
          <w:tcPr>
            <w:tcW w:w="1420" w:type="dxa"/>
            <w:vAlign w:val="bottom"/>
            <w:gridSpan w:val="5"/>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20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660" w:type="dxa"/>
            <w:vAlign w:val="bottom"/>
          </w:tcPr>
          <w:p>
            <w:pPr>
              <w:jc w:val="center"/>
              <w:ind w:left="383"/>
              <w:spacing w:after="0"/>
              <w:rPr>
                <w:sz w:val="20"/>
                <w:szCs w:val="20"/>
                <w:color w:val="auto"/>
              </w:rPr>
            </w:pPr>
            <w:r>
              <w:rPr>
                <w:rFonts w:ascii="Times New Roman" w:cs="Times New Roman" w:eastAsia="Times New Roman" w:hAnsi="Times New Roman"/>
                <w:sz w:val="16"/>
                <w:szCs w:val="16"/>
                <w:color w:val="auto"/>
                <w:w w:val="99"/>
              </w:rPr>
              <w:t>5</w:t>
            </w:r>
          </w:p>
        </w:tc>
        <w:tc>
          <w:tcPr>
            <w:tcW w:w="140" w:type="dxa"/>
            <w:vAlign w:val="bottom"/>
          </w:tcPr>
          <w:p>
            <w:pPr>
              <w:spacing w:after="0"/>
              <w:rPr>
                <w:sz w:val="18"/>
                <w:szCs w:val="18"/>
                <w:color w:val="auto"/>
              </w:rPr>
            </w:pPr>
          </w:p>
        </w:tc>
        <w:tc>
          <w:tcPr>
            <w:tcW w:w="6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960" w:type="dxa"/>
            <w:vAlign w:val="bottom"/>
          </w:tcPr>
          <w:p>
            <w:pPr>
              <w:jc w:val="center"/>
              <w:ind w:left="63"/>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83"/>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37"/>
        </w:trPr>
        <w:tc>
          <w:tcPr>
            <w:tcW w:w="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5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center"/>
              <w:ind w:left="383"/>
              <w:spacing w:after="0"/>
              <w:rPr>
                <w:sz w:val="20"/>
                <w:szCs w:val="20"/>
                <w:color w:val="auto"/>
              </w:rPr>
            </w:pPr>
            <w:r>
              <w:rPr>
                <w:rFonts w:ascii="Times New Roman" w:cs="Times New Roman" w:eastAsia="Times New Roman" w:hAnsi="Times New Roman"/>
                <w:sz w:val="16"/>
                <w:szCs w:val="16"/>
                <w:color w:val="auto"/>
                <w:w w:val="99"/>
              </w:rPr>
              <w:t>5</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center"/>
              <w:ind w:right="83"/>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Receive index references SOFR.</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7"/>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Receiver Swaptions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gridSpan w:val="8"/>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Underlying Receiver Swap</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gridSpan w:val="4"/>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Fixed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Current Option Expiration Date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gridSpan w:val="5"/>
          </w:tcPr>
          <w:p>
            <w:pPr>
              <w:jc w:val="center"/>
              <w:ind w:right="219"/>
              <w:spacing w:after="0" w:line="146" w:lineRule="exact"/>
              <w:rPr>
                <w:sz w:val="20"/>
                <w:szCs w:val="20"/>
                <w:color w:val="auto"/>
              </w:rPr>
            </w:pPr>
            <w:r>
              <w:rPr>
                <w:rFonts w:ascii="Times New Roman" w:cs="Times New Roman" w:eastAsia="Times New Roman" w:hAnsi="Times New Roman"/>
                <w:sz w:val="14"/>
                <w:szCs w:val="14"/>
                <w:b w:val="1"/>
                <w:bCs w:val="1"/>
                <w:color w:val="auto"/>
              </w:rPr>
              <w:t>Current Option</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Receive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3"/>
              <w:spacing w:after="0" w:line="146"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98"/>
        </w:trPr>
        <w:tc>
          <w:tcPr>
            <w:tcW w:w="33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vMerge w:val="continue"/>
          </w:tcPr>
          <w:p>
            <w:pPr>
              <w:spacing w:after="0"/>
              <w:rPr>
                <w:sz w:val="17"/>
                <w:szCs w:val="17"/>
                <w:color w:val="auto"/>
              </w:rPr>
            </w:pPr>
          </w:p>
        </w:tc>
        <w:tc>
          <w:tcPr>
            <w:tcW w:w="1420" w:type="dxa"/>
            <w:vAlign w:val="bottom"/>
            <w:gridSpan w:val="5"/>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4"/>
        </w:trPr>
        <w:tc>
          <w:tcPr>
            <w:tcW w:w="33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20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660" w:type="dxa"/>
            <w:vAlign w:val="bottom"/>
          </w:tcPr>
          <w:p>
            <w:pPr>
              <w:jc w:val="center"/>
              <w:ind w:left="383"/>
              <w:spacing w:after="0"/>
              <w:rPr>
                <w:sz w:val="20"/>
                <w:szCs w:val="20"/>
                <w:color w:val="auto"/>
              </w:rPr>
            </w:pPr>
            <w:r>
              <w:rPr>
                <w:rFonts w:ascii="Times New Roman" w:cs="Times New Roman" w:eastAsia="Times New Roman" w:hAnsi="Times New Roman"/>
                <w:sz w:val="16"/>
                <w:szCs w:val="16"/>
                <w:color w:val="auto"/>
                <w:w w:val="99"/>
              </w:rPr>
              <w:t>18</w:t>
            </w:r>
          </w:p>
        </w:tc>
        <w:tc>
          <w:tcPr>
            <w:tcW w:w="140" w:type="dxa"/>
            <w:vAlign w:val="bottom"/>
          </w:tcPr>
          <w:p>
            <w:pPr>
              <w:spacing w:after="0"/>
              <w:rPr>
                <w:sz w:val="18"/>
                <w:szCs w:val="18"/>
                <w:color w:val="auto"/>
              </w:rPr>
            </w:pPr>
          </w:p>
        </w:tc>
        <w:tc>
          <w:tcPr>
            <w:tcW w:w="6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960" w:type="dxa"/>
            <w:vAlign w:val="bottom"/>
          </w:tcPr>
          <w:p>
            <w:pPr>
              <w:jc w:val="center"/>
              <w:ind w:left="63"/>
              <w:spacing w:after="0"/>
              <w:rPr>
                <w:sz w:val="20"/>
                <w:szCs w:val="20"/>
                <w:color w:val="auto"/>
              </w:rPr>
            </w:pPr>
            <w:r>
              <w:rPr>
                <w:rFonts w:ascii="Times New Roman" w:cs="Times New Roman" w:eastAsia="Times New Roman" w:hAnsi="Times New Roman"/>
                <w:sz w:val="16"/>
                <w:szCs w:val="16"/>
                <w:color w:val="auto"/>
              </w:rPr>
              <w:t>2.98%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83"/>
              <w:spacing w:after="0"/>
              <w:rPr>
                <w:sz w:val="20"/>
                <w:szCs w:val="20"/>
                <w:color w:val="auto"/>
              </w:rPr>
            </w:pPr>
            <w:r>
              <w:rPr>
                <w:rFonts w:ascii="Times New Roman" w:cs="Times New Roman" w:eastAsia="Times New Roman" w:hAnsi="Times New Roman"/>
                <w:sz w:val="16"/>
                <w:szCs w:val="16"/>
                <w:color w:val="auto"/>
                <w:w w:val="99"/>
              </w:rPr>
              <w:t>5.0</w:t>
            </w:r>
          </w:p>
        </w:tc>
        <w:tc>
          <w:tcPr>
            <w:tcW w:w="0" w:type="dxa"/>
            <w:vAlign w:val="bottom"/>
          </w:tcPr>
          <w:p>
            <w:pPr>
              <w:spacing w:after="0"/>
              <w:rPr>
                <w:sz w:val="1"/>
                <w:szCs w:val="1"/>
                <w:color w:val="auto"/>
              </w:rPr>
            </w:pP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 year</w:t>
            </w:r>
          </w:p>
        </w:tc>
        <w:tc>
          <w:tcPr>
            <w:tcW w:w="2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center"/>
              <w:ind w:left="383"/>
              <w:spacing w:after="0"/>
              <w:rPr>
                <w:sz w:val="20"/>
                <w:szCs w:val="20"/>
                <w:color w:val="auto"/>
              </w:rPr>
            </w:pPr>
            <w:r>
              <w:rPr>
                <w:rFonts w:ascii="Times New Roman" w:cs="Times New Roman" w:eastAsia="Times New Roman" w:hAnsi="Times New Roman"/>
                <w:sz w:val="16"/>
                <w:szCs w:val="16"/>
                <w:color w:val="auto"/>
                <w:w w:val="99"/>
              </w:rPr>
              <w:t>24</w:t>
            </w:r>
          </w:p>
        </w:tc>
        <w:tc>
          <w:tcPr>
            <w:tcW w:w="1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rPr>
              <w:t>2.98%</w:t>
            </w:r>
          </w:p>
        </w:tc>
        <w:tc>
          <w:tcPr>
            <w:tcW w:w="1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right="83"/>
              <w:spacing w:after="0"/>
              <w:rPr>
                <w:sz w:val="20"/>
                <w:szCs w:val="20"/>
                <w:color w:val="auto"/>
              </w:rPr>
            </w:pPr>
            <w:r>
              <w:rPr>
                <w:rFonts w:ascii="Times New Roman" w:cs="Times New Roman" w:eastAsia="Times New Roman" w:hAnsi="Times New Roman"/>
                <w:sz w:val="16"/>
                <w:szCs w:val="16"/>
                <w:color w:val="auto"/>
                <w:w w:val="99"/>
              </w:rPr>
              <w:t>5.0</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U.S. Treasury Securities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140" w:type="dxa"/>
            <w:vAlign w:val="bottom"/>
          </w:tcPr>
          <w:p>
            <w:pPr>
              <w:spacing w:after="0"/>
              <w:rPr>
                <w:sz w:val="11"/>
                <w:szCs w:val="11"/>
                <w:color w:val="auto"/>
              </w:rPr>
            </w:pPr>
          </w:p>
        </w:tc>
        <w:tc>
          <w:tcPr>
            <w:tcW w:w="1200" w:type="dxa"/>
            <w:vAlign w:val="bottom"/>
            <w:gridSpan w:val="4"/>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134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3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gridSpan w:val="4"/>
          </w:tcPr>
          <w:p>
            <w:pPr>
              <w:jc w:val="right"/>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Face 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3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1340" w:type="dxa"/>
            <w:vAlign w:val="bottom"/>
            <w:gridSpan w:val="5"/>
            <w:vMerge w:val="continue"/>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240" w:type="dxa"/>
            <w:vAlign w:val="bottom"/>
            <w:gridSpan w:val="4"/>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Long/(Short)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 years</w:t>
            </w:r>
          </w:p>
        </w:tc>
        <w:tc>
          <w:tcPr>
            <w:tcW w:w="2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0" w:type="dxa"/>
            <w:vAlign w:val="bottom"/>
          </w:tcPr>
          <w:p>
            <w:pPr>
              <w:spacing w:after="0"/>
              <w:rPr>
                <w:sz w:val="1"/>
                <w:szCs w:val="1"/>
                <w:color w:val="auto"/>
              </w:rPr>
            </w:pPr>
          </w:p>
        </w:tc>
      </w:tr>
      <w:tr>
        <w:trPr>
          <w:trHeight w:val="213"/>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&gt; 5 year ≤ 7 years</w:t>
            </w: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19"/>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7 year ≤ 10 years</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(8,327)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(1,830)</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U.S. Treasury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(11,572)</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(11,287)</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(10,807)</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(9,475)</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7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and December 31, 2023, short U.S. Treasury securities totaling $(13.2) billion and $(10.9) billion, at fair value, respectively, had a weighted average yield of 3.80% and 3.64%, respectively. As of June 30, 2024 and December 31, 2023, long U.S. Treasury securities totaling $2.4 billion and $1.5 billion, at fair value, respectively, had a weighted average yield of 4.51% and 4.39%,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0"/>
        </w:trPr>
        <w:tc>
          <w:tcPr>
            <w:tcW w:w="2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Treasury Futures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2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80" w:type="dxa"/>
            <w:vAlign w:val="bottom"/>
          </w:tcPr>
          <w:p>
            <w:pPr>
              <w:spacing w:after="0"/>
              <w:rPr>
                <w:sz w:val="10"/>
                <w:szCs w:val="10"/>
                <w:color w:val="auto"/>
              </w:rPr>
            </w:pPr>
          </w:p>
        </w:tc>
        <w:tc>
          <w:tcPr>
            <w:tcW w:w="7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w w:val="94"/>
              </w:rPr>
              <w:t>Net Carrying</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Years to Maturity</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Long (Short)</w:t>
            </w:r>
          </w:p>
        </w:tc>
        <w:tc>
          <w:tcPr>
            <w:tcW w:w="20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80" w:type="dxa"/>
            <w:vAlign w:val="bottom"/>
          </w:tcPr>
          <w:p>
            <w:pPr>
              <w:spacing w:after="0"/>
              <w:rPr>
                <w:sz w:val="16"/>
                <w:szCs w:val="16"/>
                <w:color w:val="auto"/>
              </w:rPr>
            </w:pPr>
          </w:p>
        </w:tc>
        <w:tc>
          <w:tcPr>
            <w:tcW w:w="7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 xml:space="preserve">Value </w:t>
            </w:r>
            <w:r>
              <w:rPr>
                <w:rFonts w:ascii="Times New Roman" w:cs="Times New Roman" w:eastAsia="Times New Roman" w:hAnsi="Times New Roman"/>
                <w:sz w:val="16"/>
                <w:szCs w:val="16"/>
                <w:b w:val="1"/>
                <w:bCs w:val="1"/>
                <w:color w:val="auto"/>
                <w:w w:val="92"/>
                <w:vertAlign w:val="superscript"/>
              </w:rPr>
              <w:t>1</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Long (Short)</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96"/>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5 year ≤ 7 years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95"/>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&gt; 7 year ≤ 10 years</w:t>
            </w:r>
          </w:p>
        </w:tc>
        <w:tc>
          <w:tcPr>
            <w:tcW w:w="1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&gt; 10 years</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3"/>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U.S. Treasury futures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60"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2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80" w:type="dxa"/>
            <w:vAlign w:val="bottom"/>
          </w:tcPr>
          <w:p>
            <w:pPr>
              <w:spacing w:after="0"/>
              <w:rPr>
                <w:sz w:val="10"/>
                <w:szCs w:val="10"/>
                <w:color w:val="auto"/>
              </w:rPr>
            </w:pPr>
          </w:p>
        </w:tc>
        <w:tc>
          <w:tcPr>
            <w:tcW w:w="7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4"/>
              </w:rPr>
              <w:t>Net Carrying</w:t>
            </w:r>
          </w:p>
        </w:tc>
        <w:tc>
          <w:tcPr>
            <w:tcW w:w="0" w:type="dxa"/>
            <w:vAlign w:val="bottom"/>
          </w:tcPr>
          <w:p>
            <w:pPr>
              <w:spacing w:after="0"/>
              <w:rPr>
                <w:sz w:val="1"/>
                <w:szCs w:val="1"/>
                <w:color w:val="auto"/>
              </w:rPr>
            </w:pPr>
          </w:p>
        </w:tc>
      </w:tr>
      <w:tr>
        <w:trPr>
          <w:trHeight w:val="128"/>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TBA Securities by Coupon</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Long (Short)</w:t>
            </w:r>
          </w:p>
        </w:tc>
        <w:tc>
          <w:tcPr>
            <w:tcW w:w="2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80" w:type="dxa"/>
            <w:vAlign w:val="bottom"/>
          </w:tcPr>
          <w:p>
            <w:pPr>
              <w:spacing w:after="0"/>
              <w:rPr>
                <w:sz w:val="15"/>
                <w:szCs w:val="15"/>
                <w:color w:val="auto"/>
              </w:rPr>
            </w:pPr>
          </w:p>
        </w:tc>
        <w:tc>
          <w:tcPr>
            <w:tcW w:w="7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100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3"/>
                <w:szCs w:val="13"/>
                <w:b w:val="1"/>
                <w:bCs w:val="1"/>
                <w:color w:val="auto"/>
                <w:w w:val="92"/>
              </w:rPr>
              <w:t xml:space="preserve">Value </w:t>
            </w:r>
            <w:r>
              <w:rPr>
                <w:rFonts w:ascii="Times New Roman" w:cs="Times New Roman" w:eastAsia="Times New Roman" w:hAnsi="Times New Roman"/>
                <w:sz w:val="16"/>
                <w:szCs w:val="16"/>
                <w:b w:val="1"/>
                <w:bCs w:val="1"/>
                <w:color w:val="auto"/>
                <w:w w:val="92"/>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Basis</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840" w:type="dxa"/>
            <w:vAlign w:val="bottom"/>
          </w:tcPr>
          <w:p>
            <w:pPr>
              <w:jc w:val="right"/>
              <w:ind w:right="209"/>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96"/>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15-Year TBA securities: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5.0%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15-Year TBA securities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30-Year TBA securities: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3.0%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6.5%</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30-Year TBA securities, net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0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TBA securities,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5,348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81"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we had a two-year swap equivalent SOFR futures contract long notional position of $0.6 billion and $0.9 billion, respectively, with a net carrying value of $(18) million and $(10) million, respectively.</w:t>
      </w:r>
    </w:p>
    <w:p>
      <w:pPr>
        <w:spacing w:after="0" w:line="122"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As of June 30, 2024 and December 31, 2023, we had $96 million and $95 million notional value, respectively, of centrally cleared credit default swaps ("CDS") outstanding that reference the Markit CDX Investment Grade or High Yield Grade Index, maturing in December 2028. Under the terms of our CDS, we pay fixed periodic payments equal to 1% per annum of the notional value and we are entitled to receive payments for qualified credit events. As of June 30, 2024 and December 31, 2023, the CDS had a market value of $(6) million and a net carrying value of zero dollars, net of variation margin settlements. Pursuant to rules governing central clearing activities, we recognize variation margin settlements as a direct reduction of the carrying value of the CDS asset or liability.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Derivative Instruments and Other Securities, Net</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our derivative and other hedge portfolio and their effect on our consolidated statements of comprehensive income for the three and six months ended June 30, 2024 and 2023 (in millions):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40" w:type="dxa"/>
            <w:vAlign w:val="bottom"/>
          </w:tcPr>
          <w:p>
            <w:pPr>
              <w:spacing w:after="0"/>
              <w:rPr>
                <w:sz w:val="11"/>
                <w:szCs w:val="11"/>
                <w:color w:val="auto"/>
              </w:rPr>
            </w:pPr>
          </w:p>
        </w:tc>
        <w:tc>
          <w:tcPr>
            <w:tcW w:w="116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1"/>
                <w:szCs w:val="11"/>
                <w:color w:val="auto"/>
              </w:rPr>
            </w:pPr>
          </w:p>
        </w:tc>
        <w:tc>
          <w:tcPr>
            <w:tcW w:w="120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Instruments and</w:t>
            </w: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 or</w:t>
            </w: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 Securities,</w:t>
            </w:r>
          </w:p>
        </w:tc>
        <w:tc>
          <w:tcPr>
            <w:tcW w:w="0" w:type="dxa"/>
            <w:vAlign w:val="bottom"/>
          </w:tcPr>
          <w:p>
            <w:pPr>
              <w:spacing w:after="0"/>
              <w:rPr>
                <w:sz w:val="1"/>
                <w:szCs w:val="1"/>
                <w:color w:val="auto"/>
              </w:rPr>
            </w:pPr>
          </w:p>
        </w:tc>
      </w:tr>
      <w:tr>
        <w:trPr>
          <w:trHeight w:val="203"/>
        </w:trPr>
        <w:tc>
          <w:tcPr>
            <w:tcW w:w="4620" w:type="dxa"/>
            <w:vAlign w:val="bottom"/>
            <w:gridSpan w:val="2"/>
            <w:vMerge w:val="continue"/>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80" w:type="dxa"/>
            <w:vAlign w:val="bottom"/>
            <w:gridSpan w:val="2"/>
            <w:vMerge w:val="continue"/>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0" w:type="dxa"/>
            <w:vAlign w:val="bottom"/>
          </w:tcPr>
          <w:p>
            <w:pPr>
              <w:spacing w:after="0"/>
              <w:rPr>
                <w:sz w:val="17"/>
                <w:szCs w:val="17"/>
                <w:color w:val="auto"/>
              </w:rPr>
            </w:pPr>
          </w:p>
        </w:tc>
        <w:tc>
          <w:tcPr>
            <w:tcW w:w="1200" w:type="dxa"/>
            <w:vAlign w:val="bottom"/>
          </w:tcPr>
          <w:p>
            <w:pPr>
              <w:jc w:val="center"/>
              <w:ind w:right="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Net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09"/>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receiver</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49"/>
        </w:trPr>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26"/>
        </w:trPr>
        <w:tc>
          <w:tcPr>
            <w:tcW w:w="45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48,925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receive,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34"/>
        </w:trPr>
        <w:tc>
          <w:tcPr>
            <w:tcW w:w="4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(61,734)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receiver</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Receiver swaptions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35"/>
        </w:trPr>
        <w:tc>
          <w:tcPr>
            <w:tcW w:w="4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(111,761)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payer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 - receive,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default swaps - buy protection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2"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60"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other miscellaneous gains and losses and other interest income (expense) recognized in gain (loss) on derivative instruments and other securities, net in our consolidated statements of comprehensive income.</w:t>
      </w:r>
    </w:p>
    <w:p>
      <w:pPr>
        <w:spacing w:after="0" w:line="2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Additionally, as of June 30, 2024 and December 31, 2023, we had SOFR futures contracts, measured on a two-year swap equivalent basis, of $0.6 billion and $0.9 billion, respectively. For the three and six months ended June 30, 2024, we recognized a loss of $(3) million and $(13) million, respectively, and for the three and six months ended June 30, 2023, we recognized a loss of and $(16) million and $(19) million, respectively, on our SOFR futures contracts in gain (loss) on derivative instruments and other securities, net in our consolidated statements of comprehensive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Pledged Assets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3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June 30, 2024, our maximum amount at risk with any counterparty related to our repurchase agreements, excluding the Fixed Income Clearing Corporation, was 2% of our tangible stockholders' equity (or the excess/shortfall of the value of collateral pledged/received over our repurchase agreement liabilities/reverse repurchase agreement receivables). As of June 30, 2024, 6% of our tangible stockholder's equity was at risk with the Fixed Income Clearing Corporation.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to Counterparties</w:t>
      </w:r>
    </w:p>
    <w:p>
      <w:pPr>
        <w:spacing w:after="0" w:line="175" w:lineRule="exact"/>
        <w:rPr>
          <w:sz w:val="20"/>
          <w:szCs w:val="20"/>
          <w:color w:val="auto"/>
        </w:rPr>
      </w:pPr>
    </w:p>
    <w:p>
      <w:pPr>
        <w:jc w:val="both"/>
        <w:ind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tables summarize our assets pledged as collateral under our funding, derivative and brokerage and clearing agreements by type, including securities pledged related to securities sold but not yet settled, as of June 30, 2024 and December 31, 2023 (in millions):</w:t>
      </w: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288"/>
              <w:spacing w:after="0" w:line="131" w:lineRule="exact"/>
              <w:rPr>
                <w:sz w:val="20"/>
                <w:szCs w:val="20"/>
                <w:color w:val="auto"/>
              </w:rPr>
            </w:pPr>
            <w:r>
              <w:rPr>
                <w:rFonts w:ascii="Times New Roman" w:cs="Times New Roman" w:eastAsia="Times New Roman" w:hAnsi="Times New Roman"/>
                <w:sz w:val="14"/>
                <w:szCs w:val="14"/>
                <w:b w:val="1"/>
                <w:bCs w:val="1"/>
                <w:color w:val="auto"/>
              </w:rPr>
              <w:t>Debt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r>
              <w:rPr>
                <w:rFonts w:ascii="Times New Roman" w:cs="Times New Roman" w:eastAsia="Times New Roman" w:hAnsi="Times New Roman"/>
                <w:sz w:val="18"/>
                <w:szCs w:val="18"/>
                <w:b w:val="1"/>
                <w:bCs w:val="1"/>
                <w:color w:val="auto"/>
                <w:vertAlign w:val="subscript"/>
              </w:rPr>
              <w:t>2</w:t>
            </w:r>
            <w:r>
              <w:rPr>
                <w:rFonts w:ascii="Times New Roman" w:cs="Times New Roman" w:eastAsia="Times New Roman" w:hAnsi="Times New Roman"/>
                <w:sz w:val="14"/>
                <w:szCs w:val="14"/>
                <w:b w:val="1"/>
                <w:bCs w:val="1"/>
                <w:color w:val="auto"/>
              </w:rPr>
              <w:t>Agreements</w:t>
            </w:r>
          </w:p>
        </w:tc>
        <w:tc>
          <w:tcPr>
            <w:tcW w:w="12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VIEs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55,026</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55,141</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2,319</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9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58,754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6"/>
          </w:tcPr>
          <w:p>
            <w:pPr>
              <w:ind w:left="10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48"/>
              <w:spacing w:after="0" w:line="131" w:lineRule="exact"/>
              <w:rPr>
                <w:sz w:val="20"/>
                <w:szCs w:val="20"/>
                <w:color w:val="auto"/>
              </w:rPr>
            </w:pPr>
            <w:r>
              <w:rPr>
                <w:rFonts w:ascii="Times New Roman" w:cs="Times New Roman" w:eastAsia="Times New Roman" w:hAnsi="Times New Roman"/>
                <w:sz w:val="14"/>
                <w:szCs w:val="14"/>
                <w:b w:val="1"/>
                <w:bCs w:val="1"/>
                <w:color w:val="auto"/>
              </w:rPr>
              <w:t>Debt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 Agreements</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Pledged to Counterparties </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r>
              <w:rPr>
                <w:rFonts w:ascii="Times New Roman" w:cs="Times New Roman" w:eastAsia="Times New Roman" w:hAnsi="Times New Roman"/>
                <w:sz w:val="18"/>
                <w:szCs w:val="18"/>
                <w:b w:val="1"/>
                <w:bCs w:val="1"/>
                <w:color w:val="auto"/>
                <w:vertAlign w:val="subscript"/>
              </w:rPr>
              <w:t>2</w:t>
            </w:r>
            <w:r>
              <w:rPr>
                <w:rFonts w:ascii="Times New Roman" w:cs="Times New Roman" w:eastAsia="Times New Roman" w:hAnsi="Times New Roman"/>
                <w:sz w:val="14"/>
                <w:szCs w:val="14"/>
                <w:b w:val="1"/>
                <w:bCs w:val="1"/>
                <w:color w:val="auto"/>
              </w:rPr>
              <w:t>Agreements</w:t>
            </w:r>
          </w:p>
        </w:tc>
        <w:tc>
          <w:tcPr>
            <w:tcW w:w="124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5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2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VIEs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RMBS - fair value</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49,602</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49,738</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CRT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 fair value</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6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9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6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52,633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repledged assets received as collateral from counterparties and securities sold but not yet settled.</w:t>
      </w:r>
    </w:p>
    <w:p>
      <w:pPr>
        <w:spacing w:after="0" w:line="2" w:lineRule="exact"/>
        <w:rPr>
          <w:rFonts w:ascii="Times New Roman" w:cs="Times New Roman" w:eastAsia="Times New Roman" w:hAnsi="Times New Roman"/>
          <w:sz w:val="14"/>
          <w:szCs w:val="14"/>
          <w:color w:val="auto"/>
        </w:rPr>
      </w:pPr>
    </w:p>
    <w:p>
      <w:pPr>
        <w:ind w:left="660" w:hanging="328"/>
        <w:spacing w:after="0" w:line="278"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$36 million and $42 million of retained interests in our consolidated VIEs pledged as collateral under repurchase agreements as of June 30, 2024 and December 31, 2023, respectively.</w:t>
      </w:r>
    </w:p>
    <w:p>
      <w:pPr>
        <w:spacing w:after="0" w:line="12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securities pledged as collateral under our repurchase agreements by the remaining maturity of our borrowings, including securities pledged related to sold but not yet settled securities, as of June 30, 2024 and December 31, 2023 (in millions). For the corresponding borrowings associated with the following amounts and the interest rates thereon, refer to Note 4</w:t>
      </w:r>
      <w:r>
        <w:rPr>
          <w:rFonts w:ascii="Times New Roman" w:cs="Times New Roman" w:eastAsia="Times New Roman" w:hAnsi="Times New Roman"/>
          <w:sz w:val="18"/>
          <w:szCs w:val="18"/>
          <w:i w:val="1"/>
          <w:iCs w:val="1"/>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Accrued</w:t>
            </w:r>
          </w:p>
        </w:tc>
      </w:tr>
      <w:tr>
        <w:trPr>
          <w:trHeight w:val="137"/>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40" w:type="dxa"/>
            <w:vAlign w:val="bottom"/>
          </w:tcPr>
          <w:p>
            <w:pPr>
              <w:spacing w:after="0"/>
              <w:rPr>
                <w:sz w:val="11"/>
                <w:szCs w:val="11"/>
                <w:color w:val="auto"/>
              </w:rPr>
            </w:pPr>
          </w:p>
        </w:tc>
        <w:tc>
          <w:tcPr>
            <w:tcW w:w="900" w:type="dxa"/>
            <w:vAlign w:val="bottom"/>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Interest on</w:t>
            </w:r>
          </w:p>
        </w:tc>
      </w:tr>
      <w:tr>
        <w:trPr>
          <w:trHeight w:val="160"/>
        </w:trPr>
        <w:tc>
          <w:tcPr>
            <w:tcW w:w="3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Securities Pledged by Remaining Maturity of Repurchase</w:t>
            </w:r>
          </w:p>
        </w:tc>
        <w:tc>
          <w:tcPr>
            <w:tcW w:w="140" w:type="dxa"/>
            <w:vAlign w:val="bottom"/>
          </w:tcPr>
          <w:p>
            <w:pPr>
              <w:spacing w:after="0"/>
              <w:rPr>
                <w:sz w:val="13"/>
                <w:szCs w:val="13"/>
                <w:color w:val="auto"/>
              </w:rPr>
            </w:pPr>
          </w:p>
        </w:tc>
        <w:tc>
          <w:tcPr>
            <w:tcW w:w="11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3"/>
                <w:szCs w:val="13"/>
                <w:color w:val="auto"/>
              </w:rPr>
            </w:pPr>
          </w:p>
        </w:tc>
        <w:tc>
          <w:tcPr>
            <w:tcW w:w="106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40" w:type="dxa"/>
            <w:vAlign w:val="bottom"/>
          </w:tcPr>
          <w:p>
            <w:pPr>
              <w:spacing w:after="0"/>
              <w:rPr>
                <w:sz w:val="13"/>
                <w:szCs w:val="13"/>
                <w:color w:val="auto"/>
              </w:rPr>
            </w:pPr>
          </w:p>
        </w:tc>
        <w:tc>
          <w:tcPr>
            <w:tcW w:w="900" w:type="dxa"/>
            <w:vAlign w:val="bottom"/>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r>
      <w:tr>
        <w:trPr>
          <w:trHeight w:val="19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9"/>
                <w:szCs w:val="9"/>
                <w:b w:val="1"/>
                <w:bCs w:val="1"/>
                <w:color w:val="auto"/>
              </w:rPr>
              <w:t>1,2</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7"/>
                <w:szCs w:val="17"/>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02"/>
        </w:trPr>
        <w:tc>
          <w:tcPr>
            <w:tcW w:w="3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1 month</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42,667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44,133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43,701</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195"/>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1 and ≤ 2 months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0"/>
        </w:trPr>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&gt; 2 and ≤ 3 months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6"/>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&gt; 3 months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7"/>
        </w:trPr>
        <w:tc>
          <w:tcPr>
            <w:tcW w:w="39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60,847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52,072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right="280" w:hanging="328"/>
        <w:spacing w:after="0" w:line="259"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$36 million and $42 million of retained interests in our consolidated VIEs pledged as collateral under repurchase agreements as of June 30, 2024 and December 31, 2023, respectively.</w:t>
      </w:r>
    </w:p>
    <w:p>
      <w:pPr>
        <w:ind w:left="660" w:hanging="32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$397 million of repledged U.S. Treasury securities received as collateral from counterparties as of December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from Counterparties</w:t>
      </w:r>
    </w:p>
    <w:p>
      <w:pPr>
        <w:spacing w:after="0" w:line="175"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As of June 30, 2024 and December 31, 2023, we had assets pledged to us from counterparties as collateral under our reverse repurchase and derivative agreements summarized in the tables below (in millions).</w:t>
      </w: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 Pledged to AGNC</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3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securities -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11,973</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3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13,554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355</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Offsetting Assets and Liabilities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June 30, 2024 and December 31, 2023 (in millions):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2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Assets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left="728"/>
              <w:spacing w:after="0" w:line="146"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Pr>
          <w:p>
            <w:pPr>
              <w:spacing w:after="0"/>
              <w:rPr>
                <w:sz w:val="14"/>
                <w:szCs w:val="14"/>
                <w:color w:val="auto"/>
              </w:rPr>
            </w:pPr>
          </w:p>
        </w:tc>
        <w:tc>
          <w:tcPr>
            <w:tcW w:w="23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3"/>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Assets Presented</w:t>
            </w: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7"/>
                <w:szCs w:val="17"/>
                <w:color w:val="auto"/>
              </w:rPr>
            </w:pPr>
          </w:p>
        </w:tc>
        <w:tc>
          <w:tcPr>
            <w:tcW w:w="106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Received </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13,662</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28"/>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11,618</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8"/>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33655</wp:posOffset>
            </wp:positionV>
            <wp:extent cx="45516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Repurchase agreements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 xml:space="preserve">TBA securities, at fair value </w:t>
      </w:r>
      <w:r>
        <w:rPr>
          <w:rFonts w:ascii="Times New Roman" w:cs="Times New Roman" w:eastAsia="Times New Roman" w:hAnsi="Times New Roman"/>
          <w:sz w:val="18"/>
          <w:szCs w:val="18"/>
          <w:color w:val="auto"/>
          <w:vertAlign w:val="superscript"/>
        </w:rPr>
        <w:t>1</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Repurchase agreements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left="748"/>
              <w:spacing w:after="0" w:line="146"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20" w:type="dxa"/>
            <w:vAlign w:val="bottom"/>
          </w:tcPr>
          <w:p>
            <w:pPr>
              <w:spacing w:after="0"/>
              <w:rPr>
                <w:sz w:val="14"/>
                <w:szCs w:val="14"/>
                <w:color w:val="auto"/>
              </w:rPr>
            </w:pPr>
          </w:p>
        </w:tc>
        <w:tc>
          <w:tcPr>
            <w:tcW w:w="2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1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Pledged </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56,947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56,976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56,976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(47,262)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50,426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50,441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-976630</wp:posOffset>
            </wp:positionV>
            <wp:extent cx="707199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-693420</wp:posOffset>
            </wp:positionV>
            <wp:extent cx="70719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-427990</wp:posOffset>
            </wp:positionV>
            <wp:extent cx="707199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-170815</wp:posOffset>
            </wp:positionV>
            <wp:extent cx="707199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-1242695</wp:posOffset>
            </wp:positionV>
            <wp:extent cx="707199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3320" w:space="720"/>
            <w:col w:w="7200"/>
          </w:cols>
          <w:pgMar w:left="320" w:top="1087" w:right="339" w:bottom="1440" w:gutter="0" w:footer="0" w:header="0"/>
          <w:type w:val="continuous"/>
        </w:sectPr>
      </w:pPr>
    </w:p>
    <w:p>
      <w:pPr>
        <w:ind w:left="660" w:right="160" w:hanging="328"/>
        <w:spacing w:after="0" w:line="250"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60" w:right="400" w:hanging="328"/>
        <w:spacing w:after="0" w:line="283"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provides a summary of our assets and liabilities that are measured at fair value on a recurring basis, as of June 30, 2024 and December 31, 2023, based on their categorization within the valuation hierarchy (in millions). There were no transfers between valuation hierarchy levels during the periods presented in our accompanying consolidated statements of comprehensive income.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Agency securities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59,586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53,673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Agency securities transferred to consolidated VIEs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Credit risk transfer securities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Non-Agency securities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Swaptions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60,763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55,009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Obligation to return U.S. Treasury securities borrowed under reverse</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agreements</w:t>
            </w: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swaps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Credit default swaps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TBA securities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futures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SOFR Futures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79"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and December 31, 2023, the net fair value of our interest rate swaps excluding the recognition of variation margin settlements as a direct reduction of carrying value was a net asset (liability) of $2.7 billion and $2.9 billion, respectively, based on "Level 2" inputs. As of June 30, 2024 and December 31, 2023, the net fair value of our credit default swaps excluding the recognition of variation margin settlements was $(6) million and $(6) million, respectively, based on "Level 2" inputs. See Notes 2 and 5 for additional details.</w:t>
      </w:r>
    </w:p>
    <w:p>
      <w:pPr>
        <w:spacing w:after="0" w:line="200" w:lineRule="exact"/>
        <w:rPr>
          <w:sz w:val="20"/>
          <w:szCs w:val="20"/>
          <w:color w:val="auto"/>
        </w:rPr>
      </w:pPr>
    </w:p>
    <w:p>
      <w:pPr>
        <w:spacing w:after="0" w:line="25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Excluded from the table above are financial instruments reported at cost and other mortgage credit investments reported under the equity method of accounting in our consolidated financial statements. As of June 30, 2024 and December 31, 2023, the fair value of our repurchase agreements approximated cost,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June 30, 2024 and December 31, 2023, the carrying value of other mortgage credit investments reported under the equity method of accounting was $60 million and $44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Income (Loss) Per Common Share</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0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3"/>
                <w:szCs w:val="13"/>
                <w:color w:val="auto"/>
              </w:rPr>
            </w:pPr>
          </w:p>
        </w:tc>
        <w:tc>
          <w:tcPr>
            <w:tcW w:w="172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2000" w:type="dxa"/>
            <w:vAlign w:val="bottom"/>
            <w:gridSpan w:val="6"/>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issued and outstanding</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589.1</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dilutive unvested restricted stock units outstanding</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8"/>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1.9 million of potentially dilutive unvested time and performance based RSUs outstanding were excluded from the computation of diluted net income (loss) per common share because to do so would have been anti-dilutive for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authorized to designate and issue up to 10.0 million shares of preferred stock in one or more classes or series. As of June 30, 2024 and December 31, 2023,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June 30, 2024 and December 31, 2023, 13,000, 9,400, 16,100, 23,000 and 6,000 shares of Series C, D, E, F and G Preferred Stock, respectively, were issued and outstanding. Each share of preferred stock is represented by 1,000 depositary shares. Each share of preferred stock has a liquidation preference of $25,000 per share ($25 per depositary share).</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includes a summary of preferred stock depositary shares issued and outstanding as of June 30, 2024 (dollars and shares in millions):</w:t>
      </w:r>
    </w:p>
    <w:p>
      <w:pPr>
        <w:spacing w:after="0" w:line="127"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Depositary</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Cumulative Redeemable</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20" w:type="dxa"/>
            <w:vAlign w:val="bottom"/>
          </w:tcPr>
          <w:p>
            <w:pPr>
              <w:spacing w:after="0"/>
              <w:rPr>
                <w:sz w:val="12"/>
                <w:szCs w:val="12"/>
                <w:color w:val="auto"/>
              </w:rPr>
            </w:pPr>
          </w:p>
        </w:tc>
        <w:tc>
          <w:tcPr>
            <w:tcW w:w="920" w:type="dxa"/>
            <w:vAlign w:val="bottom"/>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 Annum</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First Optional</w:t>
            </w:r>
          </w:p>
        </w:tc>
        <w:tc>
          <w:tcPr>
            <w:tcW w:w="0" w:type="dxa"/>
            <w:vAlign w:val="bottom"/>
          </w:tcPr>
          <w:p>
            <w:pPr>
              <w:spacing w:after="0"/>
              <w:rPr>
                <w:sz w:val="1"/>
                <w:szCs w:val="1"/>
                <w:color w:val="auto"/>
              </w:rPr>
            </w:pPr>
          </w:p>
        </w:tc>
      </w:tr>
      <w:tr>
        <w:trPr>
          <w:trHeight w:val="135"/>
        </w:trPr>
        <w:tc>
          <w:tcPr>
            <w:tcW w:w="1880" w:type="dxa"/>
            <w:vAlign w:val="bottom"/>
            <w:gridSpan w:val="2"/>
            <w:vMerge w:val="continue"/>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3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Dividend</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Redemption Date /</w:t>
            </w:r>
          </w:p>
        </w:tc>
        <w:tc>
          <w:tcPr>
            <w:tcW w:w="0" w:type="dxa"/>
            <w:vAlign w:val="bottom"/>
          </w:tcPr>
          <w:p>
            <w:pPr>
              <w:spacing w:after="0"/>
              <w:rPr>
                <w:sz w:val="1"/>
                <w:szCs w:val="1"/>
                <w:color w:val="auto"/>
              </w:rPr>
            </w:pPr>
          </w:p>
        </w:tc>
      </w:tr>
      <w:tr>
        <w:trPr>
          <w:trHeight w:val="202"/>
        </w:trPr>
        <w:tc>
          <w:tcPr>
            <w:tcW w:w="188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Preferred Stock </w:t>
            </w:r>
            <w:r>
              <w:rPr>
                <w:rFonts w:ascii="Times New Roman" w:cs="Times New Roman" w:eastAsia="Times New Roman" w:hAnsi="Times New Roman"/>
                <w:sz w:val="18"/>
                <w:szCs w:val="18"/>
                <w:b w:val="1"/>
                <w:bCs w:val="1"/>
                <w:color w:val="auto"/>
                <w:vertAlign w:val="superscript"/>
              </w:rPr>
              <w:t>1</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7"/>
                <w:szCs w:val="17"/>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3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Rate </w:t>
            </w:r>
            <w:r>
              <w:rPr>
                <w:rFonts w:ascii="Times New Roman" w:cs="Times New Roman" w:eastAsia="Times New Roman" w:hAnsi="Times New Roman"/>
                <w:sz w:val="18"/>
                <w:szCs w:val="18"/>
                <w:b w:val="1"/>
                <w:bCs w:val="1"/>
                <w:color w:val="auto"/>
                <w:w w:val="94"/>
                <w:vertAlign w:val="superscript"/>
              </w:rPr>
              <w:t>2,3</w:t>
            </w:r>
          </w:p>
        </w:tc>
        <w:tc>
          <w:tcPr>
            <w:tcW w:w="15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Conversion Date </w:t>
            </w:r>
            <w:r>
              <w:rPr>
                <w:rFonts w:ascii="Times New Roman" w:cs="Times New Roman" w:eastAsia="Times New Roman" w:hAnsi="Times New Roman"/>
                <w:sz w:val="18"/>
                <w:szCs w:val="18"/>
                <w:b w:val="1"/>
                <w:bCs w:val="1"/>
                <w:color w:val="auto"/>
                <w:w w:val="96"/>
                <w:vertAlign w:val="superscript"/>
              </w:rPr>
              <w:t>3,4</w:t>
            </w:r>
          </w:p>
        </w:tc>
        <w:tc>
          <w:tcPr>
            <w:tcW w:w="0" w:type="dxa"/>
            <w:vAlign w:val="bottom"/>
          </w:tcPr>
          <w:p>
            <w:pPr>
              <w:spacing w:after="0"/>
              <w:rPr>
                <w:sz w:val="1"/>
                <w:szCs w:val="1"/>
                <w:color w:val="auto"/>
              </w:rPr>
            </w:pPr>
          </w:p>
        </w:tc>
      </w:tr>
      <w:tr>
        <w:trPr>
          <w:trHeight w:val="183"/>
        </w:trPr>
        <w:tc>
          <w:tcPr>
            <w:tcW w:w="1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Fixed-to-Floating Rate:</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Series C</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August 22, 2017</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2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w w:val="99"/>
              </w:rPr>
              <w:t>10.70027%</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15, 2022</w:t>
            </w:r>
          </w:p>
        </w:tc>
        <w:tc>
          <w:tcPr>
            <w:tcW w:w="0" w:type="dxa"/>
            <w:vAlign w:val="bottom"/>
          </w:tcPr>
          <w:p>
            <w:pPr>
              <w:spacing w:after="0"/>
              <w:rPr>
                <w:sz w:val="1"/>
                <w:szCs w:val="1"/>
                <w:color w:val="auto"/>
              </w:rPr>
            </w:pPr>
          </w:p>
        </w:tc>
      </w:tr>
      <w:tr>
        <w:trPr>
          <w:trHeight w:val="192"/>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D</w:t>
            </w: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March 6, 2019</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7"/>
              </w:rPr>
              <w:t>9.92127%</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April 15, 2024</w:t>
            </w:r>
          </w:p>
        </w:tc>
        <w:tc>
          <w:tcPr>
            <w:tcW w:w="0" w:type="dxa"/>
            <w:vAlign w:val="bottom"/>
          </w:tcPr>
          <w:p>
            <w:pPr>
              <w:spacing w:after="0"/>
              <w:rPr>
                <w:sz w:val="1"/>
                <w:szCs w:val="1"/>
                <w:color w:val="auto"/>
              </w:rPr>
            </w:pPr>
          </w:p>
        </w:tc>
      </w:tr>
      <w:tr>
        <w:trPr>
          <w:trHeight w:val="186"/>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Series 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October 3, 2019</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2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rPr>
              <w:t>6.500%</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15, 2024</w:t>
            </w:r>
          </w:p>
        </w:tc>
        <w:tc>
          <w:tcPr>
            <w:tcW w:w="0" w:type="dxa"/>
            <w:vAlign w:val="bottom"/>
          </w:tcPr>
          <w:p>
            <w:pPr>
              <w:spacing w:after="0"/>
              <w:rPr>
                <w:sz w:val="1"/>
                <w:szCs w:val="1"/>
                <w:color w:val="auto"/>
              </w:rPr>
            </w:pPr>
          </w:p>
        </w:tc>
      </w:tr>
      <w:tr>
        <w:trPr>
          <w:trHeight w:val="192"/>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F</w:t>
            </w: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8"/>
              </w:rPr>
              <w:t>February 11, 2020</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6.125%</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April 15, 2025</w:t>
            </w:r>
          </w:p>
        </w:tc>
        <w:tc>
          <w:tcPr>
            <w:tcW w:w="0" w:type="dxa"/>
            <w:vAlign w:val="bottom"/>
          </w:tcPr>
          <w:p>
            <w:pPr>
              <w:spacing w:after="0"/>
              <w:rPr>
                <w:sz w:val="1"/>
                <w:szCs w:val="1"/>
                <w:color w:val="auto"/>
              </w:rPr>
            </w:pPr>
          </w:p>
        </w:tc>
      </w:tr>
      <w:tr>
        <w:trPr>
          <w:trHeight w:val="186"/>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Fixed-Rate Reset:</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Series G</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September 14, 2022</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7.750%</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October 15, 2027</w:t>
            </w:r>
          </w:p>
        </w:tc>
        <w:tc>
          <w:tcPr>
            <w:tcW w:w="0" w:type="dxa"/>
            <w:vAlign w:val="bottom"/>
          </w:tcPr>
          <w:p>
            <w:pPr>
              <w:spacing w:after="0"/>
              <w:rPr>
                <w:sz w:val="1"/>
                <w:szCs w:val="1"/>
                <w:color w:val="auto"/>
              </w:rPr>
            </w:pPr>
          </w:p>
        </w:tc>
      </w:tr>
      <w:tr>
        <w:trPr>
          <w:trHeight w:val="179"/>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54"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shares underlying our 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ind w:left="660" w:hanging="328"/>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and D per annum dividend rates represent the rates in effect as of June 30, 2024.</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72"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and D dividends accrue at a rate equal to the 3-Month CME Term SOFR plus 0.26161%, plus a spread of 5.111% and 4.332%, respectively, per annum, resetting quarterly in accordance with the certificate of designations for such series and the Adjustable Interest Rate (LIBOR) Act of 2021 (the “LIBOR Act”). At the conclusion of the fixed rate period (the conversion date) for the Series E and F Preferred Stock, the</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25" w:name="page26"/>
    <w:bookmarkEnd w:id="25"/>
    <w:p>
      <w:pPr>
        <w:jc w:val="both"/>
        <w:ind w:left="660"/>
        <w:spacing w:after="0" w:line="262" w:lineRule="auto"/>
        <w:rPr>
          <w:sz w:val="20"/>
          <w:szCs w:val="20"/>
          <w:color w:val="auto"/>
        </w:rPr>
      </w:pPr>
      <w:r>
        <w:rPr>
          <w:rFonts w:ascii="Times New Roman" w:cs="Times New Roman" w:eastAsia="Times New Roman" w:hAnsi="Times New Roman"/>
          <w:sz w:val="14"/>
          <w:szCs w:val="14"/>
          <w:color w:val="auto"/>
        </w:rPr>
        <w:t>dividend for such series will accrue at a rate equal to the 3-Month CME Term SOFR plus 0.26161%, plus a spread of 4.993% and 4.697%, respectively, per annum, resetting quarterly in accordance with the certificate of designations for such series and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spacing w:after="0" w:line="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may be redeemed prior to our optional redemption date under certain circumstances intended to preserve our qualification as a REIT for U.S federal income tax purposes.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62"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During the three and six months ended June 30, 2024, we sold 45.8 million and 70.9 million shares, respectively, of our common stock under the sales agreements for proceeds of $434 million and $675 million, respectively, or $9.49 and $9.53 per common share, respectively, net of offering costs. As of June 30, 2024, shares of our common stock with an aggregate offering price of $1.0 billion remained authorized for issuance under this program through December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changes to accumulated OCI for the three and six months ended June 30, 2024 and 2023 (in millions):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76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22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39"/>
        </w:trPr>
        <w:tc>
          <w:tcPr>
            <w:tcW w:w="714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Net loss amounts for available-for-sale securities reclassified from accumulated OCI to realized gain (loss) on sale of</w:t>
            </w:r>
          </w:p>
        </w:tc>
        <w:tc>
          <w:tcPr>
            <w:tcW w:w="2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3"/>
        </w:trPr>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investment securities, net</w:t>
            </w: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June 30, 2024. Our MD&amp;A is presented in the following sections:</w:t>
      </w:r>
    </w:p>
    <w:p>
      <w:pPr>
        <w:spacing w:after="0" w:line="5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and Social Media Disclosure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Market Impacts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strong fixed income momentum that began in the fourth quarter of 2023 abated in the second quarter of 2024, as the Federal Reserve (the “Fed”) and market participants looked for indications that the economy was slowing and inflation moderating. On balance, the data showed that consumer spending and confidence were weakening, the labor market was moving into better balance, and most importantly, inflation measures were trending toward the Fed’s long run target. Nevertheless, the Fed was unwilling to adopt a more accommodative monetary policy stance. Against the backdrop of diverging economic and monetary policy outlooks, fixed income markets became more cautious, and intra-quarter volatility increased. In aggregate, interest rates edged higher and Agency RMBS spreads to benchmark interest rates widened, which drove our negative economic return for the second quarter of -0.9%.</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Agency RMBS, the second quarter was a push and pull between evolving supply and demand dynamics. On the demand side, bank and foreign demand moderated in the second quarter, while demand from bond funds remained steady, but limited, given an already overweight position. On the supply side, seasonal dynamics led to an uptick in Agency RMBS supply, with $52 billion in supply for the quarter, double the pace of the first quarter. As a result, Agency RMBS spreads to Treasuries widened approximately five to 10 basis points across the coupon stack, with current production securities, namely the 5.5% and 6% coupons, experiencing the greatest spread widening given the uptick in supply.</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Despite the intra-quarter rate volatility, Agency RMBS continued to trade within the relatively narrow spread range that has emerged over the course of the last several quarters. For current coupon Agency RMBS, that trading range has evolved to approximately 140 to 160 basis points to a blend of 5- and 10-year Treasury hedges. Using a similar combination of swap</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hedges, that range has evolved to approximately 170 to 190 basis points. At quarter end, Agency RMBS spreads to Treasuries and swaps were approximately 150 and 180 basis points, respectively, squarely in the middle of these recent ranges. We view this range-bound trading behavior as a positive development for Agency RMBS.</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Economic data released in July has continued to be supportive of a more accommodative Fed monetary policy stance. The shift in Fed policy will likely occur over the next several months and start a new, more favorable monetary policy cycle. Although we may continue to experience bouts of market turbulence in the short term due to evolving monetary policy expectations, political uncertainty and geopolitical risks, we believe AGNC is well positioned for this environment. Our active management strategy, core focus on high-quality Agency RMBS assets, attractive funding sources, and strong liquidity position should allow us not only to withstand episodes of volatility but also to take advantage of attractive investment opportunities as they arise.</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moderate spread widening that occurred during the second quarter drove AGNC’s total comprehensive loss of $(0.13) per diluted common share and economic loss of -0.9% on tangible common equity for the quarter, comprised of $0.36 dividends declared per common share and a $(0.44) decrease in tangible net book value per common share. For the first two quarters of 2024, AGNC had total comprehensive income of $0.33 per diluted common share and generated an economic return of 4.8%, comprised of $0.72 dividends per common share and a $(0.30) decrease in tangible net book value per common share.</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first two quarters, we maintained a significant interest rate hedge position, which covered 98% of the outstanding balance of our Investment Securities Repo, TBA position and other debt as of the end of the second quarter. “At risk” leverage increased modestly for the second quarter to 7.4x tangible stockholders’ equity as of the end of the quarter from 7.1x as of March 31, 2024. At the same time, our unencumbered cash and Agency RMBS was largely unchanged at the end of the second quarter from the first quarter at $5.3 billion, or 65% of our tangible stockholders' equity.</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weighted average coupon on our fixed-rate Agency RMBS and TBA securities increased to 4.95% as of the end of the second quarter, from 4.86% as of the first quarter, as we continued to shift a larger share of our asset portfolio toward higher coupon, high-quality specified pools. Consistent with the increase in interest rates, the average projected life CPR for our portfolio at quarter-end decreased 120 basis points to 9.2%. Seasonal factors drove an increase in our actual CPRs for the quarter to an average of 7.1%, up from 5.7% for the prior quarter.</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spread and dollar roll income per diluted common share (a non-GAAP measure) totaled $0.53 for the second quarter, a decline of 5 cents per share from the first quarter of $0.58 per share. This decline was primarily due to higher swap costs resulting from the replacement of maturing interest rate swaps and an overall increase in our interest rate swap position, which more than offset the increase in the average asset yield on our portfolio.</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first two quarters, we utilized our At-the-Market offering program (“ATM”) to opportunistically create incremental value for existing stockholders through book value and earnings accretion. In the first and second quarters, we issued $241 million and $434 million of common equity, respectively, at significant price-to-book premiums and invested those proceeds in attractively priced assets.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benchmark interest rates and prices of generic fixed rate Agency RMBS as of each date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46"/>
        </w:trPr>
        <w:tc>
          <w:tcPr>
            <w:tcW w:w="41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 xml:space="preserve">Interest Rate/Security Price </w:t>
            </w:r>
            <w:r>
              <w:rPr>
                <w:rFonts w:ascii="Times New Roman" w:cs="Times New Roman" w:eastAsia="Times New Roman" w:hAnsi="Times New Roman"/>
                <w:sz w:val="18"/>
                <w:szCs w:val="18"/>
                <w:b w:val="1"/>
                <w:bCs w:val="1"/>
                <w:color w:val="auto"/>
                <w:vertAlign w:val="superscript"/>
              </w:rPr>
              <w:t>1</w:t>
            </w: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680"/>
              <w:spacing w:after="0" w:line="146"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520" w:type="dxa"/>
            <w:vAlign w:val="bottom"/>
          </w:tcPr>
          <w:p>
            <w:pPr>
              <w:spacing w:after="0"/>
              <w:rPr>
                <w:sz w:val="12"/>
                <w:szCs w:val="12"/>
                <w:color w:val="auto"/>
              </w:rPr>
            </w:pPr>
          </w:p>
        </w:tc>
        <w:tc>
          <w:tcPr>
            <w:tcW w:w="640" w:type="dxa"/>
            <w:vAlign w:val="bottom"/>
          </w:tcPr>
          <w:p>
            <w:pPr>
              <w:jc w:val="center"/>
              <w:ind w:right="448"/>
              <w:spacing w:after="0" w:line="146"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0" w:type="dxa"/>
            <w:vAlign w:val="bottom"/>
          </w:tcPr>
          <w:p>
            <w:pPr>
              <w:spacing w:after="0"/>
              <w:rPr>
                <w:sz w:val="1"/>
                <w:szCs w:val="1"/>
                <w:color w:val="auto"/>
              </w:rPr>
            </w:pPr>
          </w:p>
        </w:tc>
      </w:tr>
      <w:tr>
        <w:trPr>
          <w:trHeight w:val="203"/>
        </w:trPr>
        <w:tc>
          <w:tcPr>
            <w:tcW w:w="4100" w:type="dxa"/>
            <w:vAlign w:val="bottom"/>
            <w:gridSpan w:val="2"/>
            <w:vMerge w:val="continue"/>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 31, 2024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2023</w:t>
            </w:r>
          </w:p>
        </w:tc>
        <w:tc>
          <w:tcPr>
            <w:tcW w:w="0" w:type="dxa"/>
            <w:vAlign w:val="bottom"/>
          </w:tcPr>
          <w:p>
            <w:pPr>
              <w:spacing w:after="0"/>
              <w:rPr>
                <w:sz w:val="1"/>
                <w:szCs w:val="1"/>
                <w:color w:val="auto"/>
              </w:rPr>
            </w:pPr>
          </w:p>
        </w:tc>
      </w:tr>
      <w:tr>
        <w:trPr>
          <w:trHeight w:val="196"/>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Target Federal Funds Rate - Upper Band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SOFR Rate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5.38%</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5.33%</w:t>
            </w:r>
          </w:p>
        </w:tc>
        <w:tc>
          <w:tcPr>
            <w:tcW w:w="160" w:type="dxa"/>
            <w:vAlign w:val="bottom"/>
          </w:tcPr>
          <w:p>
            <w:pPr>
              <w:spacing w:after="0"/>
              <w:rPr>
                <w:sz w:val="16"/>
                <w:szCs w:val="16"/>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-1</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-5</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SOFR Interest Rate Swap Rate: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4.61%</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5-Year Swap</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3.98%</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Swap</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6"/>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Security Rate: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2-Year U.S. Treasury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5-Year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4.38%</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10-Year U.S. Treasury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4.56%</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30-Year Fixed Rate Agency Price: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$84.77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$85.24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$82.77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$81.87</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-$0.90</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$88.01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$82.75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$88.58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$85.26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-$0.90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$91.11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$86.02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$91.86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$89.61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$88.67</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-$0.94</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$93.84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$89.09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$94.69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$92.74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$91.85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$97.04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$95.34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$94.45</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-$0.89</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$94.39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$99.04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$97.70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$96.81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-$0.89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$99.55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$96.68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$100.56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$99.58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$98.76</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-$0.82</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$100.88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$98.74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$101.63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$100.98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-$0.59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$101.88</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-$0.33</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-$0.63</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15-Year Fixed Rate Agency Price: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$86.30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$83.27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$86.86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$86.69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$85.61</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-$1.08</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$88.61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$85.81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$89.47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$88.71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$88.00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-$0.71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$90.98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$92.14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$91.07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$90.44</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-$0.63</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$93.32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$90.54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$94.30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$93.17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$92.61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-$0.56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95"/>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$95.14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$96.39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$95.13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$94.61</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-$0.52</w:t>
            </w:r>
          </w:p>
        </w:tc>
        <w:tc>
          <w:tcPr>
            <w:tcW w:w="16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$96.59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$94.42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$98.10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$96.95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$96.24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-$0.71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81"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8"/>
          <w:szCs w:val="18"/>
          <w:color w:val="auto"/>
        </w:rPr>
        <w:t>The following table summarizes mortgage and credit spreads as of each date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46"/>
        </w:trPr>
        <w:tc>
          <w:tcPr>
            <w:tcW w:w="41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Mortgage Rate/Credit Spread</w:t>
            </w: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680"/>
              <w:spacing w:after="0" w:line="146"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520" w:type="dxa"/>
            <w:vAlign w:val="bottom"/>
          </w:tcPr>
          <w:p>
            <w:pPr>
              <w:spacing w:after="0"/>
              <w:rPr>
                <w:sz w:val="12"/>
                <w:szCs w:val="12"/>
                <w:color w:val="auto"/>
              </w:rPr>
            </w:pPr>
          </w:p>
        </w:tc>
        <w:tc>
          <w:tcPr>
            <w:tcW w:w="640" w:type="dxa"/>
            <w:vAlign w:val="bottom"/>
          </w:tcPr>
          <w:p>
            <w:pPr>
              <w:jc w:val="center"/>
              <w:ind w:right="448"/>
              <w:spacing w:after="0" w:line="146"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0" w:type="dxa"/>
            <w:vAlign w:val="bottom"/>
          </w:tcPr>
          <w:p>
            <w:pPr>
              <w:spacing w:after="0"/>
              <w:rPr>
                <w:sz w:val="1"/>
                <w:szCs w:val="1"/>
                <w:color w:val="auto"/>
              </w:rPr>
            </w:pPr>
          </w:p>
        </w:tc>
      </w:tr>
      <w:tr>
        <w:trPr>
          <w:trHeight w:val="198"/>
        </w:trPr>
        <w:tc>
          <w:tcPr>
            <w:tcW w:w="4100" w:type="dxa"/>
            <w:vAlign w:val="bottom"/>
            <w:gridSpan w:val="2"/>
            <w:vMerge w:val="continue"/>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 31, 2024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2023</w:t>
            </w:r>
          </w:p>
        </w:tc>
        <w:tc>
          <w:tcPr>
            <w:tcW w:w="0" w:type="dxa"/>
            <w:vAlign w:val="bottom"/>
          </w:tcPr>
          <w:p>
            <w:pPr>
              <w:spacing w:after="0"/>
              <w:rPr>
                <w:sz w:val="1"/>
                <w:szCs w:val="1"/>
                <w:color w:val="auto"/>
              </w:rPr>
            </w:pPr>
          </w:p>
        </w:tc>
      </w:tr>
      <w:tr>
        <w:trPr>
          <w:trHeight w:val="201"/>
        </w:trPr>
        <w:tc>
          <w:tcPr>
            <w:tcW w:w="3940" w:type="dxa"/>
            <w:vAlign w:val="bottom"/>
            <w:tcBorders>
              <w:top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Mortgage Rate: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10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30-Year Agency Current Coupon Yield to 5-Year U.S. Treasury</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147</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175</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Spread</w:t>
            </w: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0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30-Year Agency Current Coupon Yield to 10-Year U.S. Treasury</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179</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179</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147</w:t>
            </w:r>
          </w:p>
        </w:tc>
        <w:tc>
          <w:tcPr>
            <w:tcW w:w="1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8"/>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Spread</w:t>
            </w:r>
          </w:p>
        </w:tc>
        <w:tc>
          <w:tcPr>
            <w:tcW w:w="7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10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color w:val="auto"/>
              </w:rPr>
              <w:t>30-Year Agency Current Coupon Yield to 5/10-Year U.S.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177</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Treasury Spread</w:t>
            </w: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30-Year Agency Current Coupon Yield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30-Year Mortgage Rate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6.94%</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Credit Spread (in bps): </w:t>
            </w:r>
            <w:r>
              <w:rPr>
                <w:rFonts w:ascii="Times New Roman" w:cs="Times New Roman" w:eastAsia="Times New Roman" w:hAnsi="Times New Roman"/>
                <w:sz w:val="18"/>
                <w:szCs w:val="18"/>
                <w:b w:val="1"/>
                <w:bCs w:val="1"/>
                <w:color w:val="auto"/>
                <w:vertAlign w:val="superscript"/>
              </w:rPr>
              <w:t>2</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CRT M2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166</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CMBS AAA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8"/>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CDX IG</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center"/>
              <w:ind w:right="4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67" w:lineRule="exact"/>
        <w:rPr>
          <w:sz w:val="20"/>
          <w:szCs w:val="20"/>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Current Coupon Yield represents yield on new production Agency RMBS. 30-Year Current Coupon Yields are sourced from Bloomberg and 30-Year Mortgage Rates are sourced from Clear Blue.</w:t>
      </w:r>
    </w:p>
    <w:p>
      <w:pPr>
        <w:ind w:left="660" w:hanging="328"/>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CRT and CDX spreads sourced from JP Morgan. CMBS spreads are the average of spreads sourced from Bank of America, JP Morgan and Wells Fargo.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our investment portfolio totaled $66.0 billion and $60.2 billion, respectively, consisting of: $59.7 billion and $53.8 billion Agency RMBS, at fair value, respectively; $5.3 billion and $5.4 billion net TBA securities, at fair value, respectively; $0.9 billion and $1.0 billion CRT, non-Agency RMBS and CMBS, at fair value, respectively; and other mortgage credit investments of $60 million and $44 million, respectively, which we account for under the equity method of accounting. The following table is a summary of our investment securities (including TBA securities) as of June 30, 2024 and December 31, 2023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Securities (Includes TBAs)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3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Agency RMBS and TBA securities: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15-year: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15-year TBA securities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 15-year</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5"/>
        </w:trPr>
        <w:tc>
          <w:tcPr>
            <w:tcW w:w="3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30-year:</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58,087</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xml:space="preserve">30-year TBA securities, net </w:t>
            </w:r>
            <w:r>
              <w:rPr>
                <w:rFonts w:ascii="Times New Roman" w:cs="Times New Roman" w:eastAsia="Times New Roman" w:hAnsi="Times New Roman"/>
                <w:sz w:val="18"/>
                <w:szCs w:val="18"/>
                <w:color w:val="auto"/>
                <w:vertAlign w:val="superscript"/>
              </w:rPr>
              <w:t>2</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0"/>
        </w:trPr>
        <w:tc>
          <w:tcPr>
            <w:tcW w:w="3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Total 30-year</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66,209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63,346</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58,857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56,938</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60,577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58,515</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Adjustable rate Agency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CMO Agency RMBS: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CMO</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Interest-only strips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Principal-only strips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gridSpan w:val="2"/>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CMO Agency RMBS </w:t>
            </w:r>
            <w:r>
              <w:rPr>
                <w:rFonts w:ascii="Times New Roman" w:cs="Times New Roman" w:eastAsia="Times New Roman" w:hAnsi="Times New Roman"/>
                <w:sz w:val="18"/>
                <w:szCs w:val="18"/>
                <w:color w:val="auto"/>
                <w:vertAlign w:val="superscript"/>
              </w:rPr>
              <w:t>3</w:t>
            </w: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10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10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6"/>
        </w:trPr>
        <w:tc>
          <w:tcPr>
            <w:tcW w:w="35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Agency RMBS and TBA securities </w:t>
            </w:r>
            <w:r>
              <w:rPr>
                <w:rFonts w:ascii="Times New Roman" w:cs="Times New Roman" w:eastAsia="Times New Roman" w:hAnsi="Times New Roman"/>
                <w:sz w:val="18"/>
                <w:szCs w:val="18"/>
                <w:color w:val="auto"/>
                <w:vertAlign w:val="superscript"/>
              </w:rPr>
              <w:t>3</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65,040</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61,225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59,148</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196"/>
        </w:trPr>
        <w:tc>
          <w:tcPr>
            <w:tcW w:w="35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Non-Agency RMBS </w:t>
            </w:r>
            <w:r>
              <w:rPr>
                <w:rFonts w:ascii="Times New Roman" w:cs="Times New Roman" w:eastAsia="Times New Roman" w:hAnsi="Times New Roman"/>
                <w:sz w:val="18"/>
                <w:szCs w:val="18"/>
                <w:color w:val="auto"/>
                <w:vertAlign w:val="superscript"/>
              </w:rPr>
              <w:t>1,3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CMBS </w:t>
            </w:r>
            <w:r>
              <w:rPr>
                <w:rFonts w:ascii="Times New Roman" w:cs="Times New Roman" w:eastAsia="Times New Roman" w:hAnsi="Times New Roman"/>
                <w:sz w:val="18"/>
                <w:szCs w:val="18"/>
                <w:color w:val="auto"/>
                <w:vertAlign w:val="superscript"/>
              </w:rPr>
              <w:t>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6.69 %</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CRT</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11.04 %</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10.45 %</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Total investment securities </w:t>
            </w:r>
            <w:r>
              <w:rPr>
                <w:rFonts w:ascii="Times New Roman" w:cs="Times New Roman" w:eastAsia="Times New Roman" w:hAnsi="Times New Roman"/>
                <w:sz w:val="18"/>
                <w:szCs w:val="18"/>
                <w:color w:val="auto"/>
                <w:vertAlign w:val="superscript"/>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68,917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62,253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60,178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other mortgage credit investments of $60 million and $44 million as of June 30, 2024 and December 31, 2023, respectively.</w:t>
      </w:r>
    </w:p>
    <w:p>
      <w:pPr>
        <w:spacing w:after="0" w:line="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TBA securities are presented net of long and short positions. For further details of our TBA securities refer to Note 5 of our Consolidated Financial Statements in this Form 10-Q</w:t>
      </w:r>
    </w:p>
    <w:p>
      <w:pPr>
        <w:spacing w:after="0" w:line="1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coupon excludes interest-only and principal-only securities.</w:t>
      </w:r>
    </w:p>
    <w:p>
      <w:pPr>
        <w:spacing w:after="0" w:line="1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TBA securities are recorded as derivative instruments in our accompanying consolidated financial statements, and our TBA dollar roll transactions represent a form of off-balance sheet financing. As of June 30, 2024 and December 31, 2023, our TBA securities had a net carrying value of $30 million and $66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weighted average yield on our investment securities (excluding TBA and forward settling securities) was 4.70% and 4.41%,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1" w:name="page32"/>
    <w:bookmarkEnd w:id="31"/>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characteristics of our fixed rate Agency RMBS portfolio, inclusive of TBA securities, as of June 30, 2024 and December 31, 2023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3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0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 xml:space="preserve"> 1</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6"/>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15-year:</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6"/>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100.5%</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3.74%</w:t>
            </w: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5"/>
        </w:trPr>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104.6%</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103.6%</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103.8%</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4.5%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105.1%</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3.10%</w:t>
            </w:r>
          </w:p>
        </w:tc>
        <w:tc>
          <w:tcPr>
            <w:tcW w:w="2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104.0%</w:t>
            </w:r>
          </w:p>
        </w:tc>
        <w:tc>
          <w:tcPr>
            <w:tcW w:w="1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9"/>
        </w:trPr>
        <w:tc>
          <w:tcPr>
            <w:tcW w:w="2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3.0%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2.42%</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99.2%</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104.1%</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105.7%</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86</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103.7%</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99.2%</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100.2%</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95"/>
        </w:trPr>
        <w:tc>
          <w:tcPr>
            <w:tcW w:w="2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6.5%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0"/>
        </w:trPr>
        <w:tc>
          <w:tcPr>
            <w:tcW w:w="2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65,391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66,209</w:t>
            </w:r>
          </w:p>
        </w:tc>
        <w:tc>
          <w:tcPr>
            <w:tcW w:w="1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63,346</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4.97%</w:t>
            </w:r>
          </w:p>
        </w:tc>
        <w:tc>
          <w:tcPr>
            <w:tcW w:w="2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1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66,182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64,077</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4.95%</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jc w:val="both"/>
        <w:ind w:left="660" w:hanging="328"/>
        <w:spacing w:after="0" w:line="256"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June 30, 2024, lower balance specified pools had a weighted average original loan balance of $188,000 and $153,000 for 15-year and 30-year securities, respectively, and HARP pools had a weighted average original LTV of 128% and 141% for 15-year and 30-year securities, respectively.</w:t>
      </w: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60" w:type="dxa"/>
            <w:vAlign w:val="bottom"/>
            <w:gridSpan w:val="2"/>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Fixed Rate Agency RMBS and</w:t>
            </w: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Specified Pool</w:t>
            </w:r>
          </w:p>
        </w:tc>
        <w:tc>
          <w:tcPr>
            <w:tcW w:w="1260" w:type="dxa"/>
            <w:vAlign w:val="bottom"/>
            <w:gridSpan w:val="3"/>
            <w:vMerge w:val="restart"/>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restart"/>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102"/>
        </w:trPr>
        <w:tc>
          <w:tcPr>
            <w:tcW w:w="2360" w:type="dxa"/>
            <w:vAlign w:val="bottom"/>
            <w:gridSpan w:val="2"/>
            <w:vMerge w:val="continue"/>
          </w:tcPr>
          <w:p>
            <w:pPr>
              <w:spacing w:after="0"/>
              <w:rPr>
                <w:sz w:val="8"/>
                <w:szCs w:val="8"/>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18"/>
                <w:szCs w:val="18"/>
                <w:b w:val="1"/>
                <w:bCs w:val="1"/>
                <w:color w:val="auto"/>
                <w:vertAlign w:val="superscript"/>
              </w:rPr>
              <w:t>2</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TBA Securities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3"/>
              </w:rPr>
              <w:t xml:space="preserve">% </w:t>
            </w:r>
            <w:r>
              <w:rPr>
                <w:rFonts w:ascii="Times New Roman" w:cs="Times New Roman" w:eastAsia="Times New Roman" w:hAnsi="Times New Roman"/>
                <w:sz w:val="18"/>
                <w:szCs w:val="18"/>
                <w:b w:val="1"/>
                <w:bCs w:val="1"/>
                <w:color w:val="auto"/>
                <w:w w:val="93"/>
                <w:vertAlign w:val="superscript"/>
              </w:rPr>
              <w:t>1</w:t>
            </w:r>
          </w:p>
        </w:tc>
        <w:tc>
          <w:tcPr>
            <w:tcW w:w="100" w:type="dxa"/>
            <w:vAlign w:val="bottom"/>
          </w:tcPr>
          <w:p>
            <w:pPr>
              <w:spacing w:after="0"/>
              <w:rPr>
                <w:sz w:val="17"/>
                <w:szCs w:val="17"/>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CPR </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15-year:</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101.5%</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101.5%</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126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102.8%</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6"/>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5.0%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100.9%</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168</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 15-year</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3.44%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5"/>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20-year: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102.6%</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104.7%</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103.6%</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101.7%</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125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4.0%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104.3%</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2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20-year: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2.82%</w:t>
            </w:r>
          </w:p>
        </w:tc>
        <w:tc>
          <w:tcPr>
            <w:tcW w:w="2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30-year:</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3.0%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104.1%</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105.7%</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103.9%</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9,719</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100.5%</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100.6%</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2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6.5%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102.3%</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0"/>
        </w:trPr>
        <w:tc>
          <w:tcPr>
            <w:tcW w:w="2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30-year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57,766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58,857</w:t>
            </w:r>
          </w:p>
        </w:tc>
        <w:tc>
          <w:tcPr>
            <w:tcW w:w="12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56,938</w:t>
            </w:r>
          </w:p>
        </w:tc>
        <w:tc>
          <w:tcPr>
            <w:tcW w:w="1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4.88%</w:t>
            </w:r>
          </w:p>
        </w:tc>
        <w:tc>
          <w:tcPr>
            <w:tcW w:w="2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8"/>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59,442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60,577</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58,515</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 of preceding table for specified pool composition. As of December 31, 2023, lower balance specified pools had a weighted average original loan balance of $132,000 and $153,000 for 15-year and 30-year securities, respectively, and HARP pools had a weighted average original LTV of 128% and 141% for 15-year and 30-year securities, respectively.</w:t>
      </w: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based on forward rate assumptions as of December 31, 2023.</w:t>
      </w:r>
    </w:p>
    <w:p>
      <w:pPr>
        <w:spacing w:after="0" w:line="1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additional details regarding our CRT and non-Agency securities, including credit ratings, as of June 30, 2024 and December 31, 2023, please refer to Note 3 of our Consolidated Financial Statements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the related per common share measures and certain financial metrics derived from such non-GAAP information.</w:t>
      </w:r>
    </w:p>
    <w:p>
      <w:pPr>
        <w:spacing w:after="0" w:line="5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 (iii) include interest rate swap periodic income/cost, TBA dollar roll income and other interest income/expense. As defined "Net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spread and dollar roll income available to common stockholders" includes (i) the components of "economic interest income" and "economic interest expense", plus (ii) other interest income/expense, and less (iii) total operating expenses and dividends on preferred stock (GAAP measures).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Specifically, in the case "net spread and dollar roll income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spacing w:after="0" w:line="1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54"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December 31, 2023, "Net spread and dollar roll income available to common stockholders" was referred to as "net spread and dollar roll income, excluding 'catch-up' premium amortization, available to common stockholders". "Net spread and dollar roll income available to common stockholders" continues to exclude "catch-up" premium amortization.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Data</w:t>
      </w:r>
    </w:p>
    <w:p>
      <w:pPr>
        <w:spacing w:after="0" w:line="243"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The following selected financial data is derived from our interim consolidated financial statements and the notes thereto. The tables below present our condensed consolidated balance sheets as of June 30, 2024 and December 31, 2023 and condensed consolidated statements of comprehensive income and key statistics for the three and six months ended June 30, 2024 (in millions, except per share amounts):</w:t>
      </w:r>
    </w:p>
    <w:p>
      <w:pPr>
        <w:spacing w:after="0" w:line="8"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180" w:type="dxa"/>
            <w:vAlign w:val="bottom"/>
          </w:tcPr>
          <w:p>
            <w:pPr>
              <w:spacing w:after="0"/>
              <w:rPr>
                <w:sz w:val="17"/>
                <w:szCs w:val="17"/>
                <w:color w:val="auto"/>
              </w:rPr>
            </w:pPr>
          </w:p>
        </w:tc>
        <w:tc>
          <w:tcPr>
            <w:tcW w:w="11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(Unaudited)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9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Investment securities, at fair value of $60,632 and $54,824, respectively, and other mortgage credit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60,692</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54,868</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79,685</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71,596</w:t>
            </w:r>
          </w:p>
        </w:tc>
        <w:tc>
          <w:tcPr>
            <w:tcW w:w="0" w:type="dxa"/>
            <w:vAlign w:val="bottom"/>
          </w:tcPr>
          <w:p>
            <w:pPr>
              <w:spacing w:after="0"/>
              <w:rPr>
                <w:sz w:val="1"/>
                <w:szCs w:val="1"/>
                <w:color w:val="auto"/>
              </w:rPr>
            </w:pPr>
          </w:p>
        </w:tc>
      </w:tr>
      <w:tr>
        <w:trPr>
          <w:trHeight w:val="219"/>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agreements and other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57,018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50,506</w:t>
            </w: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71,033</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63,339</w:t>
            </w:r>
          </w:p>
        </w:tc>
        <w:tc>
          <w:tcPr>
            <w:tcW w:w="0" w:type="dxa"/>
            <w:vAlign w:val="bottom"/>
          </w:tcPr>
          <w:p>
            <w:pPr>
              <w:spacing w:after="0"/>
              <w:rPr>
                <w:sz w:val="1"/>
                <w:szCs w:val="1"/>
                <w:color w:val="auto"/>
              </w:rPr>
            </w:pPr>
          </w:p>
        </w:tc>
      </w:tr>
      <w:tr>
        <w:trPr>
          <w:trHeight w:val="219"/>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8,257</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book value per common share </w:t>
            </w:r>
            <w:r>
              <w:rPr>
                <w:rFonts w:ascii="Times New Roman" w:cs="Times New Roman" w:eastAsia="Times New Roman" w:hAnsi="Times New Roman"/>
                <w:sz w:val="21"/>
                <w:szCs w:val="2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Tangible net book value per common share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4"/>
        </w:trPr>
        <w:tc>
          <w:tcPr>
            <w:tcW w:w="6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6"/>
                <w:szCs w:val="16"/>
                <w:color w:val="auto"/>
              </w:rPr>
            </w:pPr>
          </w:p>
        </w:tc>
        <w:tc>
          <w:tcPr>
            <w:tcW w:w="152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Comprehensive Income Data (Unaudited)</w:t>
            </w:r>
          </w:p>
        </w:tc>
        <w:tc>
          <w:tcPr>
            <w:tcW w:w="8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13"/>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09"/>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(expense)</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0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gain (loss), net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1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available (attributable) to common stockholders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589.1</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basic</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per common share -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0.72</w:t>
            </w: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6"/>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 (Unaudited) *</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par</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47,711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56,761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47,043</w:t>
            </w:r>
          </w:p>
        </w:tc>
      </w:tr>
      <w:tr>
        <w:trPr>
          <w:trHeight w:val="21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 at cost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59,198</w:t>
            </w:r>
          </w:p>
        </w:tc>
        <w:tc>
          <w:tcPr>
            <w:tcW w:w="6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49,119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57,926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48,497</w:t>
            </w:r>
          </w:p>
        </w:tc>
      </w:tr>
      <w:tr>
        <w:trPr>
          <w:trHeight w:val="21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 at cost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w:t>
            </w:r>
          </w:p>
        </w:tc>
        <w:tc>
          <w:tcPr>
            <w:tcW w:w="64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13,896</w:t>
            </w:r>
          </w:p>
        </w:tc>
      </w:tr>
      <w:tr>
        <w:trPr>
          <w:trHeight w:val="21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total assets - at fair value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73,885</w:t>
            </w:r>
          </w:p>
        </w:tc>
        <w:tc>
          <w:tcPr>
            <w:tcW w:w="6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62,469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72,303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60,391</w:t>
            </w:r>
          </w:p>
        </w:tc>
      </w:tr>
      <w:tr>
        <w:trPr>
          <w:trHeight w:val="21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repurchase agreements and other debt outstanding </w:t>
            </w:r>
            <w:r>
              <w:rPr>
                <w:rFonts w:ascii="Times New Roman" w:cs="Times New Roman" w:eastAsia="Times New Roman" w:hAnsi="Times New Roman"/>
                <w:sz w:val="18"/>
                <w:szCs w:val="18"/>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50,784</w:t>
            </w:r>
          </w:p>
        </w:tc>
        <w:tc>
          <w:tcPr>
            <w:tcW w:w="64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41,546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49,757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40,690</w:t>
            </w:r>
          </w:p>
        </w:tc>
      </w:tr>
      <w:tr>
        <w:trPr>
          <w:trHeight w:val="216"/>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Average stockholders' equity </w:t>
            </w:r>
            <w:r>
              <w:rPr>
                <w:rFonts w:ascii="Times New Roman" w:cs="Times New Roman" w:eastAsia="Times New Roman" w:hAnsi="Times New Roman"/>
                <w:sz w:val="18"/>
                <w:szCs w:val="18"/>
                <w:color w:val="auto"/>
                <w:vertAlign w:val="superscript"/>
              </w:rPr>
              <w:t>4</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8,481</w:t>
            </w:r>
          </w:p>
        </w:tc>
        <w:tc>
          <w:tcPr>
            <w:tcW w:w="6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7,712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8,380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7,896</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tangible net book value "at risk" leverage </w:t>
            </w:r>
            <w:r>
              <w:rPr>
                <w:rFonts w:ascii="Times New Roman" w:cs="Times New Roman" w:eastAsia="Times New Roman" w:hAnsi="Times New Roman"/>
                <w:sz w:val="18"/>
                <w:szCs w:val="18"/>
                <w:color w:val="auto"/>
                <w:vertAlign w:val="superscript"/>
              </w:rPr>
              <w:t>5</w:t>
            </w:r>
          </w:p>
        </w:tc>
        <w:tc>
          <w:tcPr>
            <w:tcW w:w="20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7.2:1</w:t>
            </w: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7.2:1</w:t>
            </w:r>
          </w:p>
        </w:tc>
        <w:tc>
          <w:tcPr>
            <w:tcW w:w="13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7.2:1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Tangible net book value "at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vertAlign w:val="superscript"/>
              </w:rPr>
              <w:t>6</w:t>
            </w:r>
          </w:p>
        </w:tc>
        <w:tc>
          <w:tcPr>
            <w:tcW w:w="20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7.4:1</w:t>
            </w: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7.2:1</w:t>
            </w: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7.4:1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return on tangible common equity </w:t>
            </w:r>
            <w:r>
              <w:rPr>
                <w:rFonts w:ascii="Times New Roman" w:cs="Times New Roman" w:eastAsia="Times New Roman" w:hAnsi="Times New Roman"/>
                <w:sz w:val="18"/>
                <w:szCs w:val="18"/>
                <w:color w:val="auto"/>
                <w:vertAlign w:val="superscript"/>
              </w:rPr>
              <w:t>7</w:t>
            </w:r>
          </w:p>
        </w:tc>
        <w:tc>
          <w:tcPr>
            <w:tcW w:w="20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(0.9)%</w:t>
            </w: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3.6 %</w:t>
            </w:r>
          </w:p>
        </w:tc>
        <w:tc>
          <w:tcPr>
            <w:tcW w:w="13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4.8 %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 of average total assets - annualized</w:t>
            </w:r>
          </w:p>
        </w:tc>
        <w:tc>
          <w:tcPr>
            <w:tcW w:w="20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0.13 %</w:t>
            </w: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0.15 %</w:t>
            </w: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0.13 %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0.15 %</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 % of average assets, including average net TBA position - annualized</w:t>
            </w:r>
          </w:p>
        </w:tc>
        <w:tc>
          <w:tcPr>
            <w:tcW w:w="20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0.12 %</w:t>
            </w: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0.13 %</w:t>
            </w:r>
          </w:p>
        </w:tc>
        <w:tc>
          <w:tcPr>
            <w:tcW w:w="13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0.12 %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0.12 %</w:t>
            </w: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 % of average stockholders' equity - annualized</w:t>
            </w:r>
          </w:p>
        </w:tc>
        <w:tc>
          <w:tcPr>
            <w:tcW w:w="20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1.13 %</w:t>
            </w: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1.19 %</w:t>
            </w: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1.15 %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Except as noted below, average numbers for each period are weighted based on days on our books and records.</w:t>
      </w:r>
    </w:p>
    <w:p>
      <w:pPr>
        <w:spacing w:after="0" w:line="3" w:lineRule="exact"/>
        <w:rPr>
          <w:sz w:val="20"/>
          <w:szCs w:val="20"/>
          <w:color w:val="auto"/>
        </w:rPr>
      </w:pPr>
    </w:p>
    <w:p>
      <w:pPr>
        <w:ind w:left="660" w:hanging="328"/>
        <w:spacing w:after="0" w:line="259"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book value per common share is calculated as total stockholders' equity, less preferred stock liquidation preference, divided by number of common shares outstanding as of period end.</w:t>
      </w:r>
    </w:p>
    <w:p>
      <w:pPr>
        <w:spacing w:after="0" w:line="173"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per common share excludes goodwill.</w:t>
      </w:r>
    </w:p>
    <w:p>
      <w:pPr>
        <w:spacing w:after="0" w:line="14" w:lineRule="exact"/>
        <w:rPr>
          <w:rFonts w:ascii="Times New Roman" w:cs="Times New Roman" w:eastAsia="Times New Roman" w:hAnsi="Times New Roman"/>
          <w:sz w:val="14"/>
          <w:szCs w:val="14"/>
          <w:color w:val="auto"/>
        </w:rPr>
      </w:pPr>
    </w:p>
    <w:p>
      <w:pPr>
        <w:ind w:left="660" w:right="20" w:hanging="328"/>
        <w:spacing w:after="0" w:line="254"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daily weighted average repurchase agreements outstanding for the period used to fund our investment securities and other debt. Amount excludes U.S. Treasury repurchase agreements and TBA contracts. Other debt includes debt of consolidated VIEs.</w:t>
      </w:r>
    </w:p>
    <w:p>
      <w:pPr>
        <w:ind w:left="660" w:hanging="328"/>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stockholders' equity calculated as average month-ended stockholders' equity during the period.</w:t>
      </w:r>
    </w:p>
    <w:p>
      <w:pPr>
        <w:spacing w:after="0" w:line="11" w:lineRule="exact"/>
        <w:rPr>
          <w:rFonts w:ascii="Times New Roman" w:cs="Times New Roman" w:eastAsia="Times New Roman" w:hAnsi="Times New Roman"/>
          <w:sz w:val="14"/>
          <w:szCs w:val="14"/>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spacing w:after="0" w:line="1" w:lineRule="exact"/>
        <w:rPr>
          <w:rFonts w:ascii="Times New Roman" w:cs="Times New Roman" w:eastAsia="Times New Roman" w:hAnsi="Times New Roman"/>
          <w:sz w:val="14"/>
          <w:szCs w:val="14"/>
          <w:color w:val="auto"/>
        </w:rPr>
      </w:pPr>
    </w:p>
    <w:p>
      <w:pPr>
        <w:ind w:left="660" w:hanging="328"/>
        <w:spacing w:after="0" w:line="263"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5" w:name="page36"/>
    <w:bookmarkEnd w:id="35"/>
    <w:p>
      <w:pPr>
        <w:ind w:left="660" w:right="20" w:hanging="328"/>
        <w:spacing w:after="0" w:line="302" w:lineRule="auto"/>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Income and Asset Yields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economic interest income (a non-GAAP measure) for the three and six months ended June 30, 2024 and 2023,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6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Cash/coupon 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0" w:type="dxa"/>
            <w:vAlign w:val="bottom"/>
          </w:tcPr>
          <w:p>
            <w:pPr>
              <w:spacing w:after="0"/>
              <w:rPr>
                <w:sz w:val="1"/>
                <w:szCs w:val="1"/>
                <w:color w:val="auto"/>
              </w:rPr>
            </w:pPr>
          </w:p>
        </w:tc>
      </w:tr>
      <w:tr>
        <w:trPr>
          <w:trHeight w:val="196"/>
        </w:trPr>
        <w:tc>
          <w:tcPr>
            <w:tcW w:w="3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premium amortization benefit (cost)</w:t>
            </w:r>
          </w:p>
        </w:tc>
        <w:tc>
          <w:tcPr>
            <w:tcW w:w="1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3.33 %</w:t>
            </w:r>
          </w:p>
        </w:tc>
        <w:tc>
          <w:tcPr>
            <w:tcW w:w="0" w:type="dxa"/>
            <w:vAlign w:val="bottom"/>
          </w:tcPr>
          <w:p>
            <w:pPr>
              <w:spacing w:after="0"/>
              <w:rPr>
                <w:sz w:val="1"/>
                <w:szCs w:val="1"/>
                <w:color w:val="auto"/>
              </w:rPr>
            </w:pPr>
          </w:p>
        </w:tc>
      </w:tr>
      <w:tr>
        <w:trPr>
          <w:trHeight w:val="139"/>
        </w:trPr>
        <w:tc>
          <w:tcPr>
            <w:tcW w:w="398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Estimated "catch-up" premium amortization cost (benefit) due to</w:t>
            </w:r>
          </w:p>
        </w:tc>
        <w:tc>
          <w:tcPr>
            <w:tcW w:w="120" w:type="dxa"/>
            <w:vAlign w:val="bottom"/>
          </w:tcPr>
          <w:p>
            <w:pPr>
              <w:spacing w:after="0"/>
              <w:rPr>
                <w:sz w:val="12"/>
                <w:szCs w:val="12"/>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0.24 %</w:t>
            </w:r>
          </w:p>
        </w:tc>
        <w:tc>
          <w:tcPr>
            <w:tcW w:w="0" w:type="dxa"/>
            <w:vAlign w:val="bottom"/>
          </w:tcPr>
          <w:p>
            <w:pPr>
              <w:spacing w:after="0"/>
              <w:rPr>
                <w:sz w:val="1"/>
                <w:szCs w:val="1"/>
                <w:color w:val="auto"/>
              </w:rPr>
            </w:pPr>
          </w:p>
        </w:tc>
      </w:tr>
      <w:tr>
        <w:trPr>
          <w:trHeight w:val="193"/>
        </w:trPr>
        <w:tc>
          <w:tcPr>
            <w:tcW w:w="3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CPR forecast</w:t>
            </w: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0" w:type="dxa"/>
            <w:vAlign w:val="bottom"/>
          </w:tcPr>
          <w:p>
            <w:pPr>
              <w:spacing w:after="0"/>
              <w:rPr>
                <w:sz w:val="1"/>
                <w:szCs w:val="1"/>
                <w:color w:val="auto"/>
              </w:rPr>
            </w:pPr>
          </w:p>
        </w:tc>
      </w:tr>
      <w:tr>
        <w:trPr>
          <w:trHeight w:val="196"/>
        </w:trPr>
        <w:tc>
          <w:tcPr>
            <w:tcW w:w="3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TBA dollar roll income - implied interest income </w:t>
            </w:r>
            <w:r>
              <w:rPr>
                <w:rFonts w:ascii="Times New Roman" w:cs="Times New Roman" w:eastAsia="Times New Roman" w:hAnsi="Times New Roman"/>
                <w:sz w:val="9"/>
                <w:szCs w:val="9"/>
                <w:color w:val="auto"/>
              </w:rPr>
              <w:t>1,2</w:t>
            </w:r>
          </w:p>
        </w:tc>
        <w:tc>
          <w:tcPr>
            <w:tcW w:w="120" w:type="dxa"/>
            <w:vAlign w:val="bottom"/>
          </w:tcPr>
          <w:p>
            <w:pPr>
              <w:spacing w:after="0"/>
              <w:rPr>
                <w:sz w:val="17"/>
                <w:szCs w:val="17"/>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0" w:type="dxa"/>
            <w:vAlign w:val="bottom"/>
          </w:tcPr>
          <w:p>
            <w:pPr>
              <w:spacing w:after="0"/>
              <w:rPr>
                <w:sz w:val="1"/>
                <w:szCs w:val="1"/>
                <w:color w:val="auto"/>
              </w:rPr>
            </w:pPr>
          </w:p>
        </w:tc>
      </w:tr>
      <w:tr>
        <w:trPr>
          <w:trHeight w:val="22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Economic interest income (non-GAAP measure) </w:t>
            </w:r>
            <w:r>
              <w:rPr>
                <w:rFonts w:ascii="Times New Roman" w:cs="Times New Roman" w:eastAsia="Times New Roman" w:hAnsi="Times New Roman"/>
                <w:sz w:val="9"/>
                <w:szCs w:val="9"/>
                <w:color w:val="auto"/>
              </w:rPr>
              <w:t>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1240"/>
          </w:cols>
          <w:pgMar w:left="320" w:top="886" w:right="339" w:bottom="1440" w:gutter="0" w:footer="0" w:header="0"/>
        </w:sectPr>
      </w:pPr>
    </w:p>
    <w:p>
      <w:pPr>
        <w:ind w:left="20"/>
        <w:spacing w:after="0" w:line="251" w:lineRule="auto"/>
        <w:rPr>
          <w:sz w:val="20"/>
          <w:szCs w:val="20"/>
          <w:color w:val="auto"/>
        </w:rPr>
      </w:pPr>
      <w:r>
        <w:rPr>
          <w:rFonts w:ascii="Times New Roman" w:cs="Times New Roman" w:eastAsia="Times New Roman" w:hAnsi="Times New Roman"/>
          <w:sz w:val="14"/>
          <w:szCs w:val="14"/>
          <w:color w:val="auto"/>
        </w:rPr>
        <w:t>Weighted average actual portfolio CPR for investment securities held during the period</w:t>
      </w:r>
    </w:p>
    <w:p>
      <w:pPr>
        <w:spacing w:after="0" w:line="1" w:lineRule="exact"/>
        <w:rPr>
          <w:sz w:val="20"/>
          <w:szCs w:val="20"/>
          <w:color w:val="auto"/>
        </w:rPr>
      </w:pPr>
    </w:p>
    <w:p>
      <w:pPr>
        <w:ind w:left="20" w:right="380"/>
        <w:spacing w:after="0" w:line="251" w:lineRule="auto"/>
        <w:rPr>
          <w:sz w:val="20"/>
          <w:szCs w:val="20"/>
          <w:color w:val="auto"/>
        </w:rPr>
      </w:pPr>
      <w:r>
        <w:rPr>
          <w:rFonts w:ascii="Times New Roman" w:cs="Times New Roman" w:eastAsia="Times New Roman" w:hAnsi="Times New Roman"/>
          <w:sz w:val="14"/>
          <w:szCs w:val="14"/>
          <w:color w:val="auto"/>
        </w:rPr>
        <w:t>Weighted average projected CPR for the remaining life of investment securities held as of period end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30-year fixed rate mortgage rate as of period end </w:t>
      </w:r>
      <w:r>
        <w:rPr>
          <w:rFonts w:ascii="Times New Roman" w:cs="Times New Roman" w:eastAsia="Times New Roman" w:hAnsi="Times New Roman"/>
          <w:sz w:val="9"/>
          <w:szCs w:val="9"/>
          <w:color w:val="auto"/>
        </w:rPr>
        <w:t>4</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10-year U.S. Treasury rate as of period end </w:t>
      </w:r>
      <w:r>
        <w:rPr>
          <w:rFonts w:ascii="Times New Roman" w:cs="Times New Roman" w:eastAsia="Times New Roman" w:hAnsi="Times New Roman"/>
          <w:sz w:val="9"/>
          <w:szCs w:val="9"/>
          <w:color w:val="auto"/>
        </w:rPr>
        <w:t>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12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7.1 %</w:t>
            </w:r>
          </w:p>
        </w:tc>
        <w:tc>
          <w:tcPr>
            <w:tcW w:w="184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6.6 %</w:t>
            </w:r>
          </w:p>
        </w:tc>
        <w:tc>
          <w:tcPr>
            <w:tcW w:w="184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6.4 %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r>
      <w:tr>
        <w:trPr>
          <w:trHeight w:val="338"/>
        </w:trPr>
        <w:tc>
          <w:tcPr>
            <w:tcW w:w="112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9.2 %</w:t>
            </w:r>
          </w:p>
        </w:tc>
        <w:tc>
          <w:tcPr>
            <w:tcW w:w="184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9.8 %</w:t>
            </w:r>
          </w:p>
        </w:tc>
        <w:tc>
          <w:tcPr>
            <w:tcW w:w="184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9.2 %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9.8 %</w:t>
            </w:r>
          </w:p>
        </w:tc>
      </w:tr>
      <w:tr>
        <w:trPr>
          <w:trHeight w:val="203"/>
        </w:trPr>
        <w:tc>
          <w:tcPr>
            <w:tcW w:w="112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6.94 %</w:t>
            </w:r>
          </w:p>
        </w:tc>
        <w:tc>
          <w:tcPr>
            <w:tcW w:w="184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6.78 %</w:t>
            </w:r>
          </w:p>
        </w:tc>
        <w:tc>
          <w:tcPr>
            <w:tcW w:w="184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6.94 %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6.78 %</w:t>
            </w:r>
          </w:p>
        </w:tc>
      </w:tr>
      <w:tr>
        <w:trPr>
          <w:trHeight w:val="203"/>
        </w:trPr>
        <w:tc>
          <w:tcPr>
            <w:tcW w:w="112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4.40 %</w:t>
            </w:r>
          </w:p>
        </w:tc>
        <w:tc>
          <w:tcPr>
            <w:tcW w:w="184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3.84 %</w:t>
            </w:r>
          </w:p>
        </w:tc>
        <w:tc>
          <w:tcPr>
            <w:tcW w:w="184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4.40 %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-670560</wp:posOffset>
            </wp:positionV>
            <wp:extent cx="713232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-241935</wp:posOffset>
            </wp:positionV>
            <wp:extent cx="71323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3740" w:space="640"/>
            <w:col w:w="6860"/>
          </w:cols>
          <w:pgMar w:left="320" w:top="886" w:right="339" w:bottom="1440" w:gutter="0" w:footer="0" w:header="0"/>
          <w:type w:val="continuous"/>
        </w:sect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derivatives instruments and other securities, net in the accompanying consolidated statements of operations.</w:t>
      </w:r>
    </w:p>
    <w:p>
      <w:pPr>
        <w:spacing w:after="0" w:line="13" w:lineRule="exact"/>
        <w:rPr>
          <w:rFonts w:ascii="Times New Roman" w:cs="Times New Roman" w:eastAsia="Times New Roman" w:hAnsi="Times New Roman"/>
          <w:sz w:val="14"/>
          <w:szCs w:val="14"/>
          <w:color w:val="auto"/>
        </w:rPr>
      </w:pPr>
    </w:p>
    <w:p>
      <w:pPr>
        <w:jc w:val="both"/>
        <w:ind w:left="660" w:hanging="328"/>
        <w:spacing w:after="0" w:line="256" w:lineRule="auto"/>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Implied interest income from TBA dollar roll transactions is computed as the sum of (i) TBA dollar roll income and (ii) estimated TBA implied funding cost (see </w:t>
      </w:r>
      <w:r>
        <w:rPr>
          <w:rFonts w:ascii="Times New Roman" w:cs="Times New Roman" w:eastAsia="Times New Roman" w:hAnsi="Times New Roman"/>
          <w:sz w:val="14"/>
          <w:szCs w:val="14"/>
          <w:i w:val="1"/>
          <w:iCs w:val="1"/>
          <w:color w:val="auto"/>
        </w:rPr>
        <w:t>Economic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Expense and Aggregate Cost of Funds </w:t>
      </w:r>
      <w:r>
        <w:rPr>
          <w:rFonts w:ascii="Times New Roman" w:cs="Times New Roman" w:eastAsia="Times New Roman" w:hAnsi="Times New Roman"/>
          <w:sz w:val="14"/>
          <w:szCs w:val="14"/>
          <w:color w:val="auto"/>
        </w:rPr>
        <w:t>below). TBA dollar roll income represents the price differential, or "price drop," between the TBA price for current month settlement versus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asset yield is calculated on a weighted average basis based on our average investment and TBA balances outstanding during the period and their respective yields.</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30-year fixed rate mortgage rates are sourced from Optimal Blue. 10-year U.S. Treasury rates are sourced from Bloomberg.</w:t>
      </w:r>
    </w:p>
    <w:p>
      <w:pPr>
        <w:spacing w:after="0" w:line="155"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the three and six months ended June 30, 2024 compared to the prior year period (in millions):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36" w:name="page37"/>
    <w:bookmarkEnd w:id="36"/>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Periods ended June 30, 2024 vs. June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137"/>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320" w:type="dxa"/>
            <w:vAlign w:val="bottom"/>
          </w:tcPr>
          <w:p>
            <w:pPr>
              <w:spacing w:after="0"/>
              <w:rPr>
                <w:sz w:val="11"/>
                <w:szCs w:val="11"/>
                <w:color w:val="auto"/>
              </w:rPr>
            </w:pPr>
          </w:p>
        </w:tc>
        <w:tc>
          <w:tcPr>
            <w:tcW w:w="1120" w:type="dxa"/>
            <w:vAlign w:val="bottom"/>
          </w:tcPr>
          <w:p>
            <w:pPr>
              <w:jc w:val="right"/>
              <w:ind w:right="488"/>
              <w:spacing w:after="0" w:line="137"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5"/>
        </w:trPr>
        <w:tc>
          <w:tcPr>
            <w:tcW w:w="6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01"/>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center"/>
              <w:ind w:left="808"/>
              <w:spacing w:after="0"/>
              <w:rPr>
                <w:sz w:val="20"/>
                <w:szCs w:val="20"/>
                <w:color w:val="auto"/>
              </w:rPr>
            </w:pPr>
            <w:r>
              <w:rPr>
                <w:rFonts w:ascii="Times New Roman" w:cs="Times New Roman" w:eastAsia="Times New Roman" w:hAnsi="Times New Roman"/>
                <w:sz w:val="14"/>
                <w:szCs w:val="14"/>
                <w:color w:val="auto"/>
                <w:w w:val="99"/>
              </w:rPr>
              <w:t>94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9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"catch-up" premium amortization due to change in CPR forecast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left="708"/>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3"/>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ind w:left="808"/>
              <w:spacing w:after="0"/>
              <w:rPr>
                <w:sz w:val="20"/>
                <w:szCs w:val="20"/>
                <w:color w:val="auto"/>
              </w:rPr>
            </w:pPr>
            <w:r>
              <w:rPr>
                <w:rFonts w:ascii="Times New Roman" w:cs="Times New Roman" w:eastAsia="Times New Roman" w:hAnsi="Times New Roman"/>
                <w:sz w:val="14"/>
                <w:szCs w:val="14"/>
                <w:color w:val="auto"/>
                <w:w w:val="99"/>
              </w:rPr>
              <w:t>94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center"/>
              <w:ind w:left="808"/>
              <w:spacing w:after="0"/>
              <w:rPr>
                <w:sz w:val="20"/>
                <w:szCs w:val="20"/>
                <w:color w:val="auto"/>
              </w:rPr>
            </w:pPr>
            <w:r>
              <w:rPr>
                <w:rFonts w:ascii="Times New Roman" w:cs="Times New Roman" w:eastAsia="Times New Roman" w:hAnsi="Times New Roman"/>
                <w:sz w:val="14"/>
                <w:szCs w:val="14"/>
                <w:color w:val="auto"/>
                <w:w w:val="99"/>
              </w:rPr>
              <w:t>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Increase /</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320" w:type="dxa"/>
            <w:vAlign w:val="bottom"/>
          </w:tcPr>
          <w:p>
            <w:pPr>
              <w:spacing w:after="0"/>
              <w:rPr>
                <w:sz w:val="11"/>
                <w:szCs w:val="11"/>
                <w:color w:val="auto"/>
              </w:rPr>
            </w:pPr>
          </w:p>
        </w:tc>
        <w:tc>
          <w:tcPr>
            <w:tcW w:w="1120" w:type="dxa"/>
            <w:vAlign w:val="bottom"/>
          </w:tcPr>
          <w:p>
            <w:pPr>
              <w:jc w:val="right"/>
              <w:ind w:right="488"/>
              <w:spacing w:after="0" w:line="131"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5"/>
        </w:trPr>
        <w:tc>
          <w:tcPr>
            <w:tcW w:w="6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01"/>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(GAAP measure)</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9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Estimated "catch-up" premium amortization due to change in CPR forecast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3"/>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income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average investment portfolio (at cost), inclusive of TBAs, increased 12% and 3% for the three and six months ended June 30, 2024, respectively, primarily due to an increase in our capital base. The average yield on our investment portfolio, including TBA implied asset yields and excluding "catch-up" premium amortization, increased 80 and 73 basis points for the three and six months ended June 30, 2024, respectively, largely as a result of shifting our asset portfolio from TBA and lower coupon holdings toward a greater share of higher coupon, specified pools.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in this Form 10-Q for further discussion of TBA securities and dollar roll transactions). Repurchase agreements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short-term 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9"/>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Investment Securities Repurchase Agreements and</w:t>
            </w:r>
          </w:p>
        </w:tc>
        <w:tc>
          <w:tcPr>
            <w:tcW w:w="140" w:type="dxa"/>
            <w:vAlign w:val="bottom"/>
          </w:tcPr>
          <w:p>
            <w:pPr>
              <w:spacing w:after="0"/>
              <w:rPr>
                <w:sz w:val="12"/>
                <w:szCs w:val="12"/>
                <w:color w:val="auto"/>
              </w:rPr>
            </w:pPr>
          </w:p>
        </w:tc>
        <w:tc>
          <w:tcPr>
            <w:tcW w:w="1700" w:type="dxa"/>
            <w:vAlign w:val="bottom"/>
            <w:gridSpan w:val="4"/>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Net TBA Position</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Tangible Net Book</w:t>
            </w: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Other Debt </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right"/>
              <w:ind w:right="47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Long/(Short) </w:t>
            </w:r>
            <w:r>
              <w:rPr>
                <w:rFonts w:ascii="Times New Roman" w:cs="Times New Roman" w:eastAsia="Times New Roman" w:hAnsi="Times New Roman"/>
                <w:sz w:val="14"/>
                <w:szCs w:val="14"/>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restart"/>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Average Tangible Net</w:t>
            </w:r>
          </w:p>
        </w:tc>
        <w:tc>
          <w:tcPr>
            <w:tcW w:w="130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Value "At Risk"</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Average Daily</w:t>
            </w:r>
          </w:p>
        </w:tc>
        <w:tc>
          <w:tcPr>
            <w:tcW w:w="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Ending</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Ending</w:t>
            </w: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Book Value</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Leverage</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"At Risk" Leverage</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as of</w:t>
            </w:r>
          </w:p>
        </w:tc>
        <w:tc>
          <w:tcPr>
            <w:tcW w:w="0" w:type="dxa"/>
            <w:vAlign w:val="bottom"/>
          </w:tcPr>
          <w:p>
            <w:pPr>
              <w:spacing w:after="0"/>
              <w:rPr>
                <w:sz w:val="1"/>
                <w:szCs w:val="1"/>
                <w:color w:val="auto"/>
              </w:rPr>
            </w:pPr>
          </w:p>
        </w:tc>
      </w:tr>
      <w:tr>
        <w:trPr>
          <w:trHeight w:val="18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Daily Amount</w:t>
            </w:r>
          </w:p>
        </w:tc>
        <w:tc>
          <w:tcPr>
            <w:tcW w:w="14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6"/>
                <w:szCs w:val="16"/>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 xml:space="preserve">during the Period </w:t>
            </w:r>
            <w:r>
              <w:rPr>
                <w:rFonts w:ascii="Times New Roman" w:cs="Times New Roman" w:eastAsia="Times New Roman" w:hAnsi="Times New Roman"/>
                <w:sz w:val="16"/>
                <w:szCs w:val="16"/>
                <w:b w:val="1"/>
                <w:bCs w:val="1"/>
                <w:color w:val="auto"/>
                <w:w w:val="97"/>
                <w:vertAlign w:val="superscript"/>
              </w:rPr>
              <w:t>3</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 xml:space="preserve">Period End </w:t>
            </w:r>
            <w:r>
              <w:rPr>
                <w:rFonts w:ascii="Times New Roman" w:cs="Times New Roman" w:eastAsia="Times New Roman" w:hAnsi="Times New Roman"/>
                <w:sz w:val="16"/>
                <w:szCs w:val="16"/>
                <w:b w:val="1"/>
                <w:bCs w:val="1"/>
                <w:color w:val="auto"/>
                <w:w w:val="94"/>
                <w:vertAlign w:val="superscript"/>
              </w:rPr>
              <w:t>4</w:t>
            </w:r>
          </w:p>
        </w:tc>
        <w:tc>
          <w:tcPr>
            <w:tcW w:w="0" w:type="dxa"/>
            <w:vAlign w:val="bottom"/>
          </w:tcPr>
          <w:p>
            <w:pPr>
              <w:spacing w:after="0"/>
              <w:rPr>
                <w:sz w:val="1"/>
                <w:szCs w:val="1"/>
                <w:color w:val="auto"/>
              </w:rPr>
            </w:pPr>
          </w:p>
        </w:tc>
      </w:tr>
      <w:tr>
        <w:trPr>
          <w:trHeight w:val="196"/>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50,784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55,507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54,682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6,805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5,318</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19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48,730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49,894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6,190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8,405</w:t>
            </w:r>
          </w:p>
        </w:tc>
        <w:tc>
          <w:tcPr>
            <w:tcW w:w="14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8"/>
              </w:rPr>
              <w:t>7.0:1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52,643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4,993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5,288</w:t>
            </w:r>
          </w:p>
        </w:tc>
        <w:tc>
          <w:tcPr>
            <w:tcW w:w="140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8"/>
              </w:rPr>
              <w:t>7.4:1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r>
        <w:trPr>
          <w:trHeight w:val="19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September 30, 2023</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52,888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7,340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2,407</w:t>
            </w:r>
          </w:p>
        </w:tc>
        <w:tc>
          <w:tcPr>
            <w:tcW w:w="14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8"/>
              </w:rPr>
              <w:t>7.5:1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2023</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42,408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9,985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10,320</w:t>
            </w:r>
          </w:p>
        </w:tc>
        <w:tc>
          <w:tcPr>
            <w:tcW w:w="140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88"/>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42,919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17,851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10,385</w:t>
            </w:r>
          </w:p>
        </w:tc>
        <w:tc>
          <w:tcPr>
            <w:tcW w:w="14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8"/>
              </w:rPr>
              <w:t>7.7:1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includes debt of consolidated VIEs. Amounts exclude U.S. Treasury repo agreements.</w:t>
      </w:r>
    </w:p>
    <w:p>
      <w:pPr>
        <w:spacing w:after="0" w:line="1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and ending net TBA position outstanding measured at cost. Includes forward settling non-Agency securities.</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69"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spacing w:after="0" w:line="152" w:lineRule="exact"/>
        <w:rPr>
          <w:rFonts w:ascii="Times New Roman" w:cs="Times New Roman" w:eastAsia="Times New Roman" w:hAnsi="Times New Roman"/>
          <w:sz w:val="14"/>
          <w:szCs w:val="14"/>
          <w:color w:val="auto"/>
        </w:rPr>
      </w:pPr>
    </w:p>
    <w:p>
      <w:pPr>
        <w:jc w:val="both"/>
        <w:ind w:left="660" w:hanging="328"/>
        <w:spacing w:after="0" w:line="272"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Expense and Aggregate Cost of Funds</w:t>
      </w:r>
    </w:p>
    <w:p>
      <w:pPr>
        <w:spacing w:after="0" w:line="175"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 following table summarizes our economic interest expense and aggregate cost of funds (non-GAAP measures) for the three and six months ended June 30, 2024 and 2023 (dollars in millions), which includes the combination of interest expense on repurchase agreements and other debt used to fund acquisitions of investment securities (GAAP measure), implied financing cost of our TBA securities and interest rate swap periodic income:</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Economic Interest Expense and Aggregate Cost of Funds </w:t>
      </w:r>
      <w:r>
        <w:rPr>
          <w:rFonts w:ascii="Times New Roman" w:cs="Times New Roman" w:eastAsia="Times New Roman" w:hAnsi="Times New Roman"/>
          <w:sz w:val="18"/>
          <w:szCs w:val="18"/>
          <w:b w:val="1"/>
          <w:bCs w:val="1"/>
          <w:color w:val="auto"/>
          <w:vertAlign w:val="superscript"/>
        </w:rPr>
        <w:t>1</w:t>
      </w:r>
    </w:p>
    <w:p>
      <w:pPr>
        <w:spacing w:after="0" w:line="30"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4"/>
          <w:szCs w:val="14"/>
          <w:color w:val="auto"/>
        </w:rPr>
        <w:t>Investment securities repurchase agreement and other debt - interest expense (GAAP measure)</w:t>
      </w:r>
    </w:p>
    <w:p>
      <w:pPr>
        <w:ind w:left="20"/>
        <w:spacing w:after="0"/>
        <w:rPr>
          <w:sz w:val="20"/>
          <w:szCs w:val="20"/>
          <w:color w:val="auto"/>
        </w:rPr>
      </w:pPr>
      <w:r>
        <w:rPr>
          <w:rFonts w:ascii="Times New Roman" w:cs="Times New Roman" w:eastAsia="Times New Roman" w:hAnsi="Times New Roman"/>
          <w:sz w:val="14"/>
          <w:szCs w:val="14"/>
          <w:color w:val="auto"/>
        </w:rPr>
        <w:t xml:space="preserve">TBA dollar roll income - implied interest expense </w:t>
      </w:r>
      <w:r>
        <w:rPr>
          <w:rFonts w:ascii="Times New Roman" w:cs="Times New Roman" w:eastAsia="Times New Roman" w:hAnsi="Times New Roman"/>
          <w:sz w:val="18"/>
          <w:szCs w:val="18"/>
          <w:color w:val="auto"/>
          <w:vertAlign w:val="superscript"/>
        </w:rPr>
        <w:t>2,3</w:t>
      </w:r>
    </w:p>
    <w:p>
      <w:pPr>
        <w:spacing w:after="0" w:line="12" w:lineRule="exact"/>
        <w:rPr>
          <w:sz w:val="20"/>
          <w:szCs w:val="20"/>
          <w:color w:val="auto"/>
        </w:rPr>
      </w:pPr>
    </w:p>
    <w:p>
      <w:pPr>
        <w:ind w:left="180" w:right="180"/>
        <w:spacing w:after="0" w:line="214" w:lineRule="auto"/>
        <w:rPr>
          <w:sz w:val="20"/>
          <w:szCs w:val="20"/>
          <w:color w:val="auto"/>
        </w:rPr>
      </w:pPr>
      <w:r>
        <w:rPr>
          <w:rFonts w:ascii="Times New Roman" w:cs="Times New Roman" w:eastAsia="Times New Roman" w:hAnsi="Times New Roman"/>
          <w:sz w:val="14"/>
          <w:szCs w:val="14"/>
          <w:color w:val="auto"/>
        </w:rPr>
        <w:t xml:space="preserve">Economic interest expense - before interest rate swap periodic income, net </w:t>
      </w:r>
      <w:r>
        <w:rPr>
          <w:rFonts w:ascii="Times New Roman" w:cs="Times New Roman" w:eastAsia="Times New Roman" w:hAnsi="Times New Roman"/>
          <w:sz w:val="18"/>
          <w:szCs w:val="18"/>
          <w:color w:val="auto"/>
          <w:vertAlign w:val="superscript"/>
        </w:rPr>
        <w:t>4</w:t>
      </w:r>
    </w:p>
    <w:p>
      <w:pPr>
        <w:ind w:left="20"/>
        <w:spacing w:after="0"/>
        <w:rPr>
          <w:sz w:val="20"/>
          <w:szCs w:val="20"/>
          <w:color w:val="auto"/>
        </w:rPr>
      </w:pPr>
      <w:r>
        <w:rPr>
          <w:rFonts w:ascii="Times New Roman" w:cs="Times New Roman" w:eastAsia="Times New Roman" w:hAnsi="Times New Roman"/>
          <w:sz w:val="14"/>
          <w:szCs w:val="14"/>
          <w:color w:val="auto"/>
        </w:rPr>
        <w:t xml:space="preserve">Interest rate swap periodic income, net </w:t>
      </w:r>
      <w:r>
        <w:rPr>
          <w:rFonts w:ascii="Times New Roman" w:cs="Times New Roman" w:eastAsia="Times New Roman" w:hAnsi="Times New Roman"/>
          <w:sz w:val="18"/>
          <w:szCs w:val="18"/>
          <w:color w:val="auto"/>
          <w:vertAlign w:val="superscript"/>
        </w:rPr>
        <w:t>2,5</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economic interest expense (non-GAAP measure)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6"/>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6"/>
          </w:tcPr>
          <w:p>
            <w:pPr>
              <w:jc w:val="center"/>
              <w:ind w:right="360"/>
              <w:spacing w:after="0" w:line="150"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8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center"/>
              <w:ind w:right="88"/>
              <w:spacing w:after="0" w:line="137"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center"/>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Cost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Cost of</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Funds</w:t>
            </w:r>
          </w:p>
        </w:tc>
        <w:tc>
          <w:tcPr>
            <w:tcW w:w="0" w:type="dxa"/>
            <w:vAlign w:val="bottom"/>
          </w:tcPr>
          <w:p>
            <w:pPr>
              <w:spacing w:after="0"/>
              <w:rPr>
                <w:sz w:val="1"/>
                <w:szCs w:val="1"/>
                <w:color w:val="auto"/>
              </w:rPr>
            </w:pPr>
          </w:p>
        </w:tc>
      </w:tr>
      <w:tr>
        <w:trPr>
          <w:trHeight w:val="313"/>
        </w:trPr>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12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4.66 %</w:t>
            </w:r>
          </w:p>
        </w:tc>
        <w:tc>
          <w:tcPr>
            <w:tcW w:w="0" w:type="dxa"/>
            <w:vAlign w:val="bottom"/>
          </w:tcPr>
          <w:p>
            <w:pPr>
              <w:spacing w:after="0"/>
              <w:rPr>
                <w:sz w:val="1"/>
                <w:szCs w:val="1"/>
                <w:color w:val="auto"/>
              </w:rPr>
            </w:pPr>
          </w:p>
        </w:tc>
      </w:tr>
      <w:tr>
        <w:trPr>
          <w:trHeight w:val="23"/>
        </w:trPr>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4.74 %</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23"/>
        </w:trPr>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0.63 %</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0.84 %</w:t>
            </w:r>
          </w:p>
        </w:tc>
        <w:tc>
          <w:tcPr>
            <w:tcW w:w="0" w:type="dxa"/>
            <w:vAlign w:val="bottom"/>
          </w:tcPr>
          <w:p>
            <w:pPr>
              <w:spacing w:after="0"/>
              <w:rPr>
                <w:sz w:val="1"/>
                <w:szCs w:val="1"/>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-513715</wp:posOffset>
            </wp:positionV>
            <wp:extent cx="7132320"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-170815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-864870</wp:posOffset>
            </wp:positionV>
            <wp:extent cx="713232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3940" w:space="380"/>
            <w:col w:w="6920"/>
          </w:cols>
          <w:pgMar w:left="320" w:top="1049" w:right="339" w:bottom="1440" w:gutter="0" w:footer="0" w:header="0"/>
          <w:type w:val="continuous"/>
        </w:sectPr>
      </w:pPr>
    </w:p>
    <w:p>
      <w:pPr>
        <w:ind w:left="660" w:hanging="328"/>
        <w:spacing w:after="0" w:line="250"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4" w:lineRule="exact"/>
        <w:rPr>
          <w:rFonts w:ascii="Times New Roman" w:cs="Times New Roman" w:eastAsia="Times New Roman" w:hAnsi="Times New Roman"/>
          <w:sz w:val="14"/>
          <w:szCs w:val="14"/>
          <w:color w:val="auto"/>
        </w:rPr>
      </w:pPr>
    </w:p>
    <w:p>
      <w:pPr>
        <w:jc w:val="both"/>
        <w:ind w:left="660" w:hanging="328"/>
        <w:spacing w:after="0" w:line="256"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Times New Roman" w:cs="Times New Roman" w:eastAsia="Times New Roman" w:hAnsi="Times New Roman"/>
          <w:sz w:val="14"/>
          <w:szCs w:val="14"/>
          <w:color w:val="auto"/>
        </w:rPr>
      </w:pPr>
    </w:p>
    <w:p>
      <w:pPr>
        <w:ind w:left="660" w:right="20" w:hanging="328"/>
        <w:spacing w:after="0" w:line="261"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cost of funds for total mortgage borrowings outstanding, before interest rate swap periodic income, is calculated on a weighted average basis based on average investment securities repurchase agreements, other debt and TBA securities outstanding during the period and their respective cost of funds.</w:t>
      </w:r>
    </w:p>
    <w:p>
      <w:pPr>
        <w:ind w:left="660" w:hanging="328"/>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swap periodic income is measured as a percent of average mortgage borrowings outstanding for the period.</w:t>
      </w:r>
    </w:p>
    <w:p>
      <w:pPr>
        <w:spacing w:after="0" w:line="249"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and six months ended June 30, 2024 compared to the prior year period (in millions):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33655</wp:posOffset>
            </wp:positionV>
            <wp:extent cx="70377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Periods ended June 30, 2024 vs. June 30, 2023</w:t>
      </w:r>
    </w:p>
    <w:p>
      <w:pPr>
        <w:spacing w:after="0" w:line="33"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6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0" w:type="dxa"/>
            <w:vAlign w:val="bottom"/>
          </w:tcPr>
          <w:p>
            <w:pPr>
              <w:spacing w:after="0"/>
              <w:rPr>
                <w:sz w:val="1"/>
                <w:szCs w:val="1"/>
                <w:color w:val="auto"/>
              </w:rPr>
            </w:pPr>
          </w:p>
        </w:tc>
      </w:tr>
      <w:tr>
        <w:trPr>
          <w:trHeight w:val="135"/>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12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120" w:type="dxa"/>
            <w:vAlign w:val="bottom"/>
          </w:tcPr>
          <w:p>
            <w:pPr>
              <w:spacing w:after="0"/>
              <w:rPr>
                <w:sz w:val="11"/>
                <w:szCs w:val="11"/>
                <w:color w:val="auto"/>
              </w:rPr>
            </w:pPr>
          </w:p>
        </w:tc>
        <w:tc>
          <w:tcPr>
            <w:tcW w:w="1280" w:type="dxa"/>
            <w:vAlign w:val="bottom"/>
          </w:tcPr>
          <w:p>
            <w:pPr>
              <w:jc w:val="right"/>
              <w:ind w:right="88"/>
              <w:spacing w:after="0" w:line="135"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0" w:type="dxa"/>
            <w:vAlign w:val="bottom"/>
          </w:tcPr>
          <w:p>
            <w:pPr>
              <w:spacing w:after="0"/>
              <w:rPr>
                <w:sz w:val="1"/>
                <w:szCs w:val="1"/>
                <w:color w:val="auto"/>
              </w:rPr>
            </w:pPr>
          </w:p>
        </w:tc>
      </w:tr>
      <w:tr>
        <w:trPr>
          <w:trHeight w:val="196"/>
        </w:trPr>
        <w:tc>
          <w:tcPr>
            <w:tcW w:w="67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2"/>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repurchase agreement and other debt interest expense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5"/>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expense</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periodic income/cost</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change in economic interest expense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8920"/>
        <w:spacing w:after="0"/>
        <w:rPr>
          <w:sz w:val="20"/>
          <w:szCs w:val="20"/>
          <w:color w:val="auto"/>
        </w:rPr>
      </w:pPr>
      <w:r>
        <w:rPr>
          <w:rFonts w:ascii="Times New Roman" w:cs="Times New Roman" w:eastAsia="Times New Roman" w:hAnsi="Times New Roman"/>
          <w:sz w:val="14"/>
          <w:szCs w:val="14"/>
          <w:b w:val="1"/>
          <w:bCs w:val="1"/>
          <w:color w:val="auto"/>
        </w:rPr>
        <w:t>Due to Change in Average</w:t>
      </w:r>
    </w:p>
    <w:p>
      <w:pPr>
        <w:spacing w:after="0" w:line="22" w:lineRule="exact"/>
        <w:rPr>
          <w:sz w:val="20"/>
          <w:szCs w:val="20"/>
          <w:color w:val="auto"/>
        </w:rPr>
      </w:pPr>
    </w:p>
    <w:tbl>
      <w:tblPr>
        <w:tblLayout w:type="fixed"/>
        <w:tblInd w:w="80" w:type="dxa"/>
        <w:tblCellMar>
          <w:top w:w="0" w:type="dxa"/>
          <w:left w:w="0" w:type="dxa"/>
          <w:bottom w:w="0" w:type="dxa"/>
          <w:right w:w="0" w:type="dxa"/>
        </w:tblCellMar>
      </w:tblPr>
      <w:tr>
        <w:trPr>
          <w:trHeight w:val="148"/>
        </w:trPr>
        <w:tc>
          <w:tcPr>
            <w:tcW w:w="670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1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1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0" w:type="dxa"/>
            <w:vAlign w:val="bottom"/>
          </w:tcPr>
          <w:p>
            <w:pPr>
              <w:spacing w:after="0"/>
              <w:rPr>
                <w:sz w:val="1"/>
                <w:szCs w:val="1"/>
                <w:color w:val="auto"/>
              </w:rPr>
            </w:pPr>
          </w:p>
        </w:tc>
      </w:tr>
      <w:tr>
        <w:trPr>
          <w:trHeight w:val="203"/>
        </w:trPr>
        <w:tc>
          <w:tcPr>
            <w:tcW w:w="67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89"/>
        </w:trPr>
        <w:tc>
          <w:tcPr>
            <w:tcW w:w="6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securities repurchase agreement and other debt interest expense</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 dollar roll income - implied interest benefit/expense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 periodic income/cost</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economic interest benefit/expense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average mortgage borrowings, inclusive of TBAs, increased 12% and 3% for the three and six months ended June 30, 2024, respectively, consistent with the increase in our investment portfolio. The average interest rate on our mortgage borrowings, excluding the impact interest rate swap period income, increased 41 and 68 basis points for the three and six months ended June 30, 2024, respectively, due to higher short-term interest rates.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38" w:name="page39"/>
    <w:bookmarkEnd w:id="38"/>
    <w:p>
      <w:pPr>
        <w:jc w:val="both"/>
        <w:ind w:firstLine="445"/>
        <w:spacing w:after="0" w:line="263" w:lineRule="auto"/>
        <w:rPr>
          <w:sz w:val="20"/>
          <w:szCs w:val="20"/>
          <w:color w:val="auto"/>
        </w:rPr>
      </w:pPr>
      <w:r>
        <w:rPr>
          <w:rFonts w:ascii="Times New Roman" w:cs="Times New Roman" w:eastAsia="Times New Roman" w:hAnsi="Times New Roman"/>
          <w:sz w:val="18"/>
          <w:szCs w:val="18"/>
          <w:color w:val="auto"/>
        </w:rPr>
        <w:t>Interest rate swap periodic income declined for the three and six months ended June 30, 2024 primarily due to higher pay rates on our pay-fixed swaps, which were partly offset by higher receive rates. The following is a summary of our average interest rate swaps outstanding and their average pay and receive rates for the three and six months ended June 30, 2024 (dollars in millions). Amounts exclude forward starting swaps not yet in effect.</w:t>
      </w:r>
    </w:p>
    <w:tbl>
      <w:tblPr>
        <w:tblLayout w:type="fixed"/>
        <w:tblInd w:w="0" w:type="dxa"/>
        <w:tblCellMar>
          <w:top w:w="0" w:type="dxa"/>
          <w:left w:w="0" w:type="dxa"/>
          <w:bottom w:w="0" w:type="dxa"/>
          <w:right w:w="0" w:type="dxa"/>
        </w:tblCellMar>
      </w:tblPr>
      <w:tr>
        <w:trPr>
          <w:trHeight w:val="150"/>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ind w:left="220"/>
              <w:spacing w:after="0" w:line="15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140" w:type="dxa"/>
            <w:vAlign w:val="bottom"/>
            <w:gridSpan w:val="4"/>
          </w:tcPr>
          <w:p>
            <w:pPr>
              <w:jc w:val="right"/>
              <w:ind w:right="548"/>
              <w:spacing w:after="0" w:line="150"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Ratio of Interest Rate Swaps (Excluding Forward Starting Swaps) to Mortgage Borrowings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investment securities repo and other debt outstanding</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50,784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41,546</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49,757</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40,690</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net TBA dollar roll position outstanding - at cost</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6,805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9,985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6,498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13,896</w:t>
            </w: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mortgage borrowings outstanding</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57,589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51,531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56,255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54,586</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notional amount of interest rate swaps outstanding (excluding forward starting swaps), net</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45,263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48,436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44,583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48,837</w:t>
            </w:r>
          </w:p>
        </w:tc>
        <w:tc>
          <w:tcPr>
            <w:tcW w:w="0" w:type="dxa"/>
            <w:vAlign w:val="bottom"/>
          </w:tcPr>
          <w:p>
            <w:pPr>
              <w:spacing w:after="0"/>
              <w:rPr>
                <w:sz w:val="1"/>
                <w:szCs w:val="1"/>
                <w:color w:val="auto"/>
              </w:rPr>
            </w:pPr>
          </w:p>
        </w:tc>
      </w:tr>
      <w:tr>
        <w:trPr>
          <w:trHeight w:val="228"/>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average interest rate swaps to mortgage borrowings outstanding</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66"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interest rate swap pay-fixed rate (excluding forward starting swaps)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interest rate swap receive-floating rate</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interest rate swap net pay/(receive) rate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0.44 %</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0.45 %</w:t>
            </w:r>
          </w:p>
        </w:tc>
      </w:tr>
      <w:tr>
        <w:trPr>
          <w:trHeight w:val="203"/>
        </w:trPr>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r>
      <w:tr>
        <w:trPr>
          <w:trHeight w:val="23"/>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r>
      <w:tr>
        <w:trPr>
          <w:trHeight w:val="27"/>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-427990</wp:posOffset>
            </wp:positionV>
            <wp:extent cx="71323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-170815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720"/>
          </w:cols>
          <w:pgMar w:left="320" w:top="1066" w:right="339" w:bottom="1440" w:gutter="0" w:footer="0" w:header="0"/>
          <w:type w:val="continuous"/>
        </w:sectPr>
      </w:pPr>
    </w:p>
    <w:p>
      <w:pPr>
        <w:spacing w:after="0" w:line="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2024, we had an average forward starting net pay-fixed rate swap balance of $1.8 billion and $0.7 billion, respectively. For the three and six months ended June 30, 2023, we had an average forward starting net pay and (receive) fixed rate swap balance of $(12) million and $45 million, respectively. Forward starting interest rate swaps do not impact our economic interest expense and aggregate cost of funds until they commence accruing net interest settlements on their forward start dates.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Spread</w:t>
      </w:r>
    </w:p>
    <w:p>
      <w:pPr>
        <w:spacing w:after="0" w:line="175"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presents a summary of our net interest spread (including the impact of TBA dollar roll income, interest rate swaps and excluding "catch-up" premium amortization) for the three and six months ended June 30, 2024 and 2023:</w:t>
      </w:r>
    </w:p>
    <w:tbl>
      <w:tblPr>
        <w:tblLayout w:type="fixed"/>
        <w:tblInd w:w="0" w:type="dxa"/>
        <w:tblCellMar>
          <w:top w:w="0" w:type="dxa"/>
          <w:left w:w="0" w:type="dxa"/>
          <w:bottom w:w="0" w:type="dxa"/>
          <w:right w:w="0" w:type="dxa"/>
        </w:tblCellMar>
      </w:tblPr>
      <w:tr>
        <w:trPr>
          <w:trHeight w:val="149"/>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3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vMerge w:val="continue"/>
          </w:tcPr>
          <w:p>
            <w:pPr>
              <w:spacing w:after="0"/>
              <w:rPr>
                <w:sz w:val="16"/>
                <w:szCs w:val="16"/>
                <w:color w:val="auto"/>
              </w:rPr>
            </w:pPr>
          </w:p>
        </w:tc>
        <w:tc>
          <w:tcPr>
            <w:tcW w:w="1560" w:type="dxa"/>
            <w:vAlign w:val="bottom"/>
            <w:gridSpan w:val="3"/>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and TBA Securities - Net Interest Spread</w:t>
            </w:r>
          </w:p>
        </w:tc>
        <w:tc>
          <w:tcPr>
            <w:tcW w:w="9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asset yield</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4.63 %</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aggregate cost of funds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net interest spread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Net Spread and Dollar Roll Income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presents a reconciliation of net spread and dollar roll income available to common stockholders (non-GAAP measure) from comprehensive income (loss) available (attributable) to common stockholders (the most comparable GAAP financial measure) for the three and six months ended June 30, 2024 and 2023 (dollars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0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3"/>
                <w:szCs w:val="13"/>
                <w:color w:val="auto"/>
              </w:rPr>
            </w:pPr>
          </w:p>
        </w:tc>
        <w:tc>
          <w:tcPr>
            <w:tcW w:w="170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2020" w:type="dxa"/>
            <w:vAlign w:val="bottom"/>
            <w:gridSpan w:val="6"/>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 available (attributable) to common stockholders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exclude realized and unrealized (gains) losses reported through net income:</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loss on sale of investment securities, net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95"/>
        </w:trPr>
        <w:tc>
          <w:tcPr>
            <w:tcW w:w="7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 loss on investment securities measured at fair value through net income, net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derivative instruments and other securities, net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 to exclude unrealized (gain) loss reported through other comprehensive income:</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(gain) loss on available-for-sale securities measure at fair value through other comprehensive income, net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Estimated "catch-up" premium amortization cost (benefit) due to change in CPR forecast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TBA dollar roll income, net </w:t>
            </w:r>
            <w:r>
              <w:rPr>
                <w:rFonts w:ascii="Times New Roman" w:cs="Times New Roman" w:eastAsia="Times New Roman" w:hAnsi="Times New Roman"/>
                <w:sz w:val="18"/>
                <w:szCs w:val="18"/>
                <w:color w:val="auto"/>
                <w:vertAlign w:val="superscript"/>
              </w:rPr>
              <w:t>2</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Interest rate swap periodic income (cost), net </w:t>
            </w:r>
            <w:r>
              <w:rPr>
                <w:rFonts w:ascii="Times New Roman" w:cs="Times New Roman" w:eastAsia="Times New Roman" w:hAnsi="Times New Roman"/>
                <w:sz w:val="18"/>
                <w:szCs w:val="18"/>
                <w:color w:val="auto"/>
                <w:vertAlign w:val="superscript"/>
              </w:rPr>
              <w:t>2</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203"/>
        </w:trPr>
        <w:tc>
          <w:tcPr>
            <w:tcW w:w="7320" w:type="dxa"/>
            <w:vAlign w:val="bottom"/>
            <w:tcBorders>
              <w:bottom w:val="single" w:sz="8" w:color="CCEEFF"/>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Other interest income (expense), net </w:t>
            </w:r>
            <w:r>
              <w:rPr>
                <w:rFonts w:ascii="Times New Roman" w:cs="Times New Roman" w:eastAsia="Times New Roman" w:hAnsi="Times New Roman"/>
                <w:sz w:val="18"/>
                <w:szCs w:val="18"/>
                <w:color w:val="auto"/>
                <w:vertAlign w:val="superscript"/>
              </w:rPr>
              <w:t>2,3</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21"/>
        </w:trPr>
        <w:tc>
          <w:tcPr>
            <w:tcW w:w="73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Net spread and dollar roll income available to common stockholders (non-GAAP measure) </w:t>
            </w:r>
            <w:r>
              <w:rPr>
                <w:rFonts w:ascii="Times New Roman" w:cs="Times New Roman" w:eastAsia="Times New Roman" w:hAnsi="Times New Roman"/>
                <w:sz w:val="18"/>
                <w:szCs w:val="18"/>
                <w:b w:val="1"/>
                <w:bCs w:val="1"/>
                <w:color w:val="auto"/>
                <w:vertAlign w:val="superscript"/>
              </w:rPr>
              <w:t>4</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741.9</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590.1</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basic</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diluted</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interest income in our consolidated statements of comprehensive income.</w:t>
      </w:r>
    </w:p>
    <w:p>
      <w:pPr>
        <w:spacing w:after="0" w:line="1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4" w:lineRule="exact"/>
        <w:rPr>
          <w:rFonts w:ascii="Times New Roman" w:cs="Times New Roman" w:eastAsia="Times New Roman" w:hAnsi="Times New Roman"/>
          <w:sz w:val="14"/>
          <w:szCs w:val="14"/>
          <w:color w:val="auto"/>
        </w:rPr>
      </w:pPr>
    </w:p>
    <w:p>
      <w:pPr>
        <w:ind w:left="660" w:hanging="328"/>
        <w:spacing w:after="0" w:line="254" w:lineRule="auto"/>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interest income (expense), net includes interest income on cash and cash equivalents; price alignment interest income (expense) ("PAI") on interest rate swap margin deposits posted by or (to) the Company; and other miscellaneous interest income (expense).</w:t>
      </w:r>
    </w:p>
    <w:p>
      <w:pPr>
        <w:ind w:left="660" w:right="20" w:hanging="328"/>
        <w:spacing w:after="0" w:line="278" w:lineRule="auto"/>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December 31, 2023, this measure was referred to as "net spread and dollar roll income, excluding 'catch-up' premium amortization cost/benefit, per common share." Though it continues to exclude "catch-up" premium amortization cost/benefit, its title has been condensed to its revised title in the table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Investment Securities, Net</w:t>
      </w:r>
    </w:p>
    <w:p>
      <w:pPr>
        <w:spacing w:after="0" w:line="17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net gain (loss) on investment securities for the three and six months ended June 30, 2024 and 2023 (in millions):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3"/>
                <w:szCs w:val="13"/>
                <w:color w:val="auto"/>
              </w:rPr>
            </w:pPr>
          </w:p>
        </w:tc>
        <w:tc>
          <w:tcPr>
            <w:tcW w:w="178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Gain (Loss) on Investment Securities, Net </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sale of investment securities, net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203"/>
        </w:trPr>
        <w:tc>
          <w:tcPr>
            <w:tcW w:w="71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Unrealized (loss) gain on investment securities measured at fair value through net income, net </w:t>
            </w:r>
            <w:r>
              <w:rPr>
                <w:rFonts w:ascii="Times New Roman" w:cs="Times New Roman" w:eastAsia="Times New Roman" w:hAnsi="Times New Roman"/>
                <w:sz w:val="18"/>
                <w:szCs w:val="18"/>
                <w:color w:val="auto"/>
                <w:vertAlign w:val="superscript"/>
              </w:rPr>
              <w:t>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96"/>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gain on investment securities measured at fair value through other comprehensive income, net</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loss on investment securities, net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securities acquired after fiscal year 2016 are measured at fair value through net income (see Note 2 of our Consolidated Financial Statements in this Form 10-Q).</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Instruments and Other Securities, Net</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is a summary of our gain (loss) on derivative instruments and other securities, net for the three and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20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3"/>
                <w:szCs w:val="13"/>
                <w:color w:val="auto"/>
              </w:rPr>
            </w:pPr>
          </w:p>
        </w:tc>
        <w:tc>
          <w:tcPr>
            <w:tcW w:w="172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7280" w:type="dxa"/>
            <w:vAlign w:val="bottom"/>
          </w:tcPr>
          <w:p>
            <w:pPr>
              <w:spacing w:after="0"/>
              <w:rPr>
                <w:sz w:val="16"/>
                <w:szCs w:val="16"/>
                <w:color w:val="auto"/>
              </w:rPr>
            </w:pPr>
          </w:p>
        </w:tc>
        <w:tc>
          <w:tcPr>
            <w:tcW w:w="2020" w:type="dxa"/>
            <w:vAlign w:val="bottom"/>
            <w:gridSpan w:val="6"/>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TBA securities, dollar roll income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TBA securities, mark-to-market loss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periodic income (cost)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mark-to-market gain (loss)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default swaps - buy protection</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Payer swaptions</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 - short position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 - long position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futures contracts - short position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 futures contracts - long position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interest income (expense), net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gain (loss), net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8"/>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gain (loss) on derivative instruments and other securities, net</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use of derivative instruments and related activity refer to Notes 2 and 5 of our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most recent Annual Report on Form 10-K and Item</w:t>
      </w:r>
    </w:p>
    <w:p>
      <w:pPr>
        <w:spacing w:after="0" w:line="5" w:lineRule="exact"/>
        <w:rPr>
          <w:sz w:val="20"/>
          <w:szCs w:val="20"/>
          <w:color w:val="auto"/>
        </w:rPr>
      </w:pPr>
    </w:p>
    <w:p>
      <w:pPr>
        <w:jc w:val="both"/>
        <w:ind w:firstLine="8"/>
        <w:spacing w:after="0" w:line="255"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Quantitative and Qualitative Disclosures of Market Risks </w:t>
      </w:r>
      <w:r>
        <w:rPr>
          <w:rFonts w:ascii="Times New Roman" w:cs="Times New Roman" w:eastAsia="Times New Roman" w:hAnsi="Times New Roman"/>
          <w:sz w:val="18"/>
          <w:szCs w:val="18"/>
          <w:color w:val="auto"/>
        </w:rPr>
        <w:t>in this Form 10-Q. In assessing our liquidity, we consider a number of factors,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and Financing Sources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7.4x and 7.0x as of June 30, 2024 and December 31, 2023, respectively. The following table includes a summary of our mortgage borrowings outstanding as of June 30, 2024 and December 31, 2023 (dollars in millions). For additional details of our mortgage borrowings refer to Notes 2, 4 and 5 to our Consolidated Financial Statements in this Form 10-Q.</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Mortgage Borrowings</w:t>
            </w: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02"/>
        </w:trPr>
        <w:tc>
          <w:tcPr>
            <w:tcW w:w="5680" w:type="dxa"/>
            <w:vAlign w:val="bottom"/>
            <w:tcBorders>
              <w:top w:val="single" w:sz="8" w:color="auto"/>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Investment securities repurchase agreements </w:t>
            </w:r>
            <w:r>
              <w:rPr>
                <w:rFonts w:ascii="Times New Roman" w:cs="Times New Roman" w:eastAsia="Times New Roman" w:hAnsi="Times New Roman"/>
                <w:sz w:val="18"/>
                <w:szCs w:val="18"/>
                <w:color w:val="auto"/>
                <w:vertAlign w:val="superscript"/>
              </w:rPr>
              <w:t>1,2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54,611</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48,879</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9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of consolidated variable interest entities, at fair value</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54,682</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48,959</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TBA and forward settling non-Agency securities, at cost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28"/>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 borrowings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54,247</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3" w:lineRule="exact"/>
        <w:rPr>
          <w:sz w:val="20"/>
          <w:szCs w:val="20"/>
          <w:color w:val="auto"/>
        </w:rPr>
      </w:pPr>
    </w:p>
    <w:p>
      <w:pPr>
        <w:ind w:left="660" w:right="20" w:hanging="328"/>
        <w:spacing w:after="0" w:line="260" w:lineRule="auto"/>
        <w:tabs>
          <w:tab w:leader="none" w:pos="658"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4"/>
          <w:szCs w:val="14"/>
          <w:color w:val="auto"/>
        </w:rPr>
        <w:t xml:space="preserve">Includes Agency RMBS, CRT and non-Agency MBS repurchase agreements. </w:t>
      </w:r>
      <w:r>
        <w:rPr>
          <w:rFonts w:ascii="Arial" w:cs="Arial" w:eastAsia="Arial" w:hAnsi="Arial"/>
          <w:sz w:val="14"/>
          <w:szCs w:val="14"/>
          <w:color w:val="auto"/>
        </w:rPr>
        <w:t>E</w:t>
      </w:r>
      <w:r>
        <w:rPr>
          <w:rFonts w:ascii="Times New Roman" w:cs="Times New Roman" w:eastAsia="Times New Roman" w:hAnsi="Times New Roman"/>
          <w:sz w:val="14"/>
          <w:szCs w:val="14"/>
          <w:color w:val="auto"/>
        </w:rPr>
        <w:t>xcludes U.S. Treasury repurchase agreements totaling $2.3 billion and $1.5 billion as of June 30, 2024 and December 31, 2023, respectively.</w:t>
      </w:r>
    </w:p>
    <w:p>
      <w:pPr>
        <w:ind w:left="660" w:hanging="328"/>
        <w:spacing w:after="0" w:line="283" w:lineRule="auto"/>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and December 31, 2023, 42% and 43%, respectively, of our total repurchase agreements, including 44% and 45% or our investment securities repurchase agreements, respectively, were funded through the Fixed Income Clearing Corporation's GCF Repo service.</w:t>
      </w:r>
    </w:p>
    <w:p>
      <w:pPr>
        <w:spacing w:after="0" w:line="11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suitable maturity profile and utilization of interest rate hedging strategies. We also use TBA dollar roll transactions as a means of synthetically financing Agency RMBS.</w:t>
      </w:r>
    </w:p>
    <w:p>
      <w:pPr>
        <w:spacing w:after="0" w:line="13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terms and conditions of our repurchase agreements are determined on a transaction-by-transaction basis when each such borrowing is initiated or renewed and, in the case of GCF Repo, by the prevailing margin requirements calculated by the FICC, which acts as the central counterparty. The amount borrowed is generally equal to the fair value of the securities pledged, as determined by the lending counterparty, less an assessed discount, referred to as a "haircut," that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3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Requirements and Unencumbered Assets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2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June 30, 2024, we had met all our margin requirements.</w:t>
      </w:r>
    </w:p>
    <w:p>
      <w:pPr>
        <w:spacing w:after="0" w:line="13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June 30, 2024, approximately 8% of our investment portfolio consisted of TBA securities, which are not subject to monthly principal pay-downs. The remainder of our portfolio primarily consisted of Agency RMBS, which had an average one-year CPR forecast of 7%.</w:t>
      </w:r>
    </w:p>
    <w:p>
      <w:pPr>
        <w:spacing w:after="0" w:line="14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3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Haircut levels and minimum margin requirements imposed by our counterparties reduce the amount of our unencumbered assets and limit the amount we can borrow against our investment securities. During the six months ended June 30, 2024, haircuts on our repo funding arrangements remained stable. As of June 30, 2024, the weighted average haircut on our repurchase agreements was approximately 3.0% of the value of our collateral, compared to 3.1% as of December 31, 2023.</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To mitigate the risk of margins calls, we seek to maintain excess liquidity by holding unencumbered liquid assets that can be used to satisfy collateral requirements, collateralize additional borrowings or sold for cash. As of June 30, 2024, our unencumbered assets totaled approximately $5.3 billion, or 66% of tangible equity, consisting of $5.3 billion of unencumbered cash and Agency RMBS and $0.1 billion of unencumbered credit assets. This compares to $5.2 billion of unencumbered assets, or 67% of tangible equity, as of December 31, 2023, consisting of $5.1 billion of unencumbered cash and Agency RMBS and $0.1 billion of unencumbered credit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3" w:name="page44"/>
    <w:bookmarkEnd w:id="43"/>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June 30, 2024, our maximum amount at risk (or the excess/shortfall of the value of collateral pledged/received over our repurchase agreement liabilities/reverse repurchase agreement receivables) with any of our repurchase agreement counterparties, excluding the FICC, was 2% of our tangible stockholders' equity, with our top five repo counterparties, excluding the FICC, representing less than 6% of our tangible stockholders' equity. As of June 30, 2024, 6% of our tangible stockholder's equity was at risk with the FICC. Excluding central clearing exchanges, as of June 30, 2024, our amount at risk with any counterparty to our derivative agreements was less than 1% of our stockholders'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Sales</w:t>
      </w:r>
    </w:p>
    <w:p>
      <w:pPr>
        <w:spacing w:after="0" w:line="1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 w:cs="Times New Roman" w:eastAsia="Times New Roman" w:hAnsi="Times New Roman"/>
          <w:sz w:val="18"/>
          <w:szCs w:val="18"/>
          <w:i w:val="1"/>
          <w:iCs w:val="1"/>
          <w:color w:val="auto"/>
        </w:rPr>
        <w:t>Trends and Recent Market Impacts</w:t>
      </w:r>
      <w:r>
        <w:rPr>
          <w:rFonts w:ascii="Times New Roman" w:cs="Times New Roman" w:eastAsia="Times New Roman" w:hAnsi="Times New Roman"/>
          <w:sz w:val="18"/>
          <w:szCs w:val="18"/>
          <w:color w:val="auto"/>
        </w:rPr>
        <w:t xml:space="preserve"> of this Management Discussion and Analysis for further information regarding Agency RMBS and TBA market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then-current estimate of our tangible net book value per common share, among other conditions, we may repurchase shares of our common stock pursuant to the stock repurchase plan authorized by our Board of Directors, which has $1 billion in remaining capacity and expires on December 31, 2024. Please refer to Note 9 of our Consolidated Financial Statements in this Form 10-Q for further details regarding our recent equity capital transactions, if 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June 30, 2024,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June 30, 2024, we had not guaranteed obligations of unconsolidated entities or entered into a commitment or intent to provide funding to such entities.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Forward-looking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68" w:lineRule="exact"/>
        <w:rPr>
          <w:sz w:val="20"/>
          <w:szCs w:val="20"/>
          <w:color w:val="auto"/>
        </w:rPr>
      </w:pPr>
    </w:p>
    <w:p>
      <w:pPr>
        <w:ind w:left="660" w:hanging="247"/>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monetary policy or interest rates, including actions taken by the Federal Reserve to normalize monetary policy and to reduce the size of its U.S. Treasury and Agency RMBS bond portfolio;</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yield curve;</w:t>
      </w:r>
    </w:p>
    <w:p>
      <w:pPr>
        <w:spacing w:after="0" w:line="27" w:lineRule="exact"/>
        <w:rPr>
          <w:rFonts w:ascii="Times New Roman" w:cs="Times New Roman" w:eastAsia="Times New Roman" w:hAnsi="Times New Roman"/>
          <w:sz w:val="18"/>
          <w:szCs w:val="18"/>
          <w:color w:val="auto"/>
        </w:rPr>
      </w:pPr>
    </w:p>
    <w:p>
      <w:pPr>
        <w:ind w:left="660" w:hanging="247"/>
        <w:spacing w:after="0" w:line="230" w:lineRule="auto"/>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the level, degree and extent of volatility in interest rates or the yield on our assets relative to interest rate benchmarks;</w:t>
      </w:r>
    </w:p>
    <w:p>
      <w:pPr>
        <w:spacing w:after="0" w:line="36" w:lineRule="exact"/>
        <w:rPr>
          <w:rFonts w:ascii="Arial" w:cs="Arial" w:eastAsia="Arial" w:hAnsi="Arial"/>
          <w:sz w:val="22"/>
          <w:szCs w:val="22"/>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mortgage prepayment rates on the loans underlying our Agency RMBS;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financing and our hedge positions;</w:t>
      </w:r>
    </w:p>
    <w:p>
      <w:pPr>
        <w:spacing w:after="0" w:line="63"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value of our assets, including from changes in net interest spreads, market liquidity or depth, and changes in our "at risk" leverage or hedge positions;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4" w:name="page45"/>
    <w:bookmarkEnd w:id="44"/>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mitigation strategies;</w:t>
      </w:r>
    </w:p>
    <w:p>
      <w:pPr>
        <w:spacing w:after="0" w:line="15" w:lineRule="exact"/>
        <w:rPr>
          <w:rFonts w:ascii="Times New Roman" w:cs="Times New Roman" w:eastAsia="Times New Roman" w:hAnsi="Times New Roman"/>
          <w:sz w:val="18"/>
          <w:szCs w:val="18"/>
          <w:color w:val="auto"/>
        </w:rPr>
      </w:pPr>
    </w:p>
    <w:p>
      <w:pPr>
        <w:ind w:left="660" w:right="100" w:hanging="247"/>
        <w:spacing w:after="0" w:line="243"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market for Agency RMBS and other mortgage securities, including changes in the available supply of such securities or investor appetite therefor;</w:t>
      </w:r>
    </w:p>
    <w:p>
      <w:pPr>
        <w:spacing w:after="0" w:line="3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federal, state, or local governments that affect the economy, the housing sector or financial markets;</w:t>
      </w:r>
    </w:p>
    <w:p>
      <w:pPr>
        <w:spacing w:after="0" w:line="63" w:lineRule="exact"/>
        <w:rPr>
          <w:rFonts w:ascii="Times New Roman" w:cs="Times New Roman" w:eastAsia="Times New Roman" w:hAnsi="Times New Roman"/>
          <w:sz w:val="18"/>
          <w:szCs w:val="18"/>
          <w:color w:val="auto"/>
        </w:rPr>
      </w:pPr>
    </w:p>
    <w:p>
      <w:pPr>
        <w:jc w:val="both"/>
        <w:ind w:left="660" w:hanging="247"/>
        <w:spacing w:after="0" w:line="25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spacing w:after="0" w:line="2"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personnel, operational resources, information technology and other systems to conduct our operations;</w:t>
      </w:r>
    </w:p>
    <w:p>
      <w:pPr>
        <w:spacing w:after="0" w:line="4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regulations, rules or policies that affect U.S. housing finance activity, the GSE's or the markets for Agency RMBS; and</w:t>
      </w:r>
    </w:p>
    <w:p>
      <w:pPr>
        <w:spacing w:after="0" w:line="63"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that affect our status as a REIT, our exemption from the Investment Company Act of 1940 or the mortgage markets in which we participate.</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our most recent Annual Report on Form 10-K and Part II of this Form 10-Q. We caution readers not to place undue reliance on our forward-looking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20" w:lineRule="exact"/>
        <w:rPr>
          <w:sz w:val="20"/>
          <w:szCs w:val="20"/>
          <w:color w:val="auto"/>
        </w:rPr>
      </w:pPr>
    </w:p>
    <w:p>
      <w:pPr>
        <w:ind w:right="60" w:firstLine="405"/>
        <w:spacing w:after="0" w:line="234" w:lineRule="auto"/>
        <w:rPr>
          <w:sz w:val="20"/>
          <w:szCs w:val="20"/>
          <w:color w:val="auto"/>
        </w:rPr>
      </w:pPr>
      <w:r>
        <w:rPr>
          <w:rFonts w:ascii="Times New Roman" w:cs="Times New Roman" w:eastAsia="Times New Roman" w:hAnsi="Times New Roman"/>
          <w:sz w:val="18"/>
          <w:szCs w:val="18"/>
          <w:color w:val="auto"/>
        </w:rPr>
        <w:t>We use our website (www.AGNC.com) and AGNC’s LinkedIn (www.linkedin.com/company/agnc-investment-corp/) and X (www.x.com/AGNCInvestment)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or any other report filed with or furnished to the SEC. Investors and others may automatically receive emails and information about AGNC when they sign up for investor alerts on the "Investor Resources" tab of the Investor Relations section of our website.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5" w:name="page46"/>
    <w:bookmarkEnd w:id="45"/>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0.1 years as of June 30, 2024, compared to -0.5 years as of December 31, 2023.</w:t>
      </w:r>
    </w:p>
    <w:p>
      <w:pPr>
        <w:spacing w:after="0" w:line="12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table below quantifies the estimated changes in the fair value of our investment portfolio (including derivatives and other securities used for hedging purposes) and in our tangible net book value per common share as of June 30, 2024 and December 31, 2023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June 30, 2024 and December 31, 2023.</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1,2</w:t>
      </w:r>
    </w:p>
    <w:p>
      <w:pPr>
        <w:spacing w:after="0" w:line="10"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2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780" w:type="dxa"/>
            <w:vAlign w:val="bottom"/>
            <w:tcBorders>
              <w:top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 in</w:t>
            </w:r>
          </w:p>
        </w:tc>
        <w:tc>
          <w:tcPr>
            <w:tcW w:w="13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14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0" w:type="dxa"/>
            <w:vAlign w:val="bottom"/>
          </w:tcPr>
          <w:p>
            <w:pPr>
              <w:spacing w:after="0"/>
              <w:rPr>
                <w:sz w:val="1"/>
                <w:szCs w:val="1"/>
                <w:color w:val="auto"/>
              </w:rPr>
            </w:pPr>
          </w:p>
        </w:tc>
      </w:tr>
      <w:tr>
        <w:trPr>
          <w:trHeight w:val="137"/>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4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48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14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Portfolio Market</w:t>
            </w: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0" w:type="dxa"/>
            <w:vAlign w:val="bottom"/>
          </w:tcPr>
          <w:p>
            <w:pPr>
              <w:spacing w:after="0"/>
              <w:rPr>
                <w:sz w:val="1"/>
                <w:szCs w:val="1"/>
                <w:color w:val="auto"/>
              </w:rPr>
            </w:pPr>
          </w:p>
        </w:tc>
      </w:tr>
      <w:tr>
        <w:trPr>
          <w:trHeight w:val="190"/>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2" w:lineRule="exact"/>
        <w:rPr>
          <w:sz w:val="20"/>
          <w:szCs w:val="20"/>
          <w:color w:val="auto"/>
        </w:rPr>
      </w:pPr>
    </w:p>
    <w:p>
      <w:pPr>
        <w:ind w:left="660" w:right="20" w:hanging="328"/>
        <w:spacing w:after="0" w:line="259" w:lineRule="auto"/>
        <w:tabs>
          <w:tab w:leader="none" w:pos="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assumes there are no changes in mortgage spreads and assumes a static portfolio. Actual results could differ materially from these estimates.</w:t>
      </w:r>
    </w:p>
    <w:p>
      <w:pPr>
        <w:ind w:left="660" w:hanging="328"/>
        <w:spacing w:after="0"/>
        <w:tabs>
          <w:tab w:leader="none" w:pos="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 Interest rates are assumed to be floored at 0% in down rate scenarios.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Risk and Extension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2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our investment securities (excluding TBAs) had a weighted average projected CPR of 9.2% and 11.4%, respectively, and a weighted average yield of 4.70% and 4.41%, respectively. The table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18"/>
          <w:szCs w:val="18"/>
          <w:b w:val="1"/>
          <w:bCs w:val="1"/>
          <w:color w:val="auto"/>
          <w:vertAlign w:val="superscript"/>
        </w:rPr>
        <w:t>1</w:t>
      </w:r>
    </w:p>
    <w:p>
      <w:pPr>
        <w:spacing w:after="0" w:line="10" w:lineRule="exact"/>
        <w:rPr>
          <w:sz w:val="20"/>
          <w:szCs w:val="20"/>
          <w:color w:val="auto"/>
        </w:rPr>
      </w:pPr>
    </w:p>
    <w:tbl>
      <w:tblPr>
        <w:tblLayout w:type="fixed"/>
        <w:tblInd w:w="1280" w:type="dxa"/>
        <w:tblCellMar>
          <w:top w:w="0" w:type="dxa"/>
          <w:left w:w="0" w:type="dxa"/>
          <w:bottom w:w="0" w:type="dxa"/>
          <w:right w:w="0" w:type="dxa"/>
        </w:tblCellMar>
      </w:tblPr>
      <w:tr>
        <w:trPr>
          <w:trHeight w:val="193"/>
        </w:trPr>
        <w:tc>
          <w:tcPr>
            <w:tcW w:w="3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80" w:type="dxa"/>
            <w:vAlign w:val="bottom"/>
            <w:tcBorders>
              <w:top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1"/>
        </w:trPr>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400" w:type="dxa"/>
            <w:vAlign w:val="bottom"/>
            <w:tcBorders>
              <w:top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03"/>
        </w:trPr>
        <w:tc>
          <w:tcPr>
            <w:tcW w:w="318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44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Asset Yield </w:t>
            </w:r>
            <w:r>
              <w:rPr>
                <w:rFonts w:ascii="Times New Roman" w:cs="Times New Roman" w:eastAsia="Times New Roman" w:hAnsi="Times New Roman"/>
                <w:sz w:val="18"/>
                <w:szCs w:val="18"/>
                <w:b w:val="1"/>
                <w:bCs w:val="1"/>
                <w:color w:val="auto"/>
                <w:w w:val="98"/>
                <w:vertAlign w:val="superscript"/>
              </w:rPr>
              <w:t>2</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Projected CPR</w:t>
            </w:r>
          </w:p>
        </w:tc>
        <w:tc>
          <w:tcPr>
            <w:tcW w:w="13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Asset Yield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96"/>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4.62%</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17.8%</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9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4.64%</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15.4%</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95"/>
        </w:trPr>
        <w:tc>
          <w:tcPr>
            <w:tcW w:w="3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Actual as of Period 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4.70%</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11.4%</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9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4.72%</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models that are dependent on inputs and assumptions and assumes a static portfolio. Actual results could differ materially from these estimates. Table excludes TBA securities.</w:t>
      </w:r>
    </w:p>
    <w:p>
      <w:pPr>
        <w:ind w:left="660" w:hanging="328"/>
        <w:spacing w:after="0"/>
        <w:tabs>
          <w:tab w:leader="none" w:pos="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yield based on historical cost basis and does not include the impact of retroactive "catch-up" premium amortization adjustments due to changes in projected CPR.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Spread Risk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June 30, 2024 and December 31, 2023 should spreads widen or tighten by 10, 25 and 50 basis points. The estimated impact of changes in spreads is in addition to our interest rate shock sensitivity included in the interest rate shock table above. The table below assumes a spread duration of 4.9 and 4.7 years as of June 30, 2024 and December 31, 2023,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Spread Sensitivity </w:t>
      </w:r>
      <w:r>
        <w:rPr>
          <w:rFonts w:ascii="Times New Roman" w:cs="Times New Roman" w:eastAsia="Times New Roman" w:hAnsi="Times New Roman"/>
          <w:sz w:val="18"/>
          <w:szCs w:val="18"/>
          <w:b w:val="1"/>
          <w:bCs w:val="1"/>
          <w:color w:val="auto"/>
          <w:vertAlign w:val="superscript"/>
        </w:rPr>
        <w:t>1,2</w:t>
      </w:r>
    </w:p>
    <w:p>
      <w:pPr>
        <w:spacing w:after="0" w:line="10"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3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720" w:type="dxa"/>
            <w:vAlign w:val="bottom"/>
            <w:tcBorders>
              <w:top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Change</w:t>
            </w:r>
          </w:p>
        </w:tc>
        <w:tc>
          <w:tcPr>
            <w:tcW w:w="13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Change in</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1400" w:type="dxa"/>
            <w:vAlign w:val="bottom"/>
            <w:gridSpan w:val="2"/>
            <w:vMerge w:val="continue"/>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Tangible Net Book</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MBS Spread</w:t>
            </w: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4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Portfolio Market</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Per Common</w:t>
            </w:r>
          </w:p>
        </w:tc>
        <w:tc>
          <w:tcPr>
            <w:tcW w:w="0" w:type="dxa"/>
            <w:vAlign w:val="bottom"/>
          </w:tcPr>
          <w:p>
            <w:pPr>
              <w:spacing w:after="0"/>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2"/>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+25.2%</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+23.1%</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+12.6%</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+11.6%</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-25.2%</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line="14" w:lineRule="exact"/>
        <w:rPr>
          <w:sz w:val="20"/>
          <w:szCs w:val="20"/>
          <w:color w:val="auto"/>
        </w:rPr>
      </w:pPr>
    </w:p>
    <w:p>
      <w:pPr>
        <w:ind w:left="660" w:hanging="328"/>
        <w:spacing w:after="0" w:line="250" w:lineRule="auto"/>
        <w:tabs>
          <w:tab w:leader="none" w:pos="6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sensitivity is derived from models that are dependent on inputs and assumptions, assumes there are no changes in interest rates and assumes a static portfolio. Actual results could differ materially from these estimates.</w:t>
      </w:r>
    </w:p>
    <w:p>
      <w:pPr>
        <w:ind w:left="660" w:hanging="328"/>
        <w:spacing w:after="0"/>
        <w:tabs>
          <w:tab w:leader="none" w:pos="6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which fluctuates with changes in interest rates and liquidity conditions within the commercial banking and mortgage finance industries.</w:t>
      </w:r>
    </w:p>
    <w:p>
      <w:pPr>
        <w:spacing w:after="0" w:line="12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As of June 30, 2024, we believe that we have sufficient liquidity and capital resources available to execute our business strategy (see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in this Form 10-Q for additional details). However, should the value of our collateral or the value of our derivative instruments suddenly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June 30, 2024, our maximum amount at risk with any counterparty related to our repurchase agreements and derivative agreements was 2% and less than 1%, respectively, of tangible stockholders' equity.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including our Chief Executive Officer and Chief Financial Officer, evaluated the effectiveness of the design and operation of our disclosure controls and procedures as of June 30, 2024. Based on the foregoing, our Chief Executive Officer and Chief Financial Officer concluded that our disclosure controls and procedures were effective.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officers (as defined in Rule 16a-1(f) of the Exchange Act) informed us of the adoption or termination of a "Rule 10b5-1 trading arrangement" or "non-Rule 10b5-1 trading arrangement," as those terms are defined in Regulation S-K, Item 408.</w:t>
      </w:r>
    </w:p>
    <w:p>
      <w:pPr>
        <w:spacing w:after="0" w:line="6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 Index</w:t>
      </w:r>
    </w:p>
    <w:p>
      <w:pPr>
        <w:spacing w:after="0" w:line="16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tab/>
        <w:t>Description</w:t>
      </w:r>
    </w:p>
    <w:p>
      <w:pPr>
        <w:spacing w:after="0" w:line="183" w:lineRule="exact"/>
        <w:rPr>
          <w:sz w:val="20"/>
          <w:szCs w:val="20"/>
          <w:color w:val="auto"/>
        </w:rPr>
      </w:pPr>
    </w:p>
    <w:p>
      <w:pPr>
        <w:jc w:val="both"/>
        <w:ind w:left="500" w:right="20" w:hanging="1295"/>
        <w:spacing w:after="0" w:line="282" w:lineRule="auto"/>
        <w:tabs>
          <w:tab w:leader="none" w:pos="480" w:val="left"/>
        </w:tabs>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*3.1</w:t>
        </w:r>
      </w:hyperlink>
      <w:r>
        <w:rPr>
          <w:rFonts w:ascii="Times New Roman" w:cs="Times New Roman" w:eastAsia="Times New Roman" w:hAnsi="Times New Roman"/>
          <w:sz w:val="18"/>
          <w:szCs w:val="18"/>
          <w:color w:val="auto"/>
        </w:rPr>
        <w:tab/>
      </w:r>
      <w:hyperlink r:id="rId76">
        <w:r>
          <w:rPr>
            <w:rFonts w:ascii="Times New Roman" w:cs="Times New Roman" w:eastAsia="Times New Roman" w:hAnsi="Times New Roman"/>
            <w:sz w:val="18"/>
            <w:szCs w:val="18"/>
            <w:color w:val="auto"/>
          </w:rPr>
          <w:t>AGNC Investment Corp. Amended and Restated Certificate of Incorporation, as amended, incorporated by reference from Exhibit 3.1 of Form 10-K</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color w:val="auto"/>
          </w:rPr>
          <w:t>for the year ended December 31, 2021 (File No. 001-34057), filed February 23, 2022.</w:t>
        </w:r>
      </w:hyperlink>
    </w:p>
    <w:p>
      <w:pPr>
        <w:spacing w:after="0" w:line="108" w:lineRule="exact"/>
        <w:rPr>
          <w:rFonts w:ascii="Times New Roman" w:cs="Times New Roman" w:eastAsia="Times New Roman" w:hAnsi="Times New Roman"/>
          <w:sz w:val="18"/>
          <w:szCs w:val="18"/>
          <w:color w:val="auto"/>
        </w:rPr>
      </w:pPr>
    </w:p>
    <w:p>
      <w:pPr>
        <w:spacing w:after="0"/>
        <w:tabs>
          <w:tab w:leader="none" w:pos="500" w:val="left"/>
        </w:tabs>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*3.2</w:t>
        </w:r>
      </w:hyperlink>
      <w:r>
        <w:rPr>
          <w:rFonts w:ascii="Times New Roman" w:cs="Times New Roman" w:eastAsia="Times New Roman" w:hAnsi="Times New Roman"/>
          <w:sz w:val="18"/>
          <w:szCs w:val="18"/>
          <w:color w:val="auto"/>
        </w:rPr>
        <w:tab/>
      </w:r>
      <w:hyperlink r:id="rId78">
        <w:r>
          <w:rPr>
            <w:rFonts w:ascii="Times New Roman" w:cs="Times New Roman" w:eastAsia="Times New Roman" w:hAnsi="Times New Roman"/>
            <w:sz w:val="18"/>
            <w:szCs w:val="18"/>
            <w:color w:val="auto"/>
          </w:rPr>
          <w:t>AGNC Investment Corp. Amended and Restated Bylaws, as amended, incorporated herein by reference to Exhibit 3.1 of Form 8-K (File No. 001-</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78">
        <w:r>
          <w:rPr>
            <w:rFonts w:ascii="Times New Roman" w:cs="Times New Roman" w:eastAsia="Times New Roman" w:hAnsi="Times New Roman"/>
            <w:sz w:val="18"/>
            <w:szCs w:val="18"/>
            <w:color w:val="auto"/>
          </w:rPr>
          <w:t>34057), filed July 21, 2023.</w:t>
        </w:r>
      </w:hyperlink>
    </w:p>
    <w:p>
      <w:pPr>
        <w:spacing w:after="0" w:line="153" w:lineRule="exact"/>
        <w:rPr>
          <w:sz w:val="20"/>
          <w:szCs w:val="20"/>
          <w:color w:val="auto"/>
        </w:rPr>
      </w:pPr>
    </w:p>
    <w:p>
      <w:pPr>
        <w:jc w:val="both"/>
        <w:ind w:left="520" w:hanging="1295"/>
        <w:spacing w:after="0" w:line="282" w:lineRule="auto"/>
        <w:tabs>
          <w:tab w:leader="none" w:pos="500" w:val="left"/>
        </w:tabs>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*3.3</w:t>
        </w:r>
      </w:hyperlink>
      <w:r>
        <w:rPr>
          <w:rFonts w:ascii="Times New Roman" w:cs="Times New Roman" w:eastAsia="Times New Roman" w:hAnsi="Times New Roman"/>
          <w:sz w:val="18"/>
          <w:szCs w:val="18"/>
          <w:color w:val="auto"/>
        </w:rPr>
        <w:tab/>
      </w:r>
      <w:hyperlink r:id="rId79">
        <w:r>
          <w:rPr>
            <w:rFonts w:ascii="Times New Roman" w:cs="Times New Roman" w:eastAsia="Times New Roman" w:hAnsi="Times New Roman"/>
            <w:sz w:val="18"/>
            <w:szCs w:val="18"/>
            <w:color w:val="auto"/>
          </w:rPr>
          <w:t>Certificate of Designations of 7.00% Series C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color w:val="auto"/>
          </w:rPr>
          <w:t>Exhibit 3.5 of Form 8-A (File No. 001-34057), filed August 18, 2017.</w:t>
        </w:r>
      </w:hyperlink>
    </w:p>
    <w:p>
      <w:pPr>
        <w:spacing w:after="0" w:line="108" w:lineRule="exact"/>
        <w:rPr>
          <w:rFonts w:ascii="Times New Roman" w:cs="Times New Roman" w:eastAsia="Times New Roman" w:hAnsi="Times New Roman"/>
          <w:sz w:val="18"/>
          <w:szCs w:val="18"/>
          <w:color w:val="auto"/>
        </w:rPr>
      </w:pPr>
    </w:p>
    <w:p>
      <w:pPr>
        <w:jc w:val="both"/>
        <w:ind w:left="500" w:hanging="1295"/>
        <w:spacing w:after="0" w:line="282" w:lineRule="auto"/>
        <w:tabs>
          <w:tab w:leader="none" w:pos="480" w:val="left"/>
        </w:tabs>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*3.4</w:t>
        </w:r>
      </w:hyperlink>
      <w:r>
        <w:rPr>
          <w:rFonts w:ascii="Times New Roman" w:cs="Times New Roman" w:eastAsia="Times New Roman" w:hAnsi="Times New Roman"/>
          <w:sz w:val="18"/>
          <w:szCs w:val="18"/>
          <w:color w:val="auto"/>
        </w:rPr>
        <w:tab/>
      </w:r>
      <w:hyperlink r:id="rId80">
        <w:r>
          <w:rPr>
            <w:rFonts w:ascii="Times New Roman" w:cs="Times New Roman" w:eastAsia="Times New Roman" w:hAnsi="Times New Roman"/>
            <w:sz w:val="18"/>
            <w:szCs w:val="18"/>
            <w:color w:val="auto"/>
          </w:rPr>
          <w:t>Certificate of Elimination of 8.000% Series A Cumulative Redeemable Preferred Stock, incorporated herein by reference to Exhibit 3.1 of Form 8-K</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color w:val="auto"/>
          </w:rPr>
          <w:t>(File No 001-34057), filed October 26, 2017.</w:t>
        </w:r>
      </w:hyperlink>
    </w:p>
    <w:p>
      <w:pPr>
        <w:spacing w:after="0" w:line="108" w:lineRule="exact"/>
        <w:rPr>
          <w:rFonts w:ascii="Times New Roman" w:cs="Times New Roman" w:eastAsia="Times New Roman" w:hAnsi="Times New Roman"/>
          <w:sz w:val="18"/>
          <w:szCs w:val="18"/>
          <w:color w:val="auto"/>
        </w:rPr>
      </w:pPr>
    </w:p>
    <w:p>
      <w:pPr>
        <w:jc w:val="both"/>
        <w:ind w:left="500" w:hanging="1295"/>
        <w:spacing w:after="0" w:line="282" w:lineRule="auto"/>
        <w:tabs>
          <w:tab w:leader="none" w:pos="480" w:val="left"/>
        </w:tabs>
        <w:rPr>
          <w:rFonts w:ascii="Times New Roman" w:cs="Times New Roman" w:eastAsia="Times New Roman" w:hAnsi="Times New Roman"/>
          <w:sz w:val="18"/>
          <w:szCs w:val="18"/>
          <w:color w:val="auto"/>
        </w:rPr>
      </w:pPr>
      <w:hyperlink r:id="rId81">
        <w:r>
          <w:rPr>
            <w:rFonts w:ascii="Times New Roman" w:cs="Times New Roman" w:eastAsia="Times New Roman" w:hAnsi="Times New Roman"/>
            <w:sz w:val="18"/>
            <w:szCs w:val="18"/>
            <w:color w:val="auto"/>
          </w:rPr>
          <w:t>*3.5</w:t>
        </w:r>
      </w:hyperlink>
      <w:r>
        <w:rPr>
          <w:rFonts w:ascii="Times New Roman" w:cs="Times New Roman" w:eastAsia="Times New Roman" w:hAnsi="Times New Roman"/>
          <w:sz w:val="18"/>
          <w:szCs w:val="18"/>
          <w:color w:val="auto"/>
        </w:rPr>
        <w:tab/>
      </w:r>
      <w:hyperlink r:id="rId81">
        <w:r>
          <w:rPr>
            <w:rFonts w:ascii="Times New Roman" w:cs="Times New Roman" w:eastAsia="Times New Roman" w:hAnsi="Times New Roman"/>
            <w:sz w:val="18"/>
            <w:szCs w:val="18"/>
            <w:color w:val="auto"/>
          </w:rPr>
          <w:t>Certificate of Designations of 6.875% Series D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color w:val="auto"/>
          </w:rPr>
          <w:t>Exhibit 3.5 of Form 8-A (File No 001-34057), filed March 6, 2019.</w:t>
        </w:r>
      </w:hyperlink>
    </w:p>
    <w:p>
      <w:pPr>
        <w:spacing w:after="0" w:line="108" w:lineRule="exact"/>
        <w:rPr>
          <w:rFonts w:ascii="Times New Roman" w:cs="Times New Roman" w:eastAsia="Times New Roman" w:hAnsi="Times New Roman"/>
          <w:sz w:val="18"/>
          <w:szCs w:val="18"/>
          <w:color w:val="auto"/>
        </w:rPr>
      </w:pPr>
    </w:p>
    <w:p>
      <w:pPr>
        <w:jc w:val="both"/>
        <w:ind w:left="520" w:right="20" w:hanging="1295"/>
        <w:spacing w:after="0" w:line="282" w:lineRule="auto"/>
        <w:tabs>
          <w:tab w:leader="none" w:pos="500" w:val="left"/>
        </w:tabs>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*3.6</w:t>
        </w:r>
      </w:hyperlink>
      <w:r>
        <w:rPr>
          <w:rFonts w:ascii="Times New Roman" w:cs="Times New Roman" w:eastAsia="Times New Roman" w:hAnsi="Times New Roman"/>
          <w:sz w:val="18"/>
          <w:szCs w:val="18"/>
          <w:color w:val="auto"/>
        </w:rPr>
        <w:tab/>
      </w:r>
      <w:hyperlink r:id="rId82">
        <w:r>
          <w:rPr>
            <w:rFonts w:ascii="Times New Roman" w:cs="Times New Roman" w:eastAsia="Times New Roman" w:hAnsi="Times New Roman"/>
            <w:sz w:val="18"/>
            <w:szCs w:val="18"/>
            <w:color w:val="auto"/>
          </w:rPr>
          <w:t>Certificate of Designations of 6.50% Series E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color w:val="auto"/>
          </w:rPr>
          <w:t>Exhibit 3.6 of Form 8-A (File No 001-34057), filed October 3, 2019.</w:t>
        </w:r>
      </w:hyperlink>
    </w:p>
    <w:p>
      <w:pPr>
        <w:spacing w:after="0" w:line="108" w:lineRule="exact"/>
        <w:rPr>
          <w:rFonts w:ascii="Times New Roman" w:cs="Times New Roman" w:eastAsia="Times New Roman" w:hAnsi="Times New Roman"/>
          <w:sz w:val="18"/>
          <w:szCs w:val="18"/>
          <w:color w:val="auto"/>
        </w:rPr>
      </w:pPr>
    </w:p>
    <w:p>
      <w:pPr>
        <w:jc w:val="both"/>
        <w:ind w:left="500" w:right="20" w:hanging="1295"/>
        <w:spacing w:after="0" w:line="282" w:lineRule="auto"/>
        <w:tabs>
          <w:tab w:leader="none" w:pos="480" w:val="left"/>
        </w:tabs>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*3.7</w:t>
        </w:r>
      </w:hyperlink>
      <w:r>
        <w:rPr>
          <w:rFonts w:ascii="Times New Roman" w:cs="Times New Roman" w:eastAsia="Times New Roman" w:hAnsi="Times New Roman"/>
          <w:sz w:val="18"/>
          <w:szCs w:val="18"/>
          <w:color w:val="auto"/>
        </w:rPr>
        <w:tab/>
      </w:r>
      <w:hyperlink r:id="rId83">
        <w:r>
          <w:rPr>
            <w:rFonts w:ascii="Times New Roman" w:cs="Times New Roman" w:eastAsia="Times New Roman" w:hAnsi="Times New Roman"/>
            <w:sz w:val="18"/>
            <w:szCs w:val="18"/>
            <w:color w:val="auto"/>
          </w:rPr>
          <w:t>Certificate of Elimination of 7.750% Series B Cumulative Redeemable Preferred Stock, incorporated herein by reference to Exhibit 3.1 of Form 8-K</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color w:val="auto"/>
          </w:rPr>
          <w:t>(File No 001-34057), filed December 13, 2019.</w:t>
        </w:r>
      </w:hyperlink>
    </w:p>
    <w:p>
      <w:pPr>
        <w:spacing w:after="0" w:line="108" w:lineRule="exact"/>
        <w:rPr>
          <w:rFonts w:ascii="Times New Roman" w:cs="Times New Roman" w:eastAsia="Times New Roman" w:hAnsi="Times New Roman"/>
          <w:sz w:val="18"/>
          <w:szCs w:val="18"/>
          <w:color w:val="auto"/>
        </w:rPr>
      </w:pPr>
    </w:p>
    <w:p>
      <w:pPr>
        <w:jc w:val="both"/>
        <w:ind w:left="520" w:right="20" w:hanging="1295"/>
        <w:spacing w:after="0" w:line="282" w:lineRule="auto"/>
        <w:tabs>
          <w:tab w:leader="none" w:pos="500" w:val="left"/>
        </w:tabs>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*3.8</w:t>
        </w:r>
      </w:hyperlink>
      <w:r>
        <w:rPr>
          <w:rFonts w:ascii="Times New Roman" w:cs="Times New Roman" w:eastAsia="Times New Roman" w:hAnsi="Times New Roman"/>
          <w:sz w:val="18"/>
          <w:szCs w:val="18"/>
          <w:color w:val="auto"/>
        </w:rPr>
        <w:tab/>
      </w:r>
      <w:hyperlink r:id="rId84">
        <w:r>
          <w:rPr>
            <w:rFonts w:ascii="Times New Roman" w:cs="Times New Roman" w:eastAsia="Times New Roman" w:hAnsi="Times New Roman"/>
            <w:sz w:val="18"/>
            <w:szCs w:val="18"/>
            <w:color w:val="auto"/>
          </w:rPr>
          <w:t>Certificate of Designations of 6.125% Series F Fixed-to-Floating Rate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color w:val="auto"/>
          </w:rPr>
          <w:t>Exhibit 3.6 of Form 8-A (File No 001-34057), filed February 11, 2020.</w:t>
        </w:r>
      </w:hyperlink>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jc w:val="both"/>
        <w:ind w:left="600" w:hanging="1295"/>
        <w:spacing w:after="0" w:line="282" w:lineRule="auto"/>
        <w:tabs>
          <w:tab w:leader="none" w:pos="580" w:val="left"/>
        </w:tabs>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*3.9</w:t>
        </w:r>
      </w:hyperlink>
      <w:r>
        <w:rPr>
          <w:rFonts w:ascii="Times New Roman" w:cs="Times New Roman" w:eastAsia="Times New Roman" w:hAnsi="Times New Roman"/>
          <w:sz w:val="18"/>
          <w:szCs w:val="18"/>
          <w:color w:val="auto"/>
        </w:rPr>
        <w:tab/>
      </w:r>
      <w:hyperlink r:id="rId86">
        <w:r>
          <w:rPr>
            <w:rFonts w:ascii="Times New Roman" w:cs="Times New Roman" w:eastAsia="Times New Roman" w:hAnsi="Times New Roman"/>
            <w:sz w:val="18"/>
            <w:szCs w:val="18"/>
            <w:color w:val="auto"/>
          </w:rPr>
          <w:t>Certificate of Designations of 7.75% Series G Fixed-Rate Reset Cumulative Redeemable Preferred Stock, incorporated herein by reference to</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color w:val="auto"/>
          </w:rPr>
          <w:t>Exhibit 3.7 of Form 8-A (File No 001-34057), filed September 14, 2022.</w:t>
        </w:r>
      </w:hyperlink>
    </w:p>
    <w:p>
      <w:pPr>
        <w:spacing w:after="0" w:line="108" w:lineRule="exact"/>
        <w:rPr>
          <w:rFonts w:ascii="Times New Roman" w:cs="Times New Roman" w:eastAsia="Times New Roman" w:hAnsi="Times New Roman"/>
          <w:sz w:val="18"/>
          <w:szCs w:val="18"/>
          <w:color w:val="auto"/>
        </w:rPr>
      </w:pPr>
    </w:p>
    <w:p>
      <w:pPr>
        <w:jc w:val="both"/>
        <w:ind w:left="580" w:hanging="1295"/>
        <w:spacing w:after="0" w:line="275" w:lineRule="auto"/>
        <w:tabs>
          <w:tab w:leader="none" w:pos="560" w:val="left"/>
        </w:tabs>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*4.1</w:t>
        </w:r>
      </w:hyperlink>
      <w:r>
        <w:rPr>
          <w:rFonts w:ascii="Times New Roman" w:cs="Times New Roman" w:eastAsia="Times New Roman" w:hAnsi="Times New Roman"/>
          <w:sz w:val="18"/>
          <w:szCs w:val="18"/>
          <w:color w:val="auto"/>
        </w:rPr>
        <w:tab/>
      </w:r>
      <w:hyperlink r:id="rId76">
        <w:r>
          <w:rPr>
            <w:rFonts w:ascii="Times New Roman" w:cs="Times New Roman" w:eastAsia="Times New Roman" w:hAnsi="Times New Roman"/>
            <w:sz w:val="18"/>
            <w:szCs w:val="18"/>
            <w:color w:val="auto"/>
          </w:rPr>
          <w:t>Instruments defining the rights of holders of securities: See Article IV of our Amended and Restated Certificate of Incorporation, as amended,</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color w:val="auto"/>
          </w:rPr>
          <w:t>incorporated herein by reference to Exhibit 3.1 of Form 10-K for the year ended December 31, 2021 (File No. 001-34057), filed February</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color w:val="auto"/>
          </w:rPr>
          <w:t>23, 2022.</w:t>
        </w:r>
      </w:hyperlink>
    </w:p>
    <w:p>
      <w:pPr>
        <w:spacing w:after="0" w:line="336" w:lineRule="exact"/>
        <w:rPr>
          <w:rFonts w:ascii="Times New Roman" w:cs="Times New Roman" w:eastAsia="Times New Roman" w:hAnsi="Times New Roman"/>
          <w:sz w:val="18"/>
          <w:szCs w:val="18"/>
          <w:color w:val="auto"/>
        </w:rPr>
      </w:pPr>
    </w:p>
    <w:p>
      <w:pPr>
        <w:jc w:val="both"/>
        <w:ind w:left="540" w:hanging="1295"/>
        <w:spacing w:after="0" w:line="282" w:lineRule="auto"/>
        <w:tabs>
          <w:tab w:leader="none" w:pos="520" w:val="left"/>
        </w:tabs>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*4.2</w:t>
        </w:r>
      </w:hyperlink>
      <w:r>
        <w:rPr>
          <w:rFonts w:ascii="Times New Roman" w:cs="Times New Roman" w:eastAsia="Times New Roman" w:hAnsi="Times New Roman"/>
          <w:sz w:val="18"/>
          <w:szCs w:val="18"/>
          <w:color w:val="auto"/>
        </w:rPr>
        <w:tab/>
      </w:r>
      <w:hyperlink r:id="rId78">
        <w:r>
          <w:rPr>
            <w:rFonts w:ascii="Times New Roman" w:cs="Times New Roman" w:eastAsia="Times New Roman" w:hAnsi="Times New Roman"/>
            <w:sz w:val="18"/>
            <w:szCs w:val="18"/>
            <w:color w:val="auto"/>
          </w:rPr>
          <w:t>Instruments defining the rights of holders of securities: See Article VI of our Amended and Restated Bylaws, as amended, incorporated herein by</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auto"/>
          </w:rPr>
          <w:t>reference to Exhibit 3.1 of Form 8-K, filed July 21, 2023.</w:t>
        </w:r>
      </w:hyperlink>
    </w:p>
    <w:p>
      <w:pPr>
        <w:spacing w:after="0" w:line="108" w:lineRule="exact"/>
        <w:rPr>
          <w:rFonts w:ascii="Times New Roman" w:cs="Times New Roman" w:eastAsia="Times New Roman" w:hAnsi="Times New Roman"/>
          <w:sz w:val="18"/>
          <w:szCs w:val="18"/>
          <w:color w:val="auto"/>
        </w:rPr>
      </w:pPr>
    </w:p>
    <w:p>
      <w:pPr>
        <w:jc w:val="both"/>
        <w:ind w:left="560" w:hanging="1295"/>
        <w:spacing w:after="0" w:line="282" w:lineRule="auto"/>
        <w:tabs>
          <w:tab w:leader="none" w:pos="540" w:val="left"/>
        </w:tabs>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*4.3</w:t>
        </w:r>
      </w:hyperlink>
      <w:r>
        <w:rPr>
          <w:rFonts w:ascii="Times New Roman" w:cs="Times New Roman" w:eastAsia="Times New Roman" w:hAnsi="Times New Roman"/>
          <w:sz w:val="18"/>
          <w:szCs w:val="18"/>
          <w:color w:val="auto"/>
        </w:rPr>
        <w:tab/>
      </w:r>
      <w:hyperlink r:id="rId87">
        <w:r>
          <w:rPr>
            <w:rFonts w:ascii="Times New Roman" w:cs="Times New Roman" w:eastAsia="Times New Roman" w:hAnsi="Times New Roman"/>
            <w:sz w:val="18"/>
            <w:szCs w:val="18"/>
            <w:color w:val="auto"/>
          </w:rPr>
          <w:t>Form of Certificate for Common Stock, incorporated herein by reference to Exhibit 4.3 of Form 10-Q for the quarter ended September 30, 2022</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color w:val="auto"/>
          </w:rPr>
          <w:t>(File No. 001-34057), filed November 7, 2022.</w:t>
        </w:r>
      </w:hyperlink>
    </w:p>
    <w:p>
      <w:pPr>
        <w:spacing w:after="0" w:line="108" w:lineRule="exact"/>
        <w:rPr>
          <w:rFonts w:ascii="Times New Roman" w:cs="Times New Roman" w:eastAsia="Times New Roman" w:hAnsi="Times New Roman"/>
          <w:sz w:val="18"/>
          <w:szCs w:val="18"/>
          <w:color w:val="auto"/>
        </w:rPr>
      </w:pPr>
    </w:p>
    <w:p>
      <w:pPr>
        <w:spacing w:after="0"/>
        <w:tabs>
          <w:tab w:leader="none" w:pos="500" w:val="left"/>
        </w:tabs>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*4.4</w:t>
        </w:r>
      </w:hyperlink>
      <w:r>
        <w:rPr>
          <w:rFonts w:ascii="Times New Roman" w:cs="Times New Roman" w:eastAsia="Times New Roman" w:hAnsi="Times New Roman"/>
          <w:sz w:val="18"/>
          <w:szCs w:val="18"/>
          <w:color w:val="auto"/>
        </w:rPr>
        <w:tab/>
      </w:r>
      <w:hyperlink r:id="rId88">
        <w:r>
          <w:rPr>
            <w:rFonts w:ascii="Times New Roman" w:cs="Times New Roman" w:eastAsia="Times New Roman" w:hAnsi="Times New Roman"/>
            <w:sz w:val="18"/>
            <w:szCs w:val="18"/>
            <w:color w:val="auto"/>
          </w:rPr>
          <w:t>Specimen 7.00% Series C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4.1 of Form 8-A (File No. 001-34057), filed August 18, 2017.</w:t>
        </w:r>
      </w:hyperlink>
    </w:p>
    <w:p>
      <w:pPr>
        <w:spacing w:after="0" w:line="153" w:lineRule="exact"/>
        <w:rPr>
          <w:sz w:val="20"/>
          <w:szCs w:val="20"/>
          <w:color w:val="auto"/>
        </w:rPr>
      </w:pPr>
    </w:p>
    <w:p>
      <w:pPr>
        <w:spacing w:after="0"/>
        <w:tabs>
          <w:tab w:leader="none" w:pos="500" w:val="left"/>
        </w:tabs>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*4.5</w:t>
        </w:r>
      </w:hyperlink>
      <w:r>
        <w:rPr>
          <w:rFonts w:ascii="Times New Roman" w:cs="Times New Roman" w:eastAsia="Times New Roman" w:hAnsi="Times New Roman"/>
          <w:sz w:val="18"/>
          <w:szCs w:val="18"/>
          <w:color w:val="auto"/>
        </w:rPr>
        <w:tab/>
      </w:r>
      <w:hyperlink r:id="rId89">
        <w:r>
          <w:rPr>
            <w:rFonts w:ascii="Times New Roman" w:cs="Times New Roman" w:eastAsia="Times New Roman" w:hAnsi="Times New Roman"/>
            <w:sz w:val="18"/>
            <w:szCs w:val="18"/>
            <w:color w:val="auto"/>
          </w:rPr>
          <w:t>Specimen 6.875% Series D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4.1 of Form 8-A (File No. 001-34057), filed March 6, 2019.</w:t>
        </w:r>
      </w:hyperlink>
    </w:p>
    <w:p>
      <w:pPr>
        <w:spacing w:after="0" w:line="153" w:lineRule="exact"/>
        <w:rPr>
          <w:sz w:val="20"/>
          <w:szCs w:val="20"/>
          <w:color w:val="auto"/>
        </w:rPr>
      </w:pPr>
    </w:p>
    <w:p>
      <w:pPr>
        <w:spacing w:after="0"/>
        <w:tabs>
          <w:tab w:leader="none" w:pos="520" w:val="left"/>
        </w:tabs>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*4.6</w:t>
        </w:r>
      </w:hyperlink>
      <w:r>
        <w:rPr>
          <w:rFonts w:ascii="Times New Roman" w:cs="Times New Roman" w:eastAsia="Times New Roman" w:hAnsi="Times New Roman"/>
          <w:sz w:val="18"/>
          <w:szCs w:val="18"/>
          <w:color w:val="auto"/>
        </w:rPr>
        <w:tab/>
      </w:r>
      <w:hyperlink r:id="rId90">
        <w:r>
          <w:rPr>
            <w:rFonts w:ascii="Times New Roman" w:cs="Times New Roman" w:eastAsia="Times New Roman" w:hAnsi="Times New Roman"/>
            <w:sz w:val="18"/>
            <w:szCs w:val="18"/>
            <w:color w:val="auto"/>
          </w:rPr>
          <w:t>Specimen 6.50% Series E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4.1 of Form 8-A (File No. 001-34057), filed October 3, 2019.</w:t>
        </w:r>
      </w:hyperlink>
    </w:p>
    <w:p>
      <w:pPr>
        <w:spacing w:after="0" w:line="153" w:lineRule="exact"/>
        <w:rPr>
          <w:sz w:val="20"/>
          <w:szCs w:val="20"/>
          <w:color w:val="auto"/>
        </w:rPr>
      </w:pPr>
    </w:p>
    <w:p>
      <w:pPr>
        <w:spacing w:after="0"/>
        <w:tabs>
          <w:tab w:leader="none" w:pos="500" w:val="left"/>
        </w:tabs>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*4.7</w:t>
        </w:r>
      </w:hyperlink>
      <w:r>
        <w:rPr>
          <w:rFonts w:ascii="Times New Roman" w:cs="Times New Roman" w:eastAsia="Times New Roman" w:hAnsi="Times New Roman"/>
          <w:sz w:val="18"/>
          <w:szCs w:val="18"/>
          <w:color w:val="auto"/>
        </w:rPr>
        <w:tab/>
      </w:r>
      <w:hyperlink r:id="rId91">
        <w:r>
          <w:rPr>
            <w:rFonts w:ascii="Times New Roman" w:cs="Times New Roman" w:eastAsia="Times New Roman" w:hAnsi="Times New Roman"/>
            <w:sz w:val="18"/>
            <w:szCs w:val="18"/>
            <w:color w:val="auto"/>
          </w:rPr>
          <w:t>Specimen 6.125% Series F Fixed-to-Floating Rate Cumulative Redeemable Preferred Stock Certificate, incorporated herein by reference to Exhibit</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4.1 of Form 8-A (File No 001-34057), filed February 11, 2020.</w:t>
        </w:r>
      </w:hyperlink>
    </w:p>
    <w:p>
      <w:pPr>
        <w:spacing w:after="0" w:line="153" w:lineRule="exact"/>
        <w:rPr>
          <w:sz w:val="20"/>
          <w:szCs w:val="20"/>
          <w:color w:val="auto"/>
        </w:rPr>
      </w:pPr>
    </w:p>
    <w:p>
      <w:pPr>
        <w:jc w:val="both"/>
        <w:ind w:left="520" w:right="20" w:hanging="1295"/>
        <w:spacing w:after="0" w:line="282" w:lineRule="auto"/>
        <w:tabs>
          <w:tab w:leader="none" w:pos="500" w:val="left"/>
        </w:tabs>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*4.8</w:t>
        </w:r>
      </w:hyperlink>
      <w:r>
        <w:rPr>
          <w:rFonts w:ascii="Times New Roman" w:cs="Times New Roman" w:eastAsia="Times New Roman" w:hAnsi="Times New Roman"/>
          <w:sz w:val="18"/>
          <w:szCs w:val="18"/>
          <w:color w:val="auto"/>
        </w:rPr>
        <w:tab/>
      </w:r>
      <w:hyperlink r:id="rId92">
        <w:r>
          <w:rPr>
            <w:rFonts w:ascii="Times New Roman" w:cs="Times New Roman" w:eastAsia="Times New Roman" w:hAnsi="Times New Roman"/>
            <w:sz w:val="18"/>
            <w:szCs w:val="18"/>
            <w:color w:val="auto"/>
          </w:rPr>
          <w:t>Specimen 7.75% Series G Fixed-Rate Reset Cumulative Redeemable Preferred Stock Certificate, incorporated herein by reference to Exhibit 4.1 of</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auto"/>
          </w:rPr>
          <w:t>Form 8-A (File No 001-34057), filed September 14, 2022.</w:t>
        </w:r>
      </w:hyperlink>
    </w:p>
    <w:p>
      <w:pPr>
        <w:spacing w:after="0" w:line="108" w:lineRule="exact"/>
        <w:rPr>
          <w:rFonts w:ascii="Times New Roman" w:cs="Times New Roman" w:eastAsia="Times New Roman" w:hAnsi="Times New Roman"/>
          <w:sz w:val="18"/>
          <w:szCs w:val="18"/>
          <w:color w:val="auto"/>
        </w:rPr>
      </w:pPr>
    </w:p>
    <w:p>
      <w:pPr>
        <w:jc w:val="both"/>
        <w:ind w:left="580" w:hanging="1295"/>
        <w:spacing w:after="0" w:line="266" w:lineRule="auto"/>
        <w:tabs>
          <w:tab w:leader="none" w:pos="560" w:val="left"/>
        </w:tabs>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*4.9</w:t>
        </w:r>
      </w:hyperlink>
      <w:r>
        <w:rPr>
          <w:rFonts w:ascii="Times New Roman" w:cs="Times New Roman" w:eastAsia="Times New Roman" w:hAnsi="Times New Roman"/>
          <w:sz w:val="18"/>
          <w:szCs w:val="18"/>
          <w:color w:val="auto"/>
        </w:rPr>
        <w:tab/>
      </w:r>
      <w:hyperlink r:id="rId93">
        <w:r>
          <w:rPr>
            <w:rFonts w:ascii="Times New Roman" w:cs="Times New Roman" w:eastAsia="Times New Roman" w:hAnsi="Times New Roman"/>
            <w:sz w:val="18"/>
            <w:szCs w:val="18"/>
            <w:color w:val="auto"/>
          </w:rPr>
          <w:t>Deposit Agreement relating to 7.00% Series C Fixed-to-Floating Rate Cumulative Redeemable Preferred Stock, dated August 22, 2017, among</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reference to Exhibit 4.2 of Form 8-K (File No. 001-34057) filed August 22, 2017.</w:t>
        </w:r>
      </w:hyperlink>
    </w:p>
    <w:p>
      <w:pPr>
        <w:spacing w:after="0" w:line="122" w:lineRule="exact"/>
        <w:rPr>
          <w:rFonts w:ascii="Times New Roman" w:cs="Times New Roman" w:eastAsia="Times New Roman" w:hAnsi="Times New Roman"/>
          <w:sz w:val="18"/>
          <w:szCs w:val="18"/>
          <w:color w:val="auto"/>
        </w:rPr>
      </w:pPr>
    </w:p>
    <w:p>
      <w:pPr>
        <w:jc w:val="both"/>
        <w:ind w:left="620" w:hanging="1295"/>
        <w:spacing w:after="0" w:line="266" w:lineRule="auto"/>
        <w:tabs>
          <w:tab w:leader="none" w:pos="600" w:val="left"/>
        </w:tabs>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*4.10</w:t>
        </w:r>
      </w:hyperlink>
      <w:r>
        <w:rPr>
          <w:rFonts w:ascii="Times New Roman" w:cs="Times New Roman" w:eastAsia="Times New Roman" w:hAnsi="Times New Roman"/>
          <w:sz w:val="18"/>
          <w:szCs w:val="18"/>
          <w:color w:val="auto"/>
        </w:rPr>
        <w:tab/>
      </w:r>
      <w:hyperlink r:id="rId93">
        <w:r>
          <w:rPr>
            <w:rFonts w:ascii="Times New Roman" w:cs="Times New Roman" w:eastAsia="Times New Roman" w:hAnsi="Times New Roman"/>
            <w:sz w:val="18"/>
            <w:szCs w:val="18"/>
            <w:color w:val="auto"/>
          </w:rPr>
          <w:t>Form of Depositary Receipt representing 1/1,000th of a share of 7.00% Series C Fixed-to-Floating Rate Cumulative Redeemable Preferred Stock</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(included as part of Exhibit 4.9),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auto"/>
          </w:rPr>
          <w:t>August 22, 2017.</w:t>
        </w:r>
      </w:hyperlink>
    </w:p>
    <w:p>
      <w:pPr>
        <w:spacing w:after="0" w:line="122" w:lineRule="exact"/>
        <w:rPr>
          <w:rFonts w:ascii="Times New Roman" w:cs="Times New Roman" w:eastAsia="Times New Roman" w:hAnsi="Times New Roman"/>
          <w:sz w:val="18"/>
          <w:szCs w:val="18"/>
          <w:color w:val="auto"/>
        </w:rPr>
      </w:pPr>
    </w:p>
    <w:p>
      <w:pPr>
        <w:jc w:val="both"/>
        <w:ind w:left="660" w:hanging="1295"/>
        <w:spacing w:after="0" w:line="266" w:lineRule="auto"/>
        <w:tabs>
          <w:tab w:leader="none" w:pos="640" w:val="left"/>
        </w:tabs>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*4.11</w:t>
        </w:r>
      </w:hyperlink>
      <w:r>
        <w:rPr>
          <w:rFonts w:ascii="Times New Roman" w:cs="Times New Roman" w:eastAsia="Times New Roman" w:hAnsi="Times New Roman"/>
          <w:sz w:val="18"/>
          <w:szCs w:val="18"/>
          <w:color w:val="auto"/>
        </w:rPr>
        <w:tab/>
      </w:r>
      <w:hyperlink r:id="rId94">
        <w:r>
          <w:rPr>
            <w:rFonts w:ascii="Times New Roman" w:cs="Times New Roman" w:eastAsia="Times New Roman" w:hAnsi="Times New Roman"/>
            <w:sz w:val="18"/>
            <w:szCs w:val="18"/>
            <w:color w:val="auto"/>
          </w:rPr>
          <w:t>Deposit Agreement relating to 6.875% Series D Fixed-to-Floating Rate Cumulative Redeemable Preferred Stock, dated March 6, 2019, among</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reference to Exhibit 4.2 of Form 8-K (File No. 001-34057) filed March 6, 2019.</w:t>
        </w:r>
      </w:hyperlink>
    </w:p>
    <w:p>
      <w:pPr>
        <w:spacing w:after="0" w:line="122" w:lineRule="exact"/>
        <w:rPr>
          <w:rFonts w:ascii="Times New Roman" w:cs="Times New Roman" w:eastAsia="Times New Roman" w:hAnsi="Times New Roman"/>
          <w:sz w:val="18"/>
          <w:szCs w:val="18"/>
          <w:color w:val="auto"/>
        </w:rPr>
      </w:pPr>
    </w:p>
    <w:p>
      <w:pPr>
        <w:jc w:val="both"/>
        <w:ind w:left="600" w:hanging="1295"/>
        <w:spacing w:after="0" w:line="266" w:lineRule="auto"/>
        <w:tabs>
          <w:tab w:leader="none" w:pos="580" w:val="left"/>
        </w:tabs>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*4.12</w:t>
        </w:r>
      </w:hyperlink>
      <w:r>
        <w:rPr>
          <w:rFonts w:ascii="Times New Roman" w:cs="Times New Roman" w:eastAsia="Times New Roman" w:hAnsi="Times New Roman"/>
          <w:sz w:val="18"/>
          <w:szCs w:val="18"/>
          <w:color w:val="auto"/>
        </w:rPr>
        <w:tab/>
      </w:r>
      <w:hyperlink r:id="rId94">
        <w:r>
          <w:rPr>
            <w:rFonts w:ascii="Times New Roman" w:cs="Times New Roman" w:eastAsia="Times New Roman" w:hAnsi="Times New Roman"/>
            <w:sz w:val="18"/>
            <w:szCs w:val="18"/>
            <w:color w:val="auto"/>
          </w:rPr>
          <w:t>Form of Depositary Receipt representing 1/1,000th of a share of 6.875% Series D Fixed-to-Floating Rate Cumulative Redeemable Preferred Stock</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(included as part of Exhibit 4.11),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March 6, 2019.</w:t>
        </w:r>
      </w:hyperlink>
    </w:p>
    <w:p>
      <w:pPr>
        <w:spacing w:after="0" w:line="122" w:lineRule="exact"/>
        <w:rPr>
          <w:rFonts w:ascii="Times New Roman" w:cs="Times New Roman" w:eastAsia="Times New Roman" w:hAnsi="Times New Roman"/>
          <w:sz w:val="18"/>
          <w:szCs w:val="18"/>
          <w:color w:val="auto"/>
        </w:rPr>
      </w:pPr>
    </w:p>
    <w:p>
      <w:pPr>
        <w:jc w:val="both"/>
        <w:ind w:left="600" w:right="320" w:hanging="1295"/>
        <w:spacing w:after="0" w:line="266" w:lineRule="auto"/>
        <w:tabs>
          <w:tab w:leader="none" w:pos="580" w:val="left"/>
        </w:tabs>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*4.13</w:t>
        </w:r>
      </w:hyperlink>
      <w:r>
        <w:rPr>
          <w:rFonts w:ascii="Times New Roman" w:cs="Times New Roman" w:eastAsia="Times New Roman" w:hAnsi="Times New Roman"/>
          <w:sz w:val="18"/>
          <w:szCs w:val="18"/>
          <w:color w:val="auto"/>
        </w:rPr>
        <w:tab/>
      </w:r>
      <w:hyperlink r:id="rId95">
        <w:r>
          <w:rPr>
            <w:rFonts w:ascii="Times New Roman" w:cs="Times New Roman" w:eastAsia="Times New Roman" w:hAnsi="Times New Roman"/>
            <w:sz w:val="18"/>
            <w:szCs w:val="18"/>
            <w:color w:val="auto"/>
          </w:rPr>
          <w:t>Deposit Agreement relating to 6.50% Series E Fixed-to-Floating Rate Cumulative Redeemable Preferred Stock, dated October 3, 2019, among</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reference to Exhibit 4.2 of Form 8-K (File No. 001-34057) filed October 3, 2019.</w:t>
        </w:r>
      </w:hyperlink>
    </w:p>
    <w:p>
      <w:pPr>
        <w:spacing w:after="0" w:line="122" w:lineRule="exact"/>
        <w:rPr>
          <w:rFonts w:ascii="Times New Roman" w:cs="Times New Roman" w:eastAsia="Times New Roman" w:hAnsi="Times New Roman"/>
          <w:sz w:val="18"/>
          <w:szCs w:val="18"/>
          <w:color w:val="auto"/>
        </w:rPr>
      </w:pPr>
    </w:p>
    <w:p>
      <w:pPr>
        <w:jc w:val="both"/>
        <w:ind w:left="600" w:right="200" w:hanging="1295"/>
        <w:spacing w:after="0" w:line="266" w:lineRule="auto"/>
        <w:tabs>
          <w:tab w:leader="none" w:pos="580" w:val="left"/>
        </w:tabs>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*4.14</w:t>
        </w:r>
      </w:hyperlink>
      <w:r>
        <w:rPr>
          <w:rFonts w:ascii="Times New Roman" w:cs="Times New Roman" w:eastAsia="Times New Roman" w:hAnsi="Times New Roman"/>
          <w:sz w:val="18"/>
          <w:szCs w:val="18"/>
          <w:color w:val="auto"/>
        </w:rPr>
        <w:tab/>
      </w:r>
      <w:hyperlink r:id="rId95">
        <w:r>
          <w:rPr>
            <w:rFonts w:ascii="Times New Roman" w:cs="Times New Roman" w:eastAsia="Times New Roman" w:hAnsi="Times New Roman"/>
            <w:sz w:val="18"/>
            <w:szCs w:val="18"/>
            <w:color w:val="auto"/>
          </w:rPr>
          <w:t>Form of Depositary Receipt representing 1/1,000th of a share of 6.50% Series E Fixed-to-Floating Rate Cumulative Redeemable Preferred Stock</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(included as part of Exhibit 4.13),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October 3, 2019.</w:t>
        </w:r>
      </w:hyperlink>
    </w:p>
    <w:p>
      <w:pPr>
        <w:spacing w:after="0" w:line="122" w:lineRule="exact"/>
        <w:rPr>
          <w:rFonts w:ascii="Times New Roman" w:cs="Times New Roman" w:eastAsia="Times New Roman" w:hAnsi="Times New Roman"/>
          <w:sz w:val="18"/>
          <w:szCs w:val="18"/>
          <w:color w:val="auto"/>
        </w:rPr>
      </w:pPr>
    </w:p>
    <w:p>
      <w:pPr>
        <w:ind w:left="600" w:right="140" w:hanging="1295"/>
        <w:spacing w:after="0" w:line="266" w:lineRule="auto"/>
        <w:tabs>
          <w:tab w:leader="none" w:pos="580" w:val="left"/>
        </w:tabs>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*4.15</w:t>
        </w:r>
      </w:hyperlink>
      <w:r>
        <w:rPr>
          <w:rFonts w:ascii="Times New Roman" w:cs="Times New Roman" w:eastAsia="Times New Roman" w:hAnsi="Times New Roman"/>
          <w:sz w:val="18"/>
          <w:szCs w:val="18"/>
          <w:color w:val="auto"/>
        </w:rPr>
        <w:tab/>
      </w:r>
      <w:hyperlink r:id="rId96">
        <w:r>
          <w:rPr>
            <w:rFonts w:ascii="Times New Roman" w:cs="Times New Roman" w:eastAsia="Times New Roman" w:hAnsi="Times New Roman"/>
            <w:sz w:val="18"/>
            <w:szCs w:val="18"/>
            <w:color w:val="auto"/>
          </w:rPr>
          <w:t>Deposit Agreement relating to 6.125% Series F Fixed-to-Floating Rate Cumulative Redeemable Preferred Stock, dated February 11, 2020, among</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auto"/>
          </w:rPr>
          <w:t>reference to Exhibit 4.1 of Form 8-K (File No. 001-34057) filed February 11, 2020.</w:t>
        </w:r>
      </w:hyperlink>
    </w:p>
    <w:p>
      <w:pPr>
        <w:spacing w:after="0" w:line="122" w:lineRule="exact"/>
        <w:rPr>
          <w:rFonts w:ascii="Times New Roman" w:cs="Times New Roman" w:eastAsia="Times New Roman" w:hAnsi="Times New Roman"/>
          <w:sz w:val="18"/>
          <w:szCs w:val="18"/>
          <w:color w:val="auto"/>
        </w:rPr>
      </w:pPr>
    </w:p>
    <w:p>
      <w:pPr>
        <w:ind w:left="600" w:right="120" w:hanging="1295"/>
        <w:spacing w:after="0" w:line="266" w:lineRule="auto"/>
        <w:tabs>
          <w:tab w:leader="none" w:pos="580" w:val="left"/>
        </w:tabs>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*4.16</w:t>
        </w:r>
      </w:hyperlink>
      <w:r>
        <w:rPr>
          <w:rFonts w:ascii="Times New Roman" w:cs="Times New Roman" w:eastAsia="Times New Roman" w:hAnsi="Times New Roman"/>
          <w:sz w:val="18"/>
          <w:szCs w:val="18"/>
          <w:color w:val="auto"/>
        </w:rPr>
        <w:tab/>
      </w:r>
      <w:hyperlink r:id="rId96">
        <w:r>
          <w:rPr>
            <w:rFonts w:ascii="Times New Roman" w:cs="Times New Roman" w:eastAsia="Times New Roman" w:hAnsi="Times New Roman"/>
            <w:sz w:val="18"/>
            <w:szCs w:val="18"/>
            <w:color w:val="auto"/>
          </w:rPr>
          <w:t>Form of Depositary Receipt representing 1/1,000th of a share of 6.125% Series F Fixed-to-Floating Rate Cumulative Redeemable Preferred Stock</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auto"/>
          </w:rPr>
          <w:t>(included as part of Exhibit 4.15), incorporated herein by reference to Exhibit A of Exhibit 4.1 of Form 8-K (File No. 001-34057) filed</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auto"/>
          </w:rPr>
          <w:t>February 11, 2020.</w:t>
        </w:r>
      </w:hyperlink>
    </w:p>
    <w:p>
      <w:pPr>
        <w:sectPr>
          <w:pgSz w:w="11900" w:h="16838" w:orient="portrait"/>
          <w:cols w:equalWidth="0" w:num="1">
            <w:col w:w="11240"/>
          </w:cols>
          <w:pgMar w:left="320" w:top="1053" w:right="339"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50" w:name="page51"/>
    <w:bookmarkEnd w:id="50"/>
    <w:p>
      <w:pPr>
        <w:ind w:left="600" w:right="320" w:hanging="1295"/>
        <w:spacing w:after="0" w:line="266" w:lineRule="auto"/>
        <w:tabs>
          <w:tab w:leader="none" w:pos="580" w:val="left"/>
        </w:tabs>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*4.17</w:t>
        </w:r>
      </w:hyperlink>
      <w:r>
        <w:rPr>
          <w:rFonts w:ascii="Times New Roman" w:cs="Times New Roman" w:eastAsia="Times New Roman" w:hAnsi="Times New Roman"/>
          <w:sz w:val="18"/>
          <w:szCs w:val="18"/>
          <w:color w:val="auto"/>
        </w:rPr>
        <w:tab/>
      </w:r>
      <w:hyperlink r:id="rId98">
        <w:r>
          <w:rPr>
            <w:rFonts w:ascii="Times New Roman" w:cs="Times New Roman" w:eastAsia="Times New Roman" w:hAnsi="Times New Roman"/>
            <w:sz w:val="18"/>
            <w:szCs w:val="18"/>
            <w:color w:val="auto"/>
          </w:rPr>
          <w:t>Deposit Agreement relating to 7.75% Series G Fixed-Rate Reset Cumulative Redeemable Preferred Stock, dated September 14, 2022, among</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color w:val="auto"/>
          </w:rPr>
          <w:t>AGNC Investment Corp., Computershare Inc. and Computershare Trust Company, N.A., jointly as depositary, incorporated herein by</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color w:val="auto"/>
          </w:rPr>
          <w:t>reference to Exhibit 4.2 of Form 8-K (File No. 001-34057) filed September 14, 2022.</w:t>
        </w:r>
      </w:hyperlink>
    </w:p>
    <w:p>
      <w:pPr>
        <w:spacing w:after="0" w:line="122" w:lineRule="exact"/>
        <w:rPr>
          <w:rFonts w:ascii="Times New Roman" w:cs="Times New Roman" w:eastAsia="Times New Roman" w:hAnsi="Times New Roman"/>
          <w:sz w:val="18"/>
          <w:szCs w:val="18"/>
          <w:color w:val="auto"/>
        </w:rPr>
      </w:pPr>
    </w:p>
    <w:p>
      <w:pPr>
        <w:ind w:left="600" w:right="240" w:hanging="1295"/>
        <w:spacing w:after="0" w:line="266" w:lineRule="auto"/>
        <w:tabs>
          <w:tab w:leader="none" w:pos="580" w:val="left"/>
        </w:tabs>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*4.18</w:t>
        </w:r>
      </w:hyperlink>
      <w:r>
        <w:rPr>
          <w:rFonts w:ascii="Times New Roman" w:cs="Times New Roman" w:eastAsia="Times New Roman" w:hAnsi="Times New Roman"/>
          <w:sz w:val="18"/>
          <w:szCs w:val="18"/>
          <w:color w:val="auto"/>
        </w:rPr>
        <w:tab/>
      </w:r>
      <w:hyperlink r:id="rId98">
        <w:r>
          <w:rPr>
            <w:rFonts w:ascii="Times New Roman" w:cs="Times New Roman" w:eastAsia="Times New Roman" w:hAnsi="Times New Roman"/>
            <w:sz w:val="18"/>
            <w:szCs w:val="18"/>
            <w:color w:val="auto"/>
          </w:rPr>
          <w:t>Form of Depositary Receipt representing 1/1,000th of a share of 7.75% Series G Fixed-Rate Reset Cumulative Redeemable Preferred Stock</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color w:val="auto"/>
          </w:rPr>
          <w:t>(included as part of Exhibit 4.17), incorporated herein by reference to Exhibit A of Exhibit 4.2 of Form 8-K (File No. 001-34057) filed</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color w:val="auto"/>
          </w:rPr>
          <w:t>September 14, 2022.</w:t>
        </w:r>
      </w:hyperlink>
    </w:p>
    <w:p>
      <w:pPr>
        <w:spacing w:after="0" w:line="122" w:lineRule="exact"/>
        <w:rPr>
          <w:rFonts w:ascii="Times New Roman" w:cs="Times New Roman" w:eastAsia="Times New Roman" w:hAnsi="Times New Roman"/>
          <w:sz w:val="18"/>
          <w:szCs w:val="18"/>
          <w:color w:val="auto"/>
        </w:rPr>
      </w:pPr>
    </w:p>
    <w:p>
      <w:pPr>
        <w:ind w:left="600" w:hanging="1295"/>
        <w:spacing w:after="0" w:line="282" w:lineRule="auto"/>
        <w:tabs>
          <w:tab w:leader="none" w:pos="5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tab/>
      </w:r>
      <w:hyperlink r:id="rId99">
        <w:r>
          <w:rPr>
            <w:rFonts w:ascii="Times New Roman" w:cs="Times New Roman" w:eastAsia="Times New Roman" w:hAnsi="Times New Roman"/>
            <w:sz w:val="18"/>
            <w:szCs w:val="18"/>
            <w:color w:val="auto"/>
          </w:rPr>
          <w:t>Amended and Restated Employment Agreement dated July 18, 2024 between AGNC Mortgage Management, LLC and Gary Kain, incorporated</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color w:val="auto"/>
          </w:rPr>
          <w:t>herein by reference to Exhibit 10.1 of Form 8-K (File No. 001-34057) filed July 19, 2024.</w:t>
        </w:r>
      </w:hyperlink>
    </w:p>
    <w:p>
      <w:pPr>
        <w:spacing w:after="0" w:line="108" w:lineRule="exact"/>
        <w:rPr>
          <w:sz w:val="20"/>
          <w:szCs w:val="20"/>
          <w:color w:val="auto"/>
        </w:rPr>
      </w:pPr>
    </w:p>
    <w:p>
      <w:pPr>
        <w:ind w:right="4180" w:firstLine="8"/>
        <w:spacing w:after="0" w:line="438"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AGNC Investment Corp. Code of Ethics and Conduct, adopted July 18, 2024, filed herewith. 31.1 Certification of CEO Pursuant to Section 302(a) of the Sarbanes-Oxley Act of 2002.</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  Certification of CFO Pursuant to Section 302(a) of the Sarbanes-Oxley Act of 2002.</w:t>
      </w:r>
    </w:p>
    <w:p>
      <w:pPr>
        <w:spacing w:after="0" w:line="17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CEO and CFO Pursuant to Section 906 of the Sarbanes-Oxley Act of 2002.</w:t>
      </w:r>
    </w:p>
    <w:p>
      <w:pPr>
        <w:sectPr>
          <w:pgSz w:w="11900" w:h="16838" w:orient="portrait"/>
          <w:cols w:equalWidth="0" w:num="1">
            <w:col w:w="11240"/>
          </w:cols>
          <w:pgMar w:left="320" w:top="1053" w:right="3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171" w:lineRule="exact"/>
        <w:rPr>
          <w:sz w:val="20"/>
          <w:szCs w:val="20"/>
          <w:color w:val="auto"/>
        </w:rPr>
      </w:pPr>
    </w:p>
    <w:p>
      <w:pPr>
        <w:sectPr>
          <w:pgSz w:w="11900" w:h="16838" w:orient="portrait"/>
          <w:cols w:equalWidth="0" w:num="2">
            <w:col w:w="800" w:space="160"/>
            <w:col w:w="1028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p>
      <w:pPr>
        <w:spacing w:after="0" w:line="182" w:lineRule="exact"/>
        <w:rPr>
          <w:sz w:val="20"/>
          <w:szCs w:val="20"/>
          <w:color w:val="auto"/>
        </w:rPr>
      </w:pPr>
    </w:p>
    <w:p>
      <w:pPr>
        <w:sectPr>
          <w:pgSz w:w="11900" w:h="16838" w:orient="portrait"/>
          <w:cols w:equalWidth="0" w:num="2">
            <w:col w:w="860" w:space="180"/>
            <w:col w:w="1020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p>
      <w:pPr>
        <w:spacing w:after="0" w:line="182" w:lineRule="exact"/>
        <w:rPr>
          <w:sz w:val="20"/>
          <w:szCs w:val="20"/>
          <w:color w:val="auto"/>
        </w:rPr>
      </w:pPr>
    </w:p>
    <w:p>
      <w:pPr>
        <w:sectPr>
          <w:pgSz w:w="11900" w:h="16838" w:orient="portrait"/>
          <w:cols w:equalWidth="0" w:num="2">
            <w:col w:w="860" w:space="180"/>
            <w:col w:w="1020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Labels Linkbase Document</w:t>
      </w:r>
    </w:p>
    <w:p>
      <w:pPr>
        <w:spacing w:after="0" w:line="182" w:lineRule="exact"/>
        <w:rPr>
          <w:sz w:val="20"/>
          <w:szCs w:val="20"/>
          <w:color w:val="auto"/>
        </w:rPr>
      </w:pPr>
    </w:p>
    <w:p>
      <w:pPr>
        <w:sectPr>
          <w:pgSz w:w="11900" w:h="16838" w:orient="portrait"/>
          <w:cols w:equalWidth="0" w:num="2">
            <w:col w:w="860" w:space="180"/>
            <w:col w:w="1020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p>
      <w:pPr>
        <w:spacing w:after="0" w:line="182" w:lineRule="exact"/>
        <w:rPr>
          <w:sz w:val="20"/>
          <w:szCs w:val="20"/>
          <w:color w:val="auto"/>
        </w:rPr>
      </w:pPr>
    </w:p>
    <w:p>
      <w:pPr>
        <w:sectPr>
          <w:pgSz w:w="11900" w:h="16838" w:orient="portrait"/>
          <w:cols w:equalWidth="0" w:num="2">
            <w:col w:w="840" w:space="180"/>
            <w:col w:w="1022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p>
      <w:pPr>
        <w:spacing w:after="0" w:line="38" w:lineRule="exact"/>
        <w:rPr>
          <w:sz w:val="20"/>
          <w:szCs w:val="20"/>
          <w:color w:val="auto"/>
        </w:rPr>
      </w:pPr>
    </w:p>
    <w:p>
      <w:pPr>
        <w:sectPr>
          <w:pgSz w:w="11900" w:h="16838" w:orient="portrait"/>
          <w:cols w:equalWidth="0" w:num="2">
            <w:col w:w="840" w:space="180"/>
            <w:col w:w="10220"/>
          </w:cols>
          <w:pgMar w:left="320" w:top="10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________________________________</w:t>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Previously filed</w:t>
      </w:r>
    </w:p>
    <w:p>
      <w:pPr>
        <w:spacing w:after="0" w:line="18" w:lineRule="exact"/>
        <w:rPr>
          <w:sz w:val="20"/>
          <w:szCs w:val="20"/>
          <w:color w:val="auto"/>
        </w:rPr>
      </w:pPr>
    </w:p>
    <w:p>
      <w:pPr>
        <w:ind w:left="360" w:right="360" w:hanging="647"/>
        <w:spacing w:after="0" w:line="250" w:lineRule="auto"/>
        <w:tabs>
          <w:tab w:leader="none" w:pos="340" w:val="left"/>
        </w:tabs>
        <w:rPr>
          <w:sz w:val="20"/>
          <w:szCs w:val="20"/>
          <w:color w:val="auto"/>
        </w:rPr>
      </w:pPr>
      <w:r>
        <w:rPr>
          <w:rFonts w:ascii="Times New Roman" w:cs="Times New Roman" w:eastAsia="Times New Roman" w:hAnsi="Times New Roman"/>
          <w:sz w:val="18"/>
          <w:szCs w:val="18"/>
          <w:color w:val="auto"/>
        </w:rPr>
        <w:t>**</w:t>
        <w:tab/>
        <w:t>This exhibit is being furnished rather than filed, and shall not be deemed incorporated by reference into any filing, in accordance with Item 601 of Regulation S-K</w:t>
      </w:r>
    </w:p>
    <w:p>
      <w:pPr>
        <w:spacing w:after="0" w:line="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3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Exhibits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the exhibits filed herewith.</w:t>
      </w:r>
    </w:p>
    <w:p>
      <w:pPr>
        <w:spacing w:after="0" w:line="207" w:lineRule="exact"/>
        <w:rPr>
          <w:sz w:val="20"/>
          <w:szCs w:val="20"/>
          <w:color w:val="auto"/>
        </w:rPr>
      </w:pPr>
    </w:p>
    <w:p>
      <w:pPr>
        <w:ind w:left="680" w:right="7500" w:hanging="227"/>
        <w:spacing w:after="0" w:line="282" w:lineRule="auto"/>
        <w:tabs>
          <w:tab w:leader="none" w:pos="8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statement schedules None.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AGNC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5540"/>
        <w:spacing w:after="0"/>
        <w:tabs>
          <w:tab w:leader="none" w:pos="7760" w:val="left"/>
          <w:tab w:leader="none" w:pos="8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32658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Peter J. Federico</w:t>
      </w:r>
    </w:p>
    <w:p>
      <w:pPr>
        <w:jc w:val="center"/>
        <w:ind w:left="6020"/>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w:t>
      </w: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Executive Officer (Principal Executive Officer)</w:t>
      </w:r>
    </w:p>
    <w:p>
      <w:pPr>
        <w:spacing w:after="0" w:line="16"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August 5, 2024</w:t>
      </w:r>
    </w:p>
    <w:p>
      <w:pPr>
        <w:spacing w:after="0" w:line="293" w:lineRule="exact"/>
        <w:rPr>
          <w:sz w:val="20"/>
          <w:szCs w:val="20"/>
          <w:color w:val="auto"/>
        </w:rPr>
      </w:pPr>
    </w:p>
    <w:p>
      <w:pPr>
        <w:ind w:left="5540"/>
        <w:spacing w:after="0"/>
        <w:tabs>
          <w:tab w:leader="none" w:pos="7820" w:val="left"/>
          <w:tab w:leader="none" w:pos="8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32658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Bernice E. Bell</w:t>
      </w:r>
    </w:p>
    <w:p>
      <w:pPr>
        <w:ind w:left="7740"/>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6260"/>
        <w:spacing w:after="0" w:line="201" w:lineRule="auto"/>
        <w:rPr>
          <w:sz w:val="20"/>
          <w:szCs w:val="20"/>
          <w:color w:val="auto"/>
        </w:rPr>
      </w:pPr>
      <w:r>
        <w:rPr>
          <w:rFonts w:ascii="Times New Roman" w:cs="Times New Roman" w:eastAsia="Times New Roman" w:hAnsi="Times New Roman"/>
          <w:sz w:val="14"/>
          <w:szCs w:val="14"/>
          <w:b w:val="1"/>
          <w:bCs w:val="1"/>
          <w:color w:val="auto"/>
        </w:rPr>
        <w:t>Chief Financial Officer (Principal Financial Officer and Principal Accounting</w:t>
      </w:r>
    </w:p>
    <w:p>
      <w:pPr>
        <w:spacing w:after="0" w:line="1"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Officer)</w:t>
      </w:r>
    </w:p>
    <w:p>
      <w:pPr>
        <w:spacing w:after="0" w:line="3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August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80"/>
          </w:cols>
          <w:pgMar w:left="320" w:top="887" w:right="399" w:bottom="1440" w:gutter="0" w:footer="0" w:header="0"/>
        </w:sectPr>
      </w:pPr>
    </w:p>
    <w:bookmarkStart w:id="52" w:name="page53"/>
    <w:bookmarkEnd w:id="52"/>
    <w:p>
      <w:pPr>
        <w:ind w:left="10300"/>
        <w:spacing w:after="0"/>
        <w:rPr>
          <w:sz w:val="20"/>
          <w:szCs w:val="20"/>
          <w:color w:val="auto"/>
        </w:rPr>
      </w:pPr>
      <w:r>
        <w:rPr>
          <w:rFonts w:ascii="Arial" w:cs="Arial" w:eastAsia="Arial" w:hAnsi="Arial"/>
          <w:sz w:val="21"/>
          <w:szCs w:val="21"/>
          <w:color w:val="auto"/>
        </w:rPr>
        <w:t>Exhibit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AGNC INVESTMENT CORP. CODE OF ETHICS AND CONDUCT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Adopted: July 18, 2024</w:t>
      </w:r>
    </w:p>
    <w:p>
      <w:pPr>
        <w:spacing w:after="0" w:line="10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A.</w:t>
      </w:r>
      <w:r>
        <w:rPr>
          <w:sz w:val="20"/>
          <w:szCs w:val="20"/>
          <w:color w:val="auto"/>
        </w:rPr>
        <w:tab/>
      </w:r>
      <w:r>
        <w:rPr>
          <w:rFonts w:ascii="Times New Roman" w:cs="Times New Roman" w:eastAsia="Times New Roman" w:hAnsi="Times New Roman"/>
          <w:sz w:val="19"/>
          <w:szCs w:val="19"/>
          <w:b w:val="1"/>
          <w:bCs w:val="1"/>
          <w:color w:val="auto"/>
        </w:rPr>
        <w:t>INTRODUCTION</w:t>
      </w:r>
    </w:p>
    <w:p>
      <w:pPr>
        <w:spacing w:after="0" w:line="125" w:lineRule="exact"/>
        <w:rPr>
          <w:sz w:val="20"/>
          <w:szCs w:val="20"/>
          <w:color w:val="auto"/>
        </w:rPr>
      </w:pPr>
    </w:p>
    <w:p>
      <w:pPr>
        <w:jc w:val="both"/>
        <w:ind w:left="340" w:right="20"/>
        <w:spacing w:after="0" w:line="295" w:lineRule="auto"/>
        <w:rPr>
          <w:sz w:val="20"/>
          <w:szCs w:val="20"/>
          <w:color w:val="auto"/>
        </w:rPr>
      </w:pPr>
      <w:r>
        <w:rPr>
          <w:rFonts w:ascii="Times New Roman" w:cs="Times New Roman" w:eastAsia="Times New Roman" w:hAnsi="Times New Roman"/>
          <w:sz w:val="19"/>
          <w:szCs w:val="19"/>
          <w:color w:val="auto"/>
        </w:rPr>
        <w:t>AGNC Investment Corp. (“AGNC”) has adopted this Code of Ethics and Conduct to communicate to all AGNC people the ethical and legal standards that we expect you to observe when dealing with AGNC, your AGNC colleagues, and others with whom we do business.</w:t>
      </w:r>
    </w:p>
    <w:p>
      <w:pPr>
        <w:spacing w:after="0" w:line="43" w:lineRule="exact"/>
        <w:rPr>
          <w:sz w:val="20"/>
          <w:szCs w:val="20"/>
          <w:color w:val="auto"/>
        </w:rPr>
      </w:pPr>
    </w:p>
    <w:p>
      <w:pPr>
        <w:jc w:val="both"/>
        <w:ind w:left="340"/>
        <w:spacing w:after="0" w:line="275" w:lineRule="auto"/>
        <w:rPr>
          <w:sz w:val="20"/>
          <w:szCs w:val="20"/>
          <w:color w:val="auto"/>
        </w:rPr>
      </w:pPr>
      <w:r>
        <w:rPr>
          <w:rFonts w:ascii="Times New Roman" w:cs="Times New Roman" w:eastAsia="Times New Roman" w:hAnsi="Times New Roman"/>
          <w:sz w:val="20"/>
          <w:szCs w:val="20"/>
          <w:color w:val="auto"/>
        </w:rPr>
        <w:t>Throughout this Code, we use the terms “AGNC people,” “you” and “your” to refer to all of AGNC’s and its subsidiaries’ directors, executive officers, employees and independent contractors, and the terms “AGNC,” the “company,” “we” and “our” to refer to AGNC and its subsidiaries. We use the term “Code” to refer to this document, as it may be amended from time to time.</w:t>
      </w:r>
    </w:p>
    <w:p>
      <w:pPr>
        <w:spacing w:after="0" w:line="87" w:lineRule="exact"/>
        <w:rPr>
          <w:sz w:val="20"/>
          <w:szCs w:val="20"/>
          <w:color w:val="auto"/>
        </w:rPr>
      </w:pPr>
    </w:p>
    <w:p>
      <w:pPr>
        <w:jc w:val="both"/>
        <w:ind w:left="340"/>
        <w:spacing w:after="0" w:line="311" w:lineRule="auto"/>
        <w:rPr>
          <w:sz w:val="20"/>
          <w:szCs w:val="20"/>
          <w:color w:val="auto"/>
        </w:rPr>
      </w:pPr>
      <w:r>
        <w:rPr>
          <w:rFonts w:ascii="Times New Roman" w:cs="Times New Roman" w:eastAsia="Times New Roman" w:hAnsi="Times New Roman"/>
          <w:sz w:val="19"/>
          <w:szCs w:val="19"/>
          <w:color w:val="auto"/>
        </w:rPr>
        <w:t>We expect all AGNC people to act ethically and obey the law. When you encounter ethical or legal issues where you are not certain about the correct course of action, you should use principles described in this Code as guideposts in deciding how to proceed. We have adopted this Code to give you guidance for resolving these ethical and legal issues. In particular, this Code addresses the following general topics:</w:t>
      </w:r>
    </w:p>
    <w:p>
      <w:pPr>
        <w:spacing w:after="0" w:line="28"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Observing all laws and regulations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Avoiding conflicts of interest</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Maintaining accurate and complete company records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Protecting confidential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Because rapid changes in our industry and in the law constantly present new issues, we cannot create guidelines that address all</w:t>
      </w:r>
    </w:p>
    <w:p>
      <w:pPr>
        <w:spacing w:after="0" w:line="4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20"/>
          <w:szCs w:val="20"/>
          <w:color w:val="auto"/>
        </w:rPr>
        <w:t>circumstances or constitute the definitive answer on any question. When you are in doubt about the correct or best course of action, or have questions about the Code, you should always consider consulting your supervisor, the Chief Compliance Officer of the company (the “Chief Compliance Officer”) or the Legal team for guidance.</w:t>
      </w:r>
    </w:p>
    <w:p>
      <w:pPr>
        <w:spacing w:after="0" w:line="60"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20"/>
          <w:szCs w:val="20"/>
          <w:color w:val="auto"/>
        </w:rPr>
        <w:t>We firmly believe that a strong commitment to ethical and legal conduct is essential for us successfully to achieve our purpose and vision. We therefore require all AGNC people to comply with this Code. To help ensure this compliance, we have established a procedure for reporting suspected violations of this Code. Any violations of this Code may result in disciplinary action, including termination of employment or contract, as applicable. These matters are described in more detail at the end of this Code.</w:t>
      </w:r>
    </w:p>
    <w:p>
      <w:pPr>
        <w:spacing w:after="0" w:line="47"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OBSERVING ALL LAWS, RULES AND REGULATIONS</w:t>
      </w:r>
    </w:p>
    <w:p>
      <w:pPr>
        <w:spacing w:after="0" w:line="134" w:lineRule="exact"/>
        <w:rPr>
          <w:rFonts w:ascii="Times New Roman" w:cs="Times New Roman" w:eastAsia="Times New Roman" w:hAnsi="Times New Roman"/>
          <w:sz w:val="20"/>
          <w:szCs w:val="20"/>
          <w:b w:val="1"/>
          <w:bCs w:val="1"/>
          <w:color w:val="auto"/>
        </w:rPr>
      </w:pPr>
    </w:p>
    <w:p>
      <w:pPr>
        <w:ind w:left="660" w:hanging="328"/>
        <w:spacing w:after="0"/>
        <w:tabs>
          <w:tab w:leader="none" w:pos="660"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GENERALLY</w:t>
      </w:r>
    </w:p>
    <w:p>
      <w:pPr>
        <w:spacing w:after="0" w:line="102" w:lineRule="exact"/>
        <w:rPr>
          <w:rFonts w:ascii="Times New Roman" w:cs="Times New Roman" w:eastAsia="Times New Roman" w:hAnsi="Times New Roman"/>
          <w:sz w:val="22"/>
          <w:szCs w:val="22"/>
          <w:b w:val="1"/>
          <w:bCs w:val="1"/>
          <w:color w:val="auto"/>
        </w:rPr>
      </w:pPr>
    </w:p>
    <w:p>
      <w:pPr>
        <w:jc w:val="both"/>
        <w:ind w:left="660"/>
        <w:spacing w:after="0" w:line="27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We expect you to comply with all applicable local, state and federal laws, rules and regulations, both domestic and international, and refrain from illegal, dishonest or unethical conduct. Although laws, rules and regulations may sometimes be ambiguous and difficult to interpret, we expect you to make a good-faith effort to follow both the letter and the spirit of the law.</w:t>
      </w:r>
    </w:p>
    <w:p>
      <w:pPr>
        <w:spacing w:after="0" w:line="86" w:lineRule="exact"/>
        <w:rPr>
          <w:rFonts w:ascii="Times New Roman" w:cs="Times New Roman" w:eastAsia="Times New Roman" w:hAnsi="Times New Roman"/>
          <w:sz w:val="22"/>
          <w:szCs w:val="22"/>
          <w:b w:val="1"/>
          <w:bCs w:val="1"/>
          <w:color w:val="auto"/>
        </w:rPr>
      </w:pPr>
    </w:p>
    <w:p>
      <w:pPr>
        <w:jc w:val="both"/>
        <w:ind w:left="660"/>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In addition, we expect you to comply with all AGNC policies and procedures that apply to you. These include, but are not limited to, our policies on securities trading, political contributions, equal opportunity, harassment, drug-free workplace, computer usage and information technology, data protection and expense reimbursement and travel, as well as our internal financial controls and procedures. We may modify or update these policies and procedures in the future and adopt</w:t>
      </w:r>
    </w:p>
    <w:p>
      <w:pPr>
        <w:sectPr>
          <w:pgSz w:w="11900" w:h="16838" w:orient="portrait"/>
          <w:cols w:equalWidth="0" w:num="1">
            <w:col w:w="11240"/>
          </w:cols>
          <w:pgMar w:left="320" w:top="127" w:right="339" w:bottom="1440" w:gutter="0" w:footer="0" w:header="0"/>
        </w:sectPr>
      </w:pPr>
    </w:p>
    <w:bookmarkStart w:id="53" w:name="page54"/>
    <w:bookmarkEnd w:id="53"/>
    <w:p>
      <w:pPr>
        <w:spacing w:after="0" w:line="10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0"/>
          <w:szCs w:val="20"/>
          <w:color w:val="auto"/>
        </w:rPr>
        <w:t>new company policies and procedures from time to time. You are also expected to observe the terms of any confidentiality</w:t>
      </w:r>
    </w:p>
    <w:p>
      <w:pPr>
        <w:spacing w:after="0" w:line="40" w:lineRule="exact"/>
        <w:rPr>
          <w:sz w:val="20"/>
          <w:szCs w:val="20"/>
          <w:color w:val="auto"/>
        </w:rPr>
      </w:pPr>
    </w:p>
    <w:p>
      <w:pPr>
        <w:ind w:left="328" w:right="20"/>
        <w:spacing w:after="0" w:line="269" w:lineRule="auto"/>
        <w:rPr>
          <w:sz w:val="20"/>
          <w:szCs w:val="20"/>
          <w:color w:val="auto"/>
        </w:rPr>
      </w:pPr>
      <w:r>
        <w:rPr>
          <w:rFonts w:ascii="Times New Roman" w:cs="Times New Roman" w:eastAsia="Times New Roman" w:hAnsi="Times New Roman"/>
          <w:sz w:val="20"/>
          <w:szCs w:val="20"/>
          <w:color w:val="auto"/>
        </w:rPr>
        <w:t>agreement, employment agreement, consulting agreement or other similar agreement that applies to you. If you previously signed one of these agreements with AGNC, it remains in full force and effect.</w:t>
      </w:r>
    </w:p>
    <w:p>
      <w:pPr>
        <w:spacing w:after="0" w:line="88" w:lineRule="exact"/>
        <w:rPr>
          <w:sz w:val="20"/>
          <w:szCs w:val="20"/>
          <w:color w:val="auto"/>
        </w:rPr>
      </w:pPr>
    </w:p>
    <w:p>
      <w:pPr>
        <w:ind w:left="328" w:hanging="328"/>
        <w:spacing w:after="0"/>
        <w:tabs>
          <w:tab w:leader="none" w:pos="328"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BRIBES AND KICKBACKS</w:t>
      </w:r>
    </w:p>
    <w:p>
      <w:pPr>
        <w:spacing w:after="0" w:line="115" w:lineRule="exact"/>
        <w:rPr>
          <w:rFonts w:ascii="Times New Roman" w:cs="Times New Roman" w:eastAsia="Times New Roman" w:hAnsi="Times New Roman"/>
          <w:sz w:val="22"/>
          <w:szCs w:val="22"/>
          <w:b w:val="1"/>
          <w:bCs w:val="1"/>
          <w:color w:val="auto"/>
        </w:rPr>
      </w:pPr>
    </w:p>
    <w:p>
      <w:pPr>
        <w:jc w:val="both"/>
        <w:ind w:left="328"/>
        <w:spacing w:after="0" w:line="26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Bribery is illegal and subject to criminal penalties in the United States and many other countries. Bribery is forbidden under the U.S. Foreign Corrupt Practices Act (the “FCPA”), which is described in more detail in Section B.3 of this Code, and other laws, rules and regulations. You may not give any bribes, kickbacks or other similar considerations to any person or organization to attract business. All decisions regarding the investing of our assets or the purchasing of goods and services must be made on the basis of applicable investment or acquisition criteria, and in a way that preserves AGNC’s integrity.</w:t>
      </w:r>
    </w:p>
    <w:p>
      <w:pPr>
        <w:spacing w:after="0" w:line="58" w:lineRule="exact"/>
        <w:rPr>
          <w:rFonts w:ascii="Times New Roman" w:cs="Times New Roman" w:eastAsia="Times New Roman" w:hAnsi="Times New Roman"/>
          <w:sz w:val="22"/>
          <w:szCs w:val="22"/>
          <w:b w:val="1"/>
          <w:bCs w:val="1"/>
          <w:color w:val="auto"/>
        </w:rPr>
      </w:pPr>
    </w:p>
    <w:p>
      <w:pPr>
        <w:jc w:val="both"/>
        <w:ind w:left="328"/>
        <w:spacing w:after="0" w:line="26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Fees, commissions or other amounts paid to outside consultants, agents or other third parties must be fully disclosed in our investment process or otherwise to our Chief Compliance Officer and must be legal, proper and reasonable in relation to customary commercial practice. Payments to these persons should never be used to accomplish indirectly what AGNC could not properly or legally do directly.</w:t>
      </w:r>
    </w:p>
    <w:p>
      <w:pPr>
        <w:spacing w:after="0" w:line="66" w:lineRule="exact"/>
        <w:rPr>
          <w:rFonts w:ascii="Times New Roman" w:cs="Times New Roman" w:eastAsia="Times New Roman" w:hAnsi="Times New Roman"/>
          <w:sz w:val="22"/>
          <w:szCs w:val="22"/>
          <w:b w:val="1"/>
          <w:bCs w:val="1"/>
          <w:color w:val="auto"/>
        </w:rPr>
      </w:pPr>
    </w:p>
    <w:p>
      <w:pPr>
        <w:jc w:val="both"/>
        <w:ind w:left="328"/>
        <w:spacing w:after="0" w:line="26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You should also be familiar with, and observe, the provisions of Section C.3 of this Code relating to Gifts, Gratuities and Entertainment, because the giving or receiving of such items could constitute an illegal bribe or kickback under certain circumstances.</w:t>
      </w:r>
    </w:p>
    <w:p>
      <w:pPr>
        <w:spacing w:after="0" w:line="96" w:lineRule="exact"/>
        <w:rPr>
          <w:rFonts w:ascii="Times New Roman" w:cs="Times New Roman" w:eastAsia="Times New Roman" w:hAnsi="Times New Roman"/>
          <w:sz w:val="22"/>
          <w:szCs w:val="22"/>
          <w:b w:val="1"/>
          <w:bCs w:val="1"/>
          <w:color w:val="auto"/>
        </w:rPr>
      </w:pPr>
    </w:p>
    <w:p>
      <w:pPr>
        <w:ind w:left="328" w:hanging="328"/>
        <w:spacing w:after="0"/>
        <w:tabs>
          <w:tab w:leader="none" w:pos="328"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POLITICAL ACTIVITY</w:t>
      </w:r>
    </w:p>
    <w:p>
      <w:pPr>
        <w:spacing w:after="0" w:line="88" w:lineRule="exact"/>
        <w:rPr>
          <w:rFonts w:ascii="Times New Roman" w:cs="Times New Roman" w:eastAsia="Times New Roman" w:hAnsi="Times New Roman"/>
          <w:sz w:val="22"/>
          <w:szCs w:val="22"/>
          <w:b w:val="1"/>
          <w:bCs w:val="1"/>
          <w:color w:val="auto"/>
        </w:rPr>
      </w:pPr>
    </w:p>
    <w:p>
      <w:pPr>
        <w:jc w:val="both"/>
        <w:ind w:left="328"/>
        <w:spacing w:after="0" w:line="27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We do not make contributions or payments that could be considered a contribution to political parties or candidates or to intermediary organizations such as political action committees. However, you are free to exercise your right to make personal political contributions within legal limits, except to the extent these contributions are otherwise prohibited or restricted by other AGNC policies. You should not make these contributions in a way that might appear to be an endorsement or contribution by AGNC. You should be certain that you understand, and are complying with, all such laws, rules and regulations before making any political contributions. We will not reimburse you for political contributions in any way.</w:t>
      </w:r>
    </w:p>
    <w:p>
      <w:pPr>
        <w:spacing w:after="0" w:line="90" w:lineRule="exact"/>
        <w:rPr>
          <w:rFonts w:ascii="Times New Roman" w:cs="Times New Roman" w:eastAsia="Times New Roman" w:hAnsi="Times New Roman"/>
          <w:sz w:val="22"/>
          <w:szCs w:val="22"/>
          <w:b w:val="1"/>
          <w:bCs w:val="1"/>
          <w:color w:val="auto"/>
        </w:rPr>
      </w:pPr>
    </w:p>
    <w:p>
      <w:pPr>
        <w:ind w:left="328" w:hanging="328"/>
        <w:spacing w:after="0"/>
        <w:tabs>
          <w:tab w:leader="none" w:pos="328"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ANTITRUST</w:t>
      </w:r>
    </w:p>
    <w:p>
      <w:pPr>
        <w:spacing w:after="0" w:line="115" w:lineRule="exact"/>
        <w:rPr>
          <w:rFonts w:ascii="Times New Roman" w:cs="Times New Roman" w:eastAsia="Times New Roman" w:hAnsi="Times New Roman"/>
          <w:sz w:val="22"/>
          <w:szCs w:val="22"/>
          <w:b w:val="1"/>
          <w:bCs w:val="1"/>
          <w:color w:val="auto"/>
        </w:rPr>
      </w:pPr>
    </w:p>
    <w:p>
      <w:pPr>
        <w:jc w:val="both"/>
        <w:ind w:left="328"/>
        <w:spacing w:after="0" w:line="26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Antitrust laws generally prohibit agreements or actions that restrain trade or reduce competition. The free enterprise system rests on the notion that free and open competition is the best way to ensure an adequate supply of products and services at reasonable prices. We expect you to adhere to both the spirit and the letter of the antitrust laws of the United States and with all applicable antitrust laws governing competition in any country in which AGNC does business. Violation of antitrust laws can result in severe civil and criminal penalties, including imprisonment for individuals, and AGNC can be subjected to substantial fines and damage awards.</w:t>
      </w:r>
    </w:p>
    <w:p>
      <w:pPr>
        <w:spacing w:after="0" w:line="54" w:lineRule="exact"/>
        <w:rPr>
          <w:rFonts w:ascii="Times New Roman" w:cs="Times New Roman" w:eastAsia="Times New Roman" w:hAnsi="Times New Roman"/>
          <w:sz w:val="22"/>
          <w:szCs w:val="22"/>
          <w:b w:val="1"/>
          <w:bCs w:val="1"/>
          <w:color w:val="auto"/>
        </w:rPr>
      </w:pPr>
    </w:p>
    <w:p>
      <w:pPr>
        <w:ind w:left="648" w:hanging="324"/>
        <w:spacing w:after="0"/>
        <w:tabs>
          <w:tab w:leader="none" w:pos="648"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Agreements with Competitors</w:t>
      </w:r>
    </w:p>
    <w:p>
      <w:pPr>
        <w:spacing w:after="0" w:line="125" w:lineRule="exact"/>
        <w:rPr>
          <w:rFonts w:ascii="Times New Roman" w:cs="Times New Roman" w:eastAsia="Times New Roman" w:hAnsi="Times New Roman"/>
          <w:sz w:val="18"/>
          <w:szCs w:val="18"/>
          <w:b w:val="1"/>
          <w:bCs w:val="1"/>
          <w:color w:val="auto"/>
        </w:rPr>
      </w:pPr>
    </w:p>
    <w:p>
      <w:pPr>
        <w:ind w:left="648"/>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The following agreements, arrangements or understandings between AGNC and its competitors (whether oral or in writing) should be avoided:</w:t>
      </w:r>
    </w:p>
    <w:p>
      <w:pPr>
        <w:sectPr>
          <w:pgSz w:w="11900" w:h="16838" w:orient="portrait"/>
          <w:cols w:equalWidth="0" w:num="1">
            <w:col w:w="10908"/>
          </w:cols>
          <w:pgMar w:left="652" w:top="1440" w:right="339" w:bottom="1440" w:gutter="0" w:footer="0" w:header="0"/>
        </w:sectPr>
      </w:pPr>
    </w:p>
    <w:bookmarkStart w:id="54" w:name="page55"/>
    <w:bookmarkEnd w:id="54"/>
    <w:p>
      <w:pPr>
        <w:spacing w:after="0" w:line="81" w:lineRule="exact"/>
        <w:rPr>
          <w:sz w:val="20"/>
          <w:szCs w:val="20"/>
          <w:color w:val="auto"/>
        </w:rPr>
      </w:pPr>
    </w:p>
    <w:p>
      <w:pPr>
        <w:ind w:left="968" w:hanging="320"/>
        <w:spacing w:after="0"/>
        <w:tabs>
          <w:tab w:leader="none" w:pos="9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Agreements that affect the price or other terms or conditions of sale of products or the terms on which we invest;</w:t>
      </w:r>
    </w:p>
    <w:p>
      <w:pPr>
        <w:spacing w:after="0" w:line="121" w:lineRule="exact"/>
        <w:rPr>
          <w:rFonts w:ascii="Times New Roman" w:cs="Times New Roman" w:eastAsia="Times New Roman" w:hAnsi="Times New Roman"/>
          <w:sz w:val="18"/>
          <w:szCs w:val="18"/>
          <w:color w:val="auto"/>
        </w:rPr>
      </w:pPr>
    </w:p>
    <w:p>
      <w:pPr>
        <w:ind w:left="968" w:right="280" w:hanging="320"/>
        <w:spacing w:after="0" w:line="269" w:lineRule="auto"/>
        <w:tabs>
          <w:tab w:leader="none" w:pos="9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Agreements regarding the companies in which AGNC or its managed companies will, or will not, invest or sell or provide services;</w:t>
      </w:r>
    </w:p>
    <w:p>
      <w:pPr>
        <w:spacing w:after="0" w:line="64"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Agreements to refuse to invest in or sell to particular businesses or to refuse to buy from particular businesses; and</w:t>
      </w:r>
    </w:p>
    <w:p>
      <w:pPr>
        <w:spacing w:after="0" w:line="10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Agreements that limit the types of investments that AGNC will make.</w:t>
      </w:r>
    </w:p>
    <w:p>
      <w:pPr>
        <w:spacing w:after="0" w:line="121" w:lineRule="exact"/>
        <w:rPr>
          <w:sz w:val="20"/>
          <w:szCs w:val="20"/>
          <w:color w:val="auto"/>
        </w:rPr>
      </w:pPr>
    </w:p>
    <w:p>
      <w:pPr>
        <w:jc w:val="both"/>
        <w:ind w:left="648" w:right="20"/>
        <w:spacing w:after="0" w:line="277" w:lineRule="auto"/>
        <w:rPr>
          <w:sz w:val="20"/>
          <w:szCs w:val="20"/>
          <w:color w:val="auto"/>
        </w:rPr>
      </w:pPr>
      <w:r>
        <w:rPr>
          <w:rFonts w:ascii="Times New Roman" w:cs="Times New Roman" w:eastAsia="Times New Roman" w:hAnsi="Times New Roman"/>
          <w:sz w:val="20"/>
          <w:szCs w:val="20"/>
          <w:color w:val="auto"/>
        </w:rPr>
        <w:t>Contacts with our competitors are sensitive and risky, because courts can infer an agreement or collusion from these contacts when they are followed by common action or behavior. We recognize that we may need to work with our competitors in the regular course of our business. In all contacts with our competitors, you are expected to avoid discussing prices, costs, competition, division of markets, marketing plans or studies, or any other proprietary or confidential information.</w:t>
      </w:r>
    </w:p>
    <w:p>
      <w:pPr>
        <w:spacing w:after="0" w:line="45" w:lineRule="exact"/>
        <w:rPr>
          <w:sz w:val="20"/>
          <w:szCs w:val="20"/>
          <w:color w:val="auto"/>
        </w:rPr>
      </w:pPr>
    </w:p>
    <w:p>
      <w:pPr>
        <w:jc w:val="both"/>
        <w:ind w:left="648"/>
        <w:spacing w:after="0" w:line="283" w:lineRule="auto"/>
        <w:rPr>
          <w:sz w:val="20"/>
          <w:szCs w:val="20"/>
          <w:color w:val="auto"/>
        </w:rPr>
      </w:pPr>
      <w:r>
        <w:rPr>
          <w:rFonts w:ascii="Times New Roman" w:cs="Times New Roman" w:eastAsia="Times New Roman" w:hAnsi="Times New Roman"/>
          <w:sz w:val="20"/>
          <w:szCs w:val="20"/>
          <w:color w:val="auto"/>
        </w:rPr>
        <w:t>If any competitor initiates a discussion with you involving the subjects above, you should immediately excuse yourself from the conversation and report the matter to the Chief Compliance Officer or a member of the Legal team.</w:t>
      </w:r>
    </w:p>
    <w:p>
      <w:pPr>
        <w:spacing w:after="0" w:line="75" w:lineRule="exact"/>
        <w:rPr>
          <w:sz w:val="20"/>
          <w:szCs w:val="20"/>
          <w:color w:val="auto"/>
        </w:rPr>
      </w:pPr>
    </w:p>
    <w:p>
      <w:pPr>
        <w:ind w:left="328" w:hanging="328"/>
        <w:spacing w:after="0"/>
        <w:tabs>
          <w:tab w:leader="none" w:pos="32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SECURITIES LAWS AND INSIDER TRADING</w:t>
      </w:r>
    </w:p>
    <w:p>
      <w:pPr>
        <w:spacing w:after="0" w:line="88" w:lineRule="exact"/>
        <w:rPr>
          <w:rFonts w:ascii="Times New Roman" w:cs="Times New Roman" w:eastAsia="Times New Roman" w:hAnsi="Times New Roman"/>
          <w:sz w:val="22"/>
          <w:szCs w:val="22"/>
          <w:b w:val="1"/>
          <w:bCs w:val="1"/>
          <w:color w:val="auto"/>
        </w:rPr>
      </w:pPr>
    </w:p>
    <w:p>
      <w:pPr>
        <w:jc w:val="both"/>
        <w:ind w:left="328"/>
        <w:spacing w:after="0" w:line="26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U.S. federal securities laws are built on the premise that a purchaser and a seller of securities should have equal access to important information regarding the company whose securities they are trading. Consequently, federal securities laws forbid an investor from purchasing or selling securities based upon inside information not available to the other party.</w:t>
      </w:r>
    </w:p>
    <w:p>
      <w:pPr>
        <w:spacing w:after="0" w:line="73" w:lineRule="exact"/>
        <w:rPr>
          <w:rFonts w:ascii="Times New Roman" w:cs="Times New Roman" w:eastAsia="Times New Roman" w:hAnsi="Times New Roman"/>
          <w:sz w:val="22"/>
          <w:szCs w:val="22"/>
          <w:b w:val="1"/>
          <w:bCs w:val="1"/>
          <w:color w:val="auto"/>
        </w:rPr>
      </w:pPr>
    </w:p>
    <w:p>
      <w:pPr>
        <w:jc w:val="both"/>
        <w:ind w:left="328"/>
        <w:spacing w:after="0" w:line="25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consequences of insider trading violations can be severe. AGNC people who trade on inside information, or who communicate (or tip) this information to others so that they may trade, may face a civil penalty of up to three times the profit gained (or loss avoided), a substantial criminal fine and a jail term of up to 20 years. Additionally, if we or our senior officers do not take appropriate steps to prevent AGNC people from insider trading, we may also face severe legal consequences, including, among other things, substantial criminal penalties.</w:t>
      </w:r>
    </w:p>
    <w:p>
      <w:pPr>
        <w:spacing w:after="0" w:line="83" w:lineRule="exact"/>
        <w:rPr>
          <w:rFonts w:ascii="Times New Roman" w:cs="Times New Roman" w:eastAsia="Times New Roman" w:hAnsi="Times New Roman"/>
          <w:sz w:val="22"/>
          <w:szCs w:val="22"/>
          <w:b w:val="1"/>
          <w:bCs w:val="1"/>
          <w:color w:val="auto"/>
        </w:rPr>
      </w:pPr>
    </w:p>
    <w:p>
      <w:pPr>
        <w:jc w:val="both"/>
        <w:ind w:left="328"/>
        <w:spacing w:after="0" w:line="25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Accordingly, if you have material, nonpublic (i.e., inside) information about AGNC or another company, you should not buy or sell securities of AGNC or the other company (including derivative securities such as put and call options) until a reasonable time after the inside information has been publicly disclosed. You also should only disclose or discuss inside information with other AMM Group members who need to know, or use, the information as part of their employment or service for the AMM Group, and you should not disclose inside information to others outside AGNC until a reasonable time after the information has been publicly disclosed. In addition, it is never appropriate for you to advise others to buy or sell AGNC securities.</w:t>
      </w:r>
    </w:p>
    <w:p>
      <w:pPr>
        <w:spacing w:after="0" w:line="70" w:lineRule="exact"/>
        <w:rPr>
          <w:rFonts w:ascii="Times New Roman" w:cs="Times New Roman" w:eastAsia="Times New Roman" w:hAnsi="Times New Roman"/>
          <w:sz w:val="22"/>
          <w:szCs w:val="22"/>
          <w:b w:val="1"/>
          <w:bCs w:val="1"/>
          <w:color w:val="auto"/>
        </w:rPr>
      </w:pPr>
    </w:p>
    <w:p>
      <w:pPr>
        <w:jc w:val="both"/>
        <w:ind w:left="328"/>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AGNC has implemented the AGNC Investment Corp. Policy on Insider Trading to promote compliance with insider trading laws, rules and regulations and establish standards on trading of AGNC securities and the securities of other public companies as to which an AGNC Person may obtain material nonpublic information in the course of his or her services to AGNC. The Policy on Insider Trading is administered by the Chief Compliance Officer. AGNC people with questions regarding insider trading or the policy should contact the Legal Department.</w:t>
      </w:r>
    </w:p>
    <w:p>
      <w:pPr>
        <w:spacing w:after="0" w:line="60" w:lineRule="exact"/>
        <w:rPr>
          <w:rFonts w:ascii="Times New Roman" w:cs="Times New Roman" w:eastAsia="Times New Roman" w:hAnsi="Times New Roman"/>
          <w:sz w:val="22"/>
          <w:szCs w:val="22"/>
          <w:b w:val="1"/>
          <w:bCs w:val="1"/>
          <w:color w:val="auto"/>
        </w:rPr>
      </w:pPr>
    </w:p>
    <w:p>
      <w:pPr>
        <w:ind w:left="328" w:hanging="328"/>
        <w:spacing w:after="0"/>
        <w:tabs>
          <w:tab w:leader="none" w:pos="328"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HARASSMENT AND DISCRIMINATION</w:t>
      </w:r>
    </w:p>
    <w:p>
      <w:pPr>
        <w:sectPr>
          <w:pgSz w:w="11900" w:h="16838" w:orient="portrait"/>
          <w:cols w:equalWidth="0" w:num="1">
            <w:col w:w="10908"/>
          </w:cols>
          <w:pgMar w:left="652" w:top="1440" w:right="339" w:bottom="1440" w:gutter="0" w:footer="0" w:header="0"/>
        </w:sectPr>
      </w:pPr>
    </w:p>
    <w:bookmarkStart w:id="55" w:name="page56"/>
    <w:bookmarkEnd w:id="55"/>
    <w:p>
      <w:pPr>
        <w:spacing w:after="0" w:line="81" w:lineRule="exact"/>
        <w:rPr>
          <w:sz w:val="20"/>
          <w:szCs w:val="20"/>
          <w:color w:val="auto"/>
        </w:rPr>
      </w:pPr>
    </w:p>
    <w:p>
      <w:pPr>
        <w:ind w:left="652" w:right="40"/>
        <w:spacing w:after="0" w:line="253" w:lineRule="auto"/>
        <w:rPr>
          <w:sz w:val="20"/>
          <w:szCs w:val="20"/>
          <w:color w:val="auto"/>
        </w:rPr>
      </w:pPr>
      <w:r>
        <w:rPr>
          <w:rFonts w:ascii="Times New Roman" w:cs="Times New Roman" w:eastAsia="Times New Roman" w:hAnsi="Times New Roman"/>
          <w:sz w:val="20"/>
          <w:szCs w:val="20"/>
          <w:color w:val="auto"/>
        </w:rPr>
        <w:t>We are committed to providing a supportive work environment that is free from harassment and discrimination of any kind. To this end, AGNC has adopted an Anti-Harassment Policy and an Equal Employment Opportunity policy, copies of which are included in the Policy Booklet distributed to all AGNC employees. AGNC will not tolerate discrimination or harassment of employees or non-employees with whom we have a business, service or professional relationship. AGNC people are encouraged to report any acts of harassment or discrimination to the Chief Compliance Officer, the Chair of the Compensation and Corporate Governance Committee of the Board of Directors or to the hotline.</w:t>
      </w:r>
    </w:p>
    <w:p>
      <w:pPr>
        <w:spacing w:after="0" w:line="80" w:lineRule="exact"/>
        <w:rPr>
          <w:sz w:val="20"/>
          <w:szCs w:val="20"/>
          <w:color w:val="auto"/>
        </w:rPr>
      </w:pPr>
    </w:p>
    <w:p>
      <w:pPr>
        <w:ind w:left="652" w:hanging="328"/>
        <w:spacing w:after="0"/>
        <w:tabs>
          <w:tab w:leader="none" w:pos="652" w:val="left"/>
        </w:tabs>
        <w:numPr>
          <w:ilvl w:val="1"/>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HEALTH AND SAFETY</w:t>
      </w:r>
    </w:p>
    <w:p>
      <w:pPr>
        <w:spacing w:after="0" w:line="111" w:lineRule="exact"/>
        <w:rPr>
          <w:rFonts w:ascii="Times New Roman" w:cs="Times New Roman" w:eastAsia="Times New Roman" w:hAnsi="Times New Roman"/>
          <w:sz w:val="20"/>
          <w:szCs w:val="20"/>
          <w:b w:val="1"/>
          <w:bCs w:val="1"/>
          <w:color w:val="auto"/>
        </w:rPr>
      </w:pPr>
    </w:p>
    <w:p>
      <w:pPr>
        <w:ind w:left="652" w:right="4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We strive to provide AGNC people with a safe and healthy work environment. You have a responsibility for maintaining a safe and healthy workplace for all other AGNC people by following safety and health rules and practices and reporting accidents, injuries and unsafe equipment, practices and conditions.</w:t>
      </w:r>
    </w:p>
    <w:p>
      <w:pPr>
        <w:spacing w:after="0" w:line="73" w:lineRule="exact"/>
        <w:rPr>
          <w:rFonts w:ascii="Times New Roman" w:cs="Times New Roman" w:eastAsia="Times New Roman" w:hAnsi="Times New Roman"/>
          <w:sz w:val="20"/>
          <w:szCs w:val="20"/>
          <w:b w:val="1"/>
          <w:bCs w:val="1"/>
          <w:color w:val="auto"/>
        </w:rPr>
      </w:pPr>
    </w:p>
    <w:p>
      <w:pPr>
        <w:ind w:left="652" w:right="1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Violence and threatening behavior are not permitted and will not be tolerated. If any AGNC person knows of actual or potential workplace violence or threatening behavior, he/she should immediately report such concerns to his or her manager, a member of the Human Resources or Legal Departments, the Chief Compliance Officer or the hotline.</w:t>
      </w:r>
    </w:p>
    <w:p>
      <w:pPr>
        <w:spacing w:after="0" w:line="73" w:lineRule="exact"/>
        <w:rPr>
          <w:rFonts w:ascii="Times New Roman" w:cs="Times New Roman" w:eastAsia="Times New Roman" w:hAnsi="Times New Roman"/>
          <w:sz w:val="20"/>
          <w:szCs w:val="20"/>
          <w:b w:val="1"/>
          <w:bCs w:val="1"/>
          <w:color w:val="auto"/>
        </w:rPr>
      </w:pPr>
    </w:p>
    <w:p>
      <w:pPr>
        <w:ind w:left="652" w:right="20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AGNC people are expected to conduct AGNC business free from the influence of any substance that could impair job performance. This includes alcohol, illegal drugs, controlled substances and, in certain instances, prescription medication. The use, sale and/or distribution of illegal drugs in the workplace will not be tolerated at any time.</w:t>
      </w:r>
    </w:p>
    <w:p>
      <w:pPr>
        <w:spacing w:after="0" w:line="69" w:lineRule="exact"/>
        <w:rPr>
          <w:rFonts w:ascii="Times New Roman" w:cs="Times New Roman" w:eastAsia="Times New Roman" w:hAnsi="Times New Roman"/>
          <w:sz w:val="20"/>
          <w:szCs w:val="20"/>
          <w:b w:val="1"/>
          <w:bCs w:val="1"/>
          <w:color w:val="auto"/>
        </w:rPr>
      </w:pPr>
    </w:p>
    <w:p>
      <w:pPr>
        <w:ind w:left="652" w:hanging="328"/>
        <w:spacing w:after="0"/>
        <w:tabs>
          <w:tab w:leader="none" w:pos="652" w:val="left"/>
        </w:tabs>
        <w:numPr>
          <w:ilvl w:val="1"/>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INTERNATIONAL ISSUES</w:t>
      </w:r>
    </w:p>
    <w:p>
      <w:pPr>
        <w:spacing w:after="0" w:line="111" w:lineRule="exact"/>
        <w:rPr>
          <w:rFonts w:ascii="Times New Roman" w:cs="Times New Roman" w:eastAsia="Times New Roman" w:hAnsi="Times New Roman"/>
          <w:sz w:val="20"/>
          <w:szCs w:val="20"/>
          <w:b w:val="1"/>
          <w:bCs w:val="1"/>
          <w:color w:val="auto"/>
        </w:rPr>
      </w:pPr>
    </w:p>
    <w:p>
      <w:pPr>
        <w:ind w:left="652" w:right="2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are expected to comply with the legal requirements and ethical standards of each country in which you conduct AGNC business, as well as with all U.S. laws applicable in other countries.</w:t>
      </w:r>
    </w:p>
    <w:p>
      <w:pPr>
        <w:spacing w:after="0" w:line="38" w:lineRule="exact"/>
        <w:rPr>
          <w:rFonts w:ascii="Times New Roman" w:cs="Times New Roman" w:eastAsia="Times New Roman" w:hAnsi="Times New Roman"/>
          <w:sz w:val="20"/>
          <w:szCs w:val="20"/>
          <w:b w:val="1"/>
          <w:bCs w:val="1"/>
          <w:color w:val="auto"/>
        </w:rPr>
      </w:pPr>
    </w:p>
    <w:p>
      <w:pPr>
        <w:ind w:left="652"/>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FCPA applies to business transactions both inside the United States and in other countries. Its requirements relate to accurate and complete financial books and records, transactions with foreign government officials and restrictions on the use of funds for unlawful or improper purposes. Because violation of the FCPA can bring severe penalties, including criminal fines for the company and individuals and jail terms, it is essential that you become familiar with the FCPA’s requirements if you are involved in investment transactions or other business in a foreign country. Other legal requirements may affect our international business or transactions. These include, but are not limited to, laws, rules and regulations prohibiting money laundering and transactions with specifically designated nationals subject to government sanctions, which are covered by our Anti-Money Laundering Policy. If you have any questions regarding legal requirements applicable to international business or transactions, please contact a member of our Legal team.</w:t>
      </w:r>
    </w:p>
    <w:p>
      <w:pPr>
        <w:spacing w:after="0" w:line="77" w:lineRule="exact"/>
        <w:rPr>
          <w:rFonts w:ascii="Times New Roman" w:cs="Times New Roman" w:eastAsia="Times New Roman" w:hAnsi="Times New Roman"/>
          <w:sz w:val="20"/>
          <w:szCs w:val="20"/>
          <w:b w:val="1"/>
          <w:bCs w:val="1"/>
          <w:color w:val="auto"/>
        </w:rPr>
      </w:pPr>
    </w:p>
    <w:p>
      <w:pPr>
        <w:ind w:left="372" w:hanging="372"/>
        <w:spacing w:after="0"/>
        <w:tabs>
          <w:tab w:leader="none" w:pos="372"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AVOIDING CONFLICTS OF INTEREST</w:t>
      </w:r>
    </w:p>
    <w:p>
      <w:pPr>
        <w:spacing w:after="0" w:line="134" w:lineRule="exact"/>
        <w:rPr>
          <w:rFonts w:ascii="Times New Roman" w:cs="Times New Roman" w:eastAsia="Times New Roman" w:hAnsi="Times New Roman"/>
          <w:sz w:val="20"/>
          <w:szCs w:val="20"/>
          <w:b w:val="1"/>
          <w:bCs w:val="1"/>
          <w:color w:val="auto"/>
        </w:rPr>
      </w:pPr>
    </w:p>
    <w:p>
      <w:pPr>
        <w:ind w:left="652" w:hanging="328"/>
        <w:spacing w:after="0"/>
        <w:tabs>
          <w:tab w:leader="none" w:pos="652"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GENERALLY</w:t>
      </w:r>
    </w:p>
    <w:p>
      <w:pPr>
        <w:spacing w:after="0" w:line="102" w:lineRule="exact"/>
        <w:rPr>
          <w:rFonts w:ascii="Times New Roman" w:cs="Times New Roman" w:eastAsia="Times New Roman" w:hAnsi="Times New Roman"/>
          <w:sz w:val="22"/>
          <w:szCs w:val="22"/>
          <w:b w:val="1"/>
          <w:bCs w:val="1"/>
          <w:color w:val="auto"/>
        </w:rPr>
      </w:pPr>
    </w:p>
    <w:p>
      <w:pPr>
        <w:ind w:left="652" w:right="40"/>
        <w:spacing w:after="0" w:line="25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All AGNC people have a duty of loyalty to act in the best interests of the company. We expect you to avoid situations and relationships that involve actual or potential conflicts of interest. Generally, a conflict of interest arises whenever your personal interests diverge from your responsibilities to AGNC or from AGNC’s best interests. Put another way, a conflict of interest is created whenever an activity, association or relationship of yours might impair your independent exercise of judgment in AGNC’s best interest.</w:t>
      </w:r>
    </w:p>
    <w:p>
      <w:pPr>
        <w:sectPr>
          <w:pgSz w:w="11900" w:h="16838" w:orient="portrait"/>
          <w:cols w:equalWidth="0" w:num="1">
            <w:col w:w="11212"/>
          </w:cols>
          <w:pgMar w:left="328" w:top="1440" w:right="359" w:bottom="1440" w:gutter="0" w:footer="0" w:header="0"/>
        </w:sectPr>
      </w:pPr>
    </w:p>
    <w:bookmarkStart w:id="56" w:name="page57"/>
    <w:bookmarkEnd w:id="56"/>
    <w:p>
      <w:pPr>
        <w:spacing w:after="0" w:line="8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0"/>
          <w:szCs w:val="20"/>
          <w:color w:val="auto"/>
        </w:rPr>
        <w:t>Examples of situations that could be perceived as conflicts of interest and should be avoided include:</w:t>
      </w:r>
    </w:p>
    <w:p>
      <w:pPr>
        <w:spacing w:after="0" w:line="121" w:lineRule="exact"/>
        <w:rPr>
          <w:sz w:val="20"/>
          <w:szCs w:val="20"/>
          <w:color w:val="auto"/>
        </w:rPr>
      </w:pPr>
    </w:p>
    <w:p>
      <w:pPr>
        <w:ind w:left="968" w:hanging="320"/>
        <w:spacing w:after="0"/>
        <w:tabs>
          <w:tab w:leader="none" w:pos="96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AGNC’s business with a company owned, partially owned or controlled by you or a member of your family;</w:t>
      </w:r>
    </w:p>
    <w:p>
      <w:pPr>
        <w:spacing w:after="0" w:line="107" w:lineRule="exact"/>
        <w:rPr>
          <w:rFonts w:ascii="Times New Roman" w:cs="Times New Roman" w:eastAsia="Times New Roman" w:hAnsi="Times New Roman"/>
          <w:sz w:val="20"/>
          <w:szCs w:val="20"/>
          <w:color w:val="auto"/>
        </w:rPr>
      </w:pPr>
    </w:p>
    <w:p>
      <w:pPr>
        <w:ind w:left="968" w:right="520" w:hanging="320"/>
        <w:spacing w:after="0" w:line="283" w:lineRule="auto"/>
        <w:tabs>
          <w:tab w:leader="none" w:pos="9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Ownership of more than one percent of the stock of a company that competes or does business with AGNC (other than indirect ownership as a result of owning a widely-held mutual fund);</w:t>
      </w:r>
    </w:p>
    <w:p>
      <w:pPr>
        <w:spacing w:after="0" w:line="38" w:lineRule="exact"/>
        <w:rPr>
          <w:rFonts w:ascii="Times New Roman" w:cs="Times New Roman" w:eastAsia="Times New Roman" w:hAnsi="Times New Roman"/>
          <w:sz w:val="18"/>
          <w:szCs w:val="18"/>
          <w:color w:val="auto"/>
        </w:rPr>
      </w:pPr>
    </w:p>
    <w:p>
      <w:pPr>
        <w:ind w:left="968" w:right="180" w:hanging="320"/>
        <w:spacing w:after="0" w:line="283" w:lineRule="auto"/>
        <w:tabs>
          <w:tab w:leader="none" w:pos="9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Working as an employee or a consultant for a competitor, regulatory government entity, investment company or supplier of AGNC (other than as part of your AGNC employment);</w:t>
      </w:r>
    </w:p>
    <w:p>
      <w:pPr>
        <w:spacing w:after="0" w:line="51" w:lineRule="exact"/>
        <w:rPr>
          <w:rFonts w:ascii="Times New Roman" w:cs="Times New Roman" w:eastAsia="Times New Roman" w:hAnsi="Times New Roman"/>
          <w:sz w:val="18"/>
          <w:szCs w:val="18"/>
          <w:color w:val="auto"/>
        </w:rPr>
      </w:pPr>
    </w:p>
    <w:p>
      <w:pPr>
        <w:ind w:left="968" w:right="60" w:hanging="320"/>
        <w:spacing w:after="0" w:line="269" w:lineRule="auto"/>
        <w:tabs>
          <w:tab w:leader="none" w:pos="9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Doing any work for a third party that may adversely affect your performance or judgment on the job or diminish your ability to devote the necessary time and attention to your duties; and</w:t>
      </w:r>
    </w:p>
    <w:p>
      <w:pPr>
        <w:spacing w:after="0" w:line="64"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Appropriating or diverting to yourself or others any business opportunity or idea in which AGNC might have an interest.</w:t>
      </w:r>
    </w:p>
    <w:p>
      <w:pPr>
        <w:spacing w:after="0" w:line="108" w:lineRule="exact"/>
        <w:rPr>
          <w:sz w:val="20"/>
          <w:szCs w:val="20"/>
          <w:color w:val="auto"/>
        </w:rPr>
      </w:pPr>
    </w:p>
    <w:p>
      <w:pPr>
        <w:jc w:val="both"/>
        <w:ind w:left="328" w:right="80"/>
        <w:spacing w:after="0" w:line="268" w:lineRule="auto"/>
        <w:rPr>
          <w:sz w:val="20"/>
          <w:szCs w:val="20"/>
          <w:color w:val="auto"/>
        </w:rPr>
      </w:pPr>
      <w:r>
        <w:rPr>
          <w:rFonts w:ascii="Times New Roman" w:cs="Times New Roman" w:eastAsia="Times New Roman" w:hAnsi="Times New Roman"/>
          <w:sz w:val="20"/>
          <w:szCs w:val="20"/>
          <w:color w:val="auto"/>
        </w:rPr>
        <w:t>These situations (and others like them), where your loyalties to AGNC could be compromised, must be avoided. If you believe that you are involved in a potential conflict of interest, we expect you to discuss it with your supervisor or the Chief Compliance Officer. If a conflict is determined to exist, you must disengage from the conflict situation or terminate your employment.</w:t>
      </w:r>
    </w:p>
    <w:p>
      <w:pPr>
        <w:spacing w:after="0" w:line="49" w:lineRule="exact"/>
        <w:rPr>
          <w:sz w:val="20"/>
          <w:szCs w:val="20"/>
          <w:color w:val="auto"/>
        </w:rPr>
      </w:pPr>
    </w:p>
    <w:p>
      <w:pPr>
        <w:ind w:left="328" w:hanging="328"/>
        <w:spacing w:after="0"/>
        <w:tabs>
          <w:tab w:leader="none" w:pos="328"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USE OF OUR ASSETS</w:t>
      </w:r>
    </w:p>
    <w:p>
      <w:pPr>
        <w:spacing w:after="0" w:line="125" w:lineRule="exact"/>
        <w:rPr>
          <w:rFonts w:ascii="Times New Roman" w:cs="Times New Roman" w:eastAsia="Times New Roman" w:hAnsi="Times New Roman"/>
          <w:sz w:val="20"/>
          <w:szCs w:val="20"/>
          <w:b w:val="1"/>
          <w:bCs w:val="1"/>
          <w:color w:val="auto"/>
        </w:rPr>
      </w:pPr>
    </w:p>
    <w:p>
      <w:pPr>
        <w:ind w:left="32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are responsible for the proper use of AGNC’s physical resources and property, as well as its proprietary information.</w:t>
      </w:r>
    </w:p>
    <w:p>
      <w:pPr>
        <w:spacing w:after="0" w:line="107" w:lineRule="exact"/>
        <w:rPr>
          <w:rFonts w:ascii="Times New Roman" w:cs="Times New Roman" w:eastAsia="Times New Roman" w:hAnsi="Times New Roman"/>
          <w:sz w:val="20"/>
          <w:szCs w:val="20"/>
          <w:b w:val="1"/>
          <w:bCs w:val="1"/>
          <w:color w:val="auto"/>
        </w:rPr>
      </w:pPr>
    </w:p>
    <w:p>
      <w:pPr>
        <w:ind w:left="328" w:right="14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Our offices, equipment, supplies and other resources may not be used for activities that are not related to your employment with AGNC, except for any activities that have been approved in writing in advance by us, or for personal usage that is minor in amount and reasonable. If you are found to be engaging in, or attempting, theft of any AGNC property, including documents, equipment, intellectual property, personal property of other employees, cash or any other items of value, you may be subject to immediate termination of your employment or contract and possible criminal proceedings. We expect you to report any theft or attempted theft to your supervisor or the Chief Compliance Officer.</w:t>
      </w:r>
    </w:p>
    <w:p>
      <w:pPr>
        <w:spacing w:after="0" w:line="84" w:lineRule="exact"/>
        <w:rPr>
          <w:rFonts w:ascii="Times New Roman" w:cs="Times New Roman" w:eastAsia="Times New Roman" w:hAnsi="Times New Roman"/>
          <w:sz w:val="20"/>
          <w:szCs w:val="20"/>
          <w:b w:val="1"/>
          <w:bCs w:val="1"/>
          <w:color w:val="auto"/>
        </w:rPr>
      </w:pPr>
    </w:p>
    <w:p>
      <w:pPr>
        <w:ind w:left="328"/>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Proprietary words, slogans, symbols, logos or other devices used to identify AGNC and its proprietary methods and services are important business tools and valuable assets, which require care in their use and treatment. You may not negotiate or enter into any agreement respecting AGNC’s trademarks, service marks or logos without first consulting a member of our Legal team. We also respect the intellectual property rights of others. Thus, using the trademark or service mark of, or referencing for marketing purposes, another company (even one with whom AGNC has a business relationship), requires clearance or approval by our Legal team, to determine whether the use of that other company’s mark is proper. You should avoid the unauthorized use of copyrighted or patented materials of others and should ask a member of the Legal team if you have any questions regarding the permissibility of photocopying, excerpting, electronically copying or otherwise using copyrighted or patented materials. In addition, simply because material is available for copying (such as content or images downloaded from the internet) does not mean that it is automatically legal or permissible to copy or distribute.</w:t>
      </w:r>
    </w:p>
    <w:p>
      <w:pPr>
        <w:sectPr>
          <w:pgSz w:w="11900" w:h="16838" w:orient="portrait"/>
          <w:cols w:equalWidth="0" w:num="1">
            <w:col w:w="10888"/>
          </w:cols>
          <w:pgMar w:left="652" w:top="1440" w:right="359" w:bottom="1440" w:gutter="0" w:footer="0" w:header="0"/>
        </w:sectPr>
      </w:pPr>
    </w:p>
    <w:bookmarkStart w:id="57" w:name="page58"/>
    <w:bookmarkEnd w:id="57"/>
    <w:p>
      <w:pPr>
        <w:spacing w:after="0" w:line="104" w:lineRule="exact"/>
        <w:rPr>
          <w:sz w:val="20"/>
          <w:szCs w:val="20"/>
          <w:color w:val="auto"/>
        </w:rPr>
      </w:pPr>
    </w:p>
    <w:p>
      <w:pPr>
        <w:ind w:left="652" w:hanging="328"/>
        <w:spacing w:after="0"/>
        <w:tabs>
          <w:tab w:leader="none" w:pos="652"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GIFTS, GRATUITIES AND ENTERTAINMENT</w:t>
      </w:r>
    </w:p>
    <w:p>
      <w:pPr>
        <w:spacing w:after="0" w:line="98" w:lineRule="exact"/>
        <w:rPr>
          <w:rFonts w:ascii="Times New Roman" w:cs="Times New Roman" w:eastAsia="Times New Roman" w:hAnsi="Times New Roman"/>
          <w:sz w:val="22"/>
          <w:szCs w:val="22"/>
          <w:b w:val="1"/>
          <w:bCs w:val="1"/>
          <w:color w:val="auto"/>
        </w:rPr>
      </w:pPr>
    </w:p>
    <w:p>
      <w:pPr>
        <w:ind w:left="972" w:hanging="324"/>
        <w:spacing w:after="0"/>
        <w:tabs>
          <w:tab w:leader="none" w:pos="972"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Giving</w:t>
      </w:r>
    </w:p>
    <w:p>
      <w:pPr>
        <w:spacing w:after="0" w:line="111" w:lineRule="exact"/>
        <w:rPr>
          <w:rFonts w:ascii="Times New Roman" w:cs="Times New Roman" w:eastAsia="Times New Roman" w:hAnsi="Times New Roman"/>
          <w:sz w:val="18"/>
          <w:szCs w:val="18"/>
          <w:b w:val="1"/>
          <w:bCs w:val="1"/>
          <w:color w:val="auto"/>
        </w:rPr>
      </w:pPr>
    </w:p>
    <w:p>
      <w:pPr>
        <w:jc w:val="both"/>
        <w:ind w:left="972"/>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You may not offer money, gifts or other items or services of value to anyone with whom we do business or potentially would do business for the purpose of securing an investment opportunity or contract or obtaining favorable treatment. Business-connected favors or gifts may not be extended unless they:</w:t>
      </w:r>
    </w:p>
    <w:p>
      <w:pPr>
        <w:spacing w:after="0" w:line="59" w:lineRule="exact"/>
        <w:rPr>
          <w:rFonts w:ascii="Times New Roman" w:cs="Times New Roman" w:eastAsia="Times New Roman" w:hAnsi="Times New Roman"/>
          <w:sz w:val="18"/>
          <w:szCs w:val="18"/>
          <w:b w:val="1"/>
          <w:bCs w:val="1"/>
          <w:color w:val="auto"/>
        </w:rPr>
      </w:pPr>
    </w:p>
    <w:p>
      <w:pPr>
        <w:ind w:left="1292" w:hanging="320"/>
        <w:spacing w:after="0"/>
        <w:tabs>
          <w:tab w:leader="none" w:pos="1292"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Are consistent with customary business practices;</w:t>
      </w:r>
    </w:p>
    <w:p>
      <w:pPr>
        <w:spacing w:after="0" w:line="121"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Do not have substantial monetary value and would not be viewed as improper by others; and</w:t>
      </w:r>
    </w:p>
    <w:p>
      <w:pPr>
        <w:spacing w:after="0" w:line="10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Do not violate applicable laws, rules or regulations.</w:t>
      </w:r>
    </w:p>
    <w:p>
      <w:pPr>
        <w:spacing w:after="0" w:line="121" w:lineRule="exact"/>
        <w:rPr>
          <w:sz w:val="20"/>
          <w:szCs w:val="20"/>
          <w:color w:val="auto"/>
        </w:rPr>
      </w:pPr>
    </w:p>
    <w:p>
      <w:pPr>
        <w:jc w:val="both"/>
        <w:ind w:left="972"/>
        <w:spacing w:after="0" w:line="268" w:lineRule="auto"/>
        <w:rPr>
          <w:sz w:val="20"/>
          <w:szCs w:val="20"/>
          <w:color w:val="auto"/>
        </w:rPr>
      </w:pPr>
      <w:r>
        <w:rPr>
          <w:rFonts w:ascii="Times New Roman" w:cs="Times New Roman" w:eastAsia="Times New Roman" w:hAnsi="Times New Roman"/>
          <w:sz w:val="20"/>
          <w:szCs w:val="20"/>
          <w:color w:val="auto"/>
        </w:rPr>
        <w:t>Business entertainment in the form of meals and beverages may be offered only if these activities and related expenses are modest and infrequent. Other forms of entertainment (such as tickets to sporting, civic or cultural events) are allowed only if reasonable, customary and not excessive. You should not give to or receive from vendors or service providers gift cards or other cash-like items.</w:t>
      </w:r>
    </w:p>
    <w:p>
      <w:pPr>
        <w:spacing w:after="0" w:line="49" w:lineRule="exact"/>
        <w:rPr>
          <w:sz w:val="20"/>
          <w:szCs w:val="20"/>
          <w:color w:val="auto"/>
        </w:rPr>
      </w:pPr>
    </w:p>
    <w:p>
      <w:pPr>
        <w:ind w:left="972" w:hanging="324"/>
        <w:spacing w:after="0"/>
        <w:tabs>
          <w:tab w:leader="none" w:pos="972"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Receiving</w:t>
      </w:r>
    </w:p>
    <w:p>
      <w:pPr>
        <w:spacing w:after="0" w:line="125" w:lineRule="exact"/>
        <w:rPr>
          <w:rFonts w:ascii="Times New Roman" w:cs="Times New Roman" w:eastAsia="Times New Roman" w:hAnsi="Times New Roman"/>
          <w:sz w:val="20"/>
          <w:szCs w:val="20"/>
          <w:b w:val="1"/>
          <w:bCs w:val="1"/>
          <w:color w:val="auto"/>
        </w:rPr>
      </w:pPr>
    </w:p>
    <w:p>
      <w:pPr>
        <w:ind w:left="97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avoid even the implication of impropriety, you should decline any gift, favor, entertainment or anything else of value from current or prospective intermediaries, clients, suppliers or contractors or their representatives except for:</w:t>
      </w:r>
    </w:p>
    <w:p>
      <w:pPr>
        <w:spacing w:after="0" w:line="64" w:lineRule="exact"/>
        <w:rPr>
          <w:rFonts w:ascii="Times New Roman" w:cs="Times New Roman" w:eastAsia="Times New Roman" w:hAnsi="Times New Roman"/>
          <w:sz w:val="20"/>
          <w:szCs w:val="20"/>
          <w:b w:val="1"/>
          <w:bCs w:val="1"/>
          <w:color w:val="auto"/>
        </w:rPr>
      </w:pPr>
    </w:p>
    <w:p>
      <w:pPr>
        <w:ind w:left="1292" w:hanging="320"/>
        <w:spacing w:after="0"/>
        <w:tabs>
          <w:tab w:leader="none" w:pos="12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Gifts that do not have substantial monetary value given at holidays or other special occasions;</w:t>
      </w:r>
    </w:p>
    <w:p>
      <w:pPr>
        <w:spacing w:after="0" w:line="121" w:lineRule="exact"/>
        <w:rPr>
          <w:rFonts w:ascii="Times New Roman" w:cs="Times New Roman" w:eastAsia="Times New Roman" w:hAnsi="Times New Roman"/>
          <w:sz w:val="18"/>
          <w:szCs w:val="18"/>
          <w:color w:val="auto"/>
        </w:rPr>
      </w:pPr>
    </w:p>
    <w:p>
      <w:pPr>
        <w:ind w:left="1292" w:right="220" w:hanging="320"/>
        <w:spacing w:after="0" w:line="269" w:lineRule="auto"/>
        <w:tabs>
          <w:tab w:leader="none" w:pos="128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Reasonable entertainment at lunch, dinner or business meetings where the return of the expenditure on a reciprocal basis is likely to occur and would be properly chargeable as a business expense;</w:t>
      </w:r>
    </w:p>
    <w:p>
      <w:pPr>
        <w:spacing w:after="0" w:line="64" w:lineRule="exact"/>
        <w:rPr>
          <w:rFonts w:ascii="Times New Roman" w:cs="Times New Roman" w:eastAsia="Times New Roman" w:hAnsi="Times New Roman"/>
          <w:sz w:val="18"/>
          <w:szCs w:val="18"/>
          <w:color w:val="auto"/>
        </w:rPr>
      </w:pPr>
    </w:p>
    <w:p>
      <w:pPr>
        <w:ind w:left="1292" w:right="360" w:hanging="320"/>
        <w:spacing w:after="0" w:line="269" w:lineRule="auto"/>
        <w:tabs>
          <w:tab w:leader="none" w:pos="128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Promotional materials, including gift cards, received at conferences or other widely attended corporate or industry events with a value of less than $50; or</w:t>
      </w:r>
    </w:p>
    <w:p>
      <w:pPr>
        <w:spacing w:after="0" w:line="64" w:lineRule="exact"/>
        <w:rPr>
          <w:rFonts w:ascii="Times New Roman" w:cs="Times New Roman" w:eastAsia="Times New Roman" w:hAnsi="Times New Roman"/>
          <w:sz w:val="18"/>
          <w:szCs w:val="18"/>
          <w:color w:val="auto"/>
        </w:rPr>
      </w:pPr>
    </w:p>
    <w:p>
      <w:pPr>
        <w:ind w:left="1292" w:right="360" w:hanging="320"/>
        <w:spacing w:after="0" w:line="269" w:lineRule="auto"/>
        <w:tabs>
          <w:tab w:leader="none" w:pos="128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Other routine entertainment that is business-related such as sports outings or cultural events, but only if such is otherwise acceptable under this Code and is reasonable, customary and not excessive.</w:t>
      </w:r>
    </w:p>
    <w:p>
      <w:pPr>
        <w:spacing w:after="0" w:line="65" w:lineRule="exact"/>
        <w:rPr>
          <w:sz w:val="20"/>
          <w:szCs w:val="20"/>
          <w:color w:val="auto"/>
        </w:rPr>
      </w:pPr>
    </w:p>
    <w:p>
      <w:pPr>
        <w:jc w:val="both"/>
        <w:ind w:left="972"/>
        <w:spacing w:after="0" w:line="258" w:lineRule="auto"/>
        <w:rPr>
          <w:sz w:val="20"/>
          <w:szCs w:val="20"/>
          <w:color w:val="auto"/>
        </w:rPr>
      </w:pPr>
      <w:r>
        <w:rPr>
          <w:rFonts w:ascii="Times New Roman" w:cs="Times New Roman" w:eastAsia="Times New Roman" w:hAnsi="Times New Roman"/>
          <w:sz w:val="20"/>
          <w:szCs w:val="20"/>
          <w:color w:val="auto"/>
        </w:rPr>
        <w:t>In the event that you receive any gift or entertainment with a fair market value in excess of $200, you must promptly report it to your supervisor and/or such other person as may be designated by the Chief Compliance Officer. Executive officers must report such gifts or entertainment in writing, on a periodic basis, to the Audit Committee of the Board of Directors (the “Audit Committee”).</w:t>
      </w:r>
    </w:p>
    <w:p>
      <w:pPr>
        <w:spacing w:after="0" w:line="64" w:lineRule="exact"/>
        <w:rPr>
          <w:sz w:val="20"/>
          <w:szCs w:val="20"/>
          <w:color w:val="auto"/>
        </w:rPr>
      </w:pPr>
    </w:p>
    <w:p>
      <w:pPr>
        <w:jc w:val="both"/>
        <w:ind w:left="972"/>
        <w:spacing w:after="0" w:line="283" w:lineRule="auto"/>
        <w:rPr>
          <w:sz w:val="20"/>
          <w:szCs w:val="20"/>
          <w:color w:val="auto"/>
        </w:rPr>
      </w:pPr>
      <w:r>
        <w:rPr>
          <w:rFonts w:ascii="Times New Roman" w:cs="Times New Roman" w:eastAsia="Times New Roman" w:hAnsi="Times New Roman"/>
          <w:sz w:val="20"/>
          <w:szCs w:val="20"/>
          <w:color w:val="auto"/>
        </w:rPr>
        <w:t>Ultimately, you must exercise good business judgment in deciding which situations are unacceptable. If there is ever any doubt as to the acceptability of any entertainment activity, consult with your supervisor or our Chief Compliance Officer.</w:t>
      </w:r>
    </w:p>
    <w:p>
      <w:pPr>
        <w:spacing w:after="0" w:line="48" w:lineRule="exact"/>
        <w:rPr>
          <w:sz w:val="20"/>
          <w:szCs w:val="20"/>
          <w:color w:val="auto"/>
        </w:rPr>
      </w:pPr>
    </w:p>
    <w:p>
      <w:pPr>
        <w:ind w:left="392" w:hanging="392"/>
        <w:spacing w:after="0"/>
        <w:tabs>
          <w:tab w:leader="none" w:pos="392"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MAINTAINING ACCURATE AND COMPLETE COMPANY RECORDS</w:t>
      </w:r>
    </w:p>
    <w:p>
      <w:pPr>
        <w:spacing w:after="0" w:line="107" w:lineRule="exact"/>
        <w:rPr>
          <w:rFonts w:ascii="Times New Roman" w:cs="Times New Roman" w:eastAsia="Times New Roman" w:hAnsi="Times New Roman"/>
          <w:sz w:val="20"/>
          <w:szCs w:val="20"/>
          <w:b w:val="1"/>
          <w:bCs w:val="1"/>
          <w:color w:val="auto"/>
        </w:rPr>
      </w:pPr>
    </w:p>
    <w:p>
      <w:pPr>
        <w:ind w:left="652" w:hanging="328"/>
        <w:spacing w:after="0"/>
        <w:tabs>
          <w:tab w:leader="none" w:pos="652"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ACCOUNTING AND FINANCIAL RECORDS</w:t>
      </w:r>
    </w:p>
    <w:p>
      <w:pPr>
        <w:spacing w:after="0" w:line="125"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We are required under U.S. federal securities laws and generally accepted accounting principles to keep books, records and accounts that accurately reflect all transactions and to provide an</w:t>
      </w:r>
    </w:p>
    <w:p>
      <w:pPr>
        <w:sectPr>
          <w:pgSz w:w="11900" w:h="16838" w:orient="portrait"/>
          <w:cols w:equalWidth="0" w:num="1">
            <w:col w:w="11232"/>
          </w:cols>
          <w:pgMar w:left="328" w:top="1440" w:right="339" w:bottom="1440" w:gutter="0" w:footer="0" w:header="0"/>
        </w:sectPr>
      </w:pPr>
    </w:p>
    <w:bookmarkStart w:id="58" w:name="page59"/>
    <w:bookmarkEnd w:id="58"/>
    <w:p>
      <w:pPr>
        <w:spacing w:after="0" w:line="81" w:lineRule="exact"/>
        <w:rPr>
          <w:sz w:val="20"/>
          <w:szCs w:val="20"/>
          <w:color w:val="auto"/>
        </w:rPr>
      </w:pPr>
    </w:p>
    <w:p>
      <w:pPr>
        <w:ind w:left="328"/>
        <w:spacing w:after="0" w:line="310" w:lineRule="auto"/>
        <w:rPr>
          <w:sz w:val="20"/>
          <w:szCs w:val="20"/>
          <w:color w:val="auto"/>
        </w:rPr>
      </w:pPr>
      <w:r>
        <w:rPr>
          <w:rFonts w:ascii="Times New Roman" w:cs="Times New Roman" w:eastAsia="Times New Roman" w:hAnsi="Times New Roman"/>
          <w:sz w:val="19"/>
          <w:szCs w:val="19"/>
          <w:color w:val="auto"/>
        </w:rPr>
        <w:t>adequate system of internal accounting and controls. We expect you to ensure that those portions of our books, records and accounts for which you have responsibility are valid, complete, accurate and supported by appropriate documentation in verifiable form.</w:t>
      </w:r>
    </w:p>
    <w:p>
      <w:pPr>
        <w:spacing w:after="0" w:line="1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0"/>
          <w:szCs w:val="20"/>
          <w:color w:val="auto"/>
        </w:rPr>
        <w:t>You should not:</w:t>
      </w:r>
    </w:p>
    <w:p>
      <w:pPr>
        <w:spacing w:after="0" w:line="121" w:lineRule="exact"/>
        <w:rPr>
          <w:sz w:val="20"/>
          <w:szCs w:val="20"/>
          <w:color w:val="auto"/>
        </w:rPr>
      </w:pPr>
    </w:p>
    <w:p>
      <w:pPr>
        <w:ind w:left="648" w:hanging="324"/>
        <w:spacing w:after="0"/>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Improperly accelerate or defer expenses or revenues to achieve financial results or goals;</w:t>
      </w:r>
    </w:p>
    <w:p>
      <w:pPr>
        <w:spacing w:after="0" w:line="107"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Deviate from any accounting standards applicable to AGNC or otherwise;</w:t>
      </w:r>
    </w:p>
    <w:p>
      <w:pPr>
        <w:spacing w:after="0" w:line="12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Participate in the valuation of any of our assets at a value other than that required by law;</w:t>
      </w:r>
    </w:p>
    <w:p>
      <w:pPr>
        <w:spacing w:after="0" w:line="12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Maintain any undisclosed or unrecorded funds or off the book assets;</w:t>
      </w:r>
    </w:p>
    <w:p>
      <w:pPr>
        <w:spacing w:after="0" w:line="107"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Establish or maintain improper, misleading, incomplete or fraudulent accounting documentation or financial reporting;</w:t>
      </w:r>
    </w:p>
    <w:p>
      <w:pPr>
        <w:spacing w:after="0" w:line="12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Make any payment for purposes other than those described in the documents supporting the payment;</w:t>
      </w:r>
    </w:p>
    <w:p>
      <w:pPr>
        <w:spacing w:after="0" w:line="107" w:lineRule="exact"/>
        <w:rPr>
          <w:rFonts w:ascii="Times New Roman" w:cs="Times New Roman" w:eastAsia="Times New Roman" w:hAnsi="Times New Roman"/>
          <w:sz w:val="18"/>
          <w:szCs w:val="18"/>
          <w:color w:val="auto"/>
        </w:rPr>
      </w:pPr>
    </w:p>
    <w:p>
      <w:pPr>
        <w:ind w:left="648" w:right="120" w:hanging="324"/>
        <w:spacing w:after="0" w:line="283" w:lineRule="auto"/>
        <w:tabs>
          <w:tab w:leader="none" w:pos="6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Submit or approve any expense report where you know or suspect that any portion of the underlying expenses were not incurred or are not accurate; or</w:t>
      </w:r>
    </w:p>
    <w:p>
      <w:pPr>
        <w:spacing w:after="0" w:line="5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Sign any documents believed to be inaccurate or untruthful.</w:t>
      </w:r>
    </w:p>
    <w:p>
      <w:pPr>
        <w:spacing w:after="0" w:line="108" w:lineRule="exact"/>
        <w:rPr>
          <w:sz w:val="20"/>
          <w:szCs w:val="20"/>
          <w:color w:val="auto"/>
        </w:rPr>
      </w:pPr>
    </w:p>
    <w:p>
      <w:pPr>
        <w:jc w:val="both"/>
        <w:ind w:left="328"/>
        <w:spacing w:after="0" w:line="257" w:lineRule="auto"/>
        <w:rPr>
          <w:sz w:val="20"/>
          <w:szCs w:val="20"/>
          <w:color w:val="auto"/>
        </w:rPr>
      </w:pPr>
      <w:r>
        <w:rPr>
          <w:rFonts w:ascii="Times New Roman" w:cs="Times New Roman" w:eastAsia="Times New Roman" w:hAnsi="Times New Roman"/>
          <w:sz w:val="20"/>
          <w:szCs w:val="20"/>
          <w:color w:val="auto"/>
        </w:rPr>
        <w:t>AGNC people who exercise supervisory duties over our assets or records are expected to establish and implement appropriate internal controls over all areas of their responsibility. This will help ensure the safeguarding of AGNC’s assets and the accuracy of our financial records and reports. We have adopted and will continue to adopt various types of internal controls and procedures as required to meet internal needs and applicable laws and regulations. We expect you to follow these controls and procedures to the extent they apply to you, to assure the complete and accurate recording of all transactions.</w:t>
      </w:r>
    </w:p>
    <w:p>
      <w:pPr>
        <w:spacing w:after="0" w:line="65" w:lineRule="exact"/>
        <w:rPr>
          <w:sz w:val="20"/>
          <w:szCs w:val="20"/>
          <w:color w:val="auto"/>
        </w:rPr>
      </w:pPr>
    </w:p>
    <w:p>
      <w:pPr>
        <w:jc w:val="both"/>
        <w:ind w:left="328"/>
        <w:spacing w:after="0" w:line="261" w:lineRule="auto"/>
        <w:rPr>
          <w:sz w:val="20"/>
          <w:szCs w:val="20"/>
          <w:color w:val="auto"/>
        </w:rPr>
      </w:pPr>
      <w:r>
        <w:rPr>
          <w:rFonts w:ascii="Times New Roman" w:cs="Times New Roman" w:eastAsia="Times New Roman" w:hAnsi="Times New Roman"/>
          <w:sz w:val="20"/>
          <w:szCs w:val="20"/>
          <w:color w:val="auto"/>
        </w:rPr>
        <w:t>Any accounting entries or adjustments that materially depart from generally accepted accounting principles must be approved by our Audit Committee and reported to our independent auditors. You must not interfere with or seek to influence improperly (directly or indirectly) the review or auditing of our financial records by our Audit Committee or independent auditors.</w:t>
      </w:r>
    </w:p>
    <w:p>
      <w:pPr>
        <w:spacing w:after="0" w:line="73" w:lineRule="exact"/>
        <w:rPr>
          <w:sz w:val="20"/>
          <w:szCs w:val="20"/>
          <w:color w:val="auto"/>
        </w:rPr>
      </w:pPr>
    </w:p>
    <w:p>
      <w:pPr>
        <w:jc w:val="both"/>
        <w:ind w:left="328"/>
        <w:spacing w:after="0" w:line="253" w:lineRule="auto"/>
        <w:rPr>
          <w:sz w:val="20"/>
          <w:szCs w:val="20"/>
          <w:color w:val="auto"/>
        </w:rPr>
      </w:pPr>
      <w:r>
        <w:rPr>
          <w:rFonts w:ascii="Times New Roman" w:cs="Times New Roman" w:eastAsia="Times New Roman" w:hAnsi="Times New Roman"/>
          <w:sz w:val="20"/>
          <w:szCs w:val="20"/>
          <w:color w:val="auto"/>
        </w:rPr>
        <w:t>If you become aware of any questionable transaction or accounting practice concerning AGNC, our investments or our other assets, we expect you to report the matter immediately to our Chief Compliance Officer or to a member of our Audit Committee. In addition, we expect you to report all material off-balance-sheet transactions, arrangements and obligations, contingent or otherwise, and other AGNC relationships outside the ordinary course of business with unconsolidated entities or other persons that may have material current or future effects on our financial condition or results of operations to our Chief Compliance Officer or to a member of our Audit Committee.</w:t>
      </w:r>
    </w:p>
    <w:p>
      <w:pPr>
        <w:spacing w:after="0" w:line="71" w:lineRule="exact"/>
        <w:rPr>
          <w:sz w:val="20"/>
          <w:szCs w:val="20"/>
          <w:color w:val="auto"/>
        </w:rPr>
      </w:pPr>
    </w:p>
    <w:p>
      <w:pPr>
        <w:jc w:val="both"/>
        <w:ind w:left="328" w:right="20"/>
        <w:spacing w:after="0" w:line="283" w:lineRule="auto"/>
        <w:rPr>
          <w:sz w:val="20"/>
          <w:szCs w:val="20"/>
          <w:color w:val="auto"/>
        </w:rPr>
      </w:pPr>
      <w:r>
        <w:rPr>
          <w:rFonts w:ascii="Times New Roman" w:cs="Times New Roman" w:eastAsia="Times New Roman" w:hAnsi="Times New Roman"/>
          <w:sz w:val="20"/>
          <w:szCs w:val="20"/>
          <w:color w:val="auto"/>
        </w:rPr>
        <w:t>Section F.2 of this Code describes the procedure for making these reports. You may also make an anonymous report under Section F.2 if you are not comfortable revealing your identity when making a report.</w:t>
      </w:r>
    </w:p>
    <w:p>
      <w:pPr>
        <w:spacing w:after="0" w:line="48" w:lineRule="exact"/>
        <w:rPr>
          <w:sz w:val="20"/>
          <w:szCs w:val="20"/>
          <w:color w:val="auto"/>
        </w:rPr>
      </w:pPr>
    </w:p>
    <w:p>
      <w:pPr>
        <w:ind w:left="328" w:hanging="328"/>
        <w:spacing w:after="0"/>
        <w:tabs>
          <w:tab w:leader="none" w:pos="328"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DISCLOSURES TO INVESTORS</w:t>
      </w:r>
    </w:p>
    <w:p>
      <w:pPr>
        <w:spacing w:after="0" w:line="111" w:lineRule="exact"/>
        <w:rPr>
          <w:rFonts w:ascii="Times New Roman" w:cs="Times New Roman" w:eastAsia="Times New Roman" w:hAnsi="Times New Roman"/>
          <w:sz w:val="20"/>
          <w:szCs w:val="20"/>
          <w:b w:val="1"/>
          <w:bCs w:val="1"/>
          <w:color w:val="auto"/>
        </w:rPr>
      </w:pPr>
    </w:p>
    <w:p>
      <w:pPr>
        <w:jc w:val="both"/>
        <w:ind w:left="328"/>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We are required under U.S. federal securities laws to provide the public with periodic disclosure regarding our business and financial condition (such as quarterly and annual reports and materials for our annual stockholders’ meeting). We provide additional disclosures to the public through our quarterly earnings calls and press releases and provide disclosures to our lenders and other credit providers through various means. All AGNC people who participate in the preparation or</w:t>
      </w:r>
    </w:p>
    <w:p>
      <w:pPr>
        <w:sectPr>
          <w:pgSz w:w="11900" w:h="16838" w:orient="portrait"/>
          <w:cols w:equalWidth="0" w:num="1">
            <w:col w:w="10908"/>
          </w:cols>
          <w:pgMar w:left="652" w:top="1440" w:right="339" w:bottom="1440" w:gutter="0" w:footer="0" w:header="0"/>
        </w:sectPr>
      </w:pPr>
    </w:p>
    <w:bookmarkStart w:id="59" w:name="page60"/>
    <w:bookmarkEnd w:id="59"/>
    <w:p>
      <w:pPr>
        <w:spacing w:after="0" w:line="81" w:lineRule="exact"/>
        <w:rPr>
          <w:sz w:val="20"/>
          <w:szCs w:val="20"/>
          <w:color w:val="auto"/>
        </w:rPr>
      </w:pPr>
    </w:p>
    <w:p>
      <w:pPr>
        <w:jc w:val="both"/>
        <w:ind w:left="652"/>
        <w:spacing w:after="0" w:line="283" w:lineRule="auto"/>
        <w:rPr>
          <w:sz w:val="20"/>
          <w:szCs w:val="20"/>
          <w:color w:val="auto"/>
        </w:rPr>
      </w:pPr>
      <w:r>
        <w:rPr>
          <w:rFonts w:ascii="Times New Roman" w:cs="Times New Roman" w:eastAsia="Times New Roman" w:hAnsi="Times New Roman"/>
          <w:sz w:val="20"/>
          <w:szCs w:val="20"/>
          <w:color w:val="auto"/>
        </w:rPr>
        <w:t>dissemination of these disclosures, or who provide information that they know may be used in the preparation of these disclosures, have a legal and ethical duty to ensure that the content of the disclosures is accurate, complete and timely.</w:t>
      </w:r>
    </w:p>
    <w:p>
      <w:pPr>
        <w:spacing w:after="0" w:line="38"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20"/>
          <w:szCs w:val="20"/>
          <w:color w:val="auto"/>
        </w:rPr>
        <w:t>We have created and will continue to create disclosure controls and procedures that are designed to ensure that all such disclosures are accurate, complete and timely. If you become aware that our disclosures are not accurate, complete and timely, or become aware of a transaction or development you believe may require disclosure, you should report the matter immediately to our Chief Compliance Officer or a member of the Audit Committee.</w:t>
      </w:r>
    </w:p>
    <w:p>
      <w:pPr>
        <w:spacing w:after="0" w:line="74" w:lineRule="exact"/>
        <w:rPr>
          <w:sz w:val="20"/>
          <w:szCs w:val="20"/>
          <w:color w:val="auto"/>
        </w:rPr>
      </w:pPr>
    </w:p>
    <w:p>
      <w:pPr>
        <w:ind w:left="652" w:hanging="328"/>
        <w:spacing w:after="0"/>
        <w:tabs>
          <w:tab w:leader="none" w:pos="652" w:val="left"/>
        </w:tabs>
        <w:numPr>
          <w:ilvl w:val="1"/>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RETENTION OF DOCUMENTS</w:t>
      </w:r>
    </w:p>
    <w:p>
      <w:pPr>
        <w:spacing w:after="0" w:line="111" w:lineRule="exact"/>
        <w:rPr>
          <w:rFonts w:ascii="Times New Roman" w:cs="Times New Roman" w:eastAsia="Times New Roman" w:hAnsi="Times New Roman"/>
          <w:sz w:val="20"/>
          <w:szCs w:val="20"/>
          <w:b w:val="1"/>
          <w:bCs w:val="1"/>
          <w:color w:val="auto"/>
        </w:rPr>
      </w:pPr>
    </w:p>
    <w:p>
      <w:pPr>
        <w:jc w:val="both"/>
        <w:ind w:left="652"/>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Certain types of documents and records (including, for example, e-mails) must be retained for specific periods of time, because of legal and regulatory requirements, or contractual obligations to our providers of capital or others. These periods of time, and the types of documents and records covered, may vary from time to time and will be announced as appropriate. We expect you to comply with the document retention requirements that apply to you. If you are working with these types of documents and records, or are uncertain whether the documents or records you are working with are subject to these retention requirements, please consult with your supervisor, a member of our Legal team or our Chief Compliance Officer.</w:t>
      </w:r>
    </w:p>
    <w:p>
      <w:pPr>
        <w:spacing w:after="0" w:line="84" w:lineRule="exact"/>
        <w:rPr>
          <w:rFonts w:ascii="Times New Roman" w:cs="Times New Roman" w:eastAsia="Times New Roman" w:hAnsi="Times New Roman"/>
          <w:sz w:val="20"/>
          <w:szCs w:val="20"/>
          <w:b w:val="1"/>
          <w:bCs w:val="1"/>
          <w:color w:val="auto"/>
        </w:rPr>
      </w:pPr>
    </w:p>
    <w:p>
      <w:pPr>
        <w:jc w:val="both"/>
        <w:ind w:left="652"/>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Whenever you become aware that documents or records of any type may be required in connection with a lawsuit or government investigation, you must preserve all possibly relevant documents. This means that you must immediately stop disposing of or altering those documents pertaining to the subjects of the litigation or investigation, even if that activity is ordinary or routine. If you are uncertain whether documents or records under your control should be preserved because they might relate to a lawsuit or investigation, you should contact a member of our Legal team or our Chief Compliance Officer.</w:t>
      </w:r>
    </w:p>
    <w:p>
      <w:pPr>
        <w:spacing w:after="0" w:line="79" w:lineRule="exact"/>
        <w:rPr>
          <w:rFonts w:ascii="Times New Roman" w:cs="Times New Roman" w:eastAsia="Times New Roman" w:hAnsi="Times New Roman"/>
          <w:sz w:val="20"/>
          <w:szCs w:val="20"/>
          <w:b w:val="1"/>
          <w:bCs w:val="1"/>
          <w:color w:val="auto"/>
        </w:rPr>
      </w:pPr>
    </w:p>
    <w:p>
      <w:pPr>
        <w:ind w:left="372" w:hanging="372"/>
        <w:spacing w:after="0"/>
        <w:tabs>
          <w:tab w:leader="none" w:pos="372"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PROTECTING CONFIDENTIAL INFORMATION</w:t>
      </w:r>
    </w:p>
    <w:p>
      <w:pPr>
        <w:spacing w:after="0" w:line="107" w:lineRule="exact"/>
        <w:rPr>
          <w:rFonts w:ascii="Times New Roman" w:cs="Times New Roman" w:eastAsia="Times New Roman" w:hAnsi="Times New Roman"/>
          <w:sz w:val="20"/>
          <w:szCs w:val="20"/>
          <w:b w:val="1"/>
          <w:bCs w:val="1"/>
          <w:color w:val="auto"/>
        </w:rPr>
      </w:pPr>
    </w:p>
    <w:p>
      <w:pPr>
        <w:ind w:left="652" w:hanging="328"/>
        <w:spacing w:after="0"/>
        <w:tabs>
          <w:tab w:leader="none" w:pos="652" w:val="left"/>
        </w:tabs>
        <w:numPr>
          <w:ilvl w:val="1"/>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AGNC CONFIDENTIAL INFORMATION</w:t>
      </w:r>
    </w:p>
    <w:p>
      <w:pPr>
        <w:spacing w:after="0" w:line="125"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will often have access to information that is private to AGNC, has not been made public and constitutes trade secrets or proprietary information. Protection of this information is critical to our ability to grow and compete.</w:t>
      </w:r>
    </w:p>
    <w:p>
      <w:pPr>
        <w:spacing w:after="0" w:line="64" w:lineRule="exact"/>
        <w:rPr>
          <w:rFonts w:ascii="Times New Roman" w:cs="Times New Roman" w:eastAsia="Times New Roman" w:hAnsi="Times New Roman"/>
          <w:sz w:val="20"/>
          <w:szCs w:val="20"/>
          <w:b w:val="1"/>
          <w:bCs w:val="1"/>
          <w:color w:val="auto"/>
        </w:rPr>
      </w:pPr>
    </w:p>
    <w:p>
      <w:pPr>
        <w:ind w:left="652" w:right="2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Under the laws of most jurisdictions where we do business, trade secrets are legally protected property as long as they remain secret (meaning not generally or publicly known).</w:t>
      </w:r>
    </w:p>
    <w:p>
      <w:pPr>
        <w:spacing w:after="0" w:line="38"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Your obligations with respect to our confidential trade secrets and proprietary information are:</w:t>
      </w:r>
    </w:p>
    <w:p>
      <w:pPr>
        <w:spacing w:after="0" w:line="121" w:lineRule="exact"/>
        <w:rPr>
          <w:rFonts w:ascii="Times New Roman" w:cs="Times New Roman" w:eastAsia="Times New Roman" w:hAnsi="Times New Roman"/>
          <w:sz w:val="20"/>
          <w:szCs w:val="20"/>
          <w:b w:val="1"/>
          <w:bCs w:val="1"/>
          <w:color w:val="auto"/>
        </w:rPr>
      </w:pPr>
    </w:p>
    <w:p>
      <w:pPr>
        <w:ind w:left="972" w:hanging="324"/>
        <w:spacing w:after="0"/>
        <w:tabs>
          <w:tab w:leader="none" w:pos="972"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 to disclose the information outside of AGNC;</w:t>
      </w:r>
    </w:p>
    <w:p>
      <w:pPr>
        <w:spacing w:after="0" w:line="107"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 to use the information for any purpose except to benefit AGNC’s business; and</w:t>
      </w:r>
    </w:p>
    <w:p>
      <w:pPr>
        <w:spacing w:after="0" w:line="121" w:lineRule="exact"/>
        <w:rPr>
          <w:rFonts w:ascii="Times New Roman" w:cs="Times New Roman" w:eastAsia="Times New Roman" w:hAnsi="Times New Roman"/>
          <w:sz w:val="18"/>
          <w:szCs w:val="18"/>
          <w:color w:val="auto"/>
        </w:rPr>
      </w:pPr>
    </w:p>
    <w:p>
      <w:pPr>
        <w:ind w:left="972" w:right="160" w:hanging="324"/>
        <w:spacing w:after="0" w:line="283" w:lineRule="auto"/>
        <w:tabs>
          <w:tab w:leader="none" w:pos="967"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 to disclose the information within AGNC, except to other AGNC people who need to know, or use, the information and are aware that it constitutes a trade secret or proprietary information.</w:t>
      </w:r>
    </w:p>
    <w:p>
      <w:pPr>
        <w:spacing w:after="0" w:line="38"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20"/>
          <w:szCs w:val="20"/>
          <w:color w:val="auto"/>
        </w:rPr>
        <w:t>These obligations continue even after you leave AGNC, until the information becomes publicly available or until we no longer consider it a trade secret or proprietary information. Any documents, papers or records that contain trade secrets or proprietary information are our property and must remain at the company. In certain cases, AGNC people have executed nondisclosure agreements, employment agreements or other similar agreements that govern their obligations with respect to our information.</w:t>
      </w:r>
    </w:p>
    <w:p>
      <w:pPr>
        <w:sectPr>
          <w:pgSz w:w="11900" w:h="16838" w:orient="portrait"/>
          <w:cols w:equalWidth="0" w:num="1">
            <w:col w:w="11232"/>
          </w:cols>
          <w:pgMar w:left="328" w:top="1440" w:right="339" w:bottom="1440" w:gutter="0" w:footer="0" w:header="0"/>
        </w:sectPr>
      </w:pPr>
    </w:p>
    <w:bookmarkStart w:id="60" w:name="page61"/>
    <w:bookmarkEnd w:id="60"/>
    <w:p>
      <w:pPr>
        <w:spacing w:after="0" w:line="81" w:lineRule="exact"/>
        <w:rPr>
          <w:sz w:val="20"/>
          <w:szCs w:val="20"/>
          <w:color w:val="auto"/>
        </w:rPr>
      </w:pPr>
    </w:p>
    <w:p>
      <w:pPr>
        <w:jc w:val="both"/>
        <w:ind w:left="328"/>
        <w:spacing w:after="0" w:line="258" w:lineRule="auto"/>
        <w:rPr>
          <w:sz w:val="20"/>
          <w:szCs w:val="20"/>
          <w:color w:val="auto"/>
        </w:rPr>
      </w:pPr>
      <w:r>
        <w:rPr>
          <w:rFonts w:ascii="Times New Roman" w:cs="Times New Roman" w:eastAsia="Times New Roman" w:hAnsi="Times New Roman"/>
          <w:sz w:val="20"/>
          <w:szCs w:val="20"/>
          <w:color w:val="auto"/>
        </w:rPr>
        <w:t>Our confidential trade secrets and proprietary information may include, among other things, information regarding our operations, business plans, investments, customers, strategies, trade secrets, records, finances, assets, data or other information that reveals the processes, methodologies or know how by which our existing or future investments, services or methods of operation are developed, conducted or operated.</w:t>
      </w:r>
    </w:p>
    <w:p>
      <w:pPr>
        <w:spacing w:after="0" w:line="60" w:lineRule="exact"/>
        <w:rPr>
          <w:sz w:val="20"/>
          <w:szCs w:val="20"/>
          <w:color w:val="auto"/>
        </w:rPr>
      </w:pPr>
    </w:p>
    <w:p>
      <w:pPr>
        <w:ind w:left="328" w:hanging="328"/>
        <w:spacing w:after="0"/>
        <w:tabs>
          <w:tab w:leader="none" w:pos="328"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 OF OTHERS</w:t>
      </w:r>
    </w:p>
    <w:p>
      <w:pPr>
        <w:spacing w:after="0" w:line="125" w:lineRule="exact"/>
        <w:rPr>
          <w:rFonts w:ascii="Times New Roman" w:cs="Times New Roman" w:eastAsia="Times New Roman" w:hAnsi="Times New Roman"/>
          <w:sz w:val="20"/>
          <w:szCs w:val="20"/>
          <w:b w:val="1"/>
          <w:bCs w:val="1"/>
          <w:color w:val="auto"/>
        </w:rPr>
      </w:pPr>
    </w:p>
    <w:p>
      <w:pPr>
        <w:jc w:val="both"/>
        <w:ind w:left="328"/>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normal course of business, you will acquire information about many other organizations, including clients, suppliers and competitors. This is a normal business activity and is not unethical in itself. We properly gather this kind of information for such purposes as evaluating investments. We also collect information on competitors from a variety of legitimate sources to evaluate the relative merits of our own investments and other business practices.</w:t>
      </w:r>
    </w:p>
    <w:p>
      <w:pPr>
        <w:spacing w:after="0" w:line="64" w:lineRule="exact"/>
        <w:rPr>
          <w:rFonts w:ascii="Times New Roman" w:cs="Times New Roman" w:eastAsia="Times New Roman" w:hAnsi="Times New Roman"/>
          <w:sz w:val="20"/>
          <w:szCs w:val="20"/>
          <w:b w:val="1"/>
          <w:bCs w:val="1"/>
          <w:color w:val="auto"/>
        </w:rPr>
      </w:pPr>
    </w:p>
    <w:p>
      <w:pPr>
        <w:jc w:val="both"/>
        <w:ind w:left="328"/>
        <w:spacing w:after="0" w:line="26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are, however, limits to the ways that this information should be acquired and used. When working with sensitive information about our customers or suppliers, you should use that information only for the purposes for which it was disclosed to you and make it available only to other AGNC people with a legitimate need to know.</w:t>
      </w:r>
    </w:p>
    <w:p>
      <w:pPr>
        <w:spacing w:after="0" w:line="53" w:lineRule="exact"/>
        <w:rPr>
          <w:rFonts w:ascii="Times New Roman" w:cs="Times New Roman" w:eastAsia="Times New Roman" w:hAnsi="Times New Roman"/>
          <w:sz w:val="20"/>
          <w:szCs w:val="20"/>
          <w:b w:val="1"/>
          <w:bCs w:val="1"/>
          <w:color w:val="auto"/>
        </w:rPr>
      </w:pPr>
    </w:p>
    <w:p>
      <w:pPr>
        <w:jc w:val="both"/>
        <w:ind w:left="328"/>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should not use illegitimate means to acquire a competitor’s trade secrets or other confidential information. Illegal practices such as trespassing, burglary, wiretapping, bribery and stealing are obviously wrong. We will not tolerate any form of questionable intelligence-gathering. In addition, we strive to protect the privacy of personal information of others. We will only collect, use, process, and disclose an individual’s personal information in accordance with applicable law and our internal policies.</w:t>
      </w:r>
    </w:p>
    <w:p>
      <w:pPr>
        <w:spacing w:after="0" w:line="73" w:lineRule="exact"/>
        <w:rPr>
          <w:rFonts w:ascii="Times New Roman" w:cs="Times New Roman" w:eastAsia="Times New Roman" w:hAnsi="Times New Roman"/>
          <w:sz w:val="20"/>
          <w:szCs w:val="20"/>
          <w:b w:val="1"/>
          <w:bCs w:val="1"/>
          <w:color w:val="auto"/>
        </w:rPr>
      </w:pPr>
    </w:p>
    <w:p>
      <w:pPr>
        <w:ind w:left="328" w:hanging="328"/>
        <w:spacing w:after="0"/>
        <w:tabs>
          <w:tab w:leader="none" w:pos="328"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INADVERTENT DISCLOSURE</w:t>
      </w:r>
    </w:p>
    <w:p>
      <w:pPr>
        <w:spacing w:after="0" w:line="111" w:lineRule="exact"/>
        <w:rPr>
          <w:rFonts w:ascii="Times New Roman" w:cs="Times New Roman" w:eastAsia="Times New Roman" w:hAnsi="Times New Roman"/>
          <w:sz w:val="20"/>
          <w:szCs w:val="20"/>
          <w:b w:val="1"/>
          <w:bCs w:val="1"/>
          <w:color w:val="auto"/>
        </w:rPr>
      </w:pPr>
    </w:p>
    <w:p>
      <w:pPr>
        <w:jc w:val="both"/>
        <w:ind w:left="328"/>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should be careful to avoid the inadvertent disclosure of proprietary information. To avoid inadvertent disclosure, you should never discuss with any unauthorized person proprietary information that AGNC considers confidential or that we have not made public. You also should not discuss this information even with authorized AGNC people if you are in locations where unauthorized people may overhear you, such as airplanes or elevators, or when using non-secure electronic bulletin boards or databases. You should also not discuss this information with family members or with friends, because they may innocently or unintentionally pass the information on to someone else.</w:t>
      </w:r>
    </w:p>
    <w:p>
      <w:pPr>
        <w:spacing w:after="0" w:line="80" w:lineRule="exact"/>
        <w:rPr>
          <w:rFonts w:ascii="Times New Roman" w:cs="Times New Roman" w:eastAsia="Times New Roman" w:hAnsi="Times New Roman"/>
          <w:sz w:val="20"/>
          <w:szCs w:val="20"/>
          <w:b w:val="1"/>
          <w:bCs w:val="1"/>
          <w:color w:val="auto"/>
        </w:rPr>
      </w:pPr>
    </w:p>
    <w:p>
      <w:pPr>
        <w:ind w:left="328" w:hanging="328"/>
        <w:spacing w:after="0"/>
        <w:tabs>
          <w:tab w:leader="none" w:pos="328"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CONTACTS WITH REPORTERS, ANALYSTS AND OTHER MEDIA</w:t>
      </w:r>
    </w:p>
    <w:p>
      <w:pPr>
        <w:spacing w:after="0" w:line="111" w:lineRule="exact"/>
        <w:rPr>
          <w:rFonts w:ascii="Times New Roman" w:cs="Times New Roman" w:eastAsia="Times New Roman" w:hAnsi="Times New Roman"/>
          <w:sz w:val="20"/>
          <w:szCs w:val="20"/>
          <w:b w:val="1"/>
          <w:bCs w:val="1"/>
          <w:color w:val="auto"/>
        </w:rPr>
      </w:pPr>
    </w:p>
    <w:p>
      <w:pPr>
        <w:jc w:val="both"/>
        <w:ind w:left="328"/>
        <w:spacing w:after="0" w:line="25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Because of the importance of the legal requirements regarding disclosure of certain information to our investors, we must make certain that any information regarding our business, financial condition or operating results that is released to the public is accurate and consistent. As a result, you should not discuss internal AGNC matters with anyone outside of AGNC, except as clearly required in the performance of your job duties. This prohibition applies particularly to inquiries about AGNC made by the news media, securities analysts or investors. All responses to these inquiries must be made only by our executive officers (and individuals specifically designated by them, including members of our Investor Relations and Corporate Communications staffs), who are authorized to discuss information about AGNC with the news media, securities analysts and investors. If you receive inquiries from these sources, you should immediately refer them to one of these authorized spokespersons.</w:t>
      </w:r>
    </w:p>
    <w:p>
      <w:pPr>
        <w:spacing w:after="0" w:line="87" w:lineRule="exact"/>
        <w:rPr>
          <w:rFonts w:ascii="Times New Roman" w:cs="Times New Roman" w:eastAsia="Times New Roman" w:hAnsi="Times New Roman"/>
          <w:sz w:val="20"/>
          <w:szCs w:val="20"/>
          <w:b w:val="1"/>
          <w:bCs w:val="1"/>
          <w:color w:val="auto"/>
        </w:rPr>
      </w:pPr>
    </w:p>
    <w:p>
      <w:pPr>
        <w:ind w:left="328"/>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should also be noted that the foregoing restrictions also apply with regard to the disclosure of information through other media, including but not limited to bulletin boards, internet chat rooms and social media.</w:t>
      </w:r>
    </w:p>
    <w:p>
      <w:pPr>
        <w:sectPr>
          <w:pgSz w:w="11900" w:h="16838" w:orient="portrait"/>
          <w:cols w:equalWidth="0" w:num="1">
            <w:col w:w="10908"/>
          </w:cols>
          <w:pgMar w:left="652" w:top="1440" w:right="339" w:bottom="1440" w:gutter="0" w:footer="0" w:header="0"/>
        </w:sectPr>
      </w:pPr>
    </w:p>
    <w:bookmarkStart w:id="61" w:name="page62"/>
    <w:bookmarkEnd w:id="61"/>
    <w:p>
      <w:pPr>
        <w:spacing w:after="0" w:line="77" w:lineRule="exact"/>
        <w:rPr>
          <w:sz w:val="20"/>
          <w:szCs w:val="20"/>
          <w:color w:val="auto"/>
        </w:rPr>
      </w:pPr>
    </w:p>
    <w:p>
      <w:pPr>
        <w:ind w:left="332" w:hanging="332"/>
        <w:spacing w:after="0"/>
        <w:tabs>
          <w:tab w:leader="none" w:pos="3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ADMINISTRATION OF THIS CODE</w:t>
      </w:r>
    </w:p>
    <w:p>
      <w:pPr>
        <w:spacing w:after="0" w:line="121" w:lineRule="exact"/>
        <w:rPr>
          <w:rFonts w:ascii="Times New Roman" w:cs="Times New Roman" w:eastAsia="Times New Roman" w:hAnsi="Times New Roman"/>
          <w:sz w:val="20"/>
          <w:szCs w:val="20"/>
          <w:color w:val="auto"/>
        </w:rPr>
      </w:pPr>
    </w:p>
    <w:p>
      <w:pPr>
        <w:ind w:left="652" w:hanging="328"/>
        <w:spacing w:after="0"/>
        <w:tabs>
          <w:tab w:leader="none" w:pos="652" w:val="left"/>
        </w:tabs>
        <w:numPr>
          <w:ilvl w:val="1"/>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ONGOING REVIEW OF COMPLIANCE</w:t>
      </w:r>
    </w:p>
    <w:p>
      <w:pPr>
        <w:spacing w:after="0" w:line="111" w:lineRule="exact"/>
        <w:rPr>
          <w:rFonts w:ascii="Times New Roman" w:cs="Times New Roman" w:eastAsia="Times New Roman" w:hAnsi="Times New Roman"/>
          <w:sz w:val="20"/>
          <w:szCs w:val="20"/>
          <w:b w:val="1"/>
          <w:bCs w:val="1"/>
          <w:color w:val="auto"/>
        </w:rPr>
      </w:pPr>
    </w:p>
    <w:p>
      <w:pPr>
        <w:jc w:val="both"/>
        <w:ind w:left="652"/>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We require all AGNC people to comply with this Code. Upon your receipt of this Code, and also from time to time as we deem to be necessary, we may require you to sign an acknowledgement confirming that you have read and understood this Code and agree to comply with its provisions. We reserve the right to monitor your continuing compliance with the provisions of this Code and to investigate any suspected violations. If substantiated, these violations could result in disciplinary action, as described more fully in the following sections.</w:t>
      </w:r>
    </w:p>
    <w:p>
      <w:pPr>
        <w:spacing w:after="0" w:line="60" w:lineRule="exact"/>
        <w:rPr>
          <w:rFonts w:ascii="Times New Roman" w:cs="Times New Roman" w:eastAsia="Times New Roman" w:hAnsi="Times New Roman"/>
          <w:sz w:val="20"/>
          <w:szCs w:val="20"/>
          <w:b w:val="1"/>
          <w:bCs w:val="1"/>
          <w:color w:val="auto"/>
        </w:rPr>
      </w:pPr>
    </w:p>
    <w:p>
      <w:pPr>
        <w:ind w:left="652" w:hanging="328"/>
        <w:spacing w:after="0"/>
        <w:tabs>
          <w:tab w:leader="none" w:pos="652" w:val="left"/>
        </w:tabs>
        <w:numPr>
          <w:ilvl w:val="1"/>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 OF SUSPECTED VIOLATIONS</w:t>
      </w:r>
    </w:p>
    <w:p>
      <w:pPr>
        <w:spacing w:after="0" w:line="125" w:lineRule="exact"/>
        <w:rPr>
          <w:rFonts w:ascii="Times New Roman" w:cs="Times New Roman" w:eastAsia="Times New Roman" w:hAnsi="Times New Roman"/>
          <w:sz w:val="20"/>
          <w:szCs w:val="20"/>
          <w:b w:val="1"/>
          <w:bCs w:val="1"/>
          <w:color w:val="auto"/>
        </w:rPr>
      </w:pPr>
    </w:p>
    <w:p>
      <w:pPr>
        <w:jc w:val="both"/>
        <w:ind w:left="652"/>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We expect you to bring to the attention of the Chief Compliance Officer (or any people that the Chief Compliance Officer designates) information about suspected violations of this Code by any other AGNC person as promptly as practicable. Additionally, we may designate a third-party hotline provider to which information about suspected violations of the Code may be reported. If you have information about suspected improper accounting or auditing matters, you should bring such information to the attention of our Chief Compliance Officer or a member of our Audit Committee directly. To contact our Audit Committee or to submit a report to them, please contact them at the contact information that we will distribute periodically.</w:t>
      </w:r>
    </w:p>
    <w:p>
      <w:pPr>
        <w:spacing w:after="0" w:line="70" w:lineRule="exact"/>
        <w:rPr>
          <w:rFonts w:ascii="Times New Roman" w:cs="Times New Roman" w:eastAsia="Times New Roman" w:hAnsi="Times New Roman"/>
          <w:sz w:val="20"/>
          <w:szCs w:val="20"/>
          <w:b w:val="1"/>
          <w:bCs w:val="1"/>
          <w:color w:val="auto"/>
        </w:rPr>
      </w:pPr>
    </w:p>
    <w:p>
      <w:pPr>
        <w:ind w:left="652"/>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you are not comfortable revealing your identity when making a report, you can also make an anonymous report with our Chief Compliance Officer, the hotline or our Audit Committee.</w:t>
      </w:r>
    </w:p>
    <w:p>
      <w:pPr>
        <w:spacing w:after="0" w:line="51" w:lineRule="exact"/>
        <w:rPr>
          <w:rFonts w:ascii="Times New Roman" w:cs="Times New Roman" w:eastAsia="Times New Roman" w:hAnsi="Times New Roman"/>
          <w:sz w:val="20"/>
          <w:szCs w:val="20"/>
          <w:b w:val="1"/>
          <w:bCs w:val="1"/>
          <w:color w:val="auto"/>
        </w:rPr>
      </w:pPr>
    </w:p>
    <w:p>
      <w:pPr>
        <w:jc w:val="both"/>
        <w:ind w:left="652"/>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should feel safe in reporting this information, without regard to the identity or position of the suspected offender. We will treat the information in a confidential manner (consistent with appropriate evaluation and investigation) and will not take any acts of retribution or retaliation against you for making a report.</w:t>
      </w:r>
    </w:p>
    <w:p>
      <w:pPr>
        <w:spacing w:after="0" w:line="59" w:lineRule="exact"/>
        <w:rPr>
          <w:rFonts w:ascii="Times New Roman" w:cs="Times New Roman" w:eastAsia="Times New Roman" w:hAnsi="Times New Roman"/>
          <w:sz w:val="20"/>
          <w:szCs w:val="20"/>
          <w:b w:val="1"/>
          <w:bCs w:val="1"/>
          <w:color w:val="auto"/>
        </w:rPr>
      </w:pPr>
    </w:p>
    <w:p>
      <w:pPr>
        <w:jc w:val="both"/>
        <w:ind w:left="652"/>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Because failure to report criminal activity can itself be understood to condone the crime, we emphasize the importance of prompt reporting. For both criminal activity and other violations of this Code, failure to report knowledge of wrongdoing may result in disciplinary action against those who fail to report.</w:t>
      </w:r>
    </w:p>
    <w:p>
      <w:pPr>
        <w:spacing w:after="0" w:line="69" w:lineRule="exact"/>
        <w:rPr>
          <w:rFonts w:ascii="Times New Roman" w:cs="Times New Roman" w:eastAsia="Times New Roman" w:hAnsi="Times New Roman"/>
          <w:sz w:val="20"/>
          <w:szCs w:val="20"/>
          <w:b w:val="1"/>
          <w:bCs w:val="1"/>
          <w:color w:val="auto"/>
        </w:rPr>
      </w:pPr>
    </w:p>
    <w:p>
      <w:pPr>
        <w:ind w:left="652" w:hanging="328"/>
        <w:spacing w:after="0"/>
        <w:tabs>
          <w:tab w:leader="none" w:pos="652" w:val="left"/>
        </w:tabs>
        <w:numPr>
          <w:ilvl w:val="1"/>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NON-RETALIATION</w:t>
      </w:r>
    </w:p>
    <w:p>
      <w:pPr>
        <w:spacing w:after="0" w:line="125" w:lineRule="exact"/>
        <w:rPr>
          <w:rFonts w:ascii="Times New Roman" w:cs="Times New Roman" w:eastAsia="Times New Roman" w:hAnsi="Times New Roman"/>
          <w:sz w:val="20"/>
          <w:szCs w:val="20"/>
          <w:b w:val="1"/>
          <w:bCs w:val="1"/>
          <w:color w:val="auto"/>
        </w:rPr>
      </w:pPr>
    </w:p>
    <w:p>
      <w:pPr>
        <w:jc w:val="both"/>
        <w:ind w:left="652"/>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Nothing in this Code shall prohibit you from reporting any possible violation of federal law or regulation to any governmental agency. Further, nothing shall restrict you from communicating with such agency in the course of its investigation or from making disclosures that are protected pursuant to the whistleblower provisions of federal law and regulation.</w:t>
      </w:r>
    </w:p>
    <w:p>
      <w:pPr>
        <w:spacing w:after="0" w:line="59" w:lineRule="exact"/>
        <w:rPr>
          <w:rFonts w:ascii="Times New Roman" w:cs="Times New Roman" w:eastAsia="Times New Roman" w:hAnsi="Times New Roman"/>
          <w:sz w:val="20"/>
          <w:szCs w:val="20"/>
          <w:b w:val="1"/>
          <w:bCs w:val="1"/>
          <w:color w:val="auto"/>
        </w:rPr>
      </w:pPr>
    </w:p>
    <w:p>
      <w:pPr>
        <w:jc w:val="both"/>
        <w:ind w:left="652"/>
        <w:spacing w:after="0" w:line="26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Retaliation in any form against an AGNC person who reports a violation of this Code (even if the report is mistaken but was submitted in the good faith belief it was correct) or who assists in the investigation of a reported violation is itself a serious violation of this Code. Acts of retaliation should be reported immediately and may result in severe disciplinary action.</w:t>
      </w:r>
    </w:p>
    <w:p>
      <w:pPr>
        <w:spacing w:after="0" w:line="49" w:lineRule="exact"/>
        <w:rPr>
          <w:rFonts w:ascii="Times New Roman" w:cs="Times New Roman" w:eastAsia="Times New Roman" w:hAnsi="Times New Roman"/>
          <w:sz w:val="20"/>
          <w:szCs w:val="20"/>
          <w:b w:val="1"/>
          <w:bCs w:val="1"/>
          <w:color w:val="auto"/>
        </w:rPr>
      </w:pPr>
    </w:p>
    <w:p>
      <w:pPr>
        <w:ind w:left="652" w:hanging="328"/>
        <w:spacing w:after="0"/>
        <w:tabs>
          <w:tab w:leader="none" w:pos="652" w:val="left"/>
        </w:tabs>
        <w:numPr>
          <w:ilvl w:val="1"/>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INVESTIGATION OF SUSPECTED VIOLATIONS</w:t>
      </w:r>
    </w:p>
    <w:p>
      <w:pPr>
        <w:spacing w:after="0" w:line="125" w:lineRule="exact"/>
        <w:rPr>
          <w:rFonts w:ascii="Times New Roman" w:cs="Times New Roman" w:eastAsia="Times New Roman" w:hAnsi="Times New Roman"/>
          <w:sz w:val="20"/>
          <w:szCs w:val="20"/>
          <w:b w:val="1"/>
          <w:bCs w:val="1"/>
          <w:color w:val="auto"/>
        </w:rPr>
      </w:pPr>
    </w:p>
    <w:p>
      <w:pPr>
        <w:jc w:val="both"/>
        <w:ind w:left="652"/>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Suspected violations will be investigated under the supervision of our Chief Compliance Officer or the Audit Committee, in such manner as the Chief Compliance Officer or the Audit Committee, as applicable, deems appropriate. You are expected to cooperate in the investigation of reported violations. When practical and appropriate under the circumstances, and in order to protect the privacy of the persons involved, those people investigating the suspected violation will attempt to keep confidential the identity of someone who reports a suspected violation or who</w:t>
      </w:r>
    </w:p>
    <w:p>
      <w:pPr>
        <w:sectPr>
          <w:pgSz w:w="11900" w:h="16838" w:orient="portrait"/>
          <w:cols w:equalWidth="0" w:num="1">
            <w:col w:w="11232"/>
          </w:cols>
          <w:pgMar w:left="328" w:top="1440" w:right="339" w:bottom="1440" w:gutter="0" w:footer="0" w:header="0"/>
        </w:sectPr>
      </w:pPr>
    </w:p>
    <w:bookmarkStart w:id="62" w:name="page63"/>
    <w:bookmarkEnd w:id="62"/>
    <w:p>
      <w:pPr>
        <w:spacing w:after="0" w:line="81" w:lineRule="exact"/>
        <w:rPr>
          <w:sz w:val="20"/>
          <w:szCs w:val="20"/>
          <w:color w:val="auto"/>
        </w:rPr>
      </w:pPr>
    </w:p>
    <w:p>
      <w:pPr>
        <w:jc w:val="both"/>
        <w:ind w:left="328"/>
        <w:spacing w:after="0" w:line="283" w:lineRule="auto"/>
        <w:rPr>
          <w:sz w:val="20"/>
          <w:szCs w:val="20"/>
          <w:color w:val="auto"/>
        </w:rPr>
      </w:pPr>
      <w:r>
        <w:rPr>
          <w:rFonts w:ascii="Times New Roman" w:cs="Times New Roman" w:eastAsia="Times New Roman" w:hAnsi="Times New Roman"/>
          <w:sz w:val="20"/>
          <w:szCs w:val="20"/>
          <w:color w:val="auto"/>
        </w:rPr>
        <w:t>participates in the investigation. There may be situations, however, when this information must be disclosed as part of our investigation.</w:t>
      </w:r>
    </w:p>
    <w:p>
      <w:pPr>
        <w:spacing w:after="0" w:line="38" w:lineRule="exact"/>
        <w:rPr>
          <w:sz w:val="20"/>
          <w:szCs w:val="20"/>
          <w:color w:val="auto"/>
        </w:rPr>
      </w:pPr>
    </w:p>
    <w:p>
      <w:pPr>
        <w:jc w:val="both"/>
        <w:ind w:left="328"/>
        <w:spacing w:after="0" w:line="257" w:lineRule="auto"/>
        <w:rPr>
          <w:sz w:val="20"/>
          <w:szCs w:val="20"/>
          <w:color w:val="auto"/>
        </w:rPr>
      </w:pPr>
      <w:r>
        <w:rPr>
          <w:rFonts w:ascii="Times New Roman" w:cs="Times New Roman" w:eastAsia="Times New Roman" w:hAnsi="Times New Roman"/>
          <w:sz w:val="20"/>
          <w:szCs w:val="20"/>
          <w:color w:val="auto"/>
        </w:rPr>
        <w:t>The Chief Compliance Officer may call upon members of our Legal team to participate in any investigations. You should be aware that our Chief Compliance Officer and the members of our Legal team are legally obligated to act in the best interests of AGNC as a company. They do not act as lawyers or personal representatives for any individual AGNC person, including our executive officers. Our Board of Directors (the “Board”) has ultimate responsibility for final interpretation of this Code and for determining whether any violations of this Code have occurred.</w:t>
      </w:r>
    </w:p>
    <w:p>
      <w:pPr>
        <w:spacing w:after="0" w:line="61" w:lineRule="exact"/>
        <w:rPr>
          <w:sz w:val="20"/>
          <w:szCs w:val="20"/>
          <w:color w:val="auto"/>
        </w:rPr>
      </w:pPr>
    </w:p>
    <w:p>
      <w:pPr>
        <w:ind w:left="328" w:hanging="328"/>
        <w:spacing w:after="0"/>
        <w:tabs>
          <w:tab w:leader="none" w:pos="328"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DISCIPLINARY ACTION</w:t>
      </w:r>
    </w:p>
    <w:p>
      <w:pPr>
        <w:spacing w:after="0" w:line="125" w:lineRule="exact"/>
        <w:rPr>
          <w:rFonts w:ascii="Times New Roman" w:cs="Times New Roman" w:eastAsia="Times New Roman" w:hAnsi="Times New Roman"/>
          <w:sz w:val="20"/>
          <w:szCs w:val="20"/>
          <w:b w:val="1"/>
          <w:bCs w:val="1"/>
          <w:color w:val="auto"/>
        </w:rPr>
      </w:pPr>
    </w:p>
    <w:p>
      <w:pPr>
        <w:jc w:val="both"/>
        <w:ind w:left="328" w:right="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our Chief Compliance Officer or our Board (or those acting under their supervision) determine, in their good faith discretion, that you have violated any provision of this Code, you may be subject to disciplinary action, up to and including termination of your employment or contract without prior warning and referral for criminal prosecution and fines.</w:t>
      </w:r>
    </w:p>
    <w:p>
      <w:pPr>
        <w:spacing w:after="0" w:line="69" w:lineRule="exact"/>
        <w:rPr>
          <w:rFonts w:ascii="Times New Roman" w:cs="Times New Roman" w:eastAsia="Times New Roman" w:hAnsi="Times New Roman"/>
          <w:sz w:val="20"/>
          <w:szCs w:val="20"/>
          <w:b w:val="1"/>
          <w:bCs w:val="1"/>
          <w:color w:val="auto"/>
        </w:rPr>
      </w:pPr>
    </w:p>
    <w:p>
      <w:pPr>
        <w:ind w:left="328" w:hanging="328"/>
        <w:spacing w:after="0"/>
        <w:tabs>
          <w:tab w:leader="none" w:pos="328"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SPECIAL PROVISIONS APPLICABLE TO CERTAIN FINANCIAL EXECUTIVES</w:t>
      </w:r>
    </w:p>
    <w:p>
      <w:pPr>
        <w:spacing w:after="0" w:line="111" w:lineRule="exact"/>
        <w:rPr>
          <w:rFonts w:ascii="Times New Roman" w:cs="Times New Roman" w:eastAsia="Times New Roman" w:hAnsi="Times New Roman"/>
          <w:sz w:val="20"/>
          <w:szCs w:val="20"/>
          <w:b w:val="1"/>
          <w:bCs w:val="1"/>
          <w:color w:val="auto"/>
        </w:rPr>
      </w:pPr>
    </w:p>
    <w:p>
      <w:pPr>
        <w:jc w:val="both"/>
        <w:ind w:left="328"/>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Given the important position of trust and authority that they occupy, our Chief Executive Officer, President, Chief Operating Officer, Chief Investment Officer, Chief Financial Officer, Chief Accounting Officer, Controller, directors and certain other persons who may be designated by the Board or the Audit Committee (collectively, the “Financial Executives”) should act extremely cautiously in interpreting and applying this Code. Financial Executives should consult with our Chief Compliance Officer with respect to any proposed actions or arrangements that are not clearly consistent with the Code. In the event that a Financial Executive wishes to engage in a proposed action or arrangement that is not consistent with the Code, the Financial Executive must obtain a waiver of the relevant Code provisions in advance from the Board.</w:t>
      </w:r>
    </w:p>
    <w:p>
      <w:pPr>
        <w:spacing w:after="0" w:line="71" w:lineRule="exact"/>
        <w:rPr>
          <w:rFonts w:ascii="Times New Roman" w:cs="Times New Roman" w:eastAsia="Times New Roman" w:hAnsi="Times New Roman"/>
          <w:sz w:val="20"/>
          <w:szCs w:val="20"/>
          <w:b w:val="1"/>
          <w:bCs w:val="1"/>
          <w:color w:val="auto"/>
        </w:rPr>
      </w:pPr>
    </w:p>
    <w:p>
      <w:pPr>
        <w:jc w:val="both"/>
        <w:ind w:left="328"/>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Sarbanes-Oxley Act of 2002 imposes certain reporting requirements on AGNC with respect to our Financial Executives’ compliance with the Code. In accordance with these requirements, we will publicly report on a Current Report on Form 8-K any waivers of any provision of the Code granted by our Board to any Financial Executive. Violations of the Code by our Financial Executives may also be immediately reported on Form 8-K.</w:t>
      </w:r>
    </w:p>
    <w:p>
      <w:pPr>
        <w:spacing w:after="0" w:line="73" w:lineRule="exact"/>
        <w:rPr>
          <w:rFonts w:ascii="Times New Roman" w:cs="Times New Roman" w:eastAsia="Times New Roman" w:hAnsi="Times New Roman"/>
          <w:sz w:val="20"/>
          <w:szCs w:val="20"/>
          <w:b w:val="1"/>
          <w:bCs w:val="1"/>
          <w:color w:val="auto"/>
        </w:rPr>
      </w:pPr>
    </w:p>
    <w:p>
      <w:pPr>
        <w:ind w:left="328" w:hanging="328"/>
        <w:spacing w:after="0"/>
        <w:tabs>
          <w:tab w:leader="none" w:pos="328"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REVISIONS AND UPDATES TO THIS CODE</w:t>
      </w:r>
    </w:p>
    <w:p>
      <w:pPr>
        <w:spacing w:after="0" w:line="111" w:lineRule="exact"/>
        <w:rPr>
          <w:rFonts w:ascii="Times New Roman" w:cs="Times New Roman" w:eastAsia="Times New Roman" w:hAnsi="Times New Roman"/>
          <w:sz w:val="20"/>
          <w:szCs w:val="20"/>
          <w:b w:val="1"/>
          <w:bCs w:val="1"/>
          <w:color w:val="auto"/>
        </w:rPr>
      </w:pPr>
    </w:p>
    <w:p>
      <w:pPr>
        <w:jc w:val="both"/>
        <w:ind w:left="328"/>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Code may be revised, changed or amended at any time by our Board. Following any material revisions or updates, an updated version of this Code will be distributed to you, and will supersede the prior version of this Code effective upon distribution. We may ask you to sign an acknowledgement confirming that you have read and understood the revised version of the Code, and that you agree to comply with its provisions.</w:t>
      </w:r>
    </w:p>
    <w:p>
      <w:pPr>
        <w:spacing w:after="0" w:line="73" w:lineRule="exact"/>
        <w:rPr>
          <w:rFonts w:ascii="Times New Roman" w:cs="Times New Roman" w:eastAsia="Times New Roman" w:hAnsi="Times New Roman"/>
          <w:sz w:val="20"/>
          <w:szCs w:val="20"/>
          <w:b w:val="1"/>
          <w:bCs w:val="1"/>
          <w:color w:val="auto"/>
        </w:rPr>
      </w:pPr>
    </w:p>
    <w:p>
      <w:pPr>
        <w:ind w:left="328" w:hanging="328"/>
        <w:spacing w:after="0"/>
        <w:tabs>
          <w:tab w:leader="none" w:pos="328"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IMPORTANT DISCLAIMERS</w:t>
      </w:r>
    </w:p>
    <w:p>
      <w:pPr>
        <w:spacing w:after="0" w:line="111" w:lineRule="exact"/>
        <w:rPr>
          <w:rFonts w:ascii="Times New Roman" w:cs="Times New Roman" w:eastAsia="Times New Roman" w:hAnsi="Times New Roman"/>
          <w:sz w:val="20"/>
          <w:szCs w:val="20"/>
          <w:b w:val="1"/>
          <w:bCs w:val="1"/>
          <w:color w:val="auto"/>
        </w:rPr>
      </w:pPr>
    </w:p>
    <w:p>
      <w:pPr>
        <w:jc w:val="both"/>
        <w:ind w:left="328"/>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Code reflects general principles to guide you in making ethical decisions and cannot, and is not intended to, address every specific situation in which we may find it appropriate to take disciplinary action. This Code is not intended to create any contract (express or implied) with you, including without limitation any employment contract, or to constitute any promise with regard to the length and terms of your employment.</w:t>
      </w:r>
    </w:p>
    <w:p>
      <w:pPr>
        <w:sectPr>
          <w:pgSz w:w="11900" w:h="16838" w:orient="portrait"/>
          <w:cols w:equalWidth="0" w:num="1">
            <w:col w:w="10908"/>
          </w:cols>
          <w:pgMar w:left="652" w:top="144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Federico, certify that:</w:t>
      </w:r>
    </w:p>
    <w:p>
      <w:pPr>
        <w:spacing w:after="0" w:line="158" w:lineRule="exact"/>
        <w:rPr>
          <w:sz w:val="20"/>
          <w:szCs w:val="20"/>
          <w:color w:val="auto"/>
        </w:rPr>
      </w:pPr>
    </w:p>
    <w:p>
      <w:pPr>
        <w:ind w:left="760" w:hanging="307"/>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5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860" w:hanging="407"/>
        <w:spacing w:after="0" w:line="282" w:lineRule="auto"/>
        <w:tabs>
          <w:tab w:leader="none" w:pos="8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07"/>
        <w:spacing w:after="0" w:line="261" w:lineRule="auto"/>
        <w:tabs>
          <w:tab w:leader="none" w:pos="8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53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0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20" w:hanging="400"/>
        <w:spacing w:after="0" w:line="282" w:lineRule="auto"/>
        <w:tabs>
          <w:tab w:leader="none" w:pos="142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2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07"/>
        <w:spacing w:after="0" w:line="282" w:lineRule="auto"/>
        <w:tabs>
          <w:tab w:leader="none" w:pos="7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20" w:hanging="400"/>
        <w:spacing w:after="0" w:line="282" w:lineRule="auto"/>
        <w:tabs>
          <w:tab w:leader="none" w:pos="145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20" w:right="20" w:hanging="400"/>
        <w:spacing w:after="0" w:line="282" w:lineRule="auto"/>
        <w:tabs>
          <w:tab w:leader="none" w:pos="140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August 5, 2024</w:t>
      </w:r>
    </w:p>
    <w:p>
      <w:pPr>
        <w:spacing w:after="0" w:line="225"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8"/>
          <w:szCs w:val="18"/>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26035</wp:posOffset>
            </wp:positionV>
            <wp:extent cx="23488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Peter J. Federico</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President and Chief Executive Officer (Principal</w:t>
      </w:r>
    </w:p>
    <w:p>
      <w:pPr>
        <w:ind w:left="620"/>
        <w:spacing w:after="0"/>
        <w:rPr>
          <w:sz w:val="20"/>
          <w:szCs w:val="20"/>
          <w:color w:val="auto"/>
        </w:rPr>
      </w:pPr>
      <w:r>
        <w:rPr>
          <w:rFonts w:ascii="Times New Roman" w:cs="Times New Roman" w:eastAsia="Times New Roman" w:hAnsi="Times New Roman"/>
          <w:sz w:val="18"/>
          <w:szCs w:val="18"/>
          <w:color w:val="auto"/>
        </w:rPr>
        <w:t>Executive Officer)</w:t>
      </w:r>
    </w:p>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Bernice E. Bell, certify that:</w:t>
      </w:r>
    </w:p>
    <w:p>
      <w:pPr>
        <w:spacing w:after="0" w:line="158" w:lineRule="exact"/>
        <w:rPr>
          <w:sz w:val="20"/>
          <w:szCs w:val="20"/>
          <w:color w:val="auto"/>
        </w:rPr>
      </w:pPr>
    </w:p>
    <w:p>
      <w:pPr>
        <w:ind w:left="760" w:hanging="307"/>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57" w:lineRule="exact"/>
        <w:rPr>
          <w:rFonts w:ascii="Times New Roman" w:cs="Times New Roman" w:eastAsia="Times New Roman" w:hAnsi="Times New Roman"/>
          <w:sz w:val="18"/>
          <w:szCs w:val="18"/>
          <w:color w:val="auto"/>
        </w:rPr>
      </w:pPr>
    </w:p>
    <w:p>
      <w:pPr>
        <w:ind w:left="860" w:hanging="407"/>
        <w:spacing w:after="0" w:line="266" w:lineRule="auto"/>
        <w:tabs>
          <w:tab w:leader="none" w:pos="7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860" w:hanging="407"/>
        <w:spacing w:after="0" w:line="282" w:lineRule="auto"/>
        <w:tabs>
          <w:tab w:leader="none" w:pos="8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07"/>
        <w:spacing w:after="0" w:line="261" w:lineRule="auto"/>
        <w:tabs>
          <w:tab w:leader="none" w:pos="80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53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0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20" w:hanging="400"/>
        <w:spacing w:after="0" w:line="282" w:lineRule="auto"/>
        <w:tabs>
          <w:tab w:leader="none" w:pos="142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420" w:hanging="400"/>
        <w:spacing w:after="0" w:line="266" w:lineRule="auto"/>
        <w:tabs>
          <w:tab w:leader="none" w:pos="142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07"/>
        <w:spacing w:after="0" w:line="282" w:lineRule="auto"/>
        <w:tabs>
          <w:tab w:leader="none" w:pos="7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20" w:hanging="400"/>
        <w:spacing w:after="0" w:line="282" w:lineRule="auto"/>
        <w:tabs>
          <w:tab w:leader="none" w:pos="147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20" w:right="20" w:hanging="400"/>
        <w:spacing w:after="0" w:line="282" w:lineRule="auto"/>
        <w:tabs>
          <w:tab w:leader="none" w:pos="140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August 5, 2024</w:t>
      </w:r>
    </w:p>
    <w:p>
      <w:pPr>
        <w:spacing w:after="0" w:line="225"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8"/>
          <w:szCs w:val="18"/>
          <w:color w:val="auto"/>
        </w:rPr>
        <w:t>/s/</w:t>
        <w:tab/>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26035</wp:posOffset>
            </wp:positionV>
            <wp:extent cx="23488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Bernice E. Bell</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ind w:left="620"/>
        <w:spacing w:after="0"/>
        <w:rPr>
          <w:sz w:val="20"/>
          <w:szCs w:val="20"/>
          <w:color w:val="auto"/>
        </w:rPr>
      </w:pPr>
      <w:r>
        <w:rPr>
          <w:rFonts w:ascii="Times New Roman" w:cs="Times New Roman" w:eastAsia="Times New Roman" w:hAnsi="Times New Roman"/>
          <w:sz w:val="18"/>
          <w:szCs w:val="18"/>
          <w:color w:val="auto"/>
        </w:rPr>
        <w:t>Officer (Principal Financial Officer)</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spacing w:after="0" w:line="108" w:lineRule="exact"/>
        <w:rPr>
          <w:sz w:val="20"/>
          <w:szCs w:val="20"/>
          <w:color w:val="auto"/>
        </w:rPr>
      </w:pPr>
    </w:p>
    <w:p>
      <w:pPr>
        <w:ind w:left="660" w:right="20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2024 (the “Report”) fully complies with the requirements of Section 13(a) of the Securities Exchange Act of 1934 (15 U.S.C. 78m);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4"/>
                <w:szCs w:val="14"/>
                <w:color w:val="auto"/>
              </w:rPr>
              <w:t>EDERICO</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J. Federico</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President and</w:t>
            </w:r>
          </w:p>
        </w:tc>
      </w:tr>
      <w:tr>
        <w:trPr>
          <w:trHeight w:val="230"/>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5, 2024</w:t>
            </w:r>
          </w:p>
        </w:tc>
      </w:tr>
      <w:tr>
        <w:trPr>
          <w:trHeight w:val="493"/>
        </w:trPr>
        <w:tc>
          <w:tcPr>
            <w:tcW w:w="70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ERNICE</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Bernice E. Bell</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Executive Vice President and</w:t>
            </w: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5, 2024</w:t>
            </w:r>
          </w:p>
        </w:tc>
      </w:tr>
    </w:tbl>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decimal"/>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4"/>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7"/>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3"/>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14"/>
    </w:lvl>
  </w:abstractNum>
  <w:abstractNum w:abstractNumId="39">
    <w:nsid w:val="79A1DEAA"/>
    <w:multiLevelType w:val="hybridMultilevel"/>
    <w:lvl w:ilvl="0">
      <w:lvlJc w:val="left"/>
      <w:lvlText w:val="%1"/>
      <w:numFmt w:val="decimal"/>
      <w:start w:val="32"/>
    </w:lvl>
  </w:abstractNum>
  <w:abstractNum w:abstractNumId="40">
    <w:nsid w:val="75C6C33A"/>
    <w:multiLevelType w:val="hybridMultilevel"/>
    <w:lvl w:ilvl="0">
      <w:lvlJc w:val="left"/>
      <w:lvlText w:val="(%1)"/>
      <w:numFmt w:val="lowerLetter"/>
      <w:start w:val="3"/>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upperLetter"/>
      <w:start w:val="2"/>
    </w:lvl>
    <w:lvl w:ilvl="1">
      <w:lvlJc w:val="left"/>
      <w:lvlText w:val="%2."/>
      <w:numFmt w:val="decimal"/>
      <w:start w:val="1"/>
    </w:lvl>
  </w:abstractNum>
  <w:abstractNum w:abstractNumId="43">
    <w:nsid w:val="520EEDD1"/>
    <w:multiLevelType w:val="hybridMultilevel"/>
    <w:lvl w:ilvl="0">
      <w:lvlJc w:val="left"/>
      <w:lvlText w:val="%1."/>
      <w:numFmt w:val="decimal"/>
      <w:start w:val="2"/>
    </w:lvl>
    <w:lvl w:ilvl="1">
      <w:lvlJc w:val="left"/>
      <w:lvlText w:val="%2."/>
      <w:numFmt w:val="lowerLetter"/>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1."/>
      <w:numFmt w:val="decimal"/>
      <w:start w:val="5"/>
    </w:lvl>
  </w:abstractNum>
  <w:abstractNum w:abstractNumId="46">
    <w:nsid w:val="23F9C13C"/>
    <w:multiLevelType w:val="hybridMultilevel"/>
    <w:lvl w:ilvl="0">
      <w:lvlJc w:val="left"/>
      <w:lvlText w:val="%1"/>
      <w:numFmt w:val="upperLetter"/>
      <w:start w:val="1"/>
    </w:lvl>
    <w:lvl w:ilvl="1">
      <w:lvlJc w:val="left"/>
      <w:lvlText w:val="%2."/>
      <w:numFmt w:val="decimal"/>
      <w:start w:val="7"/>
    </w:lvl>
  </w:abstractNum>
  <w:abstractNum w:abstractNumId="47">
    <w:nsid w:val="649BB77C"/>
    <w:multiLevelType w:val="hybridMultilevel"/>
    <w:lvl w:ilvl="0">
      <w:lvlJc w:val="left"/>
      <w:lvlText w:val="%1."/>
      <w:numFmt w:val="upperLetter"/>
      <w:start w:val="3"/>
    </w:lvl>
    <w:lvl w:ilvl="1">
      <w:lvlJc w:val="left"/>
      <w:lvlText w:val="%2."/>
      <w:numFmt w:val="decimal"/>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decimal"/>
      <w:start w:val="2"/>
    </w:lvl>
  </w:abstractNum>
  <w:abstractNum w:abstractNumId="50">
    <w:nsid w:val="1CF10FD8"/>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1">
    <w:nsid w:val="180115BE"/>
    <w:multiLevelType w:val="hybridMultilevel"/>
    <w:lvl w:ilvl="0">
      <w:lvlJc w:val="left"/>
      <w:lvlText w:val="%1."/>
      <w:numFmt w:val="lowerLetter"/>
      <w:start w:val="2"/>
    </w:lvl>
    <w:lvl w:ilvl="1">
      <w:lvlJc w:val="left"/>
      <w:lvlText w:val="•"/>
      <w:numFmt w:val="bullet"/>
      <w:start w:val="1"/>
    </w:lvl>
  </w:abstractNum>
  <w:abstractNum w:abstractNumId="52">
    <w:nsid w:val="235BA861"/>
    <w:multiLevelType w:val="hybridMultilevel"/>
    <w:lvl w:ilvl="0">
      <w:lvlJc w:val="left"/>
      <w:lvlText w:val="%1."/>
      <w:numFmt w:val="upperLetter"/>
      <w:start w:val="4"/>
    </w:lvl>
    <w:lvl w:ilvl="1">
      <w:lvlJc w:val="left"/>
      <w:lvlText w:val="%2."/>
      <w:numFmt w:val="decimal"/>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1."/>
      <w:numFmt w:val="decimal"/>
      <w:start w:val="2"/>
    </w:lvl>
  </w:abstractNum>
  <w:abstractNum w:abstractNumId="55">
    <w:nsid w:val="15B5AF5C"/>
    <w:multiLevelType w:val="hybridMultilevel"/>
    <w:lvl w:ilvl="0">
      <w:lvlJc w:val="left"/>
      <w:lvlText w:val="%1"/>
      <w:numFmt w:val="upperLetter"/>
      <w:start w:val="1"/>
    </w:lvl>
    <w:lvl w:ilvl="1">
      <w:lvlJc w:val="left"/>
      <w:lvlText w:val="%2."/>
      <w:numFmt w:val="decimal"/>
      <w:start w:val="3"/>
    </w:lvl>
    <w:lvl w:ilvl="2">
      <w:lvlJc w:val="left"/>
      <w:lvlText w:val="•"/>
      <w:numFmt w:val="bullet"/>
      <w:start w:val="1"/>
    </w:lvl>
  </w:abstractNum>
  <w:abstractNum w:abstractNumId="56">
    <w:nsid w:val="741226BB"/>
    <w:multiLevelType w:val="hybridMultilevel"/>
    <w:lvl w:ilvl="0">
      <w:lvlJc w:val="left"/>
      <w:lvlText w:val="%1."/>
      <w:numFmt w:val="upperLetter"/>
      <w:start w:val="5"/>
    </w:lvl>
    <w:lvl w:ilvl="1">
      <w:lvlJc w:val="left"/>
      <w:lvlText w:val="%2."/>
      <w:numFmt w:val="decimal"/>
      <w:start w:val="1"/>
    </w:lvl>
    <w:lvl w:ilvl="2">
      <w:lvlJc w:val="left"/>
      <w:lvlText w:val="•"/>
      <w:numFmt w:val="bullet"/>
      <w:start w:val="1"/>
    </w:lvl>
  </w:abstractNum>
  <w:abstractNum w:abstractNumId="57">
    <w:nsid w:val="D34B6A8"/>
    <w:multiLevelType w:val="hybridMultilevel"/>
    <w:lvl w:ilvl="0">
      <w:lvlJc w:val="left"/>
      <w:lvlText w:val="%1."/>
      <w:numFmt w:val="decimal"/>
      <w:start w:val="2"/>
    </w:lvl>
  </w:abstractNum>
  <w:abstractNum w:abstractNumId="58">
    <w:nsid w:val="10233C99"/>
    <w:multiLevelType w:val="hybridMultilevel"/>
    <w:lvl w:ilvl="0">
      <w:lvlJc w:val="left"/>
      <w:lvlText w:val="%1."/>
      <w:numFmt w:val="upperLetter"/>
      <w:start w:val="6"/>
    </w:lvl>
    <w:lvl w:ilvl="1">
      <w:lvlJc w:val="left"/>
      <w:lvlText w:val="%2."/>
      <w:numFmt w:val="decimal"/>
      <w:start w:val="1"/>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5" Type="http://schemas.openxmlformats.org/officeDocument/2006/relationships/image" Target="media/image69.png"/><Relationship Id="rId97"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76" Type="http://schemas.openxmlformats.org/officeDocument/2006/relationships/hyperlink" Target="https://www.sec.gov/Archives/edgar/data/1423689/000142368922000014/agncexhibit3112312110-k.htm" TargetMode="External"/><Relationship Id="rId77" Type="http://schemas.openxmlformats.org/officeDocument/2006/relationships/hyperlink" Target="https://www.sec.gov/Archives/edgar/data/1423689/000142368921000017/arbylaws-march2021vrevised.htm" TargetMode="External"/><Relationship Id="rId78" Type="http://schemas.openxmlformats.org/officeDocument/2006/relationships/hyperlink" Target="https://www.sec.gov/Archives/edgar/data/1423689/000142368923000046/bylaws72023-ex.htm" TargetMode="External"/><Relationship Id="rId79" Type="http://schemas.openxmlformats.org/officeDocument/2006/relationships/hyperlink" Target="https://www.sec.gov/Archives/edgar/data/1423689/000142368917000044/ex35certificateofdesignati.htm" TargetMode="External"/><Relationship Id="rId80" Type="http://schemas.openxmlformats.org/officeDocument/2006/relationships/hyperlink" Target="https://www.sec.gov/Archives/edgar/data/1423689/000142368917000065/certificateofelimination.htm" TargetMode="External"/><Relationship Id="rId81" Type="http://schemas.openxmlformats.org/officeDocument/2006/relationships/hyperlink" Target="https://www.sec.gov/Archives/edgar/data/1423689/000142368919000019/certificateofdesignations.htm" TargetMode="External"/><Relationship Id="rId82" Type="http://schemas.openxmlformats.org/officeDocument/2006/relationships/hyperlink" Target="https://www.sec.gov/Archives/edgar/data/1423689/000142368919000064/certofdesignations.htm" TargetMode="External"/><Relationship Id="rId83" Type="http://schemas.openxmlformats.org/officeDocument/2006/relationships/hyperlink" Target="https://www.sec.gov/Archives/edgar/data/1423689/000142368919000078/certificateofeliminati.htm" TargetMode="External"/><Relationship Id="rId84" Type="http://schemas.openxmlformats.org/officeDocument/2006/relationships/hyperlink" Target="https://www.sec.gov/Archives/edgar/data/1423689/000142368920000012/certificateofdesignations-.htm" TargetMode="External"/><Relationship Id="rId86" Type="http://schemas.openxmlformats.org/officeDocument/2006/relationships/hyperlink" Target="https://www.sec.gov/Archives/edgar/data/1423689/000142368922000061/seriesgcertificateofdesign.htm" TargetMode="External"/><Relationship Id="rId87" Type="http://schemas.openxmlformats.org/officeDocument/2006/relationships/hyperlink" Target="https://www.sec.gov/Archives/edgar/data/1423689/000142368922000076/exhibit43.htm" TargetMode="External"/><Relationship Id="rId88" Type="http://schemas.openxmlformats.org/officeDocument/2006/relationships/hyperlink" Target="https://www.sec.gov/Archives/edgar/data/1423689/000142368917000044/exhibit41.htm" TargetMode="External"/><Relationship Id="rId89" Type="http://schemas.openxmlformats.org/officeDocument/2006/relationships/hyperlink" Target="https://www.sec.gov/Archives/edgar/data/1423689/000142368919000019/stockcertificateb98.htm" TargetMode="External"/><Relationship Id="rId90" Type="http://schemas.openxmlformats.org/officeDocument/2006/relationships/hyperlink" Target="https://www.sec.gov/Archives/edgar/data/1423689/000142368919000064/stockcertificate.htm" TargetMode="External"/><Relationship Id="rId91" Type="http://schemas.openxmlformats.org/officeDocument/2006/relationships/hyperlink" Target="https://www.sec.gov/Archives/edgar/data/1423689/000142368920000012/stockcertificate.htm" TargetMode="External"/><Relationship Id="rId92" Type="http://schemas.openxmlformats.org/officeDocument/2006/relationships/hyperlink" Target="https://www.sec.gov/Archives/edgar/data/1423689/000142368922000061/stockcertificate1.htm" TargetMode="External"/><Relationship Id="rId93" Type="http://schemas.openxmlformats.org/officeDocument/2006/relationships/hyperlink" Target="https://www.sec.gov/Archives/edgar/data/1423689/000142368917000049/depositagreement.htm" TargetMode="External"/><Relationship Id="rId94" Type="http://schemas.openxmlformats.org/officeDocument/2006/relationships/hyperlink" Target="https://www.sec.gov/Archives/edgar/data/1423689/000142368919000021/prefddepositagmt.htm" TargetMode="External"/><Relationship Id="rId95" Type="http://schemas.openxmlformats.org/officeDocument/2006/relationships/hyperlink" Target="https://www.sec.gov/Archives/edgar/data/1423689/000142368919000068/depositagmt-prefe.htm" TargetMode="External"/><Relationship Id="rId96" Type="http://schemas.openxmlformats.org/officeDocument/2006/relationships/hyperlink" Target="https://www.sec.gov/Archives/edgar/data/1423689/000142368920000014/depositaryagmt-seriesf.htm" TargetMode="External"/><Relationship Id="rId98" Type="http://schemas.openxmlformats.org/officeDocument/2006/relationships/hyperlink" Target="https://www.sec.gov/Archives/edgar/data/1423689/000142368922000069/depositaryagmt.htm" TargetMode="External"/><Relationship Id="rId99" Type="http://schemas.openxmlformats.org/officeDocument/2006/relationships/hyperlink" Target="https://www.sec.gov/Archives/edgar/data/1423689/000142368924000053/gkagmt7-18x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2024-08-05T08:18:24Z</dcterms:created>
  <dcterms:modified xsi:type="dcterms:W3CDTF">2024-08-05T08:18:24Z</dcterms:modified>
</cp:coreProperties>
</file>