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 w:type="dxa"/>
        <w:tblCellMar>
          <w:top w:w="0" w:type="dxa"/>
          <w:left w:w="0" w:type="dxa"/>
          <w:bottom w:w="0" w:type="dxa"/>
          <w:right w:w="0" w:type="dxa"/>
        </w:tblCellMar>
      </w:tblPr>
      <w:tr>
        <w:trPr>
          <w:trHeight w:val="220"/>
        </w:trPr>
        <w:tc>
          <w:tcPr>
            <w:tcW w:w="1280" w:type="dxa"/>
            <w:vAlign w:val="bottom"/>
            <w:tcBorders>
              <w:top w:val="single" w:sz="8" w:color="auto"/>
            </w:tcBorders>
          </w:tcPr>
          <w:p>
            <w:pPr>
              <w:spacing w:after="0"/>
              <w:rPr>
                <w:sz w:val="19"/>
                <w:szCs w:val="19"/>
                <w:color w:val="auto"/>
              </w:rPr>
            </w:pPr>
          </w:p>
        </w:tc>
        <w:tc>
          <w:tcPr>
            <w:tcW w:w="9920" w:type="dxa"/>
            <w:vAlign w:val="bottom"/>
            <w:tcBorders>
              <w:top w:val="single" w:sz="8" w:color="auto"/>
            </w:tcBorders>
          </w:tcPr>
          <w:p>
            <w:pPr>
              <w:jc w:val="center"/>
              <w:ind w:right="1219"/>
              <w:spacing w:after="0" w:line="220" w:lineRule="exact"/>
              <w:rPr>
                <w:sz w:val="20"/>
                <w:szCs w:val="20"/>
                <w:color w:val="auto"/>
              </w:rPr>
            </w:pPr>
            <w:r>
              <w:rPr>
                <w:rFonts w:ascii="Arial" w:cs="Arial" w:eastAsia="Arial" w:hAnsi="Arial"/>
                <w:sz w:val="20"/>
                <w:szCs w:val="20"/>
                <w:b w:val="1"/>
                <w:bCs w:val="1"/>
                <w:color w:val="auto"/>
                <w:w w:val="96"/>
              </w:rPr>
              <w:t>UNITED STATES</w:t>
            </w:r>
          </w:p>
        </w:tc>
      </w:tr>
      <w:tr>
        <w:trPr>
          <w:trHeight w:val="230"/>
        </w:trPr>
        <w:tc>
          <w:tcPr>
            <w:tcW w:w="1280" w:type="dxa"/>
            <w:vAlign w:val="bottom"/>
          </w:tcPr>
          <w:p>
            <w:pPr>
              <w:spacing w:after="0"/>
              <w:rPr>
                <w:sz w:val="19"/>
                <w:szCs w:val="19"/>
                <w:color w:val="auto"/>
              </w:rPr>
            </w:pPr>
          </w:p>
        </w:tc>
        <w:tc>
          <w:tcPr>
            <w:tcW w:w="9920" w:type="dxa"/>
            <w:vAlign w:val="bottom"/>
          </w:tcPr>
          <w:p>
            <w:pPr>
              <w:jc w:val="center"/>
              <w:ind w:right="1219"/>
              <w:spacing w:after="0"/>
              <w:rPr>
                <w:sz w:val="20"/>
                <w:szCs w:val="20"/>
                <w:color w:val="auto"/>
              </w:rPr>
            </w:pPr>
            <w:r>
              <w:rPr>
                <w:rFonts w:ascii="Arial" w:cs="Arial" w:eastAsia="Arial" w:hAnsi="Arial"/>
                <w:sz w:val="20"/>
                <w:szCs w:val="20"/>
                <w:b w:val="1"/>
                <w:bCs w:val="1"/>
                <w:color w:val="auto"/>
              </w:rPr>
              <w:t>SECURITIES AND EXCHANGE COMMISSION</w:t>
            </w:r>
          </w:p>
        </w:tc>
      </w:tr>
      <w:tr>
        <w:trPr>
          <w:trHeight w:val="162"/>
        </w:trPr>
        <w:tc>
          <w:tcPr>
            <w:tcW w:w="1280" w:type="dxa"/>
            <w:vAlign w:val="bottom"/>
          </w:tcPr>
          <w:p>
            <w:pPr>
              <w:spacing w:after="0"/>
              <w:rPr>
                <w:sz w:val="14"/>
                <w:szCs w:val="14"/>
                <w:color w:val="auto"/>
              </w:rPr>
            </w:pPr>
          </w:p>
        </w:tc>
        <w:tc>
          <w:tcPr>
            <w:tcW w:w="9920" w:type="dxa"/>
            <w:vAlign w:val="bottom"/>
          </w:tcPr>
          <w:p>
            <w:pPr>
              <w:jc w:val="center"/>
              <w:ind w:right="1199"/>
              <w:spacing w:after="0"/>
              <w:rPr>
                <w:sz w:val="20"/>
                <w:szCs w:val="20"/>
                <w:color w:val="auto"/>
              </w:rPr>
            </w:pPr>
            <w:r>
              <w:rPr>
                <w:rFonts w:ascii="Arial" w:cs="Arial" w:eastAsia="Arial" w:hAnsi="Arial"/>
                <w:sz w:val="14"/>
                <w:szCs w:val="14"/>
                <w:b w:val="1"/>
                <w:bCs w:val="1"/>
                <w:color w:val="auto"/>
                <w:w w:val="93"/>
              </w:rPr>
              <w:t>Washington, D.C. 20549</w:t>
            </w:r>
          </w:p>
        </w:tc>
      </w:tr>
      <w:tr>
        <w:trPr>
          <w:trHeight w:val="256"/>
        </w:trPr>
        <w:tc>
          <w:tcPr>
            <w:tcW w:w="1280" w:type="dxa"/>
            <w:vAlign w:val="bottom"/>
          </w:tcPr>
          <w:p>
            <w:pPr>
              <w:spacing w:after="0"/>
              <w:rPr>
                <w:sz w:val="22"/>
                <w:szCs w:val="22"/>
                <w:color w:val="auto"/>
              </w:rPr>
            </w:pPr>
          </w:p>
        </w:tc>
        <w:tc>
          <w:tcPr>
            <w:tcW w:w="9920" w:type="dxa"/>
            <w:vAlign w:val="bottom"/>
          </w:tcPr>
          <w:p>
            <w:pPr>
              <w:jc w:val="center"/>
              <w:ind w:right="1199"/>
              <w:spacing w:after="0"/>
              <w:rPr>
                <w:sz w:val="20"/>
                <w:szCs w:val="20"/>
                <w:color w:val="auto"/>
              </w:rPr>
            </w:pPr>
            <w:r>
              <w:rPr>
                <w:rFonts w:ascii="Arial" w:cs="Arial" w:eastAsia="Arial" w:hAnsi="Arial"/>
                <w:sz w:val="20"/>
                <w:szCs w:val="20"/>
                <w:b w:val="1"/>
                <w:bCs w:val="1"/>
                <w:color w:val="auto"/>
              </w:rPr>
              <w:t>FORM 10-K</w:t>
            </w:r>
          </w:p>
        </w:tc>
      </w:tr>
      <w:tr>
        <w:trPr>
          <w:trHeight w:val="378"/>
        </w:trPr>
        <w:tc>
          <w:tcPr>
            <w:tcW w:w="1280" w:type="dxa"/>
            <w:vAlign w:val="bottom"/>
          </w:tcPr>
          <w:p>
            <w:pPr>
              <w:jc w:val="center"/>
              <w:ind w:right="719"/>
              <w:spacing w:after="0" w:line="181" w:lineRule="exact"/>
              <w:rPr>
                <w:sz w:val="20"/>
                <w:szCs w:val="20"/>
                <w:color w:val="auto"/>
              </w:rPr>
            </w:pPr>
            <w:r>
              <w:rPr>
                <w:rFonts w:ascii="MS PGothic" w:cs="MS PGothic" w:eastAsia="MS PGothic" w:hAnsi="MS PGothic"/>
                <w:sz w:val="18"/>
                <w:szCs w:val="18"/>
                <w:color w:val="auto"/>
                <w:w w:val="88"/>
              </w:rPr>
              <w:t>☒</w:t>
            </w:r>
          </w:p>
        </w:tc>
        <w:tc>
          <w:tcPr>
            <w:tcW w:w="9920" w:type="dxa"/>
            <w:vAlign w:val="bottom"/>
          </w:tcPr>
          <w:p>
            <w:pPr>
              <w:jc w:val="center"/>
              <w:ind w:right="519"/>
              <w:spacing w:after="0"/>
              <w:rPr>
                <w:sz w:val="20"/>
                <w:szCs w:val="20"/>
                <w:color w:val="auto"/>
              </w:rPr>
            </w:pPr>
            <w:r>
              <w:rPr>
                <w:rFonts w:ascii="Arial" w:cs="Arial" w:eastAsia="Arial" w:hAnsi="Arial"/>
                <w:sz w:val="14"/>
                <w:szCs w:val="14"/>
                <w:b w:val="1"/>
                <w:bCs w:val="1"/>
                <w:color w:val="auto"/>
              </w:rPr>
              <w:t>ANNUAL REPORT PURSUANT TO SECTION 13 OR 15(D) OF THE SECURITIES EXCHANGE ACT OF 1934</w:t>
            </w:r>
          </w:p>
        </w:tc>
      </w:tr>
      <w:tr>
        <w:trPr>
          <w:trHeight w:val="162"/>
        </w:trPr>
        <w:tc>
          <w:tcPr>
            <w:tcW w:w="1280" w:type="dxa"/>
            <w:vAlign w:val="bottom"/>
          </w:tcPr>
          <w:p>
            <w:pPr>
              <w:spacing w:after="0"/>
              <w:rPr>
                <w:sz w:val="14"/>
                <w:szCs w:val="14"/>
                <w:color w:val="auto"/>
              </w:rPr>
            </w:pPr>
          </w:p>
        </w:tc>
        <w:tc>
          <w:tcPr>
            <w:tcW w:w="9920" w:type="dxa"/>
            <w:vAlign w:val="bottom"/>
          </w:tcPr>
          <w:p>
            <w:pPr>
              <w:jc w:val="center"/>
              <w:ind w:right="1199"/>
              <w:spacing w:after="0"/>
              <w:rPr>
                <w:sz w:val="20"/>
                <w:szCs w:val="20"/>
                <w:color w:val="auto"/>
              </w:rPr>
            </w:pPr>
            <w:r>
              <w:rPr>
                <w:rFonts w:ascii="Arial" w:cs="Arial" w:eastAsia="Arial" w:hAnsi="Arial"/>
                <w:sz w:val="14"/>
                <w:szCs w:val="14"/>
                <w:b w:val="1"/>
                <w:bCs w:val="1"/>
                <w:color w:val="auto"/>
                <w:w w:val="92"/>
              </w:rPr>
              <w:t>For the year ended December 31, 2019</w:t>
            </w:r>
          </w:p>
        </w:tc>
      </w:tr>
      <w:tr>
        <w:trPr>
          <w:trHeight w:val="186"/>
        </w:trPr>
        <w:tc>
          <w:tcPr>
            <w:tcW w:w="1280" w:type="dxa"/>
            <w:vAlign w:val="bottom"/>
          </w:tcPr>
          <w:p>
            <w:pPr>
              <w:spacing w:after="0"/>
              <w:rPr>
                <w:sz w:val="16"/>
                <w:szCs w:val="16"/>
                <w:color w:val="auto"/>
              </w:rPr>
            </w:pPr>
          </w:p>
        </w:tc>
        <w:tc>
          <w:tcPr>
            <w:tcW w:w="9920" w:type="dxa"/>
            <w:vAlign w:val="bottom"/>
          </w:tcPr>
          <w:p>
            <w:pPr>
              <w:jc w:val="center"/>
              <w:ind w:right="1219"/>
              <w:spacing w:after="0"/>
              <w:rPr>
                <w:sz w:val="20"/>
                <w:szCs w:val="20"/>
                <w:color w:val="auto"/>
              </w:rPr>
            </w:pPr>
            <w:r>
              <w:rPr>
                <w:rFonts w:ascii="Arial" w:cs="Arial" w:eastAsia="Arial" w:hAnsi="Arial"/>
                <w:sz w:val="14"/>
                <w:szCs w:val="14"/>
                <w:b w:val="1"/>
                <w:bCs w:val="1"/>
                <w:color w:val="auto"/>
              </w:rPr>
              <w:t>OR</w:t>
            </w:r>
          </w:p>
        </w:tc>
      </w:tr>
      <w:tr>
        <w:trPr>
          <w:trHeight w:val="354"/>
        </w:trPr>
        <w:tc>
          <w:tcPr>
            <w:tcW w:w="1280" w:type="dxa"/>
            <w:vAlign w:val="bottom"/>
          </w:tcPr>
          <w:p>
            <w:pPr>
              <w:jc w:val="center"/>
              <w:ind w:right="739"/>
              <w:spacing w:after="0" w:line="141" w:lineRule="exact"/>
              <w:rPr>
                <w:sz w:val="20"/>
                <w:szCs w:val="20"/>
                <w:color w:val="auto"/>
              </w:rPr>
            </w:pPr>
            <w:r>
              <w:rPr>
                <w:rFonts w:ascii="MS PGothic" w:cs="MS PGothic" w:eastAsia="MS PGothic" w:hAnsi="MS PGothic"/>
                <w:sz w:val="14"/>
                <w:szCs w:val="14"/>
                <w:color w:val="auto"/>
                <w:w w:val="99"/>
              </w:rPr>
              <w:t>☐</w:t>
            </w:r>
          </w:p>
        </w:tc>
        <w:tc>
          <w:tcPr>
            <w:tcW w:w="9920" w:type="dxa"/>
            <w:vAlign w:val="bottom"/>
          </w:tcPr>
          <w:p>
            <w:pPr>
              <w:jc w:val="center"/>
              <w:ind w:right="519"/>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r>
      <w:tr>
        <w:trPr>
          <w:trHeight w:val="227"/>
        </w:trPr>
        <w:tc>
          <w:tcPr>
            <w:tcW w:w="1280" w:type="dxa"/>
            <w:vAlign w:val="bottom"/>
          </w:tcPr>
          <w:p>
            <w:pPr>
              <w:spacing w:after="0"/>
              <w:rPr>
                <w:sz w:val="19"/>
                <w:szCs w:val="19"/>
                <w:color w:val="auto"/>
              </w:rPr>
            </w:pPr>
          </w:p>
        </w:tc>
        <w:tc>
          <w:tcPr>
            <w:tcW w:w="9920" w:type="dxa"/>
            <w:vAlign w:val="bottom"/>
          </w:tcPr>
          <w:p>
            <w:pPr>
              <w:jc w:val="center"/>
              <w:ind w:right="1219"/>
              <w:spacing w:after="0"/>
              <w:rPr>
                <w:sz w:val="20"/>
                <w:szCs w:val="20"/>
                <w:color w:val="auto"/>
              </w:rPr>
            </w:pPr>
            <w:r>
              <w:rPr>
                <w:rFonts w:ascii="Arial" w:cs="Arial" w:eastAsia="Arial" w:hAnsi="Arial"/>
                <w:sz w:val="14"/>
                <w:szCs w:val="14"/>
                <w:b w:val="1"/>
                <w:bCs w:val="1"/>
                <w:color w:val="auto"/>
                <w:w w:val="93"/>
              </w:rPr>
              <w:t>Commission file number 001-34057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234950</wp:posOffset>
            </wp:positionH>
            <wp:positionV relativeFrom="page">
              <wp:posOffset>243205</wp:posOffset>
            </wp:positionV>
            <wp:extent cx="7100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102235</wp:posOffset>
            </wp:positionV>
            <wp:extent cx="2040890" cy="6172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4089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AGNC INVESTMENT CORP.</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__________________________________________________</w:t>
      </w:r>
    </w:p>
    <w:p>
      <w:pPr>
        <w:sectPr>
          <w:pgSz w:w="11900" w:h="16838" w:orient="portrait"/>
          <w:cols w:equalWidth="0" w:num="1">
            <w:col w:w="11420"/>
          </w:cols>
          <w:pgMar w:left="240" w:top="498" w:right="239" w:bottom="1440" w:gutter="0" w:footer="0" w:header="0"/>
        </w:sectPr>
      </w:pPr>
    </w:p>
    <w:p>
      <w:pPr>
        <w:spacing w:after="0" w:line="147" w:lineRule="exact"/>
        <w:rPr>
          <w:sz w:val="24"/>
          <w:szCs w:val="24"/>
          <w:color w:val="auto"/>
        </w:rPr>
      </w:pPr>
    </w:p>
    <w:p>
      <w:pPr>
        <w:ind w:left="246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26-1701984</w:t>
      </w:r>
    </w:p>
    <w:p>
      <w:pPr>
        <w:spacing w:after="0" w:line="64" w:lineRule="exact"/>
        <w:rPr>
          <w:sz w:val="24"/>
          <w:szCs w:val="24"/>
          <w:color w:val="auto"/>
        </w:rPr>
      </w:pPr>
    </w:p>
    <w:p>
      <w:pPr>
        <w:sectPr>
          <w:pgSz w:w="11900" w:h="16838" w:orient="portrait"/>
          <w:cols w:equalWidth="0" w:num="2">
            <w:col w:w="7740" w:space="720"/>
            <w:col w:w="2960"/>
          </w:cols>
          <w:pgMar w:left="240" w:top="498" w:right="239" w:bottom="1440" w:gutter="0" w:footer="0" w:header="0"/>
          <w:type w:val="continuous"/>
        </w:sectPr>
      </w:pPr>
    </w:p>
    <w:p>
      <w:pPr>
        <w:ind w:left="18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7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4" w:lineRule="exact"/>
        <w:rPr>
          <w:sz w:val="24"/>
          <w:szCs w:val="24"/>
          <w:color w:val="auto"/>
        </w:rPr>
      </w:pPr>
    </w:p>
    <w:p>
      <w:pPr>
        <w:sectPr>
          <w:pgSz w:w="11900" w:h="16838" w:orient="portrait"/>
          <w:cols w:equalWidth="0" w:num="2">
            <w:col w:w="7520" w:space="720"/>
            <w:col w:w="3180"/>
          </w:cols>
          <w:pgMar w:left="240" w:top="498" w:right="2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2 Bethesda Metro Center, 12th Floor</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Bethesda, Maryland 20814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(301) 968-9315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ind w:left="3940"/>
        <w:spacing w:after="0" w:line="235" w:lineRule="auto"/>
        <w:rPr>
          <w:sz w:val="20"/>
          <w:szCs w:val="20"/>
          <w:color w:val="auto"/>
        </w:rPr>
      </w:pPr>
      <w:r>
        <w:rPr>
          <w:rFonts w:ascii="Arial" w:cs="Arial" w:eastAsia="Arial" w:hAnsi="Arial"/>
          <w:sz w:val="14"/>
          <w:szCs w:val="14"/>
          <w:color w:val="auto"/>
        </w:rPr>
        <w:t>__________________________________________________</w:t>
      </w:r>
    </w:p>
    <w:p>
      <w:pPr>
        <w:ind w:left="340" w:right="3400"/>
        <w:spacing w:after="0" w:line="16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280" w:firstLine="324"/>
        <w:spacing w:after="0" w:line="162" w:lineRule="exact"/>
        <w:rPr>
          <w:sz w:val="20"/>
          <w:szCs w:val="20"/>
          <w:color w:val="auto"/>
        </w:rPr>
      </w:pPr>
      <w:r>
        <w:rPr>
          <w:rFonts w:ascii="Arial" w:cs="Arial" w:eastAsia="Arial" w:hAnsi="Arial"/>
          <w:sz w:val="14"/>
          <w:szCs w:val="14"/>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during the preceding 12</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100" w:type="dxa"/>
            <w:vAlign w:val="bottom"/>
            <w:gridSpan w:val="2"/>
          </w:tcPr>
          <w:p>
            <w:pPr>
              <w:spacing w:after="0"/>
              <w:rPr>
                <w:sz w:val="20"/>
                <w:szCs w:val="20"/>
                <w:color w:val="auto"/>
              </w:rPr>
            </w:pPr>
            <w:r>
              <w:rPr>
                <w:rFonts w:ascii="Arial" w:cs="Arial" w:eastAsia="Arial" w:hAnsi="Arial"/>
                <w:sz w:val="14"/>
                <w:szCs w:val="14"/>
                <w:color w:val="auto"/>
                <w:w w:val="95"/>
              </w:rPr>
              <w:t>months (or for such shorter period that the registrant was required to submit and post such files).  Yes x</w:t>
            </w:r>
          </w:p>
        </w:tc>
        <w:tc>
          <w:tcPr>
            <w:tcW w:w="4860" w:type="dxa"/>
            <w:vAlign w:val="bottom"/>
          </w:tcPr>
          <w:p>
            <w:pPr>
              <w:ind w:left="6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960" w:type="dxa"/>
            <w:vAlign w:val="bottom"/>
            <w:gridSpan w:val="3"/>
          </w:tcPr>
          <w:p>
            <w:pPr>
              <w:ind w:left="340"/>
              <w:spacing w:after="0"/>
              <w:rPr>
                <w:sz w:val="20"/>
                <w:szCs w:val="20"/>
                <w:color w:val="auto"/>
              </w:rPr>
            </w:pPr>
            <w:r>
              <w:rPr>
                <w:rFonts w:ascii="Arial" w:cs="Arial" w:eastAsia="Arial" w:hAnsi="Arial"/>
                <w:sz w:val="14"/>
                <w:szCs w:val="14"/>
                <w:color w:val="auto"/>
                <w:w w:val="92"/>
              </w:rPr>
              <w:t>Indicate by check mark whether the registrant is a large accelerated filer, an accelerated filer, a non-accelerated filer, a smaller reporting company, or an emerging growth company. See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960" w:type="dxa"/>
            <w:vAlign w:val="bottom"/>
            <w:gridSpan w:val="3"/>
          </w:tcPr>
          <w:p>
            <w:pPr>
              <w:spacing w:after="0"/>
              <w:rPr>
                <w:sz w:val="20"/>
                <w:szCs w:val="20"/>
                <w:color w:val="auto"/>
              </w:rPr>
            </w:pPr>
            <w:r>
              <w:rPr>
                <w:rFonts w:ascii="Arial" w:cs="Arial" w:eastAsia="Arial" w:hAnsi="Arial"/>
                <w:sz w:val="14"/>
                <w:szCs w:val="14"/>
                <w:color w:val="auto"/>
              </w:rPr>
              <w:t>definitions of "large accelerated filer," "accelerated filer," "smaller reporting company" and "emerging growth company" in Rule 12b-2 of the Exchange Act.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200" w:type="dxa"/>
            <w:vAlign w:val="bottom"/>
            <w:vMerge w:val="restart"/>
          </w:tcPr>
          <w:p>
            <w:pPr>
              <w:ind w:left="40"/>
              <w:spacing w:after="0"/>
              <w:rPr>
                <w:sz w:val="20"/>
                <w:szCs w:val="20"/>
                <w:color w:val="auto"/>
              </w:rPr>
            </w:pPr>
            <w:r>
              <w:rPr>
                <w:rFonts w:ascii="Arial" w:cs="Arial" w:eastAsia="Arial" w:hAnsi="Arial"/>
                <w:sz w:val="14"/>
                <w:szCs w:val="14"/>
                <w:color w:val="auto"/>
              </w:rPr>
              <w:t>Large accelerated filer</w:t>
            </w:r>
          </w:p>
        </w:tc>
        <w:tc>
          <w:tcPr>
            <w:tcW w:w="3900" w:type="dxa"/>
            <w:vAlign w:val="bottom"/>
            <w:vMerge w:val="restart"/>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860" w:type="dxa"/>
            <w:vAlign w:val="bottom"/>
            <w:vMerge w:val="restart"/>
          </w:tcPr>
          <w:p>
            <w:pPr>
              <w:ind w:left="1560"/>
              <w:spacing w:after="0"/>
              <w:rPr>
                <w:sz w:val="20"/>
                <w:szCs w:val="20"/>
                <w:color w:val="auto"/>
              </w:rPr>
            </w:pPr>
            <w:r>
              <w:rPr>
                <w:rFonts w:ascii="Arial" w:cs="Arial" w:eastAsia="Arial" w:hAnsi="Arial"/>
                <w:sz w:val="14"/>
                <w:szCs w:val="14"/>
                <w:color w:val="auto"/>
              </w:rPr>
              <w:t>Accelerated filer</w:t>
            </w:r>
          </w:p>
        </w:tc>
        <w:tc>
          <w:tcPr>
            <w:tcW w:w="120" w:type="dxa"/>
            <w:vAlign w:val="bottom"/>
          </w:tcPr>
          <w:p>
            <w:pPr>
              <w:ind w:left="2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49"/>
        </w:trPr>
        <w:tc>
          <w:tcPr>
            <w:tcW w:w="2200" w:type="dxa"/>
            <w:vAlign w:val="bottom"/>
            <w:vMerge w:val="continue"/>
          </w:tcPr>
          <w:p>
            <w:pPr>
              <w:spacing w:after="0"/>
              <w:rPr>
                <w:sz w:val="12"/>
                <w:szCs w:val="12"/>
                <w:color w:val="auto"/>
              </w:rPr>
            </w:pPr>
          </w:p>
        </w:tc>
        <w:tc>
          <w:tcPr>
            <w:tcW w:w="3900" w:type="dxa"/>
            <w:vAlign w:val="bottom"/>
            <w:vMerge w:val="continue"/>
          </w:tcPr>
          <w:p>
            <w:pPr>
              <w:spacing w:after="0"/>
              <w:rPr>
                <w:sz w:val="12"/>
                <w:szCs w:val="12"/>
                <w:color w:val="auto"/>
              </w:rPr>
            </w:pPr>
          </w:p>
        </w:tc>
        <w:tc>
          <w:tcPr>
            <w:tcW w:w="4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40"/>
              <w:spacing w:after="0"/>
              <w:rPr>
                <w:sz w:val="20"/>
                <w:szCs w:val="20"/>
                <w:color w:val="auto"/>
              </w:rPr>
            </w:pPr>
            <w:r>
              <w:rPr>
                <w:rFonts w:ascii="Arial" w:cs="Arial" w:eastAsia="Arial" w:hAnsi="Arial"/>
                <w:sz w:val="14"/>
                <w:szCs w:val="14"/>
                <w:color w:val="auto"/>
              </w:rPr>
              <w:t>Non-accelerated filer</w:t>
            </w:r>
          </w:p>
        </w:tc>
        <w:tc>
          <w:tcPr>
            <w:tcW w:w="3900" w:type="dxa"/>
            <w:vAlign w:val="bottom"/>
          </w:tcPr>
          <w:p>
            <w:pPr>
              <w:ind w:left="6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4860" w:type="dxa"/>
            <w:vAlign w:val="bottom"/>
          </w:tcPr>
          <w:p>
            <w:pPr>
              <w:ind w:left="1560"/>
              <w:spacing w:after="0"/>
              <w:rPr>
                <w:sz w:val="20"/>
                <w:szCs w:val="20"/>
                <w:color w:val="auto"/>
              </w:rPr>
            </w:pPr>
            <w:r>
              <w:rPr>
                <w:rFonts w:ascii="Arial" w:cs="Arial" w:eastAsia="Arial" w:hAnsi="Arial"/>
                <w:sz w:val="14"/>
                <w:szCs w:val="14"/>
                <w:color w:val="auto"/>
              </w:rPr>
              <w:t>Smaller Reporting Company</w:t>
            </w:r>
          </w:p>
        </w:tc>
        <w:tc>
          <w:tcPr>
            <w:tcW w:w="120" w:type="dxa"/>
            <w:vAlign w:val="bottom"/>
          </w:tcPr>
          <w:p>
            <w:pPr>
              <w:ind w:left="2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268"/>
        </w:trPr>
        <w:tc>
          <w:tcPr>
            <w:tcW w:w="2200" w:type="dxa"/>
            <w:vAlign w:val="bottom"/>
          </w:tcPr>
          <w:p>
            <w:pPr>
              <w:ind w:left="40"/>
              <w:spacing w:after="0"/>
              <w:rPr>
                <w:sz w:val="20"/>
                <w:szCs w:val="20"/>
                <w:color w:val="auto"/>
              </w:rPr>
            </w:pPr>
            <w:r>
              <w:rPr>
                <w:rFonts w:ascii="Arial" w:cs="Arial" w:eastAsia="Arial" w:hAnsi="Arial"/>
                <w:sz w:val="14"/>
                <w:szCs w:val="14"/>
                <w:color w:val="auto"/>
              </w:rPr>
              <w:t>Emerging growth company</w:t>
            </w:r>
          </w:p>
        </w:tc>
        <w:tc>
          <w:tcPr>
            <w:tcW w:w="390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right="60" w:firstLine="324"/>
        <w:spacing w:after="0" w:line="162" w:lineRule="exact"/>
        <w:rPr>
          <w:sz w:val="20"/>
          <w:szCs w:val="20"/>
          <w:color w:val="auto"/>
        </w:rPr>
      </w:pPr>
      <w:r>
        <w:rPr>
          <w:rFonts w:ascii="Arial" w:cs="Arial" w:eastAsia="Arial" w:hAnsi="Arial"/>
          <w:sz w:val="14"/>
          <w:szCs w:val="14"/>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340"/>
        <w:spacing w:after="0" w:line="161" w:lineRule="exact"/>
        <w:tabs>
          <w:tab w:leader="none" w:pos="6980" w:val="left"/>
          <w:tab w:leader="none" w:pos="75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 x</w:t>
      </w:r>
    </w:p>
    <w:p>
      <w:pPr>
        <w:spacing w:after="0" w:line="6"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100" w:type="dxa"/>
            <w:vAlign w:val="bottom"/>
          </w:tcPr>
          <w:p>
            <w:pPr>
              <w:spacing w:after="0"/>
              <w:rPr>
                <w:sz w:val="16"/>
                <w:szCs w:val="16"/>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Exchange on Which Registered</w:t>
            </w:r>
          </w:p>
        </w:tc>
        <w:tc>
          <w:tcPr>
            <w:tcW w:w="0" w:type="dxa"/>
            <w:vAlign w:val="bottom"/>
          </w:tcPr>
          <w:p>
            <w:pPr>
              <w:spacing w:after="0"/>
              <w:rPr>
                <w:sz w:val="1"/>
                <w:szCs w:val="1"/>
                <w:color w:val="auto"/>
              </w:rPr>
            </w:pPr>
          </w:p>
        </w:tc>
      </w:tr>
      <w:tr>
        <w:trPr>
          <w:trHeight w:val="217"/>
        </w:trPr>
        <w:tc>
          <w:tcPr>
            <w:tcW w:w="58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Common Stock, par value $0.01 per share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AGNC</w:t>
            </w:r>
          </w:p>
        </w:tc>
        <w:tc>
          <w:tcPr>
            <w:tcW w:w="3880" w:type="dxa"/>
            <w:vAlign w:val="bottom"/>
          </w:tcPr>
          <w:p>
            <w:pPr>
              <w:jc w:val="center"/>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96"/>
        </w:trPr>
        <w:tc>
          <w:tcPr>
            <w:tcW w:w="584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Depositary shares of 7.000% Series C Fixed-to-Floating Rate Cumulative Redeemable Preferred</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AGNCN</w:t>
            </w:r>
          </w:p>
        </w:tc>
        <w:tc>
          <w:tcPr>
            <w:tcW w:w="3880" w:type="dxa"/>
            <w:vAlign w:val="bottom"/>
            <w:vMerge w:val="restart"/>
          </w:tcPr>
          <w:p>
            <w:pPr>
              <w:jc w:val="center"/>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01"/>
        </w:trPr>
        <w:tc>
          <w:tcPr>
            <w:tcW w:w="58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Stock</w:t>
            </w:r>
          </w:p>
        </w:tc>
        <w:tc>
          <w:tcPr>
            <w:tcW w:w="1700" w:type="dxa"/>
            <w:vAlign w:val="bottom"/>
            <w:gridSpan w:val="2"/>
            <w:vMerge w:val="continue"/>
          </w:tcPr>
          <w:p>
            <w:pPr>
              <w:spacing w:after="0"/>
              <w:rPr>
                <w:sz w:val="8"/>
                <w:szCs w:val="8"/>
                <w:color w:val="auto"/>
              </w:rPr>
            </w:pPr>
          </w:p>
        </w:tc>
        <w:tc>
          <w:tcPr>
            <w:tcW w:w="3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840" w:type="dxa"/>
            <w:vAlign w:val="bottom"/>
            <w:gridSpan w:val="2"/>
            <w:vMerge w:val="continue"/>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584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Depositary shares of 6.875% Series D Fixed-to-Floating Rate Cumulative Redeemable Preferred</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AGNCM</w:t>
            </w:r>
          </w:p>
        </w:tc>
        <w:tc>
          <w:tcPr>
            <w:tcW w:w="3880" w:type="dxa"/>
            <w:vAlign w:val="bottom"/>
            <w:vMerge w:val="restart"/>
          </w:tcPr>
          <w:p>
            <w:pPr>
              <w:jc w:val="center"/>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01"/>
        </w:trPr>
        <w:tc>
          <w:tcPr>
            <w:tcW w:w="58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Stock</w:t>
            </w:r>
          </w:p>
        </w:tc>
        <w:tc>
          <w:tcPr>
            <w:tcW w:w="1700" w:type="dxa"/>
            <w:vAlign w:val="bottom"/>
            <w:gridSpan w:val="2"/>
            <w:vMerge w:val="continue"/>
          </w:tcPr>
          <w:p>
            <w:pPr>
              <w:spacing w:after="0"/>
              <w:rPr>
                <w:sz w:val="8"/>
                <w:szCs w:val="8"/>
                <w:color w:val="auto"/>
              </w:rPr>
            </w:pPr>
          </w:p>
        </w:tc>
        <w:tc>
          <w:tcPr>
            <w:tcW w:w="3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840" w:type="dxa"/>
            <w:vAlign w:val="bottom"/>
            <w:gridSpan w:val="2"/>
            <w:vMerge w:val="continue"/>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584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Depositary shares of 6.50% Series E Fixed-to-Floating Rate Cumulative Redeemable Preferred</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AGNCO</w:t>
            </w:r>
          </w:p>
        </w:tc>
        <w:tc>
          <w:tcPr>
            <w:tcW w:w="3880" w:type="dxa"/>
            <w:vAlign w:val="bottom"/>
            <w:vMerge w:val="restart"/>
          </w:tcPr>
          <w:p>
            <w:pPr>
              <w:jc w:val="center"/>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01"/>
        </w:trPr>
        <w:tc>
          <w:tcPr>
            <w:tcW w:w="58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Stock</w:t>
            </w:r>
          </w:p>
        </w:tc>
        <w:tc>
          <w:tcPr>
            <w:tcW w:w="1700" w:type="dxa"/>
            <w:vAlign w:val="bottom"/>
            <w:gridSpan w:val="2"/>
            <w:vMerge w:val="continue"/>
          </w:tcPr>
          <w:p>
            <w:pPr>
              <w:spacing w:after="0"/>
              <w:rPr>
                <w:sz w:val="8"/>
                <w:szCs w:val="8"/>
                <w:color w:val="auto"/>
              </w:rPr>
            </w:pPr>
          </w:p>
        </w:tc>
        <w:tc>
          <w:tcPr>
            <w:tcW w:w="3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840" w:type="dxa"/>
            <w:vAlign w:val="bottom"/>
            <w:gridSpan w:val="2"/>
            <w:vMerge w:val="continue"/>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58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Depositary shares of 6.125% Series F Fixed-to-Floating Rate Cumulative Redeemable Preferred</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6"/>
              </w:rPr>
              <w:t>AGNCP</w:t>
            </w:r>
          </w:p>
        </w:tc>
        <w:tc>
          <w:tcPr>
            <w:tcW w:w="3880" w:type="dxa"/>
            <w:vAlign w:val="bottom"/>
            <w:vMerge w:val="restart"/>
          </w:tcPr>
          <w:p>
            <w:pPr>
              <w:jc w:val="center"/>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01"/>
        </w:trPr>
        <w:tc>
          <w:tcPr>
            <w:tcW w:w="58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Stock</w:t>
            </w:r>
          </w:p>
        </w:tc>
        <w:tc>
          <w:tcPr>
            <w:tcW w:w="1700" w:type="dxa"/>
            <w:vAlign w:val="bottom"/>
            <w:gridSpan w:val="2"/>
            <w:vMerge w:val="continue"/>
          </w:tcPr>
          <w:p>
            <w:pPr>
              <w:spacing w:after="0"/>
              <w:rPr>
                <w:sz w:val="8"/>
                <w:szCs w:val="8"/>
                <w:color w:val="auto"/>
              </w:rPr>
            </w:pPr>
          </w:p>
        </w:tc>
        <w:tc>
          <w:tcPr>
            <w:tcW w:w="3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840" w:type="dxa"/>
            <w:vAlign w:val="bottom"/>
            <w:gridSpan w:val="2"/>
            <w:vMerge w:val="continue"/>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80" w:type="dxa"/>
            <w:vAlign w:val="bottom"/>
          </w:tcPr>
          <w:p>
            <w:pPr>
              <w:spacing w:after="0"/>
              <w:rPr>
                <w:sz w:val="7"/>
                <w:szCs w:val="7"/>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4"/>
          <w:szCs w:val="14"/>
          <w:b w:val="1"/>
          <w:bCs w:val="1"/>
          <w:color w:val="auto"/>
        </w:rPr>
        <w:t>Securities registered persuant to section 12(g) of the Act: None</w:t>
      </w:r>
    </w:p>
    <w:p>
      <w:pPr>
        <w:spacing w:after="0" w:line="6" w:lineRule="exact"/>
        <w:rPr>
          <w:sz w:val="24"/>
          <w:szCs w:val="24"/>
          <w:color w:val="auto"/>
        </w:rPr>
      </w:pPr>
    </w:p>
    <w:p>
      <w:pPr>
        <w:jc w:val="both"/>
        <w:ind w:firstLine="324"/>
        <w:spacing w:after="0" w:line="241" w:lineRule="auto"/>
        <w:rPr>
          <w:sz w:val="20"/>
          <w:szCs w:val="20"/>
          <w:color w:val="auto"/>
        </w:rPr>
      </w:pPr>
      <w:r>
        <w:rPr>
          <w:rFonts w:ascii="Arial" w:cs="Arial" w:eastAsia="Arial" w:hAnsi="Arial"/>
          <w:sz w:val="14"/>
          <w:szCs w:val="14"/>
          <w:color w:val="auto"/>
        </w:rPr>
        <w:t>As of June 30, 2019, the aggregate market value of the Registrant's common stock held by non-affiliates of the Registrant was approximately $7.4 billion based upon the closing price of the Registrant's common stock of $16.82 per share as reported on The Nasdaq Global Select Market on that date. (For this computation, the Registrant has excluded the market value of all shares of its common stock reported as beneficially owned by executive officers and directors of the Registrant and certain other stockholders; such an exclusion shall not be deemed to constitute an admission that any such person is an "affiliate" of the Registrant.)</w:t>
      </w:r>
    </w:p>
    <w:p>
      <w:pPr>
        <w:spacing w:after="0" w:line="2"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 number of shares of the issuer's common stock, $0.01 par value, outstanding as of January 31, 2020 was 540,943,011.</w:t>
      </w:r>
    </w:p>
    <w:p>
      <w:pPr>
        <w:spacing w:after="0" w:line="1" w:lineRule="exact"/>
        <w:rPr>
          <w:sz w:val="24"/>
          <w:szCs w:val="24"/>
          <w:color w:val="auto"/>
        </w:rPr>
      </w:pPr>
    </w:p>
    <w:p>
      <w:pPr>
        <w:jc w:val="both"/>
        <w:ind w:firstLine="324"/>
        <w:spacing w:after="0" w:line="241" w:lineRule="auto"/>
        <w:rPr>
          <w:sz w:val="20"/>
          <w:szCs w:val="20"/>
          <w:color w:val="auto"/>
        </w:rPr>
      </w:pPr>
      <w:r>
        <w:rPr>
          <w:rFonts w:ascii="Arial" w:cs="Arial" w:eastAsia="Arial" w:hAnsi="Arial"/>
          <w:sz w:val="14"/>
          <w:szCs w:val="14"/>
          <w:color w:val="auto"/>
        </w:rPr>
        <w:t>DOCUMENTS INCORPORATED BY REFERENCE. The Registrant's definitive proxy statement for the 2020 Annual Meeting of Stockholders is incorporated by reference into certain sections of Part III herein.</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4"/>
          <w:szCs w:val="14"/>
          <w:color w:val="auto"/>
        </w:rPr>
        <w:t>Certain exhibits previously filed with the Securities and Exchange Commission are incorporated by reference into Part IV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176530</wp:posOffset>
            </wp:positionV>
            <wp:extent cx="71005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90805</wp:posOffset>
            </wp:positionV>
            <wp:extent cx="71005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0" w:type="dxa"/>
            <w:vAlign w:val="bottom"/>
            <w:gridSpan w:val="8"/>
          </w:tcPr>
          <w:p>
            <w:pPr>
              <w:jc w:val="center"/>
              <w:ind w:right="2140"/>
              <w:spacing w:after="0"/>
              <w:rPr>
                <w:sz w:val="20"/>
                <w:szCs w:val="20"/>
                <w:color w:val="auto"/>
              </w:rPr>
            </w:pPr>
            <w:r>
              <w:rPr>
                <w:rFonts w:ascii="Arial" w:cs="Arial" w:eastAsia="Arial" w:hAnsi="Arial"/>
                <w:sz w:val="18"/>
                <w:szCs w:val="18"/>
                <w:b w:val="1"/>
                <w:bCs w:val="1"/>
                <w:color w:val="auto"/>
              </w:rPr>
              <w:t>AGNC INVESTMENT CORP.</w:t>
            </w: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97"/>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0" w:type="dxa"/>
            <w:vAlign w:val="bottom"/>
            <w:gridSpan w:val="8"/>
          </w:tcPr>
          <w:p>
            <w:pPr>
              <w:jc w:val="center"/>
              <w:ind w:right="2120"/>
              <w:spacing w:after="0"/>
              <w:rPr>
                <w:sz w:val="20"/>
                <w:szCs w:val="20"/>
                <w:color w:val="auto"/>
              </w:rPr>
            </w:pPr>
            <w:r>
              <w:rPr>
                <w:rFonts w:ascii="Arial" w:cs="Arial" w:eastAsia="Arial" w:hAnsi="Arial"/>
                <w:sz w:val="18"/>
                <w:szCs w:val="18"/>
                <w:b w:val="1"/>
                <w:bCs w:val="1"/>
                <w:color w:val="auto"/>
                <w:w w:val="98"/>
              </w:rPr>
              <w:t>TABLE OF CONTENTS</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13"/>
        </w:trPr>
        <w:tc>
          <w:tcPr>
            <w:tcW w:w="580" w:type="dxa"/>
            <w:vAlign w:val="bottom"/>
            <w:tcBorders>
              <w:bottom w:val="single" w:sz="8" w:color="0000EE"/>
            </w:tcBorders>
            <w:gridSpan w:val="5"/>
          </w:tcPr>
          <w:p>
            <w:pPr>
              <w:spacing w:after="0"/>
              <w:rPr>
                <w:rFonts w:ascii="Arial" w:cs="Arial" w:eastAsia="Arial" w:hAnsi="Arial"/>
                <w:sz w:val="16"/>
                <w:szCs w:val="16"/>
                <w:b w:val="1"/>
                <w:bCs w:val="1"/>
                <w:color w:val="0000EE"/>
                <w:w w:val="98"/>
              </w:rPr>
            </w:pPr>
            <w:hyperlink w:anchor="page3">
              <w:r>
                <w:rPr>
                  <w:rFonts w:ascii="Arial" w:cs="Arial" w:eastAsia="Arial" w:hAnsi="Arial"/>
                  <w:sz w:val="16"/>
                  <w:szCs w:val="16"/>
                  <w:b w:val="1"/>
                  <w:bCs w:val="1"/>
                  <w:color w:val="0000EE"/>
                  <w:w w:val="98"/>
                </w:rPr>
                <w:t>PART I.</w:t>
              </w:r>
            </w:hyperlink>
          </w:p>
        </w:tc>
        <w:tc>
          <w:tcPr>
            <w:tcW w:w="460" w:type="dxa"/>
            <w:vAlign w:val="bottom"/>
            <w:gridSpan w:val="4"/>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520" w:type="dxa"/>
            <w:vAlign w:val="bottom"/>
            <w:gridSpan w:val="3"/>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Item 1.</w:t>
              </w:r>
            </w:hyperlink>
          </w:p>
        </w:tc>
        <w:tc>
          <w:tcPr>
            <w:tcW w:w="520" w:type="dxa"/>
            <w:vAlign w:val="bottom"/>
            <w:gridSpan w:val="6"/>
          </w:tcPr>
          <w:p>
            <w:pPr>
              <w:spacing w:after="0"/>
              <w:rPr>
                <w:sz w:val="21"/>
                <w:szCs w:val="21"/>
                <w:color w:val="auto"/>
              </w:rPr>
            </w:pPr>
          </w:p>
        </w:tc>
        <w:tc>
          <w:tcPr>
            <w:tcW w:w="660" w:type="dxa"/>
            <w:vAlign w:val="bottom"/>
            <w:gridSpan w:val="3"/>
          </w:tcPr>
          <w:p>
            <w:pPr>
              <w:spacing w:after="0"/>
              <w:rPr>
                <w:rFonts w:ascii="Arial" w:cs="Arial" w:eastAsia="Arial" w:hAnsi="Arial"/>
                <w:sz w:val="16"/>
                <w:szCs w:val="16"/>
                <w:color w:val="0000EE"/>
                <w:w w:val="98"/>
              </w:rPr>
            </w:pPr>
            <w:hyperlink w:anchor="page3">
              <w:r>
                <w:rPr>
                  <w:rFonts w:ascii="Arial" w:cs="Arial" w:eastAsia="Arial" w:hAnsi="Arial"/>
                  <w:sz w:val="16"/>
                  <w:szCs w:val="16"/>
                  <w:color w:val="0000EE"/>
                  <w:w w:val="98"/>
                </w:rPr>
                <w:t>Business</w:t>
              </w:r>
            </w:hyperlink>
          </w:p>
        </w:tc>
        <w:tc>
          <w:tcPr>
            <w:tcW w:w="7740" w:type="dxa"/>
            <w:vAlign w:val="bottom"/>
            <w:gridSpan w:val="16"/>
          </w:tcPr>
          <w:p>
            <w:pPr>
              <w:spacing w:after="0"/>
              <w:rPr>
                <w:sz w:val="21"/>
                <w:szCs w:val="21"/>
                <w:color w:val="auto"/>
              </w:rPr>
            </w:pPr>
          </w:p>
        </w:tc>
        <w:tc>
          <w:tcPr>
            <w:tcW w:w="1280" w:type="dxa"/>
            <w:vAlign w:val="bottom"/>
            <w:gridSpan w:val="3"/>
          </w:tcPr>
          <w:p>
            <w:pPr>
              <w:jc w:val="center"/>
              <w:ind w:left="1037"/>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r>
      <w:tr>
        <w:trPr>
          <w:trHeight w:val="27"/>
        </w:trPr>
        <w:tc>
          <w:tcPr>
            <w:tcW w:w="460" w:type="dxa"/>
            <w:vAlign w:val="bottom"/>
            <w:shd w:val="clear" w:color="auto" w:fill="0000EE"/>
          </w:tcPr>
          <w:p>
            <w:pPr>
              <w:spacing w:after="0"/>
              <w:rPr>
                <w:sz w:val="2"/>
                <w:szCs w:val="2"/>
                <w:color w:val="auto"/>
              </w:rPr>
            </w:pPr>
          </w:p>
        </w:tc>
        <w:tc>
          <w:tcPr>
            <w:tcW w:w="60" w:type="dxa"/>
            <w:vAlign w:val="bottom"/>
            <w:gridSpan w:val="2"/>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20" w:type="dxa"/>
            <w:vAlign w:val="bottom"/>
            <w:gridSpan w:val="2"/>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620" w:type="dxa"/>
            <w:vAlign w:val="bottom"/>
            <w:gridSpan w:val="6"/>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Item 1A.</w:t>
              </w:r>
            </w:hyperlink>
          </w:p>
        </w:tc>
        <w:tc>
          <w:tcPr>
            <w:tcW w:w="420" w:type="dxa"/>
            <w:vAlign w:val="bottom"/>
            <w:gridSpan w:val="3"/>
          </w:tcPr>
          <w:p>
            <w:pPr>
              <w:spacing w:after="0"/>
              <w:rPr>
                <w:sz w:val="21"/>
                <w:szCs w:val="21"/>
                <w:color w:val="auto"/>
              </w:rPr>
            </w:pPr>
          </w:p>
        </w:tc>
        <w:tc>
          <w:tcPr>
            <w:tcW w:w="1180" w:type="dxa"/>
            <w:vAlign w:val="bottom"/>
            <w:gridSpan w:val="5"/>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Risk Factors</w:t>
              </w:r>
            </w:hyperlink>
          </w:p>
        </w:tc>
        <w:tc>
          <w:tcPr>
            <w:tcW w:w="7220" w:type="dxa"/>
            <w:vAlign w:val="bottom"/>
            <w:gridSpan w:val="14"/>
          </w:tcPr>
          <w:p>
            <w:pPr>
              <w:spacing w:after="0"/>
              <w:rPr>
                <w:sz w:val="21"/>
                <w:szCs w:val="21"/>
                <w:color w:val="auto"/>
              </w:rPr>
            </w:pPr>
          </w:p>
        </w:tc>
        <w:tc>
          <w:tcPr>
            <w:tcW w:w="1280" w:type="dxa"/>
            <w:vAlign w:val="bottom"/>
            <w:gridSpan w:val="3"/>
          </w:tcPr>
          <w:p>
            <w:pPr>
              <w:jc w:val="center"/>
              <w:ind w:left="1037"/>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27"/>
        </w:trPr>
        <w:tc>
          <w:tcPr>
            <w:tcW w:w="460" w:type="dxa"/>
            <w:vAlign w:val="bottom"/>
            <w:shd w:val="clear" w:color="auto" w:fill="0000EE"/>
          </w:tcPr>
          <w:p>
            <w:pPr>
              <w:spacing w:after="0"/>
              <w:rPr>
                <w:sz w:val="2"/>
                <w:szCs w:val="2"/>
                <w:color w:val="auto"/>
              </w:rPr>
            </w:pPr>
          </w:p>
        </w:tc>
        <w:tc>
          <w:tcPr>
            <w:tcW w:w="60" w:type="dxa"/>
            <w:vAlign w:val="bottom"/>
            <w:gridSpan w:val="2"/>
            <w:shd w:val="clear" w:color="auto" w:fill="0000EE"/>
          </w:tcPr>
          <w:p>
            <w:pPr>
              <w:spacing w:after="0"/>
              <w:rPr>
                <w:sz w:val="2"/>
                <w:szCs w:val="2"/>
                <w:color w:val="auto"/>
              </w:rPr>
            </w:pPr>
          </w:p>
        </w:tc>
        <w:tc>
          <w:tcPr>
            <w:tcW w:w="40" w:type="dxa"/>
            <w:vAlign w:val="bottom"/>
            <w:tcBorders>
              <w:right w:val="single" w:sz="8" w:color="0000EE"/>
            </w:tcBorders>
            <w:shd w:val="clear" w:color="auto" w:fill="0000EE"/>
          </w:tcPr>
          <w:p>
            <w:pPr>
              <w:spacing w:after="0"/>
              <w:rPr>
                <w:sz w:val="2"/>
                <w:szCs w:val="2"/>
                <w:color w:val="auto"/>
              </w:rPr>
            </w:pPr>
          </w:p>
        </w:tc>
        <w:tc>
          <w:tcPr>
            <w:tcW w:w="60" w:type="dxa"/>
            <w:vAlign w:val="bottom"/>
            <w:gridSpan w:val="2"/>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20" w:type="dxa"/>
            <w:vAlign w:val="bottom"/>
            <w:gridSpan w:val="2"/>
            <w:shd w:val="clear" w:color="auto" w:fill="0000EE"/>
          </w:tcPr>
          <w:p>
            <w:pPr>
              <w:spacing w:after="0"/>
              <w:rPr>
                <w:sz w:val="2"/>
                <w:szCs w:val="2"/>
                <w:color w:val="auto"/>
              </w:rPr>
            </w:pPr>
          </w:p>
        </w:tc>
        <w:tc>
          <w:tcPr>
            <w:tcW w:w="520" w:type="dxa"/>
            <w:vAlign w:val="bottom"/>
            <w:gridSpan w:val="2"/>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620" w:type="dxa"/>
            <w:vAlign w:val="bottom"/>
            <w:gridSpan w:val="6"/>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Item 1B.</w:t>
              </w:r>
            </w:hyperlink>
          </w:p>
        </w:tc>
        <w:tc>
          <w:tcPr>
            <w:tcW w:w="420" w:type="dxa"/>
            <w:vAlign w:val="bottom"/>
            <w:gridSpan w:val="3"/>
          </w:tcPr>
          <w:p>
            <w:pPr>
              <w:spacing w:after="0"/>
              <w:rPr>
                <w:sz w:val="21"/>
                <w:szCs w:val="21"/>
                <w:color w:val="auto"/>
              </w:rPr>
            </w:pPr>
          </w:p>
        </w:tc>
        <w:tc>
          <w:tcPr>
            <w:tcW w:w="8400" w:type="dxa"/>
            <w:vAlign w:val="bottom"/>
            <w:gridSpan w:val="19"/>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Unresolved Staff Comments</w:t>
              </w:r>
            </w:hyperlink>
          </w:p>
        </w:tc>
        <w:tc>
          <w:tcPr>
            <w:tcW w:w="1280" w:type="dxa"/>
            <w:vAlign w:val="bottom"/>
            <w:gridSpan w:val="3"/>
          </w:tcPr>
          <w:p>
            <w:pPr>
              <w:jc w:val="center"/>
              <w:ind w:left="1037"/>
              <w:spacing w:after="0"/>
              <w:rPr>
                <w:rFonts w:ascii="Arial" w:cs="Arial" w:eastAsia="Arial" w:hAnsi="Arial"/>
                <w:sz w:val="16"/>
                <w:szCs w:val="16"/>
                <w:color w:val="0000EE"/>
                <w:w w:val="89"/>
              </w:rPr>
            </w:pPr>
            <w:hyperlink w:anchor="page25">
              <w:r>
                <w:rPr>
                  <w:rFonts w:ascii="Arial" w:cs="Arial" w:eastAsia="Arial" w:hAnsi="Arial"/>
                  <w:sz w:val="16"/>
                  <w:szCs w:val="16"/>
                  <w:color w:val="0000EE"/>
                  <w:w w:val="89"/>
                </w:rPr>
                <w:t>24</w:t>
              </w:r>
            </w:hyperlink>
          </w:p>
        </w:tc>
      </w:tr>
      <w:tr>
        <w:trPr>
          <w:trHeight w:val="237"/>
        </w:trPr>
        <w:tc>
          <w:tcPr>
            <w:tcW w:w="48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93"/>
              </w:rPr>
            </w:pPr>
            <w:hyperlink w:anchor="page25">
              <w:r>
                <w:rPr>
                  <w:rFonts w:ascii="Arial" w:cs="Arial" w:eastAsia="Arial" w:hAnsi="Arial"/>
                  <w:sz w:val="16"/>
                  <w:szCs w:val="16"/>
                  <w:color w:val="0000EE"/>
                  <w:w w:val="93"/>
                </w:rPr>
                <w:t>Item 2.</w:t>
              </w:r>
            </w:hyperlink>
          </w:p>
        </w:tc>
        <w:tc>
          <w:tcPr>
            <w:tcW w:w="80" w:type="dxa"/>
            <w:vAlign w:val="bottom"/>
            <w:tcBorders>
              <w:top w:val="single" w:sz="8" w:color="0000EE"/>
            </w:tcBorders>
            <w:gridSpan w:val="2"/>
          </w:tcPr>
          <w:p>
            <w:pPr>
              <w:spacing w:after="0"/>
              <w:rPr>
                <w:sz w:val="20"/>
                <w:szCs w:val="20"/>
                <w:color w:val="auto"/>
              </w:rPr>
            </w:pPr>
          </w:p>
        </w:tc>
        <w:tc>
          <w:tcPr>
            <w:tcW w:w="480" w:type="dxa"/>
            <w:vAlign w:val="bottom"/>
            <w:gridSpan w:val="5"/>
          </w:tcPr>
          <w:p>
            <w:pPr>
              <w:spacing w:after="0"/>
              <w:rPr>
                <w:sz w:val="20"/>
                <w:szCs w:val="20"/>
                <w:color w:val="auto"/>
              </w:rPr>
            </w:pPr>
          </w:p>
        </w:tc>
        <w:tc>
          <w:tcPr>
            <w:tcW w:w="660" w:type="dxa"/>
            <w:vAlign w:val="bottom"/>
            <w:tcBorders>
              <w:top w:val="single" w:sz="8" w:color="0000EE"/>
              <w:bottom w:val="single" w:sz="8" w:color="0000EE"/>
            </w:tcBorders>
            <w:gridSpan w:val="3"/>
          </w:tcPr>
          <w:p>
            <w:pPr>
              <w:spacing w:after="0"/>
              <w:rPr>
                <w:rFonts w:ascii="Arial" w:cs="Arial" w:eastAsia="Arial" w:hAnsi="Arial"/>
                <w:sz w:val="16"/>
                <w:szCs w:val="16"/>
                <w:color w:val="0000EE"/>
                <w:w w:val="87"/>
              </w:rPr>
            </w:pPr>
            <w:hyperlink w:anchor="page25">
              <w:r>
                <w:rPr>
                  <w:rFonts w:ascii="Arial" w:cs="Arial" w:eastAsia="Arial" w:hAnsi="Arial"/>
                  <w:sz w:val="16"/>
                  <w:szCs w:val="16"/>
                  <w:color w:val="0000EE"/>
                  <w:w w:val="87"/>
                </w:rPr>
                <w:t>Properties</w:t>
              </w:r>
            </w:hyperlink>
          </w:p>
        </w:tc>
        <w:tc>
          <w:tcPr>
            <w:tcW w:w="1180" w:type="dxa"/>
            <w:vAlign w:val="bottom"/>
            <w:tcBorders>
              <w:top w:val="single" w:sz="8" w:color="0000EE"/>
            </w:tcBorders>
            <w:gridSpan w:val="6"/>
          </w:tcPr>
          <w:p>
            <w:pPr>
              <w:spacing w:after="0"/>
              <w:rPr>
                <w:sz w:val="20"/>
                <w:szCs w:val="20"/>
                <w:color w:val="auto"/>
              </w:rPr>
            </w:pPr>
          </w:p>
        </w:tc>
        <w:tc>
          <w:tcPr>
            <w:tcW w:w="6560" w:type="dxa"/>
            <w:vAlign w:val="bottom"/>
            <w:gridSpan w:val="10"/>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Borders>
              <w:top w:val="single" w:sz="8" w:color="0000EE"/>
              <w:bottom w:val="single" w:sz="8" w:color="0000EE"/>
            </w:tcBorders>
            <w:gridSpan w:val="2"/>
          </w:tcPr>
          <w:p>
            <w:pPr>
              <w:jc w:val="center"/>
              <w:spacing w:after="0"/>
              <w:rPr>
                <w:rFonts w:ascii="Arial" w:cs="Arial" w:eastAsia="Arial" w:hAnsi="Arial"/>
                <w:sz w:val="15"/>
                <w:szCs w:val="15"/>
                <w:color w:val="0000EE"/>
                <w:w w:val="71"/>
              </w:rPr>
            </w:pPr>
            <w:hyperlink w:anchor="page25">
              <w:r>
                <w:rPr>
                  <w:rFonts w:ascii="Arial" w:cs="Arial" w:eastAsia="Arial" w:hAnsi="Arial"/>
                  <w:sz w:val="15"/>
                  <w:szCs w:val="15"/>
                  <w:color w:val="0000EE"/>
                  <w:w w:val="71"/>
                </w:rPr>
                <w:t>24</w:t>
              </w:r>
            </w:hyperlink>
          </w:p>
        </w:tc>
      </w:tr>
      <w:tr>
        <w:trPr>
          <w:trHeight w:val="237"/>
        </w:trPr>
        <w:tc>
          <w:tcPr>
            <w:tcW w:w="480" w:type="dxa"/>
            <w:vAlign w:val="bottom"/>
            <w:tcBorders>
              <w:bottom w:val="single" w:sz="8" w:color="0000EE"/>
            </w:tcBorders>
            <w:gridSpan w:val="2"/>
          </w:tcPr>
          <w:p>
            <w:pPr>
              <w:spacing w:after="0"/>
              <w:rPr>
                <w:rFonts w:ascii="Arial" w:cs="Arial" w:eastAsia="Arial" w:hAnsi="Arial"/>
                <w:sz w:val="16"/>
                <w:szCs w:val="16"/>
                <w:color w:val="0000EE"/>
                <w:w w:val="93"/>
              </w:rPr>
            </w:pPr>
            <w:hyperlink w:anchor="page25">
              <w:r>
                <w:rPr>
                  <w:rFonts w:ascii="Arial" w:cs="Arial" w:eastAsia="Arial" w:hAnsi="Arial"/>
                  <w:sz w:val="16"/>
                  <w:szCs w:val="16"/>
                  <w:color w:val="0000EE"/>
                  <w:w w:val="93"/>
                </w:rPr>
                <w:t>Item 3.</w:t>
              </w:r>
            </w:hyperlink>
          </w:p>
        </w:tc>
        <w:tc>
          <w:tcPr>
            <w:tcW w:w="560" w:type="dxa"/>
            <w:vAlign w:val="bottom"/>
            <w:gridSpan w:val="7"/>
          </w:tcPr>
          <w:p>
            <w:pPr>
              <w:spacing w:after="0"/>
              <w:rPr>
                <w:sz w:val="20"/>
                <w:szCs w:val="20"/>
                <w:color w:val="auto"/>
              </w:rPr>
            </w:pPr>
          </w:p>
        </w:tc>
        <w:tc>
          <w:tcPr>
            <w:tcW w:w="1200" w:type="dxa"/>
            <w:vAlign w:val="bottom"/>
            <w:tcBorders>
              <w:bottom w:val="single" w:sz="8" w:color="0000EE"/>
            </w:tcBorders>
            <w:gridSpan w:val="6"/>
          </w:tcPr>
          <w:p>
            <w:pPr>
              <w:spacing w:after="0"/>
              <w:rPr>
                <w:rFonts w:ascii="Arial" w:cs="Arial" w:eastAsia="Arial" w:hAnsi="Arial"/>
                <w:sz w:val="16"/>
                <w:szCs w:val="16"/>
                <w:color w:val="0000EE"/>
                <w:w w:val="89"/>
              </w:rPr>
            </w:pPr>
            <w:hyperlink w:anchor="page25">
              <w:r>
                <w:rPr>
                  <w:rFonts w:ascii="Arial" w:cs="Arial" w:eastAsia="Arial" w:hAnsi="Arial"/>
                  <w:sz w:val="16"/>
                  <w:szCs w:val="16"/>
                  <w:color w:val="0000EE"/>
                  <w:w w:val="89"/>
                </w:rPr>
                <w:t>Legal Proceedings</w:t>
              </w:r>
            </w:hyperlink>
          </w:p>
        </w:tc>
        <w:tc>
          <w:tcPr>
            <w:tcW w:w="7200" w:type="dxa"/>
            <w:vAlign w:val="bottom"/>
            <w:gridSpan w:val="13"/>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25">
              <w:r>
                <w:rPr>
                  <w:rFonts w:ascii="Arial" w:cs="Arial" w:eastAsia="Arial" w:hAnsi="Arial"/>
                  <w:sz w:val="15"/>
                  <w:szCs w:val="15"/>
                  <w:color w:val="0000EE"/>
                  <w:w w:val="71"/>
                </w:rPr>
                <w:t>24</w:t>
              </w:r>
            </w:hyperlink>
          </w:p>
        </w:tc>
      </w:tr>
      <w:tr>
        <w:trPr>
          <w:trHeight w:val="237"/>
        </w:trPr>
        <w:tc>
          <w:tcPr>
            <w:tcW w:w="460" w:type="dxa"/>
            <w:vAlign w:val="bottom"/>
          </w:tcPr>
          <w:p>
            <w:pPr>
              <w:spacing w:after="0"/>
              <w:rPr>
                <w:rFonts w:ascii="Arial" w:cs="Arial" w:eastAsia="Arial" w:hAnsi="Arial"/>
                <w:sz w:val="16"/>
                <w:szCs w:val="16"/>
                <w:color w:val="0000EE"/>
                <w:w w:val="89"/>
              </w:rPr>
            </w:pPr>
            <w:hyperlink w:anchor="page25">
              <w:r>
                <w:rPr>
                  <w:rFonts w:ascii="Arial" w:cs="Arial" w:eastAsia="Arial" w:hAnsi="Arial"/>
                  <w:sz w:val="16"/>
                  <w:szCs w:val="16"/>
                  <w:color w:val="0000EE"/>
                  <w:w w:val="89"/>
                </w:rPr>
                <w:t>Item 4.</w:t>
              </w:r>
            </w:hyperlink>
          </w:p>
        </w:tc>
        <w:tc>
          <w:tcPr>
            <w:tcW w:w="580" w:type="dxa"/>
            <w:vAlign w:val="bottom"/>
            <w:gridSpan w:val="8"/>
          </w:tcPr>
          <w:p>
            <w:pPr>
              <w:spacing w:after="0"/>
              <w:rPr>
                <w:sz w:val="20"/>
                <w:szCs w:val="20"/>
                <w:color w:val="auto"/>
              </w:rPr>
            </w:pPr>
          </w:p>
        </w:tc>
        <w:tc>
          <w:tcPr>
            <w:tcW w:w="8400" w:type="dxa"/>
            <w:vAlign w:val="bottom"/>
            <w:gridSpan w:val="19"/>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Mine Safety Disclosures</w:t>
              </w:r>
            </w:hyperlink>
          </w:p>
        </w:tc>
        <w:tc>
          <w:tcPr>
            <w:tcW w:w="1280" w:type="dxa"/>
            <w:vAlign w:val="bottom"/>
            <w:gridSpan w:val="3"/>
          </w:tcPr>
          <w:p>
            <w:pPr>
              <w:jc w:val="center"/>
              <w:ind w:left="1037"/>
              <w:spacing w:after="0"/>
              <w:rPr>
                <w:rFonts w:ascii="Arial" w:cs="Arial" w:eastAsia="Arial" w:hAnsi="Arial"/>
                <w:sz w:val="16"/>
                <w:szCs w:val="16"/>
                <w:color w:val="0000EE"/>
                <w:w w:val="89"/>
              </w:rPr>
            </w:pPr>
            <w:hyperlink w:anchor="page25">
              <w:r>
                <w:rPr>
                  <w:rFonts w:ascii="Arial" w:cs="Arial" w:eastAsia="Arial" w:hAnsi="Arial"/>
                  <w:sz w:val="16"/>
                  <w:szCs w:val="16"/>
                  <w:color w:val="0000EE"/>
                  <w:w w:val="89"/>
                </w:rPr>
                <w:t>24</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534"/>
        </w:trPr>
        <w:tc>
          <w:tcPr>
            <w:tcW w:w="1040" w:type="dxa"/>
            <w:vAlign w:val="bottom"/>
            <w:gridSpan w:val="9"/>
          </w:tcPr>
          <w:p>
            <w:pPr>
              <w:spacing w:after="0"/>
              <w:rPr>
                <w:rFonts w:ascii="Arial" w:cs="Arial" w:eastAsia="Arial" w:hAnsi="Arial"/>
                <w:sz w:val="16"/>
                <w:szCs w:val="16"/>
                <w:b w:val="1"/>
                <w:bCs w:val="1"/>
                <w:color w:val="0000EE"/>
              </w:rPr>
            </w:pPr>
            <w:hyperlink w:anchor="page26">
              <w:r>
                <w:rPr>
                  <w:rFonts w:ascii="Arial" w:cs="Arial" w:eastAsia="Arial" w:hAnsi="Arial"/>
                  <w:sz w:val="16"/>
                  <w:szCs w:val="16"/>
                  <w:b w:val="1"/>
                  <w:bCs w:val="1"/>
                  <w:color w:val="0000EE"/>
                </w:rPr>
                <w:t>PART II.</w:t>
              </w:r>
            </w:hyperlink>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48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93"/>
              </w:rPr>
            </w:pPr>
            <w:hyperlink w:anchor="page26">
              <w:r>
                <w:rPr>
                  <w:rFonts w:ascii="Arial" w:cs="Arial" w:eastAsia="Arial" w:hAnsi="Arial"/>
                  <w:sz w:val="16"/>
                  <w:szCs w:val="16"/>
                  <w:color w:val="0000EE"/>
                  <w:w w:val="93"/>
                </w:rPr>
                <w:t>Item 5.</w:t>
              </w:r>
            </w:hyperlink>
          </w:p>
        </w:tc>
        <w:tc>
          <w:tcPr>
            <w:tcW w:w="140" w:type="dxa"/>
            <w:vAlign w:val="bottom"/>
            <w:tcBorders>
              <w:top w:val="single" w:sz="8" w:color="0000EE"/>
            </w:tcBorders>
            <w:gridSpan w:val="4"/>
          </w:tcPr>
          <w:p>
            <w:pPr>
              <w:spacing w:after="0"/>
              <w:rPr>
                <w:sz w:val="21"/>
                <w:szCs w:val="21"/>
                <w:color w:val="auto"/>
              </w:rPr>
            </w:pPr>
          </w:p>
        </w:tc>
        <w:tc>
          <w:tcPr>
            <w:tcW w:w="420" w:type="dxa"/>
            <w:vAlign w:val="bottom"/>
            <w:gridSpan w:val="3"/>
          </w:tcPr>
          <w:p>
            <w:pPr>
              <w:spacing w:after="0"/>
              <w:rPr>
                <w:sz w:val="21"/>
                <w:szCs w:val="21"/>
                <w:color w:val="auto"/>
              </w:rPr>
            </w:pPr>
          </w:p>
        </w:tc>
        <w:tc>
          <w:tcPr>
            <w:tcW w:w="7300" w:type="dxa"/>
            <w:vAlign w:val="bottom"/>
            <w:tcBorders>
              <w:bottom w:val="single" w:sz="8" w:color="0000EE"/>
            </w:tcBorders>
            <w:gridSpan w:val="18"/>
          </w:tcPr>
          <w:p>
            <w:pPr>
              <w:spacing w:after="0"/>
              <w:rPr>
                <w:rFonts w:ascii="Arial" w:cs="Arial" w:eastAsia="Arial" w:hAnsi="Arial"/>
                <w:sz w:val="16"/>
                <w:szCs w:val="16"/>
                <w:color w:val="0000EE"/>
                <w:w w:val="91"/>
              </w:rPr>
            </w:pPr>
            <w:hyperlink w:anchor="page26">
              <w:r>
                <w:rPr>
                  <w:rFonts w:ascii="Arial" w:cs="Arial" w:eastAsia="Arial" w:hAnsi="Arial"/>
                  <w:sz w:val="16"/>
                  <w:szCs w:val="16"/>
                  <w:color w:val="0000EE"/>
                  <w:w w:val="91"/>
                </w:rPr>
                <w:t>Market for Registrant's Common Equity, Related Stockholder Matters, and Issuer Purchases of Equity Securities</w:t>
              </w:r>
            </w:hyperlink>
          </w:p>
        </w:tc>
        <w:tc>
          <w:tcPr>
            <w:tcW w:w="1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26">
              <w:r>
                <w:rPr>
                  <w:rFonts w:ascii="Arial" w:cs="Arial" w:eastAsia="Arial" w:hAnsi="Arial"/>
                  <w:sz w:val="15"/>
                  <w:szCs w:val="15"/>
                  <w:color w:val="0000EE"/>
                  <w:w w:val="71"/>
                </w:rPr>
                <w:t>25</w:t>
              </w:r>
            </w:hyperlink>
          </w:p>
        </w:tc>
      </w:tr>
      <w:tr>
        <w:trPr>
          <w:trHeight w:val="237"/>
        </w:trPr>
        <w:tc>
          <w:tcPr>
            <w:tcW w:w="480" w:type="dxa"/>
            <w:vAlign w:val="bottom"/>
            <w:tcBorders>
              <w:bottom w:val="single" w:sz="8" w:color="0000EE"/>
            </w:tcBorders>
            <w:gridSpan w:val="2"/>
          </w:tcPr>
          <w:p>
            <w:pPr>
              <w:spacing w:after="0"/>
              <w:rPr>
                <w:rFonts w:ascii="Arial" w:cs="Arial" w:eastAsia="Arial" w:hAnsi="Arial"/>
                <w:sz w:val="16"/>
                <w:szCs w:val="16"/>
                <w:color w:val="0000EE"/>
                <w:w w:val="93"/>
              </w:rPr>
            </w:pPr>
            <w:hyperlink w:anchor="page29">
              <w:r>
                <w:rPr>
                  <w:rFonts w:ascii="Arial" w:cs="Arial" w:eastAsia="Arial" w:hAnsi="Arial"/>
                  <w:sz w:val="16"/>
                  <w:szCs w:val="16"/>
                  <w:color w:val="0000EE"/>
                  <w:w w:val="93"/>
                </w:rPr>
                <w:t>Item 6.</w:t>
              </w:r>
            </w:hyperlink>
          </w:p>
        </w:tc>
        <w:tc>
          <w:tcPr>
            <w:tcW w:w="560" w:type="dxa"/>
            <w:vAlign w:val="bottom"/>
            <w:gridSpan w:val="7"/>
          </w:tcPr>
          <w:p>
            <w:pPr>
              <w:spacing w:after="0"/>
              <w:rPr>
                <w:sz w:val="20"/>
                <w:szCs w:val="20"/>
                <w:color w:val="auto"/>
              </w:rPr>
            </w:pPr>
          </w:p>
        </w:tc>
        <w:tc>
          <w:tcPr>
            <w:tcW w:w="1580" w:type="dxa"/>
            <w:vAlign w:val="bottom"/>
            <w:tcBorders>
              <w:bottom w:val="single" w:sz="8" w:color="0000EE"/>
            </w:tcBorders>
            <w:gridSpan w:val="7"/>
          </w:tcPr>
          <w:p>
            <w:pPr>
              <w:spacing w:after="0"/>
              <w:rPr>
                <w:rFonts w:ascii="Arial" w:cs="Arial" w:eastAsia="Arial" w:hAnsi="Arial"/>
                <w:sz w:val="16"/>
                <w:szCs w:val="16"/>
                <w:color w:val="0000EE"/>
                <w:w w:val="91"/>
              </w:rPr>
            </w:pPr>
            <w:hyperlink w:anchor="page29">
              <w:r>
                <w:rPr>
                  <w:rFonts w:ascii="Arial" w:cs="Arial" w:eastAsia="Arial" w:hAnsi="Arial"/>
                  <w:sz w:val="16"/>
                  <w:szCs w:val="16"/>
                  <w:color w:val="0000EE"/>
                  <w:w w:val="91"/>
                </w:rPr>
                <w:t>Selected Financial Data</w:t>
              </w:r>
            </w:hyperlink>
          </w:p>
        </w:tc>
        <w:tc>
          <w:tcPr>
            <w:tcW w:w="6820" w:type="dxa"/>
            <w:vAlign w:val="bottom"/>
            <w:gridSpan w:val="12"/>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29">
              <w:r>
                <w:rPr>
                  <w:rFonts w:ascii="Arial" w:cs="Arial" w:eastAsia="Arial" w:hAnsi="Arial"/>
                  <w:sz w:val="15"/>
                  <w:szCs w:val="15"/>
                  <w:color w:val="0000EE"/>
                  <w:w w:val="71"/>
                </w:rPr>
                <w:t>28</w:t>
              </w:r>
            </w:hyperlink>
          </w:p>
        </w:tc>
      </w:tr>
      <w:tr>
        <w:trPr>
          <w:trHeight w:val="237"/>
        </w:trPr>
        <w:tc>
          <w:tcPr>
            <w:tcW w:w="480" w:type="dxa"/>
            <w:vAlign w:val="bottom"/>
            <w:tcBorders>
              <w:bottom w:val="single" w:sz="8" w:color="0000EE"/>
            </w:tcBorders>
            <w:gridSpan w:val="2"/>
          </w:tcPr>
          <w:p>
            <w:pPr>
              <w:spacing w:after="0"/>
              <w:rPr>
                <w:rFonts w:ascii="Arial" w:cs="Arial" w:eastAsia="Arial" w:hAnsi="Arial"/>
                <w:sz w:val="16"/>
                <w:szCs w:val="16"/>
                <w:color w:val="0000EE"/>
                <w:w w:val="93"/>
              </w:rPr>
            </w:pPr>
            <w:hyperlink w:anchor="page30">
              <w:r>
                <w:rPr>
                  <w:rFonts w:ascii="Arial" w:cs="Arial" w:eastAsia="Arial" w:hAnsi="Arial"/>
                  <w:sz w:val="16"/>
                  <w:szCs w:val="16"/>
                  <w:color w:val="0000EE"/>
                  <w:w w:val="93"/>
                </w:rPr>
                <w:t>Item 7.</w:t>
              </w:r>
            </w:hyperlink>
          </w:p>
        </w:tc>
        <w:tc>
          <w:tcPr>
            <w:tcW w:w="560" w:type="dxa"/>
            <w:vAlign w:val="bottom"/>
            <w:gridSpan w:val="7"/>
          </w:tcPr>
          <w:p>
            <w:pPr>
              <w:spacing w:after="0"/>
              <w:rPr>
                <w:sz w:val="20"/>
                <w:szCs w:val="20"/>
                <w:color w:val="auto"/>
              </w:rPr>
            </w:pPr>
          </w:p>
        </w:tc>
        <w:tc>
          <w:tcPr>
            <w:tcW w:w="5800" w:type="dxa"/>
            <w:vAlign w:val="bottom"/>
            <w:tcBorders>
              <w:bottom w:val="single" w:sz="8" w:color="0000EE"/>
            </w:tcBorders>
            <w:gridSpan w:val="15"/>
          </w:tcPr>
          <w:p>
            <w:pPr>
              <w:spacing w:after="0"/>
              <w:rPr>
                <w:rFonts w:ascii="Arial" w:cs="Arial" w:eastAsia="Arial" w:hAnsi="Arial"/>
                <w:sz w:val="16"/>
                <w:szCs w:val="16"/>
                <w:color w:val="0000EE"/>
                <w:w w:val="91"/>
              </w:rPr>
            </w:pPr>
            <w:hyperlink w:anchor="page30">
              <w:r>
                <w:rPr>
                  <w:rFonts w:ascii="Arial" w:cs="Arial" w:eastAsia="Arial" w:hAnsi="Arial"/>
                  <w:sz w:val="16"/>
                  <w:szCs w:val="16"/>
                  <w:color w:val="0000EE"/>
                  <w:w w:val="91"/>
                </w:rPr>
                <w:t>Management's Discussion and Analysis of Financial Condition and Results of Operations</w:t>
              </w:r>
            </w:hyperlink>
          </w:p>
        </w:tc>
        <w:tc>
          <w:tcPr>
            <w:tcW w:w="2600" w:type="dxa"/>
            <w:vAlign w:val="bottom"/>
            <w:gridSpan w:val="4"/>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30">
              <w:r>
                <w:rPr>
                  <w:rFonts w:ascii="Arial" w:cs="Arial" w:eastAsia="Arial" w:hAnsi="Arial"/>
                  <w:sz w:val="15"/>
                  <w:szCs w:val="15"/>
                  <w:color w:val="0000EE"/>
                  <w:w w:val="71"/>
                </w:rPr>
                <w:t>29</w:t>
              </w:r>
            </w:hyperlink>
          </w:p>
        </w:tc>
      </w:tr>
      <w:tr>
        <w:trPr>
          <w:trHeight w:val="237"/>
        </w:trPr>
        <w:tc>
          <w:tcPr>
            <w:tcW w:w="580" w:type="dxa"/>
            <w:vAlign w:val="bottom"/>
            <w:gridSpan w:val="5"/>
          </w:tcPr>
          <w:p>
            <w:pPr>
              <w:spacing w:after="0"/>
              <w:rPr>
                <w:rFonts w:ascii="Arial" w:cs="Arial" w:eastAsia="Arial" w:hAnsi="Arial"/>
                <w:sz w:val="16"/>
                <w:szCs w:val="16"/>
                <w:color w:val="0000EE"/>
                <w:w w:val="93"/>
              </w:rPr>
            </w:pPr>
            <w:hyperlink w:anchor="page48">
              <w:r>
                <w:rPr>
                  <w:rFonts w:ascii="Arial" w:cs="Arial" w:eastAsia="Arial" w:hAnsi="Arial"/>
                  <w:sz w:val="16"/>
                  <w:szCs w:val="16"/>
                  <w:color w:val="0000EE"/>
                  <w:w w:val="93"/>
                </w:rPr>
                <w:t>Item 7A.</w:t>
              </w:r>
            </w:hyperlink>
          </w:p>
        </w:tc>
        <w:tc>
          <w:tcPr>
            <w:tcW w:w="460" w:type="dxa"/>
            <w:vAlign w:val="bottom"/>
            <w:gridSpan w:val="4"/>
          </w:tcPr>
          <w:p>
            <w:pPr>
              <w:spacing w:after="0"/>
              <w:rPr>
                <w:sz w:val="20"/>
                <w:szCs w:val="20"/>
                <w:color w:val="auto"/>
              </w:rPr>
            </w:pPr>
          </w:p>
        </w:tc>
        <w:tc>
          <w:tcPr>
            <w:tcW w:w="8400" w:type="dxa"/>
            <w:vAlign w:val="bottom"/>
            <w:gridSpan w:val="19"/>
          </w:tcPr>
          <w:p>
            <w:pPr>
              <w:spacing w:after="0"/>
              <w:rPr>
                <w:rFonts w:ascii="Arial" w:cs="Arial" w:eastAsia="Arial" w:hAnsi="Arial"/>
                <w:sz w:val="16"/>
                <w:szCs w:val="16"/>
                <w:color w:val="0000EE"/>
              </w:rPr>
            </w:pPr>
            <w:hyperlink w:anchor="page48">
              <w:r>
                <w:rPr>
                  <w:rFonts w:ascii="Arial" w:cs="Arial" w:eastAsia="Arial" w:hAnsi="Arial"/>
                  <w:sz w:val="16"/>
                  <w:szCs w:val="16"/>
                  <w:color w:val="0000EE"/>
                </w:rPr>
                <w:t>Quantitative and Qualitative Disclosures About Market Risk</w:t>
              </w:r>
            </w:hyperlink>
          </w:p>
        </w:tc>
        <w:tc>
          <w:tcPr>
            <w:tcW w:w="1280" w:type="dxa"/>
            <w:vAlign w:val="bottom"/>
            <w:gridSpan w:val="3"/>
          </w:tcPr>
          <w:p>
            <w:pPr>
              <w:jc w:val="center"/>
              <w:ind w:left="1037"/>
              <w:spacing w:after="0"/>
              <w:rPr>
                <w:rFonts w:ascii="Arial" w:cs="Arial" w:eastAsia="Arial" w:hAnsi="Arial"/>
                <w:sz w:val="16"/>
                <w:szCs w:val="16"/>
                <w:color w:val="0000EE"/>
                <w:w w:val="89"/>
              </w:rPr>
            </w:pPr>
            <w:hyperlink w:anchor="page48">
              <w:r>
                <w:rPr>
                  <w:rFonts w:ascii="Arial" w:cs="Arial" w:eastAsia="Arial" w:hAnsi="Arial"/>
                  <w:sz w:val="16"/>
                  <w:szCs w:val="16"/>
                  <w:color w:val="0000EE"/>
                  <w:w w:val="89"/>
                </w:rPr>
                <w:t>47</w:t>
              </w:r>
            </w:hyperlink>
          </w:p>
        </w:tc>
      </w:tr>
      <w:tr>
        <w:trPr>
          <w:trHeight w:val="237"/>
        </w:trPr>
        <w:tc>
          <w:tcPr>
            <w:tcW w:w="48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93"/>
              </w:rPr>
            </w:pPr>
            <w:hyperlink w:anchor="page52">
              <w:r>
                <w:rPr>
                  <w:rFonts w:ascii="Arial" w:cs="Arial" w:eastAsia="Arial" w:hAnsi="Arial"/>
                  <w:sz w:val="16"/>
                  <w:szCs w:val="16"/>
                  <w:color w:val="0000EE"/>
                  <w:w w:val="93"/>
                </w:rPr>
                <w:t>Item 8.</w:t>
              </w:r>
            </w:hyperlink>
          </w:p>
        </w:tc>
        <w:tc>
          <w:tcPr>
            <w:tcW w:w="100" w:type="dxa"/>
            <w:vAlign w:val="bottom"/>
            <w:tcBorders>
              <w:top w:val="single" w:sz="8" w:color="0000EE"/>
            </w:tcBorders>
            <w:gridSpan w:val="3"/>
          </w:tcPr>
          <w:p>
            <w:pPr>
              <w:spacing w:after="0"/>
              <w:rPr>
                <w:sz w:val="20"/>
                <w:szCs w:val="20"/>
                <w:color w:val="auto"/>
              </w:rPr>
            </w:pPr>
          </w:p>
        </w:tc>
        <w:tc>
          <w:tcPr>
            <w:tcW w:w="460" w:type="dxa"/>
            <w:vAlign w:val="bottom"/>
            <w:gridSpan w:val="4"/>
          </w:tcPr>
          <w:p>
            <w:pPr>
              <w:spacing w:after="0"/>
              <w:rPr>
                <w:sz w:val="20"/>
                <w:szCs w:val="20"/>
                <w:color w:val="auto"/>
              </w:rPr>
            </w:pPr>
          </w:p>
        </w:tc>
        <w:tc>
          <w:tcPr>
            <w:tcW w:w="3000" w:type="dxa"/>
            <w:vAlign w:val="bottom"/>
            <w:tcBorders>
              <w:top w:val="single" w:sz="8" w:color="0000EE"/>
              <w:bottom w:val="single" w:sz="8" w:color="0000EE"/>
            </w:tcBorders>
            <w:gridSpan w:val="11"/>
          </w:tcPr>
          <w:p>
            <w:pPr>
              <w:spacing w:after="0"/>
              <w:rPr>
                <w:rFonts w:ascii="Arial" w:cs="Arial" w:eastAsia="Arial" w:hAnsi="Arial"/>
                <w:sz w:val="16"/>
                <w:szCs w:val="16"/>
                <w:color w:val="0000EE"/>
                <w:w w:val="90"/>
              </w:rPr>
            </w:pPr>
            <w:hyperlink w:anchor="page52">
              <w:r>
                <w:rPr>
                  <w:rFonts w:ascii="Arial" w:cs="Arial" w:eastAsia="Arial" w:hAnsi="Arial"/>
                  <w:sz w:val="16"/>
                  <w:szCs w:val="16"/>
                  <w:color w:val="0000EE"/>
                  <w:w w:val="90"/>
                </w:rPr>
                <w:t>Financial Statements and Supplementary Data</w:t>
              </w:r>
            </w:hyperlink>
          </w:p>
        </w:tc>
        <w:tc>
          <w:tcPr>
            <w:tcW w:w="920" w:type="dxa"/>
            <w:vAlign w:val="bottom"/>
            <w:tcBorders>
              <w:top w:val="single" w:sz="8" w:color="0000EE"/>
            </w:tcBorders>
            <w:gridSpan w:val="2"/>
          </w:tcPr>
          <w:p>
            <w:pPr>
              <w:spacing w:after="0"/>
              <w:rPr>
                <w:sz w:val="20"/>
                <w:szCs w:val="20"/>
                <w:color w:val="auto"/>
              </w:rPr>
            </w:pPr>
          </w:p>
        </w:tc>
        <w:tc>
          <w:tcPr>
            <w:tcW w:w="4480" w:type="dxa"/>
            <w:vAlign w:val="bottom"/>
            <w:gridSpan w:val="6"/>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Borders>
              <w:top w:val="single" w:sz="8" w:color="0000EE"/>
              <w:bottom w:val="single" w:sz="8" w:color="0000EE"/>
            </w:tcBorders>
            <w:gridSpan w:val="2"/>
          </w:tcPr>
          <w:p>
            <w:pPr>
              <w:jc w:val="center"/>
              <w:spacing w:after="0"/>
              <w:rPr>
                <w:rFonts w:ascii="Arial" w:cs="Arial" w:eastAsia="Arial" w:hAnsi="Arial"/>
                <w:sz w:val="15"/>
                <w:szCs w:val="15"/>
                <w:color w:val="0000EE"/>
                <w:w w:val="71"/>
              </w:rPr>
            </w:pPr>
            <w:hyperlink w:anchor="page52">
              <w:r>
                <w:rPr>
                  <w:rFonts w:ascii="Arial" w:cs="Arial" w:eastAsia="Arial" w:hAnsi="Arial"/>
                  <w:sz w:val="15"/>
                  <w:szCs w:val="15"/>
                  <w:color w:val="0000EE"/>
                  <w:w w:val="71"/>
                </w:rPr>
                <w:t>51</w:t>
              </w:r>
            </w:hyperlink>
          </w:p>
        </w:tc>
      </w:tr>
      <w:tr>
        <w:trPr>
          <w:trHeight w:val="237"/>
        </w:trPr>
        <w:tc>
          <w:tcPr>
            <w:tcW w:w="480" w:type="dxa"/>
            <w:vAlign w:val="bottom"/>
            <w:gridSpan w:val="2"/>
          </w:tcPr>
          <w:p>
            <w:pPr>
              <w:spacing w:after="0"/>
              <w:rPr>
                <w:rFonts w:ascii="Arial" w:cs="Arial" w:eastAsia="Arial" w:hAnsi="Arial"/>
                <w:sz w:val="16"/>
                <w:szCs w:val="16"/>
                <w:color w:val="0000EE"/>
                <w:w w:val="93"/>
              </w:rPr>
            </w:pPr>
            <w:hyperlink w:anchor="page84">
              <w:r>
                <w:rPr>
                  <w:rFonts w:ascii="Arial" w:cs="Arial" w:eastAsia="Arial" w:hAnsi="Arial"/>
                  <w:sz w:val="16"/>
                  <w:szCs w:val="16"/>
                  <w:color w:val="0000EE"/>
                  <w:w w:val="93"/>
                </w:rPr>
                <w:t>Item 9.</w:t>
              </w:r>
            </w:hyperlink>
          </w:p>
        </w:tc>
        <w:tc>
          <w:tcPr>
            <w:tcW w:w="560" w:type="dxa"/>
            <w:vAlign w:val="bottom"/>
            <w:gridSpan w:val="7"/>
          </w:tcPr>
          <w:p>
            <w:pPr>
              <w:spacing w:after="0"/>
              <w:rPr>
                <w:sz w:val="20"/>
                <w:szCs w:val="20"/>
                <w:color w:val="auto"/>
              </w:rPr>
            </w:pPr>
          </w:p>
        </w:tc>
        <w:tc>
          <w:tcPr>
            <w:tcW w:w="8400" w:type="dxa"/>
            <w:vAlign w:val="bottom"/>
            <w:gridSpan w:val="19"/>
          </w:tcPr>
          <w:p>
            <w:pPr>
              <w:spacing w:after="0"/>
              <w:rPr>
                <w:rFonts w:ascii="Arial" w:cs="Arial" w:eastAsia="Arial" w:hAnsi="Arial"/>
                <w:sz w:val="16"/>
                <w:szCs w:val="16"/>
                <w:color w:val="0000EE"/>
              </w:rPr>
            </w:pPr>
            <w:hyperlink w:anchor="page84">
              <w:r>
                <w:rPr>
                  <w:rFonts w:ascii="Arial" w:cs="Arial" w:eastAsia="Arial" w:hAnsi="Arial"/>
                  <w:sz w:val="16"/>
                  <w:szCs w:val="16"/>
                  <w:color w:val="0000EE"/>
                </w:rPr>
                <w:t>Changes in and Disagreements with Accountants on Accounting and Financial Disclosure</w:t>
              </w:r>
            </w:hyperlink>
          </w:p>
        </w:tc>
        <w:tc>
          <w:tcPr>
            <w:tcW w:w="1280" w:type="dxa"/>
            <w:vAlign w:val="bottom"/>
            <w:gridSpan w:val="3"/>
          </w:tcPr>
          <w:p>
            <w:pPr>
              <w:jc w:val="center"/>
              <w:ind w:left="1037"/>
              <w:spacing w:after="0"/>
              <w:rPr>
                <w:rFonts w:ascii="Arial" w:cs="Arial" w:eastAsia="Arial" w:hAnsi="Arial"/>
                <w:sz w:val="16"/>
                <w:szCs w:val="16"/>
                <w:color w:val="0000EE"/>
                <w:w w:val="89"/>
              </w:rPr>
            </w:pPr>
            <w:hyperlink w:anchor="page84">
              <w:r>
                <w:rPr>
                  <w:rFonts w:ascii="Arial" w:cs="Arial" w:eastAsia="Arial" w:hAnsi="Arial"/>
                  <w:sz w:val="16"/>
                  <w:szCs w:val="16"/>
                  <w:color w:val="0000EE"/>
                  <w:w w:val="89"/>
                </w:rPr>
                <w:t>83</w:t>
              </w:r>
            </w:hyperlink>
          </w:p>
        </w:tc>
      </w:tr>
      <w:tr>
        <w:trPr>
          <w:trHeight w:val="20"/>
        </w:trPr>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237"/>
        </w:trPr>
        <w:tc>
          <w:tcPr>
            <w:tcW w:w="580" w:type="dxa"/>
            <w:vAlign w:val="bottom"/>
            <w:gridSpan w:val="5"/>
          </w:tcPr>
          <w:p>
            <w:pPr>
              <w:spacing w:after="0"/>
              <w:rPr>
                <w:rFonts w:ascii="Arial" w:cs="Arial" w:eastAsia="Arial" w:hAnsi="Arial"/>
                <w:sz w:val="16"/>
                <w:szCs w:val="16"/>
                <w:color w:val="0000EE"/>
                <w:w w:val="93"/>
              </w:rPr>
            </w:pPr>
            <w:hyperlink w:anchor="page84">
              <w:r>
                <w:rPr>
                  <w:rFonts w:ascii="Arial" w:cs="Arial" w:eastAsia="Arial" w:hAnsi="Arial"/>
                  <w:sz w:val="16"/>
                  <w:szCs w:val="16"/>
                  <w:color w:val="0000EE"/>
                  <w:w w:val="93"/>
                </w:rPr>
                <w:t>Item 9A.</w:t>
              </w:r>
            </w:hyperlink>
          </w:p>
        </w:tc>
        <w:tc>
          <w:tcPr>
            <w:tcW w:w="460" w:type="dxa"/>
            <w:vAlign w:val="bottom"/>
            <w:gridSpan w:val="4"/>
          </w:tcPr>
          <w:p>
            <w:pPr>
              <w:spacing w:after="0"/>
              <w:rPr>
                <w:sz w:val="20"/>
                <w:szCs w:val="20"/>
                <w:color w:val="auto"/>
              </w:rPr>
            </w:pPr>
          </w:p>
        </w:tc>
        <w:tc>
          <w:tcPr>
            <w:tcW w:w="8400" w:type="dxa"/>
            <w:vAlign w:val="bottom"/>
            <w:gridSpan w:val="19"/>
          </w:tcPr>
          <w:p>
            <w:pPr>
              <w:spacing w:after="0"/>
              <w:rPr>
                <w:rFonts w:ascii="Arial" w:cs="Arial" w:eastAsia="Arial" w:hAnsi="Arial"/>
                <w:sz w:val="16"/>
                <w:szCs w:val="16"/>
                <w:color w:val="0000EE"/>
              </w:rPr>
            </w:pPr>
            <w:hyperlink w:anchor="page84">
              <w:r>
                <w:rPr>
                  <w:rFonts w:ascii="Arial" w:cs="Arial" w:eastAsia="Arial" w:hAnsi="Arial"/>
                  <w:sz w:val="16"/>
                  <w:szCs w:val="16"/>
                  <w:color w:val="0000EE"/>
                </w:rPr>
                <w:t>Controls and Procedures</w:t>
              </w:r>
            </w:hyperlink>
          </w:p>
        </w:tc>
        <w:tc>
          <w:tcPr>
            <w:tcW w:w="1280" w:type="dxa"/>
            <w:vAlign w:val="bottom"/>
            <w:gridSpan w:val="3"/>
          </w:tcPr>
          <w:p>
            <w:pPr>
              <w:jc w:val="center"/>
              <w:ind w:left="1037"/>
              <w:spacing w:after="0"/>
              <w:rPr>
                <w:rFonts w:ascii="Arial" w:cs="Arial" w:eastAsia="Arial" w:hAnsi="Arial"/>
                <w:sz w:val="16"/>
                <w:szCs w:val="16"/>
                <w:color w:val="0000EE"/>
                <w:w w:val="89"/>
              </w:rPr>
            </w:pPr>
            <w:hyperlink w:anchor="page84">
              <w:r>
                <w:rPr>
                  <w:rFonts w:ascii="Arial" w:cs="Arial" w:eastAsia="Arial" w:hAnsi="Arial"/>
                  <w:sz w:val="16"/>
                  <w:szCs w:val="16"/>
                  <w:color w:val="0000EE"/>
                  <w:w w:val="89"/>
                </w:rPr>
                <w:t>83</w:t>
              </w:r>
            </w:hyperlink>
          </w:p>
        </w:tc>
      </w:tr>
      <w:tr>
        <w:trPr>
          <w:trHeight w:val="237"/>
        </w:trPr>
        <w:tc>
          <w:tcPr>
            <w:tcW w:w="580" w:type="dxa"/>
            <w:vAlign w:val="bottom"/>
            <w:tcBorders>
              <w:top w:val="single" w:sz="8" w:color="0000EE"/>
            </w:tcBorders>
            <w:gridSpan w:val="5"/>
          </w:tcPr>
          <w:p>
            <w:pPr>
              <w:spacing w:after="0"/>
              <w:rPr>
                <w:rFonts w:ascii="Arial" w:cs="Arial" w:eastAsia="Arial" w:hAnsi="Arial"/>
                <w:sz w:val="16"/>
                <w:szCs w:val="16"/>
                <w:color w:val="0000EE"/>
                <w:w w:val="93"/>
              </w:rPr>
            </w:pPr>
            <w:hyperlink w:anchor="page84">
              <w:r>
                <w:rPr>
                  <w:rFonts w:ascii="Arial" w:cs="Arial" w:eastAsia="Arial" w:hAnsi="Arial"/>
                  <w:sz w:val="16"/>
                  <w:szCs w:val="16"/>
                  <w:color w:val="0000EE"/>
                  <w:w w:val="93"/>
                </w:rPr>
                <w:t>Item 9B.</w:t>
              </w:r>
            </w:hyperlink>
          </w:p>
        </w:tc>
        <w:tc>
          <w:tcPr>
            <w:tcW w:w="460" w:type="dxa"/>
            <w:vAlign w:val="bottom"/>
            <w:gridSpan w:val="4"/>
          </w:tcPr>
          <w:p>
            <w:pPr>
              <w:spacing w:after="0"/>
              <w:rPr>
                <w:sz w:val="20"/>
                <w:szCs w:val="20"/>
                <w:color w:val="auto"/>
              </w:rPr>
            </w:pPr>
          </w:p>
        </w:tc>
        <w:tc>
          <w:tcPr>
            <w:tcW w:w="1580" w:type="dxa"/>
            <w:vAlign w:val="bottom"/>
            <w:tcBorders>
              <w:top w:val="single" w:sz="8" w:color="0000EE"/>
            </w:tcBorders>
            <w:gridSpan w:val="7"/>
          </w:tcPr>
          <w:p>
            <w:pPr>
              <w:spacing w:after="0"/>
              <w:rPr>
                <w:rFonts w:ascii="Arial" w:cs="Arial" w:eastAsia="Arial" w:hAnsi="Arial"/>
                <w:sz w:val="16"/>
                <w:szCs w:val="16"/>
                <w:color w:val="0000EE"/>
              </w:rPr>
            </w:pPr>
            <w:hyperlink w:anchor="page84">
              <w:r>
                <w:rPr>
                  <w:rFonts w:ascii="Arial" w:cs="Arial" w:eastAsia="Arial" w:hAnsi="Arial"/>
                  <w:sz w:val="16"/>
                  <w:szCs w:val="16"/>
                  <w:color w:val="0000EE"/>
                </w:rPr>
                <w:t>Other Information</w:t>
              </w:r>
            </w:hyperlink>
          </w:p>
        </w:tc>
        <w:tc>
          <w:tcPr>
            <w:tcW w:w="6820" w:type="dxa"/>
            <w:vAlign w:val="bottom"/>
            <w:gridSpan w:val="12"/>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Borders>
              <w:top w:val="single" w:sz="8" w:color="0000EE"/>
            </w:tcBorders>
            <w:gridSpan w:val="2"/>
          </w:tcPr>
          <w:p>
            <w:pPr>
              <w:jc w:val="center"/>
              <w:spacing w:after="0"/>
              <w:rPr>
                <w:rFonts w:ascii="Arial" w:cs="Arial" w:eastAsia="Arial" w:hAnsi="Arial"/>
                <w:sz w:val="15"/>
                <w:szCs w:val="15"/>
                <w:color w:val="0000EE"/>
                <w:w w:val="71"/>
              </w:rPr>
            </w:pPr>
            <w:hyperlink w:anchor="page84">
              <w:r>
                <w:rPr>
                  <w:rFonts w:ascii="Arial" w:cs="Arial" w:eastAsia="Arial" w:hAnsi="Arial"/>
                  <w:sz w:val="15"/>
                  <w:szCs w:val="15"/>
                  <w:color w:val="0000EE"/>
                  <w:w w:val="71"/>
                </w:rPr>
                <w:t>83</w:t>
              </w:r>
            </w:hyperlink>
          </w:p>
        </w:tc>
      </w:tr>
      <w:tr>
        <w:trPr>
          <w:trHeight w:val="20"/>
        </w:trPr>
        <w:tc>
          <w:tcPr>
            <w:tcW w:w="5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534"/>
        </w:trPr>
        <w:tc>
          <w:tcPr>
            <w:tcW w:w="1040" w:type="dxa"/>
            <w:vAlign w:val="bottom"/>
            <w:gridSpan w:val="9"/>
          </w:tcPr>
          <w:p>
            <w:pPr>
              <w:spacing w:after="0"/>
              <w:rPr>
                <w:rFonts w:ascii="Arial" w:cs="Arial" w:eastAsia="Arial" w:hAnsi="Arial"/>
                <w:sz w:val="16"/>
                <w:szCs w:val="16"/>
                <w:b w:val="1"/>
                <w:bCs w:val="1"/>
                <w:color w:val="0000EE"/>
              </w:rPr>
            </w:pPr>
            <w:hyperlink w:anchor="page85">
              <w:r>
                <w:rPr>
                  <w:rFonts w:ascii="Arial" w:cs="Arial" w:eastAsia="Arial" w:hAnsi="Arial"/>
                  <w:sz w:val="16"/>
                  <w:szCs w:val="16"/>
                  <w:b w:val="1"/>
                  <w:bCs w:val="1"/>
                  <w:color w:val="0000EE"/>
                </w:rPr>
                <w:t>PART III.</w:t>
              </w:r>
            </w:hyperlink>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560" w:type="dxa"/>
            <w:vAlign w:val="bottom"/>
            <w:tcBorders>
              <w:top w:val="single" w:sz="8" w:color="0000EE"/>
            </w:tcBorders>
            <w:gridSpan w:val="4"/>
          </w:tcPr>
          <w:p>
            <w:pPr>
              <w:spacing w:after="0"/>
              <w:rPr>
                <w:rFonts w:ascii="Arial" w:cs="Arial" w:eastAsia="Arial" w:hAnsi="Arial"/>
                <w:sz w:val="16"/>
                <w:szCs w:val="16"/>
                <w:color w:val="0000EE"/>
                <w:w w:val="89"/>
              </w:rPr>
            </w:pPr>
            <w:hyperlink w:anchor="page85">
              <w:r>
                <w:rPr>
                  <w:rFonts w:ascii="Arial" w:cs="Arial" w:eastAsia="Arial" w:hAnsi="Arial"/>
                  <w:sz w:val="16"/>
                  <w:szCs w:val="16"/>
                  <w:color w:val="0000EE"/>
                  <w:w w:val="89"/>
                </w:rPr>
                <w:t>Item 10.</w:t>
              </w:r>
            </w:hyperlink>
          </w:p>
        </w:tc>
        <w:tc>
          <w:tcPr>
            <w:tcW w:w="120" w:type="dxa"/>
            <w:vAlign w:val="bottom"/>
            <w:tcBorders>
              <w:top w:val="single" w:sz="8" w:color="0000EE"/>
            </w:tcBorders>
            <w:gridSpan w:val="4"/>
          </w:tcPr>
          <w:p>
            <w:pPr>
              <w:spacing w:after="0"/>
              <w:rPr>
                <w:sz w:val="21"/>
                <w:szCs w:val="21"/>
                <w:color w:val="auto"/>
              </w:rPr>
            </w:pPr>
          </w:p>
        </w:tc>
        <w:tc>
          <w:tcPr>
            <w:tcW w:w="360" w:type="dxa"/>
            <w:vAlign w:val="bottom"/>
          </w:tcPr>
          <w:p>
            <w:pPr>
              <w:spacing w:after="0"/>
              <w:rPr>
                <w:sz w:val="21"/>
                <w:szCs w:val="21"/>
                <w:color w:val="auto"/>
              </w:rPr>
            </w:pPr>
          </w:p>
        </w:tc>
        <w:tc>
          <w:tcPr>
            <w:tcW w:w="8400" w:type="dxa"/>
            <w:vAlign w:val="bottom"/>
            <w:gridSpan w:val="19"/>
          </w:tcPr>
          <w:p>
            <w:pPr>
              <w:spacing w:after="0"/>
              <w:rPr>
                <w:rFonts w:ascii="Arial" w:cs="Arial" w:eastAsia="Arial" w:hAnsi="Arial"/>
                <w:sz w:val="16"/>
                <w:szCs w:val="16"/>
                <w:color w:val="0000EE"/>
              </w:rPr>
            </w:pPr>
            <w:hyperlink w:anchor="page85">
              <w:r>
                <w:rPr>
                  <w:rFonts w:ascii="Arial" w:cs="Arial" w:eastAsia="Arial" w:hAnsi="Arial"/>
                  <w:sz w:val="16"/>
                  <w:szCs w:val="16"/>
                  <w:color w:val="0000EE"/>
                </w:rPr>
                <w:t>Directors, Executive Officers and Corporate Governance</w:t>
              </w:r>
            </w:hyperlink>
          </w:p>
        </w:tc>
        <w:tc>
          <w:tcPr>
            <w:tcW w:w="1280" w:type="dxa"/>
            <w:vAlign w:val="bottom"/>
            <w:gridSpan w:val="3"/>
          </w:tcPr>
          <w:p>
            <w:pPr>
              <w:jc w:val="center"/>
              <w:ind w:left="1037"/>
              <w:spacing w:after="0"/>
              <w:rPr>
                <w:rFonts w:ascii="Arial" w:cs="Arial" w:eastAsia="Arial" w:hAnsi="Arial"/>
                <w:sz w:val="16"/>
                <w:szCs w:val="16"/>
                <w:color w:val="0000EE"/>
                <w:w w:val="89"/>
              </w:rPr>
            </w:pPr>
            <w:hyperlink w:anchor="page85">
              <w:r>
                <w:rPr>
                  <w:rFonts w:ascii="Arial" w:cs="Arial" w:eastAsia="Arial" w:hAnsi="Arial"/>
                  <w:sz w:val="16"/>
                  <w:szCs w:val="16"/>
                  <w:color w:val="0000EE"/>
                  <w:w w:val="89"/>
                </w:rPr>
                <w:t>84</w:t>
              </w:r>
            </w:hyperlink>
          </w:p>
        </w:tc>
      </w:tr>
      <w:tr>
        <w:trPr>
          <w:trHeight w:val="237"/>
        </w:trPr>
        <w:tc>
          <w:tcPr>
            <w:tcW w:w="560" w:type="dxa"/>
            <w:vAlign w:val="bottom"/>
            <w:tcBorders>
              <w:top w:val="single" w:sz="8" w:color="0000EE"/>
            </w:tcBorders>
            <w:gridSpan w:val="4"/>
          </w:tcPr>
          <w:p>
            <w:pPr>
              <w:spacing w:after="0"/>
              <w:rPr>
                <w:rFonts w:ascii="Arial" w:cs="Arial" w:eastAsia="Arial" w:hAnsi="Arial"/>
                <w:sz w:val="16"/>
                <w:szCs w:val="16"/>
                <w:color w:val="0000EE"/>
                <w:w w:val="89"/>
              </w:rPr>
            </w:pPr>
            <w:hyperlink w:anchor="page85">
              <w:r>
                <w:rPr>
                  <w:rFonts w:ascii="Arial" w:cs="Arial" w:eastAsia="Arial" w:hAnsi="Arial"/>
                  <w:sz w:val="16"/>
                  <w:szCs w:val="16"/>
                  <w:color w:val="0000EE"/>
                  <w:w w:val="89"/>
                </w:rPr>
                <w:t>Item 11.</w:t>
              </w:r>
            </w:hyperlink>
          </w:p>
        </w:tc>
        <w:tc>
          <w:tcPr>
            <w:tcW w:w="480" w:type="dxa"/>
            <w:vAlign w:val="bottom"/>
            <w:gridSpan w:val="5"/>
          </w:tcPr>
          <w:p>
            <w:pPr>
              <w:spacing w:after="0"/>
              <w:rPr>
                <w:sz w:val="20"/>
                <w:szCs w:val="20"/>
                <w:color w:val="auto"/>
              </w:rPr>
            </w:pPr>
          </w:p>
        </w:tc>
        <w:tc>
          <w:tcPr>
            <w:tcW w:w="3680" w:type="dxa"/>
            <w:vAlign w:val="bottom"/>
            <w:tcBorders>
              <w:top w:val="single" w:sz="8" w:color="0000EE"/>
            </w:tcBorders>
            <w:gridSpan w:val="12"/>
          </w:tcPr>
          <w:p>
            <w:pPr>
              <w:spacing w:after="0"/>
              <w:rPr>
                <w:rFonts w:ascii="Arial" w:cs="Arial" w:eastAsia="Arial" w:hAnsi="Arial"/>
                <w:sz w:val="16"/>
                <w:szCs w:val="16"/>
                <w:color w:val="0000EE"/>
              </w:rPr>
            </w:pPr>
            <w:hyperlink w:anchor="page85">
              <w:r>
                <w:rPr>
                  <w:rFonts w:ascii="Arial" w:cs="Arial" w:eastAsia="Arial" w:hAnsi="Arial"/>
                  <w:sz w:val="16"/>
                  <w:szCs w:val="16"/>
                  <w:color w:val="0000EE"/>
                </w:rPr>
                <w:t>Executive Compensation</w:t>
              </w:r>
            </w:hyperlink>
          </w:p>
        </w:tc>
        <w:tc>
          <w:tcPr>
            <w:tcW w:w="4720" w:type="dxa"/>
            <w:vAlign w:val="bottom"/>
            <w:gridSpan w:val="7"/>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Borders>
              <w:top w:val="single" w:sz="8" w:color="0000EE"/>
            </w:tcBorders>
            <w:gridSpan w:val="2"/>
          </w:tcPr>
          <w:p>
            <w:pPr>
              <w:jc w:val="center"/>
              <w:spacing w:after="0"/>
              <w:rPr>
                <w:rFonts w:ascii="Arial" w:cs="Arial" w:eastAsia="Arial" w:hAnsi="Arial"/>
                <w:sz w:val="15"/>
                <w:szCs w:val="15"/>
                <w:color w:val="0000EE"/>
                <w:w w:val="71"/>
              </w:rPr>
            </w:pPr>
            <w:hyperlink w:anchor="page85">
              <w:r>
                <w:rPr>
                  <w:rFonts w:ascii="Arial" w:cs="Arial" w:eastAsia="Arial" w:hAnsi="Arial"/>
                  <w:sz w:val="15"/>
                  <w:szCs w:val="15"/>
                  <w:color w:val="0000EE"/>
                  <w:w w:val="71"/>
                </w:rPr>
                <w:t>84</w:t>
              </w:r>
            </w:hyperlink>
          </w:p>
        </w:tc>
      </w:tr>
      <w:tr>
        <w:trPr>
          <w:trHeight w:val="20"/>
        </w:trPr>
        <w:tc>
          <w:tcPr>
            <w:tcW w:w="5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80" w:type="dxa"/>
            <w:vAlign w:val="bottom"/>
            <w:gridSpan w:val="7"/>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237"/>
        </w:trPr>
        <w:tc>
          <w:tcPr>
            <w:tcW w:w="560" w:type="dxa"/>
            <w:vAlign w:val="bottom"/>
            <w:gridSpan w:val="4"/>
          </w:tcPr>
          <w:p>
            <w:pPr>
              <w:spacing w:after="0"/>
              <w:rPr>
                <w:rFonts w:ascii="Arial" w:cs="Arial" w:eastAsia="Arial" w:hAnsi="Arial"/>
                <w:sz w:val="16"/>
                <w:szCs w:val="16"/>
                <w:color w:val="0000EE"/>
                <w:w w:val="89"/>
              </w:rPr>
            </w:pPr>
            <w:hyperlink w:anchor="page85">
              <w:r>
                <w:rPr>
                  <w:rFonts w:ascii="Arial" w:cs="Arial" w:eastAsia="Arial" w:hAnsi="Arial"/>
                  <w:sz w:val="16"/>
                  <w:szCs w:val="16"/>
                  <w:color w:val="0000EE"/>
                  <w:w w:val="89"/>
                </w:rPr>
                <w:t>Item 12.</w:t>
              </w:r>
            </w:hyperlink>
          </w:p>
        </w:tc>
        <w:tc>
          <w:tcPr>
            <w:tcW w:w="480" w:type="dxa"/>
            <w:vAlign w:val="bottom"/>
            <w:gridSpan w:val="5"/>
          </w:tcPr>
          <w:p>
            <w:pPr>
              <w:spacing w:after="0"/>
              <w:rPr>
                <w:sz w:val="20"/>
                <w:szCs w:val="20"/>
                <w:color w:val="auto"/>
              </w:rPr>
            </w:pPr>
          </w:p>
        </w:tc>
        <w:tc>
          <w:tcPr>
            <w:tcW w:w="8400" w:type="dxa"/>
            <w:vAlign w:val="bottom"/>
            <w:gridSpan w:val="19"/>
          </w:tcPr>
          <w:p>
            <w:pPr>
              <w:spacing w:after="0"/>
              <w:rPr>
                <w:rFonts w:ascii="Arial" w:cs="Arial" w:eastAsia="Arial" w:hAnsi="Arial"/>
                <w:sz w:val="16"/>
                <w:szCs w:val="16"/>
                <w:color w:val="0000EE"/>
              </w:rPr>
            </w:pPr>
            <w:hyperlink w:anchor="page85">
              <w:r>
                <w:rPr>
                  <w:rFonts w:ascii="Arial" w:cs="Arial" w:eastAsia="Arial" w:hAnsi="Arial"/>
                  <w:sz w:val="16"/>
                  <w:szCs w:val="16"/>
                  <w:color w:val="0000EE"/>
                </w:rPr>
                <w:t>Security Ownership of Certain Beneficial Owners and Management and Related Stockholder Matters</w:t>
              </w:r>
            </w:hyperlink>
          </w:p>
        </w:tc>
        <w:tc>
          <w:tcPr>
            <w:tcW w:w="1280" w:type="dxa"/>
            <w:vAlign w:val="bottom"/>
            <w:gridSpan w:val="3"/>
          </w:tcPr>
          <w:p>
            <w:pPr>
              <w:jc w:val="center"/>
              <w:ind w:left="1037"/>
              <w:spacing w:after="0"/>
              <w:rPr>
                <w:rFonts w:ascii="Arial" w:cs="Arial" w:eastAsia="Arial" w:hAnsi="Arial"/>
                <w:sz w:val="16"/>
                <w:szCs w:val="16"/>
                <w:color w:val="0000EE"/>
                <w:w w:val="89"/>
              </w:rPr>
            </w:pPr>
            <w:hyperlink w:anchor="page85">
              <w:r>
                <w:rPr>
                  <w:rFonts w:ascii="Arial" w:cs="Arial" w:eastAsia="Arial" w:hAnsi="Arial"/>
                  <w:sz w:val="16"/>
                  <w:szCs w:val="16"/>
                  <w:color w:val="0000EE"/>
                  <w:w w:val="89"/>
                </w:rPr>
                <w:t>84</w:t>
              </w:r>
            </w:hyperlink>
          </w:p>
        </w:tc>
      </w:tr>
      <w:tr>
        <w:trPr>
          <w:trHeight w:val="237"/>
        </w:trPr>
        <w:tc>
          <w:tcPr>
            <w:tcW w:w="560" w:type="dxa"/>
            <w:vAlign w:val="bottom"/>
            <w:tcBorders>
              <w:top w:val="single" w:sz="8" w:color="0000EE"/>
            </w:tcBorders>
            <w:gridSpan w:val="4"/>
          </w:tcPr>
          <w:p>
            <w:pPr>
              <w:spacing w:after="0"/>
              <w:rPr>
                <w:rFonts w:ascii="Arial" w:cs="Arial" w:eastAsia="Arial" w:hAnsi="Arial"/>
                <w:sz w:val="16"/>
                <w:szCs w:val="16"/>
                <w:color w:val="0000EE"/>
                <w:w w:val="89"/>
              </w:rPr>
            </w:pPr>
            <w:hyperlink w:anchor="page85">
              <w:r>
                <w:rPr>
                  <w:rFonts w:ascii="Arial" w:cs="Arial" w:eastAsia="Arial" w:hAnsi="Arial"/>
                  <w:sz w:val="16"/>
                  <w:szCs w:val="16"/>
                  <w:color w:val="0000EE"/>
                  <w:w w:val="89"/>
                </w:rPr>
                <w:t>Item 13.</w:t>
              </w:r>
            </w:hyperlink>
          </w:p>
        </w:tc>
        <w:tc>
          <w:tcPr>
            <w:tcW w:w="480" w:type="dxa"/>
            <w:vAlign w:val="bottom"/>
            <w:gridSpan w:val="5"/>
          </w:tcPr>
          <w:p>
            <w:pPr>
              <w:spacing w:after="0"/>
              <w:rPr>
                <w:sz w:val="20"/>
                <w:szCs w:val="20"/>
                <w:color w:val="auto"/>
              </w:rPr>
            </w:pPr>
          </w:p>
        </w:tc>
        <w:tc>
          <w:tcPr>
            <w:tcW w:w="6560" w:type="dxa"/>
            <w:vAlign w:val="bottom"/>
            <w:tcBorders>
              <w:top w:val="single" w:sz="8" w:color="0000EE"/>
            </w:tcBorders>
            <w:gridSpan w:val="17"/>
          </w:tcPr>
          <w:p>
            <w:pPr>
              <w:spacing w:after="0"/>
              <w:rPr>
                <w:rFonts w:ascii="Arial" w:cs="Arial" w:eastAsia="Arial" w:hAnsi="Arial"/>
                <w:sz w:val="16"/>
                <w:szCs w:val="16"/>
                <w:color w:val="0000EE"/>
              </w:rPr>
            </w:pPr>
            <w:hyperlink w:anchor="page85">
              <w:r>
                <w:rPr>
                  <w:rFonts w:ascii="Arial" w:cs="Arial" w:eastAsia="Arial" w:hAnsi="Arial"/>
                  <w:sz w:val="16"/>
                  <w:szCs w:val="16"/>
                  <w:color w:val="0000EE"/>
                </w:rPr>
                <w:t>Certain Relationships and Related Transactions, and Director Independence</w:t>
              </w:r>
            </w:hyperlink>
          </w:p>
        </w:tc>
        <w:tc>
          <w:tcPr>
            <w:tcW w:w="1840" w:type="dxa"/>
            <w:vAlign w:val="bottom"/>
            <w:gridSpan w:val="2"/>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Borders>
              <w:top w:val="single" w:sz="8" w:color="0000EE"/>
            </w:tcBorders>
            <w:gridSpan w:val="2"/>
          </w:tcPr>
          <w:p>
            <w:pPr>
              <w:jc w:val="center"/>
              <w:spacing w:after="0"/>
              <w:rPr>
                <w:rFonts w:ascii="Arial" w:cs="Arial" w:eastAsia="Arial" w:hAnsi="Arial"/>
                <w:sz w:val="15"/>
                <w:szCs w:val="15"/>
                <w:color w:val="0000EE"/>
                <w:w w:val="71"/>
              </w:rPr>
            </w:pPr>
            <w:hyperlink w:anchor="page85">
              <w:r>
                <w:rPr>
                  <w:rFonts w:ascii="Arial" w:cs="Arial" w:eastAsia="Arial" w:hAnsi="Arial"/>
                  <w:sz w:val="15"/>
                  <w:szCs w:val="15"/>
                  <w:color w:val="0000EE"/>
                  <w:w w:val="71"/>
                </w:rPr>
                <w:t>84</w:t>
              </w:r>
            </w:hyperlink>
          </w:p>
        </w:tc>
      </w:tr>
      <w:tr>
        <w:trPr>
          <w:trHeight w:val="237"/>
        </w:trPr>
        <w:tc>
          <w:tcPr>
            <w:tcW w:w="560" w:type="dxa"/>
            <w:vAlign w:val="bottom"/>
            <w:tcBorders>
              <w:top w:val="single" w:sz="8" w:color="0000EE"/>
              <w:bottom w:val="single" w:sz="8" w:color="0000EE"/>
            </w:tcBorders>
            <w:gridSpan w:val="4"/>
          </w:tcPr>
          <w:p>
            <w:pPr>
              <w:spacing w:after="0"/>
              <w:rPr>
                <w:rFonts w:ascii="Arial" w:cs="Arial" w:eastAsia="Arial" w:hAnsi="Arial"/>
                <w:sz w:val="16"/>
                <w:szCs w:val="16"/>
                <w:color w:val="0000EE"/>
                <w:w w:val="89"/>
              </w:rPr>
            </w:pPr>
            <w:hyperlink w:anchor="page85">
              <w:r>
                <w:rPr>
                  <w:rFonts w:ascii="Arial" w:cs="Arial" w:eastAsia="Arial" w:hAnsi="Arial"/>
                  <w:sz w:val="16"/>
                  <w:szCs w:val="16"/>
                  <w:color w:val="0000EE"/>
                  <w:w w:val="89"/>
                </w:rPr>
                <w:t>Item 14.</w:t>
              </w:r>
            </w:hyperlink>
          </w:p>
        </w:tc>
        <w:tc>
          <w:tcPr>
            <w:tcW w:w="480" w:type="dxa"/>
            <w:vAlign w:val="bottom"/>
            <w:gridSpan w:val="5"/>
          </w:tcPr>
          <w:p>
            <w:pPr>
              <w:spacing w:after="0"/>
              <w:rPr>
                <w:sz w:val="20"/>
                <w:szCs w:val="20"/>
                <w:color w:val="auto"/>
              </w:rPr>
            </w:pPr>
          </w:p>
        </w:tc>
        <w:tc>
          <w:tcPr>
            <w:tcW w:w="2580" w:type="dxa"/>
            <w:vAlign w:val="bottom"/>
            <w:tcBorders>
              <w:top w:val="single" w:sz="8" w:color="0000EE"/>
              <w:bottom w:val="single" w:sz="8" w:color="0000EE"/>
            </w:tcBorders>
            <w:gridSpan w:val="10"/>
          </w:tcPr>
          <w:p>
            <w:pPr>
              <w:spacing w:after="0"/>
              <w:rPr>
                <w:rFonts w:ascii="Arial" w:cs="Arial" w:eastAsia="Arial" w:hAnsi="Arial"/>
                <w:sz w:val="16"/>
                <w:szCs w:val="16"/>
                <w:color w:val="0000EE"/>
                <w:w w:val="90"/>
              </w:rPr>
            </w:pPr>
            <w:hyperlink w:anchor="page85">
              <w:r>
                <w:rPr>
                  <w:rFonts w:ascii="Arial" w:cs="Arial" w:eastAsia="Arial" w:hAnsi="Arial"/>
                  <w:sz w:val="16"/>
                  <w:szCs w:val="16"/>
                  <w:color w:val="0000EE"/>
                  <w:w w:val="90"/>
                </w:rPr>
                <w:t>Principal Accounting Fees and Services</w:t>
              </w:r>
            </w:hyperlink>
          </w:p>
        </w:tc>
        <w:tc>
          <w:tcPr>
            <w:tcW w:w="2320" w:type="dxa"/>
            <w:vAlign w:val="bottom"/>
            <w:tcBorders>
              <w:top w:val="single" w:sz="8" w:color="0000EE"/>
            </w:tcBorders>
            <w:gridSpan w:val="4"/>
          </w:tcPr>
          <w:p>
            <w:pPr>
              <w:spacing w:after="0"/>
              <w:rPr>
                <w:sz w:val="20"/>
                <w:szCs w:val="20"/>
                <w:color w:val="auto"/>
              </w:rPr>
            </w:pPr>
          </w:p>
        </w:tc>
        <w:tc>
          <w:tcPr>
            <w:tcW w:w="3500" w:type="dxa"/>
            <w:vAlign w:val="bottom"/>
            <w:gridSpan w:val="5"/>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Borders>
              <w:top w:val="single" w:sz="8" w:color="0000EE"/>
              <w:bottom w:val="single" w:sz="8" w:color="0000EE"/>
            </w:tcBorders>
            <w:gridSpan w:val="2"/>
          </w:tcPr>
          <w:p>
            <w:pPr>
              <w:jc w:val="center"/>
              <w:spacing w:after="0"/>
              <w:rPr>
                <w:rFonts w:ascii="Arial" w:cs="Arial" w:eastAsia="Arial" w:hAnsi="Arial"/>
                <w:sz w:val="15"/>
                <w:szCs w:val="15"/>
                <w:color w:val="0000EE"/>
                <w:w w:val="71"/>
              </w:rPr>
            </w:pPr>
            <w:hyperlink w:anchor="page85">
              <w:r>
                <w:rPr>
                  <w:rFonts w:ascii="Arial" w:cs="Arial" w:eastAsia="Arial" w:hAnsi="Arial"/>
                  <w:sz w:val="15"/>
                  <w:szCs w:val="15"/>
                  <w:color w:val="0000EE"/>
                  <w:w w:val="71"/>
                </w:rPr>
                <w:t>84</w:t>
              </w:r>
            </w:hyperlink>
          </w:p>
        </w:tc>
      </w:tr>
      <w:tr>
        <w:trPr>
          <w:trHeight w:val="561"/>
        </w:trPr>
        <w:tc>
          <w:tcPr>
            <w:tcW w:w="660" w:type="dxa"/>
            <w:vAlign w:val="bottom"/>
            <w:tcBorders>
              <w:bottom w:val="single" w:sz="8" w:color="0000EE"/>
            </w:tcBorders>
            <w:gridSpan w:val="7"/>
          </w:tcPr>
          <w:p>
            <w:pPr>
              <w:spacing w:after="0"/>
              <w:rPr>
                <w:rFonts w:ascii="Arial" w:cs="Arial" w:eastAsia="Arial" w:hAnsi="Arial"/>
                <w:sz w:val="16"/>
                <w:szCs w:val="16"/>
                <w:b w:val="1"/>
                <w:bCs w:val="1"/>
                <w:color w:val="0000EE"/>
                <w:w w:val="94"/>
              </w:rPr>
            </w:pPr>
            <w:hyperlink w:anchor="page86">
              <w:r>
                <w:rPr>
                  <w:rFonts w:ascii="Arial" w:cs="Arial" w:eastAsia="Arial" w:hAnsi="Arial"/>
                  <w:sz w:val="16"/>
                  <w:szCs w:val="16"/>
                  <w:b w:val="1"/>
                  <w:bCs w:val="1"/>
                  <w:color w:val="0000EE"/>
                  <w:w w:val="94"/>
                </w:rPr>
                <w:t>PART IV.</w:t>
              </w:r>
            </w:hyperlink>
          </w:p>
        </w:tc>
        <w:tc>
          <w:tcPr>
            <w:tcW w:w="38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480" w:type="dxa"/>
            <w:vAlign w:val="bottom"/>
            <w:tcBorders>
              <w:bottom w:val="single" w:sz="8" w:color="0000EE"/>
            </w:tcBorders>
            <w:gridSpan w:val="2"/>
          </w:tcPr>
          <w:p>
            <w:pPr>
              <w:spacing w:after="0"/>
              <w:rPr>
                <w:rFonts w:ascii="Arial" w:cs="Arial" w:eastAsia="Arial" w:hAnsi="Arial"/>
                <w:sz w:val="16"/>
                <w:szCs w:val="16"/>
                <w:color w:val="0000EE"/>
                <w:w w:val="93"/>
              </w:rPr>
            </w:pPr>
            <w:hyperlink w:anchor="page86">
              <w:r>
                <w:rPr>
                  <w:rFonts w:ascii="Arial" w:cs="Arial" w:eastAsia="Arial" w:hAnsi="Arial"/>
                  <w:sz w:val="16"/>
                  <w:szCs w:val="16"/>
                  <w:color w:val="0000EE"/>
                  <w:w w:val="93"/>
                </w:rPr>
                <w:t>Item 6.</w:t>
              </w:r>
            </w:hyperlink>
          </w:p>
        </w:tc>
        <w:tc>
          <w:tcPr>
            <w:tcW w:w="560" w:type="dxa"/>
            <w:vAlign w:val="bottom"/>
            <w:gridSpan w:val="7"/>
          </w:tcPr>
          <w:p>
            <w:pPr>
              <w:spacing w:after="0"/>
              <w:rPr>
                <w:sz w:val="21"/>
                <w:szCs w:val="21"/>
                <w:color w:val="auto"/>
              </w:rPr>
            </w:pPr>
          </w:p>
        </w:tc>
        <w:tc>
          <w:tcPr>
            <w:tcW w:w="540" w:type="dxa"/>
            <w:vAlign w:val="bottom"/>
            <w:tcBorders>
              <w:bottom w:val="single" w:sz="8" w:color="0000EE"/>
            </w:tcBorders>
          </w:tcPr>
          <w:p>
            <w:pPr>
              <w:spacing w:after="0"/>
              <w:rPr>
                <w:rFonts w:ascii="Arial" w:cs="Arial" w:eastAsia="Arial" w:hAnsi="Arial"/>
                <w:sz w:val="16"/>
                <w:szCs w:val="16"/>
                <w:color w:val="0000EE"/>
                <w:w w:val="92"/>
              </w:rPr>
            </w:pPr>
            <w:hyperlink w:anchor="page86">
              <w:r>
                <w:rPr>
                  <w:rFonts w:ascii="Arial" w:cs="Arial" w:eastAsia="Arial" w:hAnsi="Arial"/>
                  <w:sz w:val="16"/>
                  <w:szCs w:val="16"/>
                  <w:color w:val="0000EE"/>
                  <w:w w:val="92"/>
                </w:rPr>
                <w:t>Exhibits</w:t>
              </w:r>
            </w:hyperlink>
          </w:p>
        </w:tc>
        <w:tc>
          <w:tcPr>
            <w:tcW w:w="7860" w:type="dxa"/>
            <w:vAlign w:val="bottom"/>
            <w:gridSpan w:val="18"/>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86">
              <w:r>
                <w:rPr>
                  <w:rFonts w:ascii="Arial" w:cs="Arial" w:eastAsia="Arial" w:hAnsi="Arial"/>
                  <w:sz w:val="15"/>
                  <w:szCs w:val="15"/>
                  <w:color w:val="0000EE"/>
                  <w:w w:val="71"/>
                </w:rPr>
                <w:t>85</w:t>
              </w:r>
            </w:hyperlink>
          </w:p>
        </w:tc>
      </w:tr>
      <w:tr>
        <w:trPr>
          <w:trHeight w:val="237"/>
        </w:trPr>
        <w:tc>
          <w:tcPr>
            <w:tcW w:w="68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color w:val="0000EE"/>
                <w:w w:val="86"/>
              </w:rPr>
              <w:t>Signatures</w:t>
            </w: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90">
              <w:r>
                <w:rPr>
                  <w:rFonts w:ascii="Arial" w:cs="Arial" w:eastAsia="Arial" w:hAnsi="Arial"/>
                  <w:sz w:val="15"/>
                  <w:szCs w:val="15"/>
                  <w:color w:val="0000EE"/>
                  <w:w w:val="71"/>
                </w:rPr>
                <w:t>89</w:t>
              </w:r>
            </w:hyperlink>
          </w:p>
        </w:tc>
      </w:tr>
    </w:tbl>
    <w:p>
      <w:pPr>
        <w:spacing w:after="0" w:line="200" w:lineRule="exact"/>
        <w:rPr>
          <w:sz w:val="20"/>
          <w:szCs w:val="20"/>
          <w:color w:val="auto"/>
        </w:rPr>
      </w:pPr>
    </w:p>
    <w:p>
      <w:pPr>
        <w:spacing w:after="0" w:line="27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20"/>
          </w:cols>
          <w:pgMar w:left="280" w:top="553" w:right="8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AGNC Investment Corp. ("AGNC," the "Company," "we," "us" and "our") was organized on January 7, 2008 and commenced operations on May 20,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2008 following the completion of our initial public offering. Our common stock is traded on The Nasdaq Global Select Market under the symbol "AGNC."</w:t>
      </w:r>
    </w:p>
    <w:p>
      <w:pPr>
        <w:spacing w:after="0" w:line="16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internally managed, and our principal objective is to provide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 We fund our investments primarily through borrowings structured as repurchase agreements.</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operate to qualify to be taxed as a real estate investment trust ("REIT") under the Internal Revenue Code of 1986, as amended (the "Internal Revenue Code"). As a REIT, we are required to distribute annually 90% of our taxable income. As a REIT, we will generally not be subject to U.S. federal or state corporate taxes on our taxable income to the extent that we distribute all our annual taxable income to our stockholders on a timely basis. It is our intention to distribute 100% of our taxable income within the time limits prescribed by the Internal Revenue Code, which may extend into the subsequent taxable year.</w:t>
      </w:r>
    </w:p>
    <w:p>
      <w:pPr>
        <w:spacing w:after="0" w:line="13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the Federal National Mortgage Association ("Fannie Mae") and the Federal Home Loan Mortgage Corporation ("Freddie Mac," and together with Fannie Mae, the "GSEs"), or by a U.S. Government agency, such as the Government National Mortgage Association ("Ginnie Mae"). We may also invest in other types of mortgage and mortgage-related residential and commercial mortgage-backed securities where repayment of principal and interest is not guaranteed by a GSE or U.S. Government agency or in other investments in, or related to, the housing, mortgage or real estate markets.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Strategy</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investment strategy is intended to:</w:t>
      </w:r>
    </w:p>
    <w:p>
      <w:pPr>
        <w:spacing w:after="0" w:line="117" w:lineRule="exact"/>
        <w:rPr>
          <w:sz w:val="20"/>
          <w:szCs w:val="20"/>
          <w:color w:val="auto"/>
        </w:rPr>
      </w:pPr>
    </w:p>
    <w:p>
      <w:pPr>
        <w:ind w:left="760" w:hanging="347"/>
        <w:spacing w:after="0"/>
        <w:tabs>
          <w:tab w:leader="none" w:pos="760" w:val="left"/>
        </w:tabs>
        <w:numPr>
          <w:ilvl w:val="0"/>
          <w:numId w:val="1"/>
        </w:numPr>
        <w:rPr>
          <w:rFonts w:ascii="Arial" w:cs="Arial" w:eastAsia="Arial" w:hAnsi="Arial"/>
          <w:sz w:val="17"/>
          <w:szCs w:val="17"/>
          <w:color w:val="auto"/>
        </w:rPr>
      </w:pPr>
      <w:r>
        <w:rPr>
          <w:rFonts w:ascii="Arial" w:cs="Arial" w:eastAsia="Arial" w:hAnsi="Arial"/>
          <w:sz w:val="17"/>
          <w:szCs w:val="17"/>
          <w:color w:val="auto"/>
        </w:rPr>
        <w:t>generate attractive risk-adjusted returns for our stockholders through monthly dividend distributions and tangible net book value accretion;</w:t>
      </w:r>
    </w:p>
    <w:p>
      <w:pPr>
        <w:spacing w:after="0" w:line="74" w:lineRule="exact"/>
        <w:rPr>
          <w:rFonts w:ascii="Arial" w:cs="Arial" w:eastAsia="Arial" w:hAnsi="Arial"/>
          <w:sz w:val="17"/>
          <w:szCs w:val="17"/>
          <w:color w:val="auto"/>
        </w:rPr>
      </w:pPr>
    </w:p>
    <w:p>
      <w:pPr>
        <w:ind w:left="760" w:hanging="347"/>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manage an investment portfolio consisting primarily of Agency securities;</w:t>
      </w:r>
    </w:p>
    <w:p>
      <w:pPr>
        <w:spacing w:after="0" w:line="63" w:lineRule="exact"/>
        <w:rPr>
          <w:rFonts w:ascii="Arial" w:cs="Arial" w:eastAsia="Arial" w:hAnsi="Arial"/>
          <w:sz w:val="18"/>
          <w:szCs w:val="18"/>
          <w:color w:val="auto"/>
        </w:rPr>
      </w:pPr>
    </w:p>
    <w:p>
      <w:pPr>
        <w:ind w:left="760" w:hanging="347"/>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invest a subset of the portfolio in credit risk-oriented mortgage assets;</w:t>
      </w:r>
    </w:p>
    <w:p>
      <w:pPr>
        <w:spacing w:after="0" w:line="63" w:lineRule="exact"/>
        <w:rPr>
          <w:rFonts w:ascii="Arial" w:cs="Arial" w:eastAsia="Arial" w:hAnsi="Arial"/>
          <w:sz w:val="18"/>
          <w:szCs w:val="18"/>
          <w:color w:val="auto"/>
        </w:rPr>
      </w:pPr>
    </w:p>
    <w:p>
      <w:pPr>
        <w:ind w:left="760" w:hanging="347"/>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capitalize on discrepancies in the relative valuations in the Agency and non-Agency securities market;</w:t>
      </w:r>
    </w:p>
    <w:p>
      <w:pPr>
        <w:spacing w:after="0" w:line="63" w:lineRule="exact"/>
        <w:rPr>
          <w:rFonts w:ascii="Arial" w:cs="Arial" w:eastAsia="Arial" w:hAnsi="Arial"/>
          <w:sz w:val="18"/>
          <w:szCs w:val="18"/>
          <w:color w:val="auto"/>
        </w:rPr>
      </w:pPr>
    </w:p>
    <w:p>
      <w:pPr>
        <w:ind w:left="760" w:hanging="347"/>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manage financing, interest rate, prepayment, extension and credit risks;</w:t>
      </w:r>
    </w:p>
    <w:p>
      <w:pPr>
        <w:spacing w:after="0" w:line="63" w:lineRule="exact"/>
        <w:rPr>
          <w:rFonts w:ascii="Arial" w:cs="Arial" w:eastAsia="Arial" w:hAnsi="Arial"/>
          <w:sz w:val="18"/>
          <w:szCs w:val="18"/>
          <w:color w:val="auto"/>
        </w:rPr>
      </w:pPr>
    </w:p>
    <w:p>
      <w:pPr>
        <w:ind w:left="760" w:hanging="347"/>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 to qualify as a REIT; and</w:t>
      </w:r>
    </w:p>
    <w:p>
      <w:pPr>
        <w:spacing w:after="0" w:line="63" w:lineRule="exact"/>
        <w:rPr>
          <w:rFonts w:ascii="Arial" w:cs="Arial" w:eastAsia="Arial" w:hAnsi="Arial"/>
          <w:sz w:val="18"/>
          <w:szCs w:val="18"/>
          <w:color w:val="auto"/>
        </w:rPr>
      </w:pPr>
    </w:p>
    <w:p>
      <w:pPr>
        <w:ind w:left="760" w:hanging="347"/>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remain exempt from the requirements of the Investment Company Act of 1940 (the "Investment Company Act").</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Targeted 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Agency Securities</w:t>
      </w:r>
    </w:p>
    <w:p>
      <w:pPr>
        <w:spacing w:after="0" w:line="167" w:lineRule="exact"/>
        <w:rPr>
          <w:sz w:val="20"/>
          <w:szCs w:val="20"/>
          <w:color w:val="auto"/>
        </w:rPr>
      </w:pPr>
    </w:p>
    <w:p>
      <w:pPr>
        <w:jc w:val="both"/>
        <w:ind w:left="760" w:hanging="320"/>
        <w:spacing w:after="0" w:line="291" w:lineRule="auto"/>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Agency Residential Mortgage-Backed Securities. </w:t>
      </w:r>
      <w:r>
        <w:rPr>
          <w:rFonts w:ascii="Arial" w:cs="Arial" w:eastAsia="Arial" w:hAnsi="Arial"/>
          <w:sz w:val="16"/>
          <w:szCs w:val="16"/>
          <w:color w:val="auto"/>
        </w:rPr>
        <w:t>Our primary investments consist of Agency pass-through certificates representing interests in</w:t>
      </w:r>
      <w:r>
        <w:rPr>
          <w:rFonts w:ascii="Arial" w:cs="Arial" w:eastAsia="Arial" w:hAnsi="Arial"/>
          <w:sz w:val="16"/>
          <w:szCs w:val="16"/>
          <w:b w:val="1"/>
          <w:bCs w:val="1"/>
          <w:color w:val="auto"/>
        </w:rPr>
        <w:t xml:space="preserve"> </w:t>
      </w:r>
      <w:r>
        <w:rPr>
          <w:rFonts w:ascii="Arial" w:cs="Arial" w:eastAsia="Arial" w:hAnsi="Arial"/>
          <w:sz w:val="16"/>
          <w:szCs w:val="16"/>
          <w:color w:val="auto"/>
        </w:rPr>
        <w:t>"pools" of mortgage loans secured by residential real property. Monthly payments of principal and interest made by the individual borrowers on the mortgage loans underlying the pools are in effect "passed through" to the security holders, after deducting GSE or U.S. Government agency guarantee and servicer fees. In general, mortgage pass-through certificates distribute cash flows from the underlying collateral on a pro rata basis among the security holders. Security holders also receive guarantor advances of principal and interest for delinquent loans in the mortgage pools. We also invest in Agency collateralized mortgage obligations ("CMOs"), which are structured instruments representing interests in Agency residential pass-through certificates, and interest-only, inverse interest-only and principal-only securities, which represent the right to receive a specified proportion of the contractual interest or principal flows of specific Agency CMO securities.</w:t>
      </w:r>
    </w:p>
    <w:p>
      <w:pPr>
        <w:spacing w:after="0" w:line="106" w:lineRule="exact"/>
        <w:rPr>
          <w:rFonts w:ascii="Arial" w:cs="Arial" w:eastAsia="Arial" w:hAnsi="Arial"/>
          <w:sz w:val="16"/>
          <w:szCs w:val="16"/>
          <w:color w:val="auto"/>
        </w:rPr>
      </w:pPr>
    </w:p>
    <w:p>
      <w:pPr>
        <w:jc w:val="both"/>
        <w:ind w:left="760" w:hanging="320"/>
        <w:spacing w:after="0" w:line="266" w:lineRule="auto"/>
        <w:tabs>
          <w:tab w:leader="none" w:pos="7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To-Be-Announced Forward Contracts ("TBAs"). </w:t>
      </w:r>
      <w:r>
        <w:rPr>
          <w:rFonts w:ascii="Arial" w:cs="Arial" w:eastAsia="Arial" w:hAnsi="Arial"/>
          <w:sz w:val="18"/>
          <w:szCs w:val="18"/>
          <w:color w:val="auto"/>
        </w:rPr>
        <w:t>TBAs are forward contracts to purchase or sell Agency RMBS. TBA contracts specify the</w:t>
      </w:r>
      <w:r>
        <w:rPr>
          <w:rFonts w:ascii="Arial" w:cs="Arial" w:eastAsia="Arial" w:hAnsi="Arial"/>
          <w:sz w:val="18"/>
          <w:szCs w:val="18"/>
          <w:b w:val="1"/>
          <w:bCs w:val="1"/>
          <w:color w:val="auto"/>
        </w:rPr>
        <w:t xml:space="preserve"> </w:t>
      </w:r>
      <w:r>
        <w:rPr>
          <w:rFonts w:ascii="Arial" w:cs="Arial" w:eastAsia="Arial" w:hAnsi="Arial"/>
          <w:sz w:val="18"/>
          <w:szCs w:val="18"/>
          <w:color w:val="auto"/>
        </w:rPr>
        <w:t>coupon rate, issuer, term and face value of the bonds to be delivered, with the actual bonds to be delivered only identified shortly before the TBA settlement date.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5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t>Non-Agency Securities</w:t>
      </w:r>
    </w:p>
    <w:p>
      <w:pPr>
        <w:spacing w:after="0" w:line="167" w:lineRule="exact"/>
        <w:rPr>
          <w:sz w:val="20"/>
          <w:szCs w:val="20"/>
          <w:color w:val="auto"/>
        </w:rPr>
      </w:pPr>
    </w:p>
    <w:p>
      <w:pPr>
        <w:jc w:val="both"/>
        <w:ind w:left="760" w:hanging="347"/>
        <w:spacing w:after="0" w:line="256"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Credit Risk Transfer ("CRT") Securities. </w:t>
      </w:r>
      <w:r>
        <w:rPr>
          <w:rFonts w:ascii="Arial" w:cs="Arial" w:eastAsia="Arial" w:hAnsi="Arial"/>
          <w:sz w:val="18"/>
          <w:szCs w:val="18"/>
          <w:color w:val="auto"/>
        </w:rPr>
        <w:t>CRT securities are risk sharing instruments that transfer a portion of the risk associated with credit</w:t>
      </w:r>
      <w:r>
        <w:rPr>
          <w:rFonts w:ascii="Arial" w:cs="Arial" w:eastAsia="Arial" w:hAnsi="Arial"/>
          <w:sz w:val="18"/>
          <w:szCs w:val="18"/>
          <w:b w:val="1"/>
          <w:bCs w:val="1"/>
          <w:color w:val="auto"/>
        </w:rPr>
        <w:t xml:space="preserve"> </w:t>
      </w:r>
      <w:r>
        <w:rPr>
          <w:rFonts w:ascii="Arial" w:cs="Arial" w:eastAsia="Arial" w:hAnsi="Arial"/>
          <w:sz w:val="18"/>
          <w:szCs w:val="18"/>
          <w:color w:val="auto"/>
        </w:rPr>
        <w:t>losses within pools of conventional residential mortgage loans from the GSEs and/or third- parties to private investors. Unlike Agency RMBS, full repayment of the original principal balance of CRT securities is not guaranteed by a GSE or other third-party; rather, "credit risk transfer" is achieved by writing down the outstanding principal balance of the CRT security if credit losses on the related pool of loans exceed certain thresholds. The reduced amount that issuers are obligated to repay to the security holders offsets the issuer's credit losses on the related pool of loans.</w:t>
      </w:r>
    </w:p>
    <w:p>
      <w:pPr>
        <w:spacing w:after="0" w:line="133" w:lineRule="exact"/>
        <w:rPr>
          <w:rFonts w:ascii="Arial" w:cs="Arial" w:eastAsia="Arial" w:hAnsi="Arial"/>
          <w:sz w:val="18"/>
          <w:szCs w:val="18"/>
          <w:color w:val="auto"/>
        </w:rPr>
      </w:pPr>
    </w:p>
    <w:p>
      <w:pPr>
        <w:jc w:val="both"/>
        <w:ind w:left="760" w:hanging="347"/>
        <w:spacing w:after="0" w:line="271" w:lineRule="auto"/>
        <w:tabs>
          <w:tab w:leader="none" w:pos="76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Non-Agency Residential Mortgage-Backed Securities ("Non-Agency RMBS"). </w:t>
      </w:r>
      <w:r>
        <w:rPr>
          <w:rFonts w:ascii="Arial" w:cs="Arial" w:eastAsia="Arial" w:hAnsi="Arial"/>
          <w:sz w:val="17"/>
          <w:szCs w:val="17"/>
          <w:color w:val="auto"/>
        </w:rPr>
        <w:t>Non-Agency RMBS are securities backed by pools of</w:t>
      </w:r>
      <w:r>
        <w:rPr>
          <w:rFonts w:ascii="Arial" w:cs="Arial" w:eastAsia="Arial" w:hAnsi="Arial"/>
          <w:sz w:val="17"/>
          <w:szCs w:val="17"/>
          <w:b w:val="1"/>
          <w:bCs w:val="1"/>
          <w:color w:val="auto"/>
        </w:rPr>
        <w:t xml:space="preserve"> </w:t>
      </w:r>
      <w:r>
        <w:rPr>
          <w:rFonts w:ascii="Arial" w:cs="Arial" w:eastAsia="Arial" w:hAnsi="Arial"/>
          <w:sz w:val="17"/>
          <w:szCs w:val="17"/>
          <w:color w:val="auto"/>
        </w:rPr>
        <w:t>residential mortgages, for which payment of principal and interest is not guaranteed by a GSE or U.S. Government agency. Instead, a private institution such as a commercial bank will package residential mortgage loans and securitize them through the issuance of RMBS. Non-Agency RMBS may benefit from credit enhancement derived from structural elements, such as subordination, overcollateralization or insurance. We may purchase investment grade instruments that benefit from credit enhancement and non-investment grade instruments that are structured to absorb more credit risk. We focus primarily on non-Agency securities where the underlying mortgages are secured by residential properties within the United States. Residential non-Agency securities are backed by residential mortgages that can be comprised of prime mortgage or nonprime mortgage loans. We may also purchase Agency and non-Agency multifamily securities where the collateral backing the securitization consists of loans for multi-unit housing properties.</w:t>
      </w:r>
    </w:p>
    <w:p>
      <w:pPr>
        <w:spacing w:after="0" w:line="120" w:lineRule="exact"/>
        <w:rPr>
          <w:rFonts w:ascii="Arial" w:cs="Arial" w:eastAsia="Arial" w:hAnsi="Arial"/>
          <w:sz w:val="17"/>
          <w:szCs w:val="17"/>
          <w:b w:val="1"/>
          <w:bCs w:val="1"/>
          <w:color w:val="auto"/>
        </w:rPr>
      </w:pPr>
    </w:p>
    <w:p>
      <w:pPr>
        <w:jc w:val="both"/>
        <w:ind w:left="760" w:hanging="347"/>
        <w:spacing w:after="0" w:line="277" w:lineRule="auto"/>
        <w:tabs>
          <w:tab w:leader="none" w:pos="76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Commercial Mortgage-Backed Securities ("CMBS"). </w:t>
      </w:r>
      <w:r>
        <w:rPr>
          <w:rFonts w:ascii="Arial" w:cs="Arial" w:eastAsia="Arial" w:hAnsi="Arial"/>
          <w:sz w:val="17"/>
          <w:szCs w:val="17"/>
          <w:color w:val="auto"/>
        </w:rPr>
        <w:t>CMBS are securities backed by pools of commercial mortgage loans. CMBS can be</w:t>
      </w:r>
      <w:r>
        <w:rPr>
          <w:rFonts w:ascii="Arial" w:cs="Arial" w:eastAsia="Arial" w:hAnsi="Arial"/>
          <w:sz w:val="17"/>
          <w:szCs w:val="17"/>
          <w:b w:val="1"/>
          <w:bCs w:val="1"/>
          <w:color w:val="auto"/>
        </w:rPr>
        <w:t xml:space="preserve"> </w:t>
      </w:r>
      <w:r>
        <w:rPr>
          <w:rFonts w:ascii="Arial" w:cs="Arial" w:eastAsia="Arial" w:hAnsi="Arial"/>
          <w:sz w:val="17"/>
          <w:szCs w:val="17"/>
          <w:color w:val="auto"/>
        </w:rPr>
        <w:t>structured as pass-through securities, where the cash flows generated by the collateral pool are passed on a pro rata basis to investors after netting servicer or other fees, or where cash flows are distributed to numerous classes of securities following a predetermined waterfall, which may give priority to selected classes while subordinating other classes. We may invest across the capital structure of these securities, and we intend to focus on CMBS where the underlying collateral is secured by commercial properties located within the United States.</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Active Portfolio Management Strategy</w:t>
      </w:r>
    </w:p>
    <w:p>
      <w:pPr>
        <w:spacing w:after="0" w:line="17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We employ an active management strategy designed to achieve our principal objectives of generating attractive risk-adjusted returns and managing our tangible net book value within reasonable bands. As part of our investment strategy, we use leverage on our investment portfolio to increase potential returns to our stockholders. We invest in securities based on our assessment of the relative risk-return profile of the securities and our ability to effectively hedge a portion of the securities' exposure to market risks. The composition of our portfolio and strategies that we use will vary based on our view of prevailing market conditions and the availability of suitable investment, hedging and funding opportunities. We may experience investment gains or losses when we sell securities that we believe no longer provide attractive risk-adjusted returns or when we believe more attractive alternatives exist elsewhere in the mortgage or mortgage-related securities market. We may also experience gains or losses from our hedging strategies and losses on our non-Agency securities due to credit impairments.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Financing Strategy</w:t>
      </w:r>
    </w:p>
    <w:p>
      <w:pPr>
        <w:spacing w:after="0" w:line="175"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The primary source of financing for our investments is repurchase agreement transactions. A repurchase (or "repo") agreement transaction acts as a financing arrangement under which we effectively pledge our investment securities as collateral to secure a loan. Our borrowings through repurchase transactions are generally short-term and have maturities ranging from one day to one year but may have maturities up to five or more years. Our financing rates are typically impacted by the U.S. federal funds rate and other short-term benchmark rates and liquidity in the Agency repo and other short-term funding markets.</w:t>
      </w:r>
    </w:p>
    <w:p>
      <w:pPr>
        <w:spacing w:after="0" w:line="134"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Our leverage depends on market conditions, our assessment of risk and returns and our ability to borrow sufficient funds to acquire mortgage securities. We generally expect our leverage to be within six to twelve times the amount of our tangible stockholders' equity. However, under certain market conditions, we may operate at leverage levels outside of this range for extended periods of time.</w:t>
      </w:r>
    </w:p>
    <w:p>
      <w:pPr>
        <w:spacing w:after="0" w:line="127"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We diversify our funding exposure by entering into repurchase agreements with multiple counterparties. We had master repurchase agreements with 46 financial institutions as of December 31, 2019. The terms of our master repurchase agreements generally conform to the terms in the standard master repurchase agreement as published by the Securities Industry and Financial Markets Association ("SIFMA") as to repayment, margin requirements and the segregation of all securities sold under the repurchase transaction. In addition, each lender may require that we include supplemental terms and conditions to the standard master repurchase agreement to address such matters as additional margin maintenance requirements, cross default and other provisions. The specific provisions may differ for each lender and certain terms may not be determined until we engage in individual repurchase transactions.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19" w:right="239" w:bottom="1440" w:gutter="0" w:footer="0" w:header="0"/>
        </w:sectPr>
      </w:pPr>
    </w:p>
    <w:bookmarkStart w:id="4" w:name="page5"/>
    <w:bookmarkEnd w:id="4"/>
    <w:p>
      <w:pPr>
        <w:jc w:val="both"/>
        <w:ind w:firstLine="392"/>
        <w:spacing w:after="0" w:line="276" w:lineRule="auto"/>
        <w:rPr>
          <w:sz w:val="20"/>
          <w:szCs w:val="20"/>
          <w:color w:val="auto"/>
        </w:rPr>
      </w:pPr>
      <w:r>
        <w:rPr>
          <w:rFonts w:ascii="Arial" w:cs="Arial" w:eastAsia="Arial" w:hAnsi="Arial"/>
          <w:sz w:val="17"/>
          <w:szCs w:val="17"/>
          <w:color w:val="auto"/>
        </w:rPr>
        <w:t>We finance a portion of our investments through our wholly-owned captive broker-dealer subsidiary, Bethesda Securities, LLC ("BES"). BES is a member of the Fixed Income Clearing Corporation ("FICC") and has direct access to bilateral and triparty repo funding as a Financial Industry Regulatory Authority ("FINRA") member broker-dealer. As an eligible institution, BES also raises repo funding through the General Collateral Finance ("GCF") Repo service offered by the FICC, with the FICC acting as the central counterparty, which provides us greater depth and diversity of repurchase agreement funding while also lowering our funding cost, reducing our collateral requirements and limiting our counterparty exposure.</w:t>
      </w:r>
    </w:p>
    <w:p>
      <w:pPr>
        <w:spacing w:after="0" w:line="119" w:lineRule="exact"/>
        <w:rPr>
          <w:sz w:val="20"/>
          <w:szCs w:val="20"/>
          <w:color w:val="auto"/>
        </w:rPr>
      </w:pPr>
    </w:p>
    <w:p>
      <w:pPr>
        <w:jc w:val="both"/>
        <w:ind w:firstLine="392"/>
        <w:spacing w:after="0" w:line="289" w:lineRule="auto"/>
        <w:rPr>
          <w:sz w:val="20"/>
          <w:szCs w:val="20"/>
          <w:color w:val="auto"/>
        </w:rPr>
      </w:pPr>
      <w:r>
        <w:rPr>
          <w:rFonts w:ascii="Arial" w:cs="Arial" w:eastAsia="Arial" w:hAnsi="Arial"/>
          <w:sz w:val="16"/>
          <w:szCs w:val="16"/>
          <w:color w:val="auto"/>
        </w:rPr>
        <w:t>We also effectively finance the acquisition of Agency RMBS by entering into TBA dollar roll transactions through which we sell a TBA contract for current month settlement and simultaneously purchase a similar TBA contract for a forward settlement date. Prior to the forward settlement date, we may choose to roll the position to a later date by entering into an offsetting TBA position, net settling the paired off positions for cash, and simultaneously entering into a similar TBA contract for a forward settlement date. The TBA contract purchased for the forward settlement date is priced at a discount to the TBA contract sold for settlement/pair off in the current month. The difference (or discount) is referred to as the "price drop" and is the economic equivalent of net interest carry income (interest income less implied financing cost) on the underlying Agency RMBS over the roll period, which is commonly referred to as "dollar roll income." We recognize TBA contracts as derivative instruments on our consolidated financial statements at their net carrying value, which is their fair value less the purchase price to be paid or received under the TBA contract. Consequently, dollar roll transactions represent a form of off-balance sheet financing. In evaluating our overall leverage, we consider both our on-balance sheet and off-balance sheet financing.</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Strategy</w:t>
      </w:r>
    </w:p>
    <w:p>
      <w:pPr>
        <w:spacing w:after="0" w:line="17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are exposed to a variety of market risks, including interest rate, prepayment, extension and credit risks. Our investment strategies are based on our assessment of these risks, our ability to hedge a portion of these risks and our intention to qualify as a REIT. Our hedging strategies are generally not designed to protect our net book value from "spread risk," which as a levered investor in mortgage-backed securities is the inherent risk we take that the spread between the market yield on our investments and the benchmark interest rates linked to our interest rate hedges fluctuates. In addition, although we attempt to protect our net book value against moves in interest rates, we may not fully hedge against interest rate, prepayment and extension risks if we believe that bearing such risks enhances our return profile, or if the hedging transaction would negatively impact our REIT status.</w:t>
      </w:r>
    </w:p>
    <w:p>
      <w:pPr>
        <w:spacing w:after="0" w:line="111" w:lineRule="exact"/>
        <w:rPr>
          <w:sz w:val="20"/>
          <w:szCs w:val="20"/>
          <w:color w:val="auto"/>
        </w:rPr>
      </w:pPr>
    </w:p>
    <w:p>
      <w:pPr>
        <w:jc w:val="both"/>
        <w:ind w:left="660" w:hanging="328"/>
        <w:spacing w:after="0" w:line="272"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Interest Rate Risk. </w:t>
      </w:r>
      <w:r>
        <w:rPr>
          <w:rFonts w:ascii="Arial" w:cs="Arial" w:eastAsia="Arial" w:hAnsi="Arial"/>
          <w:sz w:val="17"/>
          <w:szCs w:val="17"/>
          <w:color w:val="auto"/>
        </w:rPr>
        <w:t>We hedge a portion of our interest rate risk with respect to both the fixed income nature of our long-term assets and the short-term, variable rate nature of our financing. A majority of our funding is in the form of repurchase agreements, and, as a result, our financing costs fluctuate based on short-term interest rate indices, such as the U.S. federal funds rate and LIBOR. Our investments are assets that primarily have fixed rates of interest with maturities up to 30 years, and the interest we earn on those assets generally does not move in tandem with the interest that we pay on our repurchase agreements. As such, we may experience reduced income or losses due to adverse interest rate movements. To mitigate a portion of such risk, we utilize hedging techniques to attempt to lock in a portion of the net interest spread between the interest we earn on our assets and the interest we pay on our borrowings.</w:t>
      </w:r>
    </w:p>
    <w:p>
      <w:pPr>
        <w:spacing w:after="0" w:line="123" w:lineRule="exact"/>
        <w:rPr>
          <w:rFonts w:ascii="Arial" w:cs="Arial" w:eastAsia="Arial" w:hAnsi="Arial"/>
          <w:sz w:val="17"/>
          <w:szCs w:val="17"/>
          <w:color w:val="auto"/>
        </w:rPr>
      </w:pPr>
    </w:p>
    <w:p>
      <w:pPr>
        <w:jc w:val="both"/>
        <w:ind w:left="660"/>
        <w:spacing w:after="0" w:line="291" w:lineRule="auto"/>
        <w:rPr>
          <w:rFonts w:ascii="Arial" w:cs="Arial" w:eastAsia="Arial" w:hAnsi="Arial"/>
          <w:sz w:val="17"/>
          <w:szCs w:val="17"/>
          <w:color w:val="auto"/>
        </w:rPr>
      </w:pPr>
      <w:r>
        <w:rPr>
          <w:rFonts w:ascii="Arial" w:cs="Arial" w:eastAsia="Arial" w:hAnsi="Arial"/>
          <w:sz w:val="16"/>
          <w:szCs w:val="16"/>
          <w:color w:val="auto"/>
        </w:rPr>
        <w:t>Fluctuations in the shape of the yield curve or changes in the market's expectation about future interest rate volatility can also adversely affect the value of our assets. Furthermore, because prepayments on residential mortgages generally accelerate when interest rates decrease and slow when interest rates rise, mortgage securities may increase in value more slowly than similar duration bonds, or even fall in value, as interest rates decline. Mortgage securities could also decrease in value more quickly than similar duration bonds as interest rates rise. This is referred to as "negative convexity." We attempt to manage this risk through asset selection and the use of a variety of hedging techniques. We monitor the "duration gap" of our portfolio, or differences in the interest rate sensitivity of our assets relative to our liabilities, inclusive of interest rate hedges, and how our convexity and duration gap could change if interest rates and prepayment expectations were to increase or decrease under a variety of scenarios.</w:t>
      </w:r>
    </w:p>
    <w:p>
      <w:pPr>
        <w:spacing w:after="0" w:line="113"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Prepayment Risk. </w:t>
      </w:r>
      <w:r>
        <w:rPr>
          <w:rFonts w:ascii="Arial" w:cs="Arial" w:eastAsia="Arial" w:hAnsi="Arial"/>
          <w:sz w:val="17"/>
          <w:szCs w:val="17"/>
          <w:color w:val="auto"/>
        </w:rPr>
        <w:t>Because residential borrowers have the option to prepay their mortgage loans at par at any time, we face the risk that we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 a return of principal on our investments faster than anticipated. Prepayment risk generally increases when interest rates decline, and our financial results could be adversely affected as we may have to reinvest principal repayments at lower yields.</w:t>
      </w:r>
    </w:p>
    <w:p>
      <w:pPr>
        <w:spacing w:after="0" w:line="111" w:lineRule="exact"/>
        <w:rPr>
          <w:rFonts w:ascii="Arial" w:cs="Arial" w:eastAsia="Arial" w:hAnsi="Arial"/>
          <w:sz w:val="17"/>
          <w:szCs w:val="17"/>
          <w:color w:val="auto"/>
        </w:rPr>
      </w:pPr>
    </w:p>
    <w:p>
      <w:pPr>
        <w:jc w:val="both"/>
        <w:ind w:left="660" w:hanging="328"/>
        <w:spacing w:after="0" w:line="279" w:lineRule="auto"/>
        <w:tabs>
          <w:tab w:leader="none" w:pos="660" w:val="left"/>
        </w:tabs>
        <w:numPr>
          <w:ilvl w:val="0"/>
          <w:numId w:val="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Extension Risk. </w:t>
      </w:r>
      <w:r>
        <w:rPr>
          <w:rFonts w:ascii="Arial" w:cs="Arial" w:eastAsia="Arial" w:hAnsi="Arial"/>
          <w:sz w:val="17"/>
          <w:szCs w:val="17"/>
          <w:color w:val="auto"/>
        </w:rPr>
        <w:t>Because residential borrowers have the option to make only scheduled payments on their mortgage loans, we face the risk that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return of capital on our investment will occur slower than anticipated. Extension risk generally increases when interest rates rise, and our financial results could be adversely affected as we may have to finance our investments at potentially higher costs without the ability to simultaneously reinvest principal repayments into higher yielding securities due to a lack of or slower than anticipated borrower prepayments.</w:t>
      </w:r>
    </w:p>
    <w:p>
      <w:pPr>
        <w:spacing w:after="0" w:line="117" w:lineRule="exact"/>
        <w:rPr>
          <w:rFonts w:ascii="Arial" w:cs="Arial" w:eastAsia="Arial" w:hAnsi="Arial"/>
          <w:sz w:val="17"/>
          <w:szCs w:val="17"/>
          <w:b w:val="1"/>
          <w:bCs w:val="1"/>
          <w:i w:val="1"/>
          <w:iCs w:val="1"/>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Spread Risk. </w:t>
      </w:r>
      <w:r>
        <w:rPr>
          <w:rFonts w:ascii="Arial" w:cs="Arial" w:eastAsia="Arial" w:hAnsi="Arial"/>
          <w:sz w:val="18"/>
          <w:szCs w:val="18"/>
          <w:color w:val="auto"/>
        </w:rPr>
        <w:t>Because the market spread between the yield on our investments and the yield on benchmark interest rates, such as U.S. Treasury 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interest rate swap rates, may vary, we are exposed to spread risk. When spreads widen,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19" w:right="239" w:bottom="1440" w:gutter="0" w:footer="0" w:header="0"/>
        </w:sectPr>
      </w:pPr>
    </w:p>
    <w:bookmarkStart w:id="5" w:name="page6"/>
    <w:bookmarkEnd w:id="5"/>
    <w:p>
      <w:pPr>
        <w:jc w:val="both"/>
        <w:ind w:left="660"/>
        <w:spacing w:after="0" w:line="276" w:lineRule="auto"/>
        <w:rPr>
          <w:sz w:val="20"/>
          <w:szCs w:val="20"/>
          <w:color w:val="auto"/>
        </w:rPr>
      </w:pPr>
      <w:r>
        <w:rPr>
          <w:rFonts w:ascii="Arial" w:cs="Arial" w:eastAsia="Arial" w:hAnsi="Arial"/>
          <w:sz w:val="17"/>
          <w:szCs w:val="17"/>
          <w:color w:val="auto"/>
        </w:rPr>
        <w:t>we will typically experience a loss in our tangible net book value, conversely, when spreads tighten, we will typically experience a gain in our tangible net book value. Spread movements can occur independent of interest rates and may relate to other factors impacting the mortgage and fixed income markets, such as actual or anticipated monetary policy actions by the U.S. Federal Reserve (the "Fed"), liquidity, or changes in required rates of return on different assets. Spread risk is an inherent risk we take as a levered investor in mortgage-backed securities and, as such, our strategies are generally not designed to protect our tangible net book value from adverse spread movements.</w:t>
      </w:r>
    </w:p>
    <w:p>
      <w:pPr>
        <w:spacing w:after="0" w:line="119" w:lineRule="exact"/>
        <w:rPr>
          <w:sz w:val="20"/>
          <w:szCs w:val="20"/>
          <w:color w:val="auto"/>
        </w:rPr>
      </w:pPr>
    </w:p>
    <w:p>
      <w:pPr>
        <w:jc w:val="both"/>
        <w:ind w:left="660" w:hanging="328"/>
        <w:spacing w:after="0" w:line="273" w:lineRule="auto"/>
        <w:tabs>
          <w:tab w:leader="none" w:pos="660"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Credit Risk. </w:t>
      </w:r>
      <w:r>
        <w:rPr>
          <w:rFonts w:ascii="Arial" w:cs="Arial" w:eastAsia="Arial" w:hAnsi="Arial"/>
          <w:sz w:val="17"/>
          <w:szCs w:val="17"/>
          <w:color w:val="auto"/>
        </w:rPr>
        <w:t>We accept mortgage credit exposure related to our CRT and other non-Agency securities at levels we deem to be appropriate within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context of our overall investment strategy. We attempt to manage this risk through prudent asset selection, pre-acquisition due diligence, post-acquisition performance monitoring, and sale of assets where we identify negative credit trends. We may also manage credit risk with credit default swaps or other financial derivatives that we believe are appropriate. Additionally, we may attempt to adjust our credit exposure and/or to improve the return profile of our investment portfolio by varying the mix of our Agency and non-Agency mortgage investments and adjusting our duration gap when we believe credit performance is inversely correlated with changes in interest rates.</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risk management actions we take may lower our earnings and dividends in the short-term to further our objective of preserving our net book value and maintaining attractive levels of earnings and dividends over the long term. In addition, some of our hedges are intended to provide protection against larger rate moves and as a result may be relatively ineffective for smaller interest rate changes. Our projections of exposures to interest rate, prepayment, extension and other risks are also based on models that are dependent on a number of assumptions and inputs, and actual results could differ materially from our projections.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December 31, 2019, we had 51 full-time employees.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 from Regulation under the Investment Company Act</w:t>
      </w:r>
    </w:p>
    <w:p>
      <w:pPr>
        <w:spacing w:after="0" w:line="175"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6"/>
          <w:szCs w:val="16"/>
          <w:color w:val="auto"/>
        </w:rPr>
        <w:t>We conduct our business so as not to become regulated as an investment company under the Investment Company Act, in reliance on the exemption provided by Section 3(c)(5)(C) of the Act. So long as we qualify for this exemption, we will not be subject to leverage and other restrictions imposed on regulated investment companies, which would significantly reduce our ability to use leverage. Section 3(c)(5)(C), as interpreted by the staff of the U.S. Securities and Exchange Commission ("SEC"), requires us to invest at least 55% of our assets in "mortgages and other liens on and interest in real estate" or "qualifying real estate interests" ("55% asset test") and at least 80% of our assets in qualifying real estate interests and "real estate-related assets." In satisfying this 55% requirement, based on pronouncements of the SEC staff and in certain instances our own judgment, we treat Agency RMBS issued with respect to an underlying pool of mortgage loans in which we hold all the certificates issued by the pool ("whole pool" securities) as qualifying real estate interests. We typically treat "partial pool" and other mortgage securities where we hold less than all the certificates issued by the pool as real estate-related assets.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Investment Trust Requirements</w:t>
      </w:r>
    </w:p>
    <w:p>
      <w:pPr>
        <w:spacing w:after="0" w:line="175"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We have elected to be taxed as a REIT under the Internal Revenue Code. As a REIT, we generally will not be subject to U.S. federal or state corporate income tax on our taxable income to the extent that we distribute annually all our taxable income to stockholders within the time limits prescribed by the Internal Revenue Code. Qualification and taxation as a REIT depend on our ability to continually meet requirements imposed upon REITs by the Internal Revenue Code, including satisfying certain organizational requirements, an annual distribution requirement and quarterly asset and annual income tests. The REIT asset and income tests are significant to our operations as they restrict the extent to which we can invest in certain types of securities and conduct certain hedging activities within the REIT. Consequently, we may be required to limit these activities or conduct them through a taxable REIT subsidiary ("TRS"). We believe that we have been organized and operate in such a manner as to qualify for taxation as a REIT.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Tests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 continue to qualify as a REIT, we must satisfy two gross income requirements on an annual basis.</w:t>
      </w:r>
    </w:p>
    <w:p>
      <w:pPr>
        <w:spacing w:after="0" w:line="171" w:lineRule="exact"/>
        <w:rPr>
          <w:sz w:val="20"/>
          <w:szCs w:val="20"/>
          <w:color w:val="auto"/>
        </w:rPr>
      </w:pPr>
    </w:p>
    <w:p>
      <w:pPr>
        <w:ind w:left="660" w:hanging="247"/>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At least 75% of our gross income for each taxable year generally must be derived from investments in real property or mortgages on real property.</w:t>
      </w:r>
    </w:p>
    <w:p>
      <w:pPr>
        <w:spacing w:after="0" w:line="194" w:lineRule="exact"/>
        <w:rPr>
          <w:rFonts w:ascii="Arial" w:cs="Arial" w:eastAsia="Arial" w:hAnsi="Arial"/>
          <w:sz w:val="16"/>
          <w:szCs w:val="16"/>
          <w:color w:val="auto"/>
        </w:rPr>
      </w:pPr>
    </w:p>
    <w:p>
      <w:pPr>
        <w:ind w:left="900" w:hanging="487"/>
        <w:spacing w:after="0" w:line="264" w:lineRule="auto"/>
        <w:tabs>
          <w:tab w:leader="none" w:pos="657"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least 95% of our gross income in each taxable year generally must be derived from some combination of income that qualifies under the 75% gross income test described above, as well as other dividends, interest, and gains from the sale or disposition of stock or securities, which need not have any relation to real property.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19" w:right="239" w:bottom="1440" w:gutter="0" w:footer="0" w:header="0"/>
        </w:sectPr>
      </w:pPr>
    </w:p>
    <w:bookmarkStart w:id="6" w:name="page7"/>
    <w:bookmarkEnd w:id="6"/>
    <w:p>
      <w:pPr>
        <w:jc w:val="both"/>
        <w:ind w:firstLine="432"/>
        <w:spacing w:after="0" w:line="255" w:lineRule="auto"/>
        <w:rPr>
          <w:sz w:val="20"/>
          <w:szCs w:val="20"/>
          <w:color w:val="auto"/>
        </w:rPr>
      </w:pPr>
      <w:r>
        <w:rPr>
          <w:rFonts w:ascii="Arial" w:cs="Arial" w:eastAsia="Arial" w:hAnsi="Arial"/>
          <w:sz w:val="18"/>
          <w:szCs w:val="18"/>
          <w:color w:val="auto"/>
        </w:rPr>
        <w:t>Interest income from obligations secured by mortgages on real property (such as Agency and non-Agency MBS) generally constitutes qualifying income for purposes of the 75% gross income test described above. There is no direct authority with respect to the qualification of income or gains from TBAs for the 75% gross income test; however, we treat these as qualifying income for this purpose based on an opinion of legal counsel. The treatment of interest income from other real estate securities depends on their specific tax structure. Income and gains from instruments that we use to hedge the interest rate risk associated with our borrowings incurred, or to be incurred, to acquire real estate assets will generally be excluded from both gross income tests, provided that specified requirements are met.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Tests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the close of each calendar quarter, we must satisfy five tests relating to the nature of our assets.</w:t>
      </w:r>
    </w:p>
    <w:p>
      <w:pPr>
        <w:spacing w:after="0" w:line="171" w:lineRule="exact"/>
        <w:rPr>
          <w:sz w:val="20"/>
          <w:szCs w:val="20"/>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be represented by some combination of "real estate assets," cash, cash items, U.S. Government securities, and, under some circumstances, temporary investments in stock or debt instruments purchased with new capital. For this purpose, mortgage-backed securities and mortgage loans are generally treated as "real estate assets." Assets that do not qualify for purposes of the 75% asset test are subject to the additional asset tests described below.</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value of any one issuer's securities that we own may not exceed 5% of the value of our total assets.</w:t>
      </w:r>
    </w:p>
    <w:p>
      <w:pPr>
        <w:spacing w:after="0" w:line="171"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own more than 10% of any one issuer's outstanding securities, as measured by either voting power or value. The 5% and 10% asset tests do not apply to securities of TRSs and qualified REIT subsidiaries and the 10% asset test does not apply to "straight debt" having specified characteristics and to certain other securities.</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value of all securities of all TRSs that we hold may not exceed 20% of the value of our total assets.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more than 25% of the total value of our assets may be represented by certain non-mortgage debt instruments issued by publicly offered REITs (even though such debt instruments qualify under the 75% asset test).</w:t>
      </w:r>
    </w:p>
    <w:p>
      <w:pPr>
        <w:spacing w:after="0" w:line="116" w:lineRule="exact"/>
        <w:rPr>
          <w:sz w:val="20"/>
          <w:szCs w:val="20"/>
          <w:color w:val="auto"/>
        </w:rPr>
      </w:pPr>
    </w:p>
    <w:p>
      <w:pPr>
        <w:jc w:val="both"/>
        <w:ind w:right="20" w:firstLine="392"/>
        <w:spacing w:after="0" w:line="259" w:lineRule="auto"/>
        <w:rPr>
          <w:sz w:val="20"/>
          <w:szCs w:val="20"/>
          <w:color w:val="auto"/>
        </w:rPr>
      </w:pPr>
      <w:r>
        <w:rPr>
          <w:rFonts w:ascii="Arial" w:cs="Arial" w:eastAsia="Arial" w:hAnsi="Arial"/>
          <w:sz w:val="18"/>
          <w:szCs w:val="18"/>
          <w:color w:val="auto"/>
        </w:rPr>
        <w:t>A failure to satisfy the income or asset tests would not immediately cause us to lose our REIT qualification; rather, we could retain our REIT qualification if we were able to satisfy certain relief provisions and pay any applicable penalty taxes and other fines, or, in the case of a failure to satisfy the asset test, eliminate the discrepancy within a 30-day cure period. Please also refer to the "Risks Related to Our Taxation as a REIT" in "Item 1A. Risk Factors" of this Form 10-K for further discussion of REIT qualification requirements and related items.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executive offices are located at Two Bethesda Metro Center, 12</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Floor, Bethesda, MD 20814 and our telephone number is (301) 968-9315.</w:t>
      </w:r>
    </w:p>
    <w:p>
      <w:pPr>
        <w:spacing w:after="0" w:line="1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We make available our Annual Reports on Form 10-K, quarterly reports on Form 10-Q, current reports on Form 8-K and amendments to such reports as well as our Code of Ethics and Conduct on our internet website at </w:t>
      </w:r>
      <w:r>
        <w:rPr>
          <w:rFonts w:ascii="Arial" w:cs="Arial" w:eastAsia="Arial" w:hAnsi="Arial"/>
          <w:sz w:val="18"/>
          <w:szCs w:val="18"/>
          <w:u w:val="single" w:color="auto"/>
          <w:color w:val="auto"/>
        </w:rPr>
        <w:t>www.AGNC.com</w:t>
      </w:r>
      <w:r>
        <w:rPr>
          <w:rFonts w:ascii="Arial" w:cs="Arial" w:eastAsia="Arial" w:hAnsi="Arial"/>
          <w:sz w:val="18"/>
          <w:szCs w:val="18"/>
          <w:color w:val="auto"/>
        </w:rPr>
        <w:t xml:space="preserve"> as soon as reasonably practical after such material is electronically filed with or furnished to the SEC. These reports are also available on the SEC internet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success depends, in large part, on our ability to acquire assets at favorable spreads over our borrowing costs. In acquiring mortgage assets, we compete with mortgage REITs, mortgage finance and specialty finance companies, savings and loan associations, banks, mortgage bankers, insurance companies, mutual funds, institutional investors, investment banking firms, other lenders, governmental bodies and other entities. These entities and others that may be organized in the future may have similar asset acquisition objectives and increase competition for the available supply of mortgage assets suitable for purchase. Additionally, our investment strategy is dependent on the amount of financing available to us through repurchase agreements and would be adversely impacted if we are not able to secure financing on favorable terms, if at all.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4" w:lineRule="exact"/>
        <w:rPr>
          <w:sz w:val="20"/>
          <w:szCs w:val="20"/>
          <w:color w:val="auto"/>
        </w:rPr>
      </w:pPr>
    </w:p>
    <w:p>
      <w:pPr>
        <w:jc w:val="both"/>
        <w:ind w:firstLine="464"/>
        <w:spacing w:after="0" w:line="264" w:lineRule="auto"/>
        <w:rPr>
          <w:sz w:val="20"/>
          <w:szCs w:val="20"/>
          <w:color w:val="auto"/>
        </w:rPr>
      </w:pPr>
      <w:r>
        <w:rPr>
          <w:rFonts w:ascii="Arial" w:cs="Arial" w:eastAsia="Arial" w:hAnsi="Arial"/>
          <w:sz w:val="18"/>
          <w:szCs w:val="18"/>
          <w:color w:val="auto"/>
        </w:rPr>
        <w:t>You should carefully consider the risks described below and all other information contained in this Annual Report on Form 10-K, including our annual consolidated financial statements and the related notes thereto before deciding to purchase our securities. If any of the following risks were to occur, our business, financial condition or results of operations could be materially adversely affected. If that happens, the trading price of our securities could decline, and you may lose all or part of your investment.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19" w:right="2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risks and uncertainties described below are not the only ones facing us. Additional risks and uncertainties not presently known to us, or not presently deemed material by us, may also impair our operations and performance.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Investing, Portfolio Management and Financing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change our targeted investments, investment guidelines and other operational policies without stockholder consent.</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may change our targeted investments and investment guidelines at any time without the consent of our stockholders, which could result in our making investments that are different from, and possibly riskier than, the investments described herein. Our Board of Directors also determines our other operational policies, including our policies with respect to our REIT qualification, acquisitions, dispositions, operations, indebtedness and distributions. Our Board of Directors may amend or revise such policies or authorize transactions that deviate from them, without a vote of, or notice to, our stockholders. A change in our targeted investments, investment guidelines or other operational policies may increase our exposure to interest rate, spread, credit, prepayment, extension, liquidity and other risks, all of which could adversely affect our results of operations and financial condition and, in turn, our ability to make distributions to our common and preferred stockholders.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active portfolio management strategy may expose us to greater losses and lower returns than compared to passive strategies.</w:t>
      </w:r>
    </w:p>
    <w:p>
      <w:pPr>
        <w:spacing w:after="0" w:line="17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employ an active management strategy to achieve our principal objective of preserving our net book value while generating attractive risk-adjusted returns. The composition of our investment portfolio will vary as we believe changes to market conditions, risks and valuations warrant. Consequently, we may experience significant investment gains or losses when we sell investments that we no longer believe provide attractive risk-adjusted returns or when we believe more attractive alternatives are available. We may be incorrect in our assessment and select an investment portfolio that could generate lower returns than a more static management strategy. Also, investors may be less able to assess the changes in our valuation and performance by observing changes in the mortgage market since we may have changed our strategy and portfolio from the last publicly available data. Our leverage and hedging levels may also fluctuate as we pursue our active management strategy.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strategies are not designed to mitigate spread risk.</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When the spread between the market yield on our mortgage assets and benchmark interest rates widens, our net book value could decline. We refer to this as "spread risk" or "basis risk." As a levered investor in mortgage-backed securities, spread risk is an inherent component of our investment strategy. Consequently, although we use hedging instruments to attempt to protect against moves in interest rates, our hedges will typically not to protect us against spread risk. Spreads may widen due to a variety of factors and can occur independent of moves in interest rates and may relate to other factors impacting the mortgage and fixed income markets, such as actual or anticipated monetary policy actions by U.S. and foreign central banks, liquidity, or changes in required rates of return on different assets. Consequently, while we use interest rate swaps and other hedges to attempt to protect against moves in interest rates, such instruments typically will not protect our net book value against spread risk. If adverse spread movements result in the value of our mortgage assets to decline by more than the offsetting increase in value of our interest rate hedges or if, of similar effect, the value of our assets to increase by less than the offsetting decline in value of our interest rate hedges, our net book value will decline and our financial condition will be adversely impacted.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Purchases and sales of Agency mortgage-backed securities by the Fed could adversely affect the price and return associated with Agency securities.</w:t>
      </w:r>
    </w:p>
    <w:p>
      <w:pPr>
        <w:spacing w:after="0" w:line="194"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Fed is one of the largest holders of Agency RMBS. In October 2017, the Fed began to taper its reinvestments of principal payments from its Agency RMBS, U.S. Treasury and Agency debt portfolios acquired as a function of its quantitative easing programs. The Fed could vary the pace of its tapering activity, stop altogether or conduct outright purchases or sales of its securities portfolio, which could impact the price and availability of Agency RMBS and the spread between our mortgage investments and interest rate hedges. During periods in which the Fed increases the pace of its tapering, or undertakes outright sales of its securities portfolio, the price of Agency RMBS and U.S. Treasury securities could decline, mortgage spreads could widen, our investments could prepay at a slower rate than anticipated and market volatility could be considerably higher than would have been the case absent such actions. Similarly, if the Fed reduces the pace of tapering, stops altogether or purchases securities, interest rates could decline, and our investments could prepay at a faster rate than anticipated. Consequently, the Fed's actions with respect to its securities portfolio could adversely affect the return on our investments.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 involves significant leverage, which increases the risk that we may incur substantial losses.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leverage will vary with market conditions and our assessment of the risks and returns on our investments. We generally expect to maintain our leverage between six to twelve times the amount of our tangible stockholders' equity, but we may operate at levels outside of this range for an extended period. We incur leverage by borrowing against a substantial portion of the market value of our assets. While leverage is fundamental to our investment strategy, it also creates significant risks. Consequently, we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38"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could incur substantial losses if the value of our investments declines or if mortgage spreads widen and our investments underperform our interest rate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procure adequate financing or to renew or replace existing financing as it matures.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use debt financing as a strategy to increase our return on equity, and because we rely primarily on short-term borrowings to finance our mortgage investments, our ability to achieve our investment objectives depends not only on our ability to borrow sufficient amounts and on favorable terms, but also on our ability to renew or replace our maturing short-term borrowings on a continuous basis. However, we may be unable to borrow sufficient funds to achieve our desired leverage ratio for several reasons, including the following:</w:t>
      </w:r>
    </w:p>
    <w:p>
      <w:pPr>
        <w:spacing w:after="0" w:line="25"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liquidity shortfalls in the repo market and other short-term funding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lenders do not make repurchase agreements or other financing arrangements available to us at acceptable rates and terms;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lenders exit the market;</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lenders require additional collateral to cover our borrowings, which we may be unable to deliver;</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funding levels and/or leverage ratio exceeds limits established by lenders, which could change at our lenders' discretion; or</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default on our obligations, including failure to satisfy covenants or other requirements imposed by our lenders.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Disruptions in the repo market due to liquidity short-falls or other events can adversely impact the availability and cost of repo funding. During such periods, it is possible that the Fed and other policymakers could fail to undertake measures to stabilize the repo market, or, if they attempt to stabilize the repo market, it is possible such measures could be ineffective. Additionally, if/when they alter or cease to undertake such measures, it could cause a significant disruption in the repo market, negatively impacting the availability and cost of our repo funding. In addition, current or new regulatory capital requirements imposed on our lenders may negatively impact their ability or willingness to lend to us. Our lenders may also revise their eligibility requirements for the types of assets they are willing to finance or the terms of such financings based on factors such as the regulatory environment and their management of perceived risk.</w:t>
      </w:r>
    </w:p>
    <w:p>
      <w:pPr>
        <w:spacing w:after="0" w:line="13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If we default on one of our obligations under a repurchase transaction, the counterparty could terminate the transaction and cease entering into other repurchase transactions with us. Additionally, our wholly-owned captive broker-dealer subsidiary's ability to access bilateral and triparty repo funding, such as through the FICC's GCF Repo service, requires that it continually meet regulatory and membership requirements established by FINRA and the FICC, which could change over time, potentially resulting in BES to lose access to these funding sources, which represents a significant portion of our total borrowing capacity.</w:t>
      </w:r>
    </w:p>
    <w:p>
      <w:pPr>
        <w:spacing w:after="0" w:line="1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Because of these and other factors, there is no assurance that we will be able to secure financing on terms that are acceptable to us. If we cannot obtain sufficient funding on acceptable terms, we may have to sell assets, possibly under adverse market conditions, and our financial condition and results of operations could be adversely affected and our ability to make distributions to our stockholders could be limited.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borrowing costs may increase at a faster pace than the yield on our investments.</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Since we rely primarily on short-term and/or variable rate borrowings to acquire fixed-rate securities with long-term maturities, our borrowing costs are particularly sensitive to increases in short-term interest rates, as well as overall funding availability, market liquidity, fluctuations in asset values and "haircut" levels applied to assets pledged under repurchase agreements and other factors.</w:t>
      </w:r>
    </w:p>
    <w:p>
      <w:pPr>
        <w:spacing w:after="0" w:line="12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relationship between short and longer-term interest rates is often referred to as the "yield curve." Ordinarily, short-term interest rates are lower than longer-term interest rates, but a flattening of the yield curve can occur if short-term interest rates rise disproportionately relative to longer-term interest rates or if longer-term rates fall disproportionately relative to short-term rates. It is also possible that the yield curve could invert, with short-term rates exceeding longer-term rates. If either of these conditions occur, our borrowing costs could increase more rapidly than the interest income earned on our fixed-rate assets and our net interest margin would decline, or in extreme scenarios even turn negative, adversely impacting our results of operations and financial condition.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decline in the fair value of our assets may adversely affect our financial condition and make it costlier to finance our assets.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record our investments at fair value with changes in fair value reported in net income or other comprehensive income (a component of equity). A decline in the fair value of our investments could reduce both our net income and stockholders' equity. We also use our investments as collateral for our financings and certain hedge transactions; consequently, a decline in fair value, or perceived market uncertainty about the value of our assets, could make it difficult for us to obtain financing on favorable terms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19" w:right="239" w:bottom="1440" w:gutter="0" w:footer="0" w:header="0"/>
        </w:sectPr>
      </w:pPr>
    </w:p>
    <w:bookmarkStart w:id="9" w:name="page10"/>
    <w:bookmarkEnd w:id="9"/>
    <w:p>
      <w:pPr>
        <w:jc w:val="both"/>
        <w:spacing w:after="0" w:line="257" w:lineRule="auto"/>
        <w:rPr>
          <w:sz w:val="20"/>
          <w:szCs w:val="20"/>
          <w:color w:val="auto"/>
        </w:rPr>
      </w:pPr>
      <w:r>
        <w:rPr>
          <w:rFonts w:ascii="Arial" w:cs="Arial" w:eastAsia="Arial" w:hAnsi="Arial"/>
          <w:sz w:val="18"/>
          <w:szCs w:val="18"/>
          <w:color w:val="auto"/>
        </w:rPr>
        <w:t>or at all, or for us to maintain our compliance with terms of any agreements already in place. Since we primarily invest in long-term fixed rate securities, our investment portfolio is particularly sensitive to changes in longer-term interest rates. If interest rates or other market conditions result in a decline in the fair value of our assets, we would be subject to margin calls on our existing agreements and it would decrease the amount we may borrow to purchase additional investments. If this occurs, we could be required to sell assets at adverse prices and our ability to maintain or increase our net income would be significantly restricted.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be uneconomical to roll our TBA dollar roll transactions or we may be unable to meet margin calls on our TBA contracts.</w:t>
      </w:r>
    </w:p>
    <w:p>
      <w:pPr>
        <w:spacing w:after="0" w:line="171"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We utilize TBA dollar roll transactions as a means of investing in and financing Agency RMBS, which represents a form of off-balance sheet financing and increases our "at risk" leverage. Sales or declines in purchases of Agency RMBS by the Fed and other market participants could adversely impact the market for TBA dollar roll transactions. TBAs subject us to margin calls under the provisions established by the Mortgage-Backed Securities Division ("MBSD") of the FICC, and our prime brokerage agreements may require that we post additional margin above the levels established by the MBSD. Under certain market conditions it may be uneconomical to roll our TBA positions prior to the settlement date and we could have to take physical delivery of the underlying securities and settle our obligations for cash. We may not have sufficient funds or alternative financing sources available to settle such obligations. Additionally, if we take delivery of the underlying securities, we can expect to receive the "cheapest to deliver" securities, which have the least favorable prepayment attributes that can be delivered to satisfy the TBA contract, such as the anticipated collateral's weighted average coupon, weighted average maturity and projected CPR. The specific securities we do receive may also consist of an insufficient number of "whole pool" securities for us to maintain a sufficient percentage of our assets in qualifying "mortgage and other liens in real estate" required to remain exempt from registration as an investment company under the Investment Company Act. Consequently, failure to procure adequate financing to settle our obligations or to meet margin calls under our TBA contracts could result in defaults or a forced sale of assets in unfavorable market conditions and adversely affect our financial condition and results of operations.</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funding and derivative agreements subject us to margin calls that could result in defaults or force us to sell assets under adverse market conditions or through foreclosure.</w:t>
      </w:r>
    </w:p>
    <w:p>
      <w:pPr>
        <w:spacing w:after="0" w:line="116"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We enter into master repurchase agreements and derivative agreements with a variety of counterparty financial institutions. These institutions require that we maintain a certain amount of collateral with them to protect them from loss in the event we default on our obligations under the agreements.</w:t>
      </w:r>
    </w:p>
    <w:p>
      <w:pPr>
        <w:spacing w:after="0" w:line="7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Borrowings under our master repurchase agreements are secured by the assets financed under the agreements. Pursuant to the terms of our master repurchase agreements, a decline in the value of the collateral may result in our lenders initiating margin calls, where the lender requires us to pledge additional collateral. The specific collateral value to borrowing ratio that would trigger a margin call is not set in the master repurchase agreements and is not determined until we engage in a repurchase transaction under these agreements. Our fixed-rate collateral generally may be more susceptible to margin calls as increases in interest rates tend to affect more negatively the market value of fixed-rate securities. In addition, some collateral may be less liquid than other instruments, which could cause it to be more susceptible to margin calls in a volatile market environment. Moreover, collateral that prepays more quickly increases the frequency and magnitude of potential margin calls as there is a time lag between when the prepayment is reported (which reduces the market value of the security) and when the principal payment is received. If we are unable to satisfy margin calls, our lenders may foreclose on our collateral. The threat of or occurrence of a margin call could force us to sell, either directly or through a foreclosure, our collateral under adverse market conditions, which could result in substantial losses.</w:t>
      </w:r>
    </w:p>
    <w:p>
      <w:pPr>
        <w:spacing w:after="0" w:line="12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Collateral requirements under our derivative agreements are also impacted by changes in the value of the derivative instrument, the counterparties' perceived level of risk and other factors. Our counterparties, or the central clearing agency, typically have the sole discretion to determine the value of the derivative instruments and the value of the collateral securing such instruments. In the event of a margin call, we must generally provide additional collateral on the same business day. Furthermore, our derivative agreements may also contain cross default provisions under which a default under certain of our other indebtedness above a certain threshold amount would cause an event of default under the derivative agreement. Following an event of default, we could be required to settle our obligations under the agreements at their termination values. The threat of or occurrence of margin calls or the forced settlement of our obligations under our derivative agreements at their termination values could force us to sell our investments under adverse market conditions, which could result in substantial losses.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funding and derivative agreements expose us to risk that our counterparties will not perform their obligations to us as and when due.</w:t>
      </w:r>
    </w:p>
    <w:p>
      <w:pPr>
        <w:spacing w:after="0" w:line="18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When we engage in a repurchase transaction, we initially transfer securities to the counterparty financial institution under one of our master repurchase agreements in exchange for cash, and our counterparty is obligated to resell such assets to us at the end of the term of the transaction. The cash we receive when we initially sell the collateral is less than the value of that collateral and this difference is referred to as the "haircut." As a result, we borrow a smaller amount than the collateral we initially sell 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19" w:right="239" w:bottom="1440" w:gutter="0" w:footer="0" w:header="0"/>
        </w:sectPr>
      </w:pPr>
    </w:p>
    <w:bookmarkStart w:id="10" w:name="page11"/>
    <w:bookmarkEnd w:id="10"/>
    <w:p>
      <w:pPr>
        <w:jc w:val="both"/>
        <w:spacing w:after="0" w:line="308" w:lineRule="auto"/>
        <w:rPr>
          <w:sz w:val="20"/>
          <w:szCs w:val="20"/>
          <w:color w:val="auto"/>
        </w:rPr>
      </w:pPr>
      <w:r>
        <w:rPr>
          <w:rFonts w:ascii="Arial" w:cs="Arial" w:eastAsia="Arial" w:hAnsi="Arial"/>
          <w:sz w:val="17"/>
          <w:szCs w:val="17"/>
          <w:color w:val="auto"/>
        </w:rPr>
        <w:t>these transactions and increases in "haircuts" may require us to post additional collateral. If a counterparty defaults on an obligation to resell collateral to us, we could incur a loss on the transaction equal to the amount of the haircut (assuming there was no change in the value of the securities).</w:t>
      </w:r>
    </w:p>
    <w:p>
      <w:pPr>
        <w:spacing w:after="0" w:line="93"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Our derivative agreements may also require that we pledge collateral to our derivative counterparties. Based on changes in the value of our derivative agreements, we may also be entitled to receive collateral from our derivative counterparties. Should our derivative counterparties fail to satisfy their obligations to us, such as return our collateral at the conclusion of the derivative transaction, fail to pledge collateral to us or fail to make other payments we are entitled to under the terms of our agreements as and when due, we could incur a loss on equal to the value of our collateral and/or other amounts due to us.</w:t>
      </w:r>
    </w:p>
    <w:p>
      <w:pPr>
        <w:spacing w:after="0" w:line="10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To limit our counterparty exposure, we diversify our funding across multiple counterparties and by counterparty region. We also attempt to minimize counterparty risk by limiting our counterparties to registered central clearing exchanges and major financial institutions with acceptable credit ratings and by monitoring positions with individual counterparties. However, there is no assurance that we will not suffer a loss due to a counterparty default, and, although we believe the risk is minimal due to initial and daily mark-to-mark requirements, guarantee funds, and other resources that are available in the event of default, we could be exposed to a risk of loss if an exchange or a central clearing member of the exchange defaults on its obligations. Further, the enforceability of our derivative and repurchase agreements may also depend on compliance with applicable statutory, commodity and other regulatory requirements and, depending on the domicile of the counterparty, applicable international requirements. Consequently, we cannot assure you that we will not suffer a loss due to a counterparty's failure to fulfill its obligations under our agreements in a timely manner or at all.</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rights under repurchase agreements are subject to the effects of bankruptcy laws in the event of our or our lender's bankruptcy or insolvency.</w:t>
      </w:r>
    </w:p>
    <w:p>
      <w:pPr>
        <w:spacing w:after="0" w:line="19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the event of our insolvency or bankruptcy, certain repurchase agreements may qualify for special treatment under the U.S. Bankruptcy Code, the effect of which, among other things, would be to allow the lender under the applicable repurchase agreement to avoid the automatic stay provisions of the U.S. Bankruptcy Code and to foreclose on the collateral without delay. In the event of the insolvency or bankruptcy of a lender during the term of a repurchase agreement, the lender may be permitted, under applicable insolvency laws, to repudiate the contract, and our claim against the lender for damages may be treated simply as an unsecured creditor. In addition, if the lender is a broker or dealer subject to the Securities Investor Protection Act of 1970, or an insured depository institution subject to the Federal Deposit Insurance Act, our ability to recover our assets under a repurchase agreement or to be compensated for any damages resulting from the lender's insolvency may be further limited by those statutes. Recoveries on these claims could be subject to significant delay and, if received, could be substantially less than the damages incurred.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strategies may be ineffective.</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employ techniques that are intended to limit, or "hedge," the adverse effect of changes in interest rates on the value of our assets and financing costs, subject to complying with REIT tax requirements. Hedging strategies are complex and there are no perfect hedges. Our business model also calls for accepting certain amounts of risk. Consequently, our hedging activities are generally designed to limit our interest rate exposure, but not to eliminate it, and they are generally not designed to hedge against spread risk and other risks inherent to our business model.</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hedging strategies vary in scope based on our portfolio composition, liabilities and our assessment of the level and volatility of interest rates, expected prepayments, credit and other market conditions, and are expected to change over time. We could fail to properly assess a risk or fail to recognize a risk entirely, leaving us exposed to losses without the benefit of any offsetting hedges. Furthermore, the derivative financial instruments we select may not have the effect of reducing our risk. Poorly designed hedging strategies or improperly executed transactions could increase our risk of loss. Hedging activities could also result in losses if the hedged event does not occur. Numerous other factors can also impact the effectiveness of our hedging strategies including the following:</w:t>
      </w:r>
    </w:p>
    <w:p>
      <w:pPr>
        <w:spacing w:after="0" w:line="139"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interest rate hedges, which can be particularly costly during periods of interest rate volatility and rising rates;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degree to which the interest rate hedge benchmark rate correlates to the interest rate risk for which protection is sought;</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degree to which the duration of the hedge matches the duration of the related asset or liability, particularly as interest rates change;</w:t>
      </w:r>
    </w:p>
    <w:p>
      <w:pPr>
        <w:spacing w:after="0" w:line="74" w:lineRule="exact"/>
        <w:rPr>
          <w:rFonts w:ascii="Arial" w:cs="Arial" w:eastAsia="Arial" w:hAnsi="Arial"/>
          <w:sz w:val="17"/>
          <w:szCs w:val="17"/>
          <w:color w:val="auto"/>
        </w:rPr>
      </w:pPr>
    </w:p>
    <w:p>
      <w:pPr>
        <w:ind w:left="980" w:hanging="324"/>
        <w:spacing w:after="0" w:line="30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amount of income that a REIT may earn from hedging transactions, other than hedging transactions that satisfy certain requirements of the Internal Revenue Code or that are done through a TRS, which is limited by federal tax provisions governing REITs; and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19" w:right="239" w:bottom="1440" w:gutter="0" w:footer="0" w:header="0"/>
        </w:sectPr>
      </w:pPr>
    </w:p>
    <w:bookmarkStart w:id="11" w:name="page12"/>
    <w:bookmarkEnd w:id="11"/>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degree to which the value of our interest rate hedges changes relative to our assets as a result of fluctuations in interest rates, passage of time, or other factors.</w:t>
      </w:r>
    </w:p>
    <w:p>
      <w:pPr>
        <w:spacing w:after="0" w:line="170"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For these reasons, our hedging strategies may fail to protect us from loss and could even result in greater losses than if we had not entered in the hedge transaction, which would negatively impact our operating results and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prepayment rates may adversely affect the return on our investments.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investment portfolio includes securities backed by pools of mortgage loans which receive payments related to the underlying mortgage loans. When borrowers prepay their mortgage loans at rates faster or slower than anticipated, it exposes us to prepayment or extension risk. Generally, prepayments increase during periods of falling mortgage interest rates and decrease during periods of rising mortgage interest rates. However, this may not always be the case as other factors can affect the rate of prepayments, including loan age and size, loan-to-value ratios, housing price trends, general economic conditions and other factors.</w:t>
      </w:r>
    </w:p>
    <w:p>
      <w:pPr>
        <w:spacing w:after="0" w:line="134"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If our assets prepay at a faster rate than anticipated, we may be unable to reinvest the repayments at acceptable yields. If the proceeds are reinvested at lower yields than our existing assets, our net interest margins would be negatively impacted. We also amortize or accrete any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 which could negatively affect our interest income.</w:t>
      </w:r>
    </w:p>
    <w:p>
      <w:pPr>
        <w:spacing w:after="0" w:line="1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If our assets prepay at a slower rate than anticipated, our assets could extend beyond their expected maturities and we may have to finance our investments at potentially higher costs without the ability to reinvest principal into higher yielding securities. Additionally, if prepayment rates decrease due to a rising interest rate environment, the average life or duration of our fixed-rate assets would extend, but our interest rate swap maturities would remain fixed and, therefore, cover a smaller percentage of our funding exposure. This situation may also cause the market value of our assets to decline, while most of our hedging instruments would not receive any incremental offsetting gains.</w:t>
      </w:r>
    </w:p>
    <w:p>
      <w:pPr>
        <w:spacing w:after="0" w:line="13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To the extent that actual prepayment speeds differ from our expectations, our operating results could be adversely affected, and we could be forced to sell assets to maintain adequate liquidity, which could cause us to incur realized losses. In addition, should significant prepayments occur, there is no certainty that we will be able to identify acceptable new investments, which could reduce our invested capital or result in us investing in less favorable securities.</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Prepayment rates are difficult to predict, and market conditions may disrupt the historical correlation between interest rate changes and prepayment trends.</w:t>
      </w:r>
    </w:p>
    <w:p>
      <w:pPr>
        <w:spacing w:after="0" w:line="11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Our success depends, in part, on our ability predict prepayment behavior under a variety of economic conditions and particularly the relationship between changing interest rates and the rate of prepayments. As part of our overall portfolio risk management, we analyze interest rate changes and prepayment trends separately and collectively to assess their effects on our investment portfolio. To a large extent our analysis is based on models that are dependent on a number of assumptions and inputs. Many of the assumptions we use are based upon historical trends with respect to the relationship between interest rates and prepayments under normal market conditions. There is risk that our assumptions are incorrect. Dislocations in the residential mortgage market and other developments may disrupt the relationship between the way that prepayment trends have historically responded to interest rate changes. Prepayment rates are also impacted by other factors beyond interest rates, such as when borrowers sell their property and use the proceeds to prepay their mortgage or when borrowers default on their mortgages and the mortgages are prepaid from the proceeds of a foreclosure sale of the property. Fannie Mae and Freddie Mac will also generally purchase mortgages that are 120 days or more delinquent from RMBS trusts when the cost of guarantee payments to security holders exceeds the cost of holding the nonperforming loans in their portfolios. In addition, the introduction of U.S. Government programs, or changes to existing programs, could increase the availability of mortgage credit to homeowners, which could impact prepayment rates, particularly for Fannie Mae and Freddie Mac Agency RMBS.</w:t>
      </w:r>
    </w:p>
    <w:p>
      <w:pPr>
        <w:spacing w:after="0" w:line="12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impact of each of these factors on prepayment rates is difficult to predict and may negatively impact our ability to assess the market value of our investment portfolio, implement hedging strategies and/or implement techniques to reduce our prepayment rate volatility, which could adversely affect our financial condition and results of operations.</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use analytical models and data in connection with the valuation of assets and our risk management and hedging activities, and any incorrect, misleading or incomplete information used in connection therewith would subject us to potential risks.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use analytical models (both those supplied by third parties and proprietary models developed by us) and data and other information supplied by our third-party vendors to value assets, assess potential asset purchases and in connection with our risk management and hedging activities. Models are dependent on a number of assumptions and inputs. Models may also assume 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11" w:right="23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18"/>
          <w:szCs w:val="18"/>
          <w:color w:val="auto"/>
        </w:rPr>
        <w:t>static portfolio; however, we actively manage our portfolio and, thus, actual results could differ materially from these estimates. If either the models, their underlying assumptions or data inputs prove to be incorrect, misleading or incomplete, any decisions we make in reliance thereon expose us to potential risks. For example, we may be induced to buy certain assets at prices that are too high, sell certain other assets at prices that are too low or forego favorable opportunities altogether. Similarly, any hedging based on faulty models and data may prove to be unsuccessful and expose us to losses on our hedging activities.</w:t>
      </w:r>
    </w:p>
    <w:p>
      <w:pPr>
        <w:spacing w:after="0" w:line="13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Many of the analytical models used by us, such as mortgage prepayment models or mortgage default models, are predictive in nature. The use of predictive models has inherent risks and may incorrectly forecast future behavior, leading to potential losses. Furthermore, since predictive models are usually constructed based on historical trends using data supplied by third parties, the success of relying on such models depends heavily on the accuracy and reliability of the supplied historical data. Additionally, multiple factors could disrupt the relationships between data and historical trends, reducing the ability of our models to predict future outcomes, or even render them invalid, which we are at greater risk of during periods of high volatility. Consequently, actual results could differ materially from our projections. Moreover, use of different models could result in materially different projections.</w:t>
      </w:r>
    </w:p>
    <w:p>
      <w:pPr>
        <w:spacing w:after="0" w:line="12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Some of the risks of relying on analytical models and third-party data are particular to analyzing tranches from securitizations, such as residential and commercial mortgage-backed securities. These risks include, but are not limited to, the following: (i) collateral cash flows and/or liability structures may be incorrectly modeled in all or only certain scenarios, or may be modeled based on simplifying assumptions that lead to errors; (ii) information about collateral may be incorrect, incomplete, or misleading; (iii) collateral or bond historical performance (such as historical prepayments, defaults, cash flows, etc.) may be incorrectly reported, or subject to interpretation (e.g., different issuers may report delinquency statistics based on different definitions of what constitutes a delinquent loan); or (iv) collateral or bond information may be outdated, in which case the models may contain incorrect assumptions as to what has occurred since the date information was last updated.</w:t>
      </w:r>
    </w:p>
    <w:p>
      <w:pPr>
        <w:spacing w:after="0" w:line="13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Many of the models we use include LIBOR as an input. The expected transition away from LIBOR may require changes to models, may change the underlying economic relationships being modeled, and may require the models to be run with less historical data than is currently available for LIBOR. We may incorrectly value LIBOR-based instruments because our models do not currently account for LIBOR cessation.</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mortgage loans referenced by our CRT securities or that underlie our non-Agency securities may be or could become subject to delinquency or foreclosure, which could result in significant losses to us.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Investments in credit-oriented securities, such as CRT securities and non-Agency MBS, where repayment of principal and interest is not guaranteed by a GSE or U.S. Government agency, subject us to the potential risk of loss of principal and/or interest due to delinquency, foreclosure and related losses on the underlying mortgage loans.</w:t>
      </w:r>
    </w:p>
    <w:p>
      <w:pPr>
        <w:spacing w:after="0" w:line="12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CRT securities are risk sharing instruments issued by Fannie Mae and Freddie Mac, and similarly structured transactions arranged by third-party market participants. The CRT securities issued by Fannie Mae and Freddie Mac are designed to transfer mortgage credit risk from the entities to private investors. The transactions are structured as unsecured and unguaranteed bonds issued by the GSEs whose principal payments are determined by the delinquency and prepayment experience of a reference pool of mortgages guaranteed by the GSE. CRT transactions arranged by third-party market participants are similarly structured to reference a specific pool of loans that have been securitized by Fannie Mae or Freddie Mac and transfer mortgage credit risk related to those loans to the purchaser of the securities. The holder of CRT securities bears the risk that the borrowers may default on their obligations to make full and timely payments of principal and interest. The return of the principal invested in CRT securities is dependent on the level of borrower defaults on the underlying pool of mortgages. An investor in CRT securities bears the risk that the borrowers in the reference pool of loans may default on their obligations to make full and timely payments of principal and interest.</w:t>
      </w:r>
    </w:p>
    <w:p>
      <w:pPr>
        <w:spacing w:after="0" w:line="12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Residential mortgage loans underlying non-Agency RMBS are secured by residential property and are subject to risks of delinquency, foreclosure and loss. The ability of a borrower to repay a loan secured by residential property is dependent upon the income or assets of the borrower. Many factors could impair a borrower's ability to repay the loan, including: loss of employment, divorce, illness, acts of God, acts of war or terrorism, adverse changes in economic and market conditions, changes in laws and regulations, changes in fiscal policies and zoning ordinances, costs of remediation and liabilities associated with environmental conditions such as mold, and the potential for uninsured or under-insured property losses.</w:t>
      </w:r>
    </w:p>
    <w:p>
      <w:pPr>
        <w:spacing w:after="0" w:line="11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Commercial mortgage loans underlying CMBS are generally secured by multifamily or other commercial property and are subject to risks of delinquency and foreclosure and risks of loss that are greater than similar risks associated with loans made on the security of residential property. The ability of a borrower to repay a loan secured by an income-producing property typically is dependent primarily upon the successful operation of such property rather than upon the existence of independent income or assets of the borrower. If the net operating income of the property is reduced, the borrower's ability to repay the loan may be impaired. Net operating income of an income producing property can be affected by numerous factors, such as: occupancy rates,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19"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tenant mix, success of tenant businesses, property management decisions, property location and condition, changes in economic conditions and other factors.</w:t>
      </w:r>
    </w:p>
    <w:p>
      <w:pPr>
        <w:spacing w:after="0" w:line="19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Geographic concentration can expose us to greater risk of default and loss. Repayments by borrowers and the market value of the related assets underlying our investments are affected by national as well as local and regional economic conditions. As a result, concentrations of investments tied to geographic regions increase the risk that adverse economic conditions or other developments affecting a region could increase the frequency and severity of losses on our investments. Additionally, assets in certain regional areas may be more susceptible to certain hazards (such as earthquakes, widespread fires, rising sea levels, floods, hurricanes and certain climate risks) than properties in other parts of the country, and assets located in coastal states may be more susceptible to hurricanes than properties in other parts of the country. As a result, areas affected by such events often experience disruptions in travel, transportation and tourism, loss of jobs and an overall decrease in consumer activity, and often a decline in real estate-related investments, and their economies may not recover sufficiently to support income producing real estate at pre-event levels. These types of occurrences may increase over time or become more severe due to changes in weather patterns and other climate changes.</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Although our investments in CRT and non-Agency securities may benefit from private mortgage insurance, this insurance may not be sufficient to cover losses.</w:t>
      </w:r>
    </w:p>
    <w:p>
      <w:pPr>
        <w:spacing w:after="0" w:line="11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certain instances, mortgage loans referenced to our CRT securities or underlying our non-Agency RMBS may have private mortgage insurance. This insurance is often structured to absorb only a portion of the loss if a loan defaults and, as such, we may be exposed to losses on these loans greater than the mortgage insurance. Rescission and denial of mortgage insurance may affect the ability to collect on this insurance. If private mortgage insurers fail to remit insurance payments for insured portions of loans when losses are incurred and where applicable, whether due to breach of contract or to an insurer's insolvency, we may experience a loss on related CRT or non-Agency RMBS securities for the amount that was insured by such insurers.</w:t>
      </w:r>
    </w:p>
    <w:p>
      <w:pPr>
        <w:spacing w:after="0" w:line="1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Credit ratings assigned to our credit risk-oriented investments are subject to ongoing evaluation and revision and could be downgraded, adversely affecting the value of our investments.</w:t>
      </w:r>
    </w:p>
    <w:p>
      <w:pPr>
        <w:spacing w:after="0" w:line="11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Some of our investments are rated by nationally recognized rating agencies, such as Moody's Investors Service, Fitch Ratings, Standard &amp; Poor's and others. Any credit ratings on our investments are subject to ongoing evaluation by credit rating agencies, and we cannot assure you that any such ratings will not be changed or withdrawn by a rating agency in the future. If rating agencies assign a lower-than-expected rating or reduce or withdraw, or indicate that they may reduce or withdraw, their ratings of our investments in the future, the value of these investments could significantly decline, which would adversely affect the value of our investment portfolio and could result in losses upon disposition.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credit spreads may adversely affect our profitability.</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A significant component of the fair value of CRT and non-Agency securities and other credit risk-oriented investments is attributable to the credit spread, or the difference between the value the credit instrument and the value of a financial instrument with similar interest rate exposure, but with no credit risk, such as a U.S. Treasury note, and the credit instrument. Credit spreads are subject to market factors and can be highly volatile. In addition, hedging fair value changes associated with credit spreads can be inefficient and our hedging strategies are generally not designed to mitigate credit spread risk. Consequently, changes in credit spreads could adversely affect our profitability and financial condition.</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anticipated discontinuation of LIBOR and transition from LIBOR to an alternative reference rate could negatively impact our variable rate financial instruments and the dividends we pay on our fixed-to-floating rate cumulative redeemable preferred stock.</w:t>
      </w:r>
    </w:p>
    <w:p>
      <w:pPr>
        <w:spacing w:after="0" w:line="11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outstanding fixed-to-floating rate cumulative redeemable preferred stock agreements, variable rate investments, swaption agreements and certain of our interest rate swap and borrowing agreements are indexed to USD LIBOR. LIBOR is an indicative measure of the average interest rate at which major global banks could borrow from one another and is used extensively as a “benchmark” or “reference rate” for various financial and commercial contracts. LIBOR is quoted in multiple currencies and multiple time frames using data reported by private-sector banks. In July 2017, the regulator of LIBOR, the United Kingdom Financial Conduct Authority, announced its intent to phase out the use of LIBOR by the end of 2021, citing a number of banks' reluctance to participate in setting LIBOR rates and an insufficient number of interbank lending transactions from which LIBOR may be set.</w:t>
      </w:r>
    </w:p>
    <w:p>
      <w:pPr>
        <w:spacing w:after="0" w:line="1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anticipation of the discontinuation of LIBOR, in the U.S., the Alternative Reference Rates Committee (“ARRC”), a group convened by the Federal Reserve Board and the Federal Reserve Bank of New York comprised of large U.S. financial institutions, regulators and other private and public-sector entities, has identified the Secured Overnight Financing Rate (“SOFR”) as its preferred alternative rate for USD LIBOR. SOFR is a measure of the cost of borrowing cash overnight, collateralized by U.S.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19" w:right="239" w:bottom="1440" w:gutter="0" w:footer="0" w:header="0"/>
        </w:sectPr>
      </w:pPr>
    </w:p>
    <w:bookmarkStart w:id="14" w:name="page15"/>
    <w:bookmarkEnd w:id="14"/>
    <w:p>
      <w:pPr>
        <w:jc w:val="both"/>
        <w:spacing w:after="0" w:line="257" w:lineRule="auto"/>
        <w:rPr>
          <w:sz w:val="20"/>
          <w:szCs w:val="20"/>
          <w:color w:val="auto"/>
        </w:rPr>
      </w:pPr>
      <w:r>
        <w:rPr>
          <w:rFonts w:ascii="Arial" w:cs="Arial" w:eastAsia="Arial" w:hAnsi="Arial"/>
          <w:sz w:val="18"/>
          <w:szCs w:val="18"/>
          <w:color w:val="auto"/>
        </w:rPr>
        <w:t>Treasury securities, and is based on directly observable U.S. Treasury-backed repurchase transactions. Although the U.S. Treasury-backed overnight repo market is a highly liquid, there is currently no robust market for determining, forward-looking, SOFR term rates. Additionally, certain of our LIBOR based contracts that may be in effect at the time of LIBOR discontinuation may not contain fallback language in the event LIBOR is unavailable or may not contain fallback language that contemplates the permanent discontinuation of LIBOR. Consequently, there is uncertainty as to how our LIBOR based financial instruments may react to its discontinuation.</w:t>
      </w:r>
    </w:p>
    <w:p>
      <w:pPr>
        <w:spacing w:after="0" w:line="13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It also is possible that not all of our LIBOR based assets and liabilities will transition away from LIBOR at the same time, and it is possible that not all of our assets and liabilities will transition to the same alternative reference rate, in each case increasing the difficulty of hedging. Switching existing financial instruments and hedging transactions from LIBOR to SOFR requires calculations of a fixed spread to account for differences between LIBOR and SOFR. Industry organizations are attempting to structure the spread calculation in a manner that minimizes the possibility of value transfer between counterparties by virtue of the transition, but there is no assurance that the calculated spread will be fair and accurate or that similar financial instruments will use the same spread. We and other market participants have less experience understanding and modeling SOFR-based assets and liabilities than LIBOR-based assets and liabilities, increasing the difficulty of investing, hedging, and risk management. The process of transition may also involve operational risks. It is also possible that no transition will occur for certain financial instruments, meaning that those instruments would continue to be subject to the weaknesses of the LIBOR calculation process and/or, as is the potential case for our Series C fixed-to-floating rate preferred stock, that the determination of LIBOR would be dependent on banks voluntarily providing quotations of LIBOR to us based on specified procedures, which an insufficient number of banks may be willing or able to do, in which case the variable rate instrument could convert to a fixed-rate instrument based on the most recent rate in effect for the instrument. At this time, it is not possible to predict the effect of any such changes, any establishment of alternative reference rates or any other reforms to LIBOR that may be implemented. The nature of such potential changes, alternative reference rates or other reforms could adversely affect the market for or value of our financial instruments and the dividends we pay on our fixed-to-floating rate preferred stock on which the interest is determined by reference to LIBOR.</w:t>
      </w:r>
    </w:p>
    <w:p>
      <w:pPr>
        <w:spacing w:after="0" w:line="1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Regulations adopted by the U.S. Commodity Futures Trading Commission ("CFTC") and regulators of other countries could impose increased margin requirements and require additional operational and compliance costs.</w:t>
      </w:r>
    </w:p>
    <w:p>
      <w:pPr>
        <w:spacing w:after="0" w:line="11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CFTC subjects certain swaps to clearing and exchange trading requirements, margin requirements, reporting and record keeping requirements and counterparties to business conduct rules. Current and future rules and regulations promulgated by the CFTC and regulators of other countries may adversely affect our ability to engage in derivative transactions or may increase the cost of our hedging activity and potentially result in higher collateral requirements. Such increased costs and potentially higher collateral requirements could have an adverse impact on our business and results of operations.</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investments are recorded at fair value, which may not be readily determinable or may be materially different from the value that we ultimately realize upon their disposal.</w:t>
      </w:r>
    </w:p>
    <w:p>
      <w:pPr>
        <w:spacing w:after="0" w:line="11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 xml:space="preserve">We measure the fair value of our investments in accordance with guidance set forth in Accounting Standards Codification Topic 820,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Measurements and Disclosures</w:t>
      </w:r>
      <w:r>
        <w:rPr>
          <w:rFonts w:ascii="Arial" w:cs="Arial" w:eastAsia="Arial" w:hAnsi="Arial"/>
          <w:sz w:val="17"/>
          <w:szCs w:val="17"/>
          <w:color w:val="auto"/>
        </w:rPr>
        <w:t>. Fair value is only an estimate based on good faith judgment of the price at which an investment can be sold since market</w:t>
      </w:r>
      <w:r>
        <w:rPr>
          <w:rFonts w:ascii="Arial" w:cs="Arial" w:eastAsia="Arial" w:hAnsi="Arial"/>
          <w:sz w:val="17"/>
          <w:szCs w:val="17"/>
          <w:i w:val="1"/>
          <w:iCs w:val="1"/>
          <w:color w:val="auto"/>
        </w:rPr>
        <w:t xml:space="preserve"> </w:t>
      </w:r>
      <w:r>
        <w:rPr>
          <w:rFonts w:ascii="Arial" w:cs="Arial" w:eastAsia="Arial" w:hAnsi="Arial"/>
          <w:sz w:val="17"/>
          <w:szCs w:val="17"/>
          <w:color w:val="auto"/>
        </w:rPr>
        <w:t>prices of investments can only be determined by negotiation between a willing buyer and seller. Our determination of the fair value of our investments includes inputs provided by third-party dealers and pricing services. Valuations of certain investments in which we invest may be difficult to obtain or unreliable. In general, dealers and pricing services heavily disclaim their valuations and we do not have recourse against them due to liabilities and other damages arising from inaccurate price quotes or other inputs used to determine the fair value of our investments. Depending on the complexity and illiquidity of a security, valuations of the same security can vary substantially from one dealer or pricing service to another. Moreover, fair value and estimates of fair value may fluctuate over short periods of time. For these reasons, the fair value at which our investments are recorded may not be an indication of their realizable value. Furthermore, the ultimate realization of the value of an asset depends on economic and other conditions that are beyond our control. Consequently, if we were to liquidate an asset, particularly in a forced liquidation, the realized value may be less than the amount at which the asset is recorded, which would negatively affect our results of operations and financial condition.</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Actions of the U.S. Government, including the U.S. Congress, Fed, U.S. Treasury, Federal Housing Finance Administration ("FHFA") and other governmental and regulatory bodies may adversely affect our business.</w:t>
      </w:r>
    </w:p>
    <w:p>
      <w:pPr>
        <w:spacing w:after="0" w:line="11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U.S. Government actions may have an adverse impact on the financial markets. To the extent the markets do not respond favorably to any such actions or such actions do not function as intended, they could have broad adverse market implications and could negatively impact our financial condition and results of operations. New regulatory requirements could adversely affect the availability or terms of financing from our lender counterparties, could impose more stringent capital rules on financial institutions, could restrict the origination of residential mortgage loans and the formation of new issuances of mortgage-backed securities and could limit the trading activities of certain banking entities and other systemically significant organizations that are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19"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important to our business. Together or individually these new regulatory requirements could materially affect our financial condition or results of operations in an adverse way.</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Federal housing finance reform, including potential changes to the Federal conservatorship of Fannie Mae and Freddie Mac or to laws or regulations affecting the relationship between the GSEs and the U.S. Government, may adversely affect our business.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payments of principal and interest we receive on our Agency RMBS are guaranteed by Fannie Mae, Freddie Mac or Ginnie Mae. The guarantees on Agency securities created by Ginnie Mae are explicitly backed by the full faith and credit of the U.S. Government, whereas the guarantees on Agency securities created by Fannie Mae and Freddie Mac are not.</w:t>
      </w:r>
    </w:p>
    <w:p>
      <w:pPr>
        <w:spacing w:after="0" w:line="12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September 2008, Fannie Mae and Freddie Mac were placed into the conservatorship of the FHFA, their federal regulator, pursuant to its powers under The Federal Housing Finance Regulatory Reform Act of 2008, a part of the Housing and Economic Recovery Act of 2008. In addition to FHFA becoming the conservator of Fannie Mae and Freddie Mac, the U.S. Department of the Treasury has provided a liquidity backstop to Fannie Mae and Freddie Mac to ensure their financial stability. Shortly after Fannie Mae and Freddie Mac were placed in federal conservatorship, the Secretary of the U.S. Treasury suggested that the guarantee payment structure of Fannie Mae and Freddie Mac in the U.S. housing finance market should be re-examined.</w:t>
      </w:r>
    </w:p>
    <w:p>
      <w:pPr>
        <w:spacing w:after="0" w:line="10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release of the Presidential Memorandum on Federal Housing Finance Reform in March 2019, which directed the Secretary of the Treasury to develop a plan to end GSE conservatorship, and housing finance reform plans by both the Treasury Department and the Department of Housing and Urban Development in September 2019, coupled with new leadership at the FHFA, has elevated the potential for administrative and/or legislative action to affect structural GSE and federal housing reform. Consequently, the U.S. Treasury could also stop providing credit support to Fannie Mae and Freddie Mac in the future, the future roles of Fannie Mae and Freddie Mac could be significantly modified and/or the nature of their guarantee obligations could be considerably limited relative to historical measurements.</w:t>
      </w:r>
    </w:p>
    <w:p>
      <w:pPr>
        <w:spacing w:after="0" w:line="13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If conservatorship were ended without legislative action to authorize an explicit government guarantee, Agency RMBS could be more difficult to finance, and the price of Agency RMBS could decline. Additionally, without a sufficiently robust U.S. government backstop, Fannie Mae and Freddie Mac Agency securities would likely no longer be fungible with one another, leading to a failure of the Uniform Mortgage Backed Security ("UMBS") TBA program, which is intended to improve the overall liquidity of Agency securities and help ensure the liquidity of the federal housing market. Changes to the nature of GSE guarantee obligations could also re-define what constitutes an Agency security. Consequently, ending GSE conservatorship without an explicit government guarantee (or a sufficient U.S. Treasury backstop) or the enactment of other federal housing reform measures could have broad adverse implications and negatively affect our financial position and results of operations.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acquire desirable investments due to competition, a reduction in the supply of new production Agency RMBS having the specific attributes we seek, and other factors.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invest in Agency RMBS as well as other types of mortgage and mortgage-related residential and commercial mortgage-backed securities and other investments in, or related to, the housing, mortgage or real estate markets. Our profitability depends, in large part, on our ability to acquire our target assets at attractive prices.</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may seek assets that include specific attributes that affect their propensity for prepayment under certain market conditions or enable us to satisfy certain asset test requirements to maintain our REIT qualification status or exemption from regulation under the Investment Company Act (such as "whole pool" Agency RMBS). A sufficient supply of our target assets may not be available at attractive prices, or even available at all. We also may compete for these assets with a variety of other investors, including other REITs, specialty finance companies, public and private funds, government entities, commercial and investment banks, insurance companies and other financial institutions, who may have competitive advantages over us, such as a lower cost of funds and access to funding sources that may not be available to us.</w:t>
      </w:r>
    </w:p>
    <w:p>
      <w:pPr>
        <w:spacing w:after="0" w:line="13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Federal housing finance reform initiatives may also affect the supply of new production Agency RMBS “whole pool” securities. On May 13, 2014, the FHFA released its updated 2014 Strategic Plan for the Conservatorships of Fannie Mae and Freddie Mac, which set forth goals for the next phase of the Fannie Mae and Freddie Mac conservatorships, including a desire to build a new single-family securitization infrastructure for use by the GSEs and adaptable for use by other participants in the secondary market. Pursuant to this strategic plan and at the direction of the FHFA, Fannie Mae and Freddie Mac completed a joint initiative to develop a common mortgage backed security to be issued by the GSEs, commonly referred to as the Single Security Initiative, and began issuing UMBS in 2019. Concomitant with this initiative, the GSE’s have adopted practices in issuing RMBS pools that have impacted the supply of new issuance “whole pool” securities. In November 2019, the FHFA issued a request for information concerning the GSE’s pooling practices, which included some recommendations that, if implemented, would require the GSE’s to predominantly issue large multi-lender mortgage pools and would constrain issuances of specified mortgage pools. This proposal engendered significant opposition from many sectors of the housing finance industry, but its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19" w:right="2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adoption as a whole or in part remains uncertain. Some other housing finance reform proposals that have been made would seek to implement more stringent guidelines that reduce the types and sizes of mortgage loans eligible to be purchased by the GSEs. The extent to which any of these initiatives will be implemented remains uncertain, but each of them may limit the overall supply of “whole pool” Agency RMBS with desirable prepayment and other characteristics.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Consequently, we cannot guarantee that we will be able to obtain a sufficient level of desirable investments, which could negatively impact our ability to achieve our target leverage ratio, raise additional equity at otherwise opportune times, continue to maintain our REIT qualification or exemption from regulation under the Investment Company Act, or sufficiently reduce our exposure to prepayment, extension and other risks, which could negatively impact our financial condition and results of operation.</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to the U.S. federal income tax code could have a material impact on the residential mortgage market, which could impact the pricing of RMBS.</w:t>
      </w:r>
    </w:p>
    <w:p>
      <w:pPr>
        <w:spacing w:after="0" w:line="20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Changes to the federal income tax code pertaining to the deductibility of home mortgage interest and the treatment of other items related to home ownership can negatively impact the housing market and pricing of RMBS. Most recently, the Tax Cuts and Jobs Act ("TCJA"), which generally went into effect on January 1, 2018, set limits on deductions of state and local income and property taxes to an aggregate amount of $10,000 and modified the amount of residential mortgage interest that is deductible, limiting the deduction available for mortgage interest by reducing the amount of mortgage debt that can qualify from $1 million to $750,000, subject to grandfathering mortgage debt outstanding at the time of enactment. In addition, the TCJA eliminated the home equity mortgage interest deduction. Absent future legislation, many of the changes affecting individual taxpayers under the TCJA will cease to apply after December 31, 2025 and will revert to their pre-2018 form, but it is expected that the number of individual taxpayers that itemize deductions have or will decrease significantly causing the income tax benefits of residential home ownership to decline materially. These factors, and future changes to the federal income tax code, could reduce the demand for home ownership, result in a decline in the pricing of residential real estate as well as alter the prepayment patterns of residential mortgages, all of which could have a significant impact on the pricing and returns of RMBS.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executive officers and other key personnel are critical to our success and the loss of any executive officer or key employee may materially adversely affect our business.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operate in a highly specialized industry and our success is dependent upon the efforts, experience, diligence, skill and network of business contacts of our executive officers and key personnel. The departure of any of our executive officers and/or key personnel could have a material adverse effect on our operations and performance.</w:t>
      </w:r>
    </w:p>
    <w:p>
      <w:pPr>
        <w:spacing w:after="0" w:line="1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are highly dependent on information systems and third parties, and systems failures or cybersecurity incidents could significantly disrupt our business, which may, in turn, negatively affect the market price of our common stock and our ability to operate our business.</w:t>
      </w:r>
    </w:p>
    <w:p>
      <w:pPr>
        <w:spacing w:after="0" w:line="93"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Our business is highly dependent on communications and information systems. Any failure or interruption of our systems or cyber-attacks or security breaches of our networks or systems could cause delays or other problems in our securities trading activities, including mortgage-backed securities trading activities. A disruption or breach could also lead to unauthorized access to and release, misuse, loss or destruction of our confidential information or personal or confidential information of our employees or third parties, which could lead to regulatory fines, costs of remediating the breach, reputational harm, financial losses, litigation and increased difficulty doing business with third parties that rely on us to meet their own data protection requirements. In addition, we also face the risk of operational failure, termination or capacity constraints of any of the third parties with which we do business or that facilitate our business activities, including clearing agents or other financial intermediaries we use to facilitate our securities transactions, if their respective systems experience failure, interruption, cyberattacks, or security breaches. We may face increased costs as we continue to evolve our cyber defenses in order to contend with changing risks. These costs and losses associated with these risks are difficult to predict and quantify but could have a significant adverse effect on our operating results. Additionally, the legal and regulatory environment surrounding information privacy and security in the U.S. and international jurisdictions is constantly evolving.</w:t>
      </w:r>
    </w:p>
    <w:p>
      <w:pPr>
        <w:spacing w:after="0" w:line="12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Computer malware, viruses, computer hacking and phishing attacks have become more prevalent in our industry and we are from time to time subject to such attempted attacks. We rely heavily on financial, accounting and other data processing systems maintained by us and by third parties with whom we contract for information technology, network, data, storage and other related services. Although we have not detected a material cybersecurity breach to date, other financial services institutions have reported material breaches of their systems, some of which have been significant. Even with all reasonable security efforts, not every breach can be prevented or even detected. It is possible that we or the third parties with whom we contract have experienced an undetected breach. There is no assurance that we, or the third parties that facilitate our business activities, have not or will not experience a breach. It is difficult to determine what, if any, negative impact may directly result from any specific interruption or cyber-attacks or security breaches of our networks or systems (or the networks or systems of third parties that facilitate our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19"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business activities) or any failure to maintain performance, reliability and security of our technical infrastructure, but such computer malware, viruses, and computer hacking and phishing attacks may negatively affect our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Taxation as a REIT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qualify as a REIT would have adverse tax consequences.</w:t>
      </w:r>
    </w:p>
    <w:p>
      <w:pPr>
        <w:spacing w:after="0" w:line="17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believe that we operate in a manner that allows us to qualify as a REIT for U.S. federal income tax purposes under Sections 856 through 860 of the Internal Revenue Code of 1986, as amended, and Treasury Regulations promulgated thereunder. We plan to continue to meet the requirements for taxation as a REIT. The determination that we are a REIT requires an analysis of various factual matters and circumstances that may not be totally within our control and our compliance with the annual REIT income and quarterly asset requirements depends upon our ability to successfully manage the composition of our income and assets on an ongoing basis. For example, to qualify as a REIT, at least 75% of our gross income must come from real estate sources and 95% of our gross income must come from real estate sources and certain other sources that are itemized in the REIT tax laws. Additionally, our ability to satisfy the REIT asset tests depends upon our analysis of the characterization and fair market values of our assets, some of which are not susceptible to a precise determination, and for which we will not obtain independent appraisals. Furthermore, the proper classification of an instrument as debt or equity for federal income tax purposes may be uncertain in some circumstances, which could affect the application of the REIT asset requirements. We are also required to distribute to stockholders at least 90% of our REIT taxable income (determined without regard to the deduction for dividends paid and by excluding any net capital gain).</w:t>
      </w:r>
    </w:p>
    <w:p>
      <w:pPr>
        <w:spacing w:after="0" w:line="1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If we fail to qualify as a REIT in any tax year, we would be subject to U.S. federal and state corporate income tax on our taxable income at regular corporate rates, and dividends paid to our stockholders would not be deductible by us in computing our taxable income. Also, unless the IRS granted us relief under certain statutory provisions, we would remain disqualified as a REIT for four years following the year we first fail to qualify. If we fail to qualify as a REIT, we would have to pay significant income taxes and would, therefore, have less money available for investments or for distributions to our stockholders. This would likely have a significant adverse effect on the value of our equity. In addition, the tax law would no longer require us to make distributions to our stockholders.</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If we should fail to satisfy one or more requirements for REIT qualification, we may still qualify as a REIT if there is reasonable cause for the failure and not due to willful neglect and other applicable requirements are met, including completion of applicable IRS filings. It is not possible to state whether we would be entitled to the benefit of these relief provisions in all circumstances. If these relief provisions are inapplicable, we will not qualify as a REIT. Furthermore, if we satisfy the relief provisions and maintain our qualification as a REIT, we may be still subject to a penalty tax. The amount of the penalty tax will be at least $50,000 per failure, and, in the case of certain asset test failures, will be determined as the amount of net income generated by the assets in question multiplied by the highest U.S. federal corporate tax rate in effect at the time of the failure if that amount exceeds $50,000 per failure, and, in case of income test failures, will be a 100% tax on an amount based on the magnitude of the failure, as adjusted to reflect the profit margin associated with our gross income.</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New legislation or administrative or judicial action, in each instance potentially with retroactive effect, could make it more difficult or impossible for us to remain qualified as a REIT or it could otherwise adversely affect REITs and their stockholders.</w:t>
      </w:r>
    </w:p>
    <w:p>
      <w:pPr>
        <w:spacing w:after="0" w:line="11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present U.S. federal income tax treatment of REITs may be modified, possibly with retroactive effect, by legislative, judicial or administrative action at any time, which could affect our ability to maintain our REIT status and/or the federal income tax treatment of an investment in us. The federal income tax rules dealing with REITs constantly are under review by persons involved in the legislative process, the IRS and the U.S. Treasury Department, which results in statutory changes as well as frequent revisions to regulations and interpretations. Revisions in Federal tax laws and interpretations thereof could affect or cause us to change our investments and affect the tax considerations of an investment in us.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REIT distribution requirements could adversely affect our ability to execute our business plan.</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generally must distribute annually at least 90% of our taxable income, subject to certain adjustments and excluding any net capital gain, for U.S. federal and state corporate income tax not to apply to earnings that we distribute. Distributions of our taxable income must generally occur in the taxable year to which they relate, or in the following taxable year if declared before we timely file our tax return for the year and if paid with or before the first regular dividend payment after such declaration. We may also elect to retain, rather than distribute, our net long-term capital gains and pay tax on such gains if required, in which case, we could elect for our stockholders to include their proportionate share of such undistributed long-term capital gains in income, and to receive a corresponding credit for their share of the tax that we paid. Our stockholders would then increase the adjusted basis of their stock by the difference between (a) the amounts of capital gain dividends that we designated and that they include in their taxable income, minus (b) the tax that we paid on their behalf with respect to that income. We intend to make distributions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19" w:right="239" w:bottom="144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to our stockholders to comply with the REIT qualification requirements of the Internal Revenue Code, which limits our ability to retain earnings and thereby replenish or increase capital from operations.</w:t>
      </w:r>
    </w:p>
    <w:p>
      <w:pPr>
        <w:spacing w:after="0" w:line="116"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To the extent that we satisfy this distribution requirement, but distribute less than 100% of our taxable income, we will be subject to U.S. federal and state corporate income tax on our undistributed taxable income. Furthermore, if we should fail to distribute during each calendar year at least the sum of</w:t>
      </w:r>
    </w:p>
    <w:p>
      <w:pPr>
        <w:jc w:val="both"/>
        <w:ind w:firstLine="8"/>
        <w:spacing w:after="0" w:line="254" w:lineRule="auto"/>
        <w:tabs>
          <w:tab w:leader="none" w:pos="258" w:val="left"/>
        </w:tabs>
        <w:numPr>
          <w:ilvl w:val="0"/>
          <w:numId w:val="11"/>
        </w:numPr>
        <w:rPr>
          <w:rFonts w:ascii="Arial" w:cs="Arial" w:eastAsia="Arial" w:hAnsi="Arial"/>
          <w:sz w:val="18"/>
          <w:szCs w:val="18"/>
          <w:color w:val="auto"/>
        </w:rPr>
      </w:pPr>
      <w:r>
        <w:rPr>
          <w:rFonts w:ascii="Arial" w:cs="Arial" w:eastAsia="Arial" w:hAnsi="Arial"/>
          <w:sz w:val="18"/>
          <w:szCs w:val="18"/>
          <w:color w:val="auto"/>
        </w:rPr>
        <w:t>85% of our REIT ordinary income for such year, (b) 95% of our REIT capital gain net income for such year, and (c) any undistributed taxable income from prior periods, we would be subject to a non-deductible 4% excise tax on the excess of such required distribution over the sum of (x) the amounts actually distributed, (y) the amounts of income we retained and on which we have paid corporate income tax and (z) any excess distributions from prior periods.</w:t>
      </w:r>
    </w:p>
    <w:p>
      <w:pPr>
        <w:spacing w:after="0" w:line="136"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From time to time, we may generate taxable income greater than our reported income prepared in accordance with GAAP. Differences in the timing of the recognition of taxable income and deductible expenses and the actual receipt or disbursement of cash may also occur. For example, if we purchase mortgage securities at issuance with a discount, we are generally required to accrete the discount into taxable income prior to receiving the cash proceeds. In addition, we generally will be required to take certain amounts into income no later than the time such amounts are reflected on certain financial statements. The application of this rule may require the accrual of, among other categories of income, income with respect to certain debt instruments or mortgage-backed securities, such as original issue discount or market discount, earlier than would be the case under the general tax rules, although the precise application of this rule is unclear at this time. This rule generally is effective for tax years beginning after December 31, 2017 or, for debt instruments or mortgage-backed securities issued with original issue discount, for tax years beginning after December 31, 2018. Moreover, we are not allowed to reduce our taxable income for a net capital loss incurred; instead, the net capital loss may be carried forward for a period of up to five years and applied against future capital gains subject to our ability to generate sufficient capital gains, which cannot be assured. If we do not have funds available in these situations, we could be required to borrow funds on unfavorable terms, sell investments at disadvantageous prices or distribute amounts that would otherwise be invested in future acquisitions to make distributions sufficient to maintain our qualification as a REIT or avoid corporate income tax and the 4% annual excise tax. These alternatives could increase our costs and reduce our stockholders' equity. Thus, compliance with the REIT requirements may hinder our ability to grow, which could adversely affect the value of our common stock.</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 the future choose to pay dividends in our own stock, in which case stockholders may be required to pay income taxes in excess of cash dividends received.</w:t>
      </w:r>
    </w:p>
    <w:p>
      <w:pPr>
        <w:spacing w:after="0" w:line="11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may in the future distribute taxable dividends that are payable in cash and shares of our common stock at the election of each stockholder. Taxable stockholders receiving such dividends will be required to include the full amount of the dividend as ordinary income to the extent of our current and accumulated earnings and profits for U.S. federal income tax purposes. As a result, stockholders may be required to pay income taxes with respect to such dividends in excess of the cash dividends received. If a U.S. stockholder sells the stock that it receives as a dividend to pay this tax, the sales proceeds may be less than the amount included in income with respect to the dividend, depending on the market price of our stock at the time of the sale. Furthermore, with respect to certain non-U.S. stockholders, we may be required to withhold U.S. tax with respect to such dividends, including in respect of all or a portion of such dividend that is payable in stock. In addition, if a significant number of our stockholders determine to sell shares of our common stock to pay taxes owed on dividends, it may put downward pressure on the trading price of our common stock.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remain qualified as a REIT, we may face other tax liabilities that reduce our cash flow.</w:t>
      </w:r>
    </w:p>
    <w:p>
      <w:pPr>
        <w:spacing w:after="0" w:line="17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Even if we remain qualified for taxation as a REIT, we may nonetheless be subject to certain federal, state and local taxes on our income and assets, including the following items. Any of these or other taxes we may incur would decrease cash available for distribution to our stockholders.</w:t>
      </w:r>
    </w:p>
    <w:p>
      <w:pPr>
        <w:spacing w:after="0" w:line="93"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Regular U.S. federal and state corporate income taxes on any undistributed taxable income, including undistributed net capital gains.</w:t>
      </w:r>
    </w:p>
    <w:p>
      <w:pPr>
        <w:spacing w:after="0" w:line="74"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non-deductible 4% excise tax if the actual amount distributed to our stockholders in a calendar year is less than a minimum amount specified under Federal tax laws.</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Corporate income taxes on the earnings of subsidiaries, to the extent that such subsidiaries are subchapter C corporations and are not qualified REIT subsidiaries or other disregarded entity for federal income tax purposes.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100% tax on certain transactions between us and our TRSs that do not reflect arm's-length terms.</w:t>
      </w:r>
    </w:p>
    <w:p>
      <w:pPr>
        <w:spacing w:after="0" w:line="63"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acquire appreciated assets from a corporation that is not a REIT (i.e., a corporation taxable under subchapter C of the Internal Revenue Code) in a transaction in which the adjusted tax basis of the assets in our hands is determined by reference to the adjusted tax basis of the assets in the hands of the subchapter C corporation, we may be subject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19" w:right="239" w:bottom="1440" w:gutter="0" w:footer="0" w:header="0"/>
        </w:sectPr>
      </w:pPr>
    </w:p>
    <w:bookmarkStart w:id="19" w:name="page20"/>
    <w:bookmarkEnd w:id="19"/>
    <w:p>
      <w:pPr>
        <w:ind w:left="980" w:right="20"/>
        <w:spacing w:after="0" w:line="277" w:lineRule="auto"/>
        <w:rPr>
          <w:sz w:val="20"/>
          <w:szCs w:val="20"/>
          <w:color w:val="auto"/>
        </w:rPr>
      </w:pPr>
      <w:r>
        <w:rPr>
          <w:rFonts w:ascii="Arial" w:cs="Arial" w:eastAsia="Arial" w:hAnsi="Arial"/>
          <w:sz w:val="18"/>
          <w:szCs w:val="18"/>
          <w:color w:val="auto"/>
        </w:rPr>
        <w:t>to tax on such appreciation at the highest corporate income tax rate then applicable if we subsequently recognize a gain on a disposition of any such assets during the five-year period following their acquisition from the subchapter C corporation.</w:t>
      </w:r>
    </w:p>
    <w:p>
      <w:pPr>
        <w:spacing w:after="0" w:line="8"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100% tax on net income and gains from "prohibited transactions"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Penalty taxes and other fines for failure to satisfy one or more requirements for REIT qualification.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cause us to forgo otherwise attractive opportunities.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To remain qualified as a REIT for U.S. federal income tax purposes, we must continually satisfy tests concerning, among other things, the sources of our income, the nature and diversification of our assets, the amounts that we distribute to our stockholders and the ownership of our stock. We may be required to make distributions to stockholders at disadvantageous times or when we do not have funds readily available for distribution, and we may be unable to pursue investments that would be otherwise advantageous to us to remain qualified as a REIT. Thus, compliance with the REIT requirements may hinder our ability to make and, in certain cases, to maintain ownership of, certain attractive investments.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force us to liquidate otherwise attractive investments.</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To remain qualified as a REIT, we must ensure that, at the end of each calendar quarter, at least 75% of the value of our assets consists of cash, cash items, government securities and qualified real estate assets. The remainder of our investments in securities (other than government securities and qualified real estate assets) generally cannot include more than 10% of the outstanding voting securities of any one issuer or more than 10% of the total value of the outstanding securities of any one issuer. In addition, in general, no more than 5% of the value of our assets (other than government securities and qualified real estate assets) can consist of the securities of any one issuer, and no more than 20% of the value of our total assets can be represented by securities of one or more TRSs.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sell otherwise attractive investments from our investment portfolio. These actions could have the effect of reducing our income and amounts available for distribution to our stockholders.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failure of assets subject to repurchase agreements to qualify as real estate assets could adversely affect our ability to remain qualified as a REIT.</w:t>
      </w:r>
    </w:p>
    <w:p>
      <w:pPr>
        <w:spacing w:after="0" w:line="19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enter into financing arrangements that are structured as sale and repurchase agreements pursuant to which we nominally sell assets to a counterparty and simultaneously enter into an agreement to repurchase these assets at a later date in exchange for a purchase price. Economically, these agreements are financings that are secured by the assets sold pursuant thereto. We believe that we would be treated for REIT asset and income test purposes as the owner of the assets that are the subject of any such sale and repurchase agreement notwithstanding that such agreement may transfer record ownership of the assets to the counterparty during the term of the agreement. It is possible, however, that the IRS could assert that we did not own the assets during the term of the sale and repurchase agreement, in which case we could fail to remain qualified as a REIT.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of assets may jeopardize our REIT qualification or create additional tax liability for us.</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To remain qualified as a REIT, we must comply with requirements regarding the composition of our assets and our sources of income. If we are compelled to liquidate our investments to repay obligations to our lenders, we may be unable to comply with these requirements, ultimately jeopardizing our qualification as a REIT, or we may be subject to a 100% tax on any resultant gain if we sell assets that are treated as dealer property or inventory.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limit our ability to hedge effectively and may cause us to incur tax liabilities.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REIT provisions of the Internal Revenue Code could substantially limit our ability to hedge our liabilities. Any income from a properly designated hedging transaction to manage risk of interest rate changes with respect to borrowings made or to be made, or ordinary obligations incurred or to be incurred, to acquire or carry real estate assets generally does not constitute "gross income" for purposes of the 75% or 95% gross income tests. To the extent that we enter into other types of hedging transactions, the income from those transactions is likely to be treated as non-qualifying income for purposes of both gross income tests. As such, we may have to limit our use of advantageous hedging techniques or implement those hedges through our TRS. This could increase the cost of our hedging activities as our TRS would be subject to tax on gains or expose us to greater risks associated with changes in interest rates than we would otherwise want to bear. In addition, losses in our TRS will generally not provide any tax benefit, except for being carried forward against future taxable income in the TRS.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1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Uncertainty exists with respect to the treatment of our TBAs for purposes of the REIT asset and income tests.</w:t>
      </w:r>
    </w:p>
    <w:p>
      <w:pPr>
        <w:spacing w:after="0" w:line="17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There is no direct authority with respect to the qualification of TBAs as real estate assets or U.S. Government securities for purposes of the 75% asset test or the qualification of income or gains from dispositions of TBAs as gains from the sale of real property or other qualifying income for purposes of the 75% gross income test. However, we treat our TBAs as qualifying assets for purposes of the REIT 75% asset test, and we treat income and gains from our TBAs as qualifying income for purposes of the 75% gross income test, based on an opinion of Skadden, Arps, Slate, Meagher &amp; Flom LLP substantially to the effect that (i) for purposes of the REIT asset tests, our ownership of a TBA should be treated as ownership of the underlying Agency RMBS, and (ii) for purposes of the 75% REIT gross income test, any gain recognized by us in connection with the settlement of our TBAs should be treated as gain from the sale or disposition of the underlying Agency RMBS. Opinions of counsel are not binding on the IRS, and no assurance can be given that the IRS will not successfully challenge the conclusions set forth in such opinions. In addition, it must be emphasized that the opinion of Skadden, Arps, Slate, Meagher &amp; Flom LLP is based on various assumptions relating to our TBAs and is conditioned upon fact-based representations and covenants made by our management regarding our TBAs. No assurance can be given that the IRS would not assert that such assets or income are not qualifying assets or income. If the IRS were to successfully challenge the opinion of Skadden, Arps, Slate, Meagher &amp; Flom LLP, we could be subject to a penalty tax or we could fail to remain qualified as a REIT if a sufficient portion of our assets consists of TBAs or a sufficient portion of our income consists of income or gains from the disposition of TBAs.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Qualifying as a REIT involves highly technical and complex provisions of the Internal Revenue Code.</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Qualification as a REIT involves the application of highly technical and complex Internal Revenue Code provisions for which only limited judicial and administrative authorities exist. Even a technical or inadvertent violation could jeopardize our REIT qualification. Our qualification as a REIT depends on our satisfaction of certain asset, income, organizational, distribution, stockholder ownership and other requirements on a continuing basis. In addition, our ability to satisfy the requirements to remain qualified as a REIT depends in part on the actions of third parties over which we have no control or only limited influence, including cases where we own an equity interest in an entity that is classified as a partnership for federal income tax purposes.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tax on prohibited transactions could limit our ability to engage in certain transactions.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income that we derive from a prohibited transaction is subject to a 100% tax. The term "prohibited transaction" generally includes a sale or other disposition of property that is held primarily for sale to customers in the ordinary course of a trade or business by us or by a borrower that has issued a shared appreciation mortgage or similar debt instrument to us. We could be subject to this tax if we were to dispose of or structure CMOs in a manner that was treated as a prohibited transaction for federal income tax purposes.</w:t>
      </w:r>
    </w:p>
    <w:p>
      <w:pPr>
        <w:spacing w:after="0" w:line="13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intend to conduct our operations so that no asset that we own (or are treated as owning) at the REIT level will be treated as, or as having been, held for sale to customers, and that a sale of any such asset will not be treated as having been in the ordinary course of our business. As a result, we may choose not to engage in certain transactions at the REIT level that might otherwise be beneficial to us. In addition, whether property is held "primarily for sale to customers in the ordinary course of a trade or business" depends on the particular facts and circumstances. No assurance can be given that any property that we sell will not be treated as property held for sale to customers, or that we can comply with certain safe-harbor provisions of the Internal Revenue Code that would prevent such treatment. The 100% tax does not apply to gains from the sale of property that is held through a TRS or other taxable corporation, although such income will be subject to tax in the hands of the corporation at regular corporate rates. We intend to structure our activities to avoid prohibited transaction characterization.</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Distributions to tax-exempt investors, or gains on sale of our common stock by tax-exempt investors, may be classified as unrelated business taxable income.</w:t>
      </w:r>
    </w:p>
    <w:p>
      <w:pPr>
        <w:spacing w:after="0" w:line="116"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Distributions with respect to our common stock and gains from the sale of our common stock should generally not constitute unrelated business taxable income to a tax-exempt investor. However, there are certain exceptions to this rule. For example, if (i) all or a portion of our assets are subject to the rules relating to "taxable mortgage pools" or we hold residual interests in a real estate mortgage investment conduit (or "REMIC"); (ii) we are a "pension held REIT;" (iii) a tax-exempt stockholder has incurred debt to purchase or hold our common stock; or (iv) a tax-exempt stockholder is classified as a social club, voluntary employee benefit association, supplemental unemployment benefit trust or a qualified group legal services plan, then a portion of our distributions to tax-exempt stockholders and, in the case of stockholders described in clauses (iii) and (iv), gains realized on the sale of our common stock by tax-exempt stockholders may be subject to U.S. federal income tax as unrelated business taxable income under the Internal Revenue Code.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19"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b w:val="1"/>
          <w:bCs w:val="1"/>
          <w:i w:val="1"/>
          <w:iCs w:val="1"/>
          <w:color w:val="auto"/>
        </w:rPr>
        <w:t>Our inability to deduct for tax purposes compensation paid to our executives could require us to increase our distributions to stockholders or pay entity level taxes to maintain our REIT status.</w:t>
      </w:r>
    </w:p>
    <w:p>
      <w:pPr>
        <w:spacing w:after="0" w:line="11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Section 162(m) of the Internal Revenue Code prohibits publicly held corporations from taking a tax deduction for annual compensation in excess of $1 million paid to any of the corporation’s "covered employees." Prior to the enactment of the TCJA, a publicly held corporation’s covered employees included its chief executive officer and the three other most highly compensated executive officers (other than the chief financial officer), and certain "performance-based compensation" was excluded from the $1 million cap. The TCJA made certain changes to Section 162(m), effective for taxable years beginning after December 31, 2017. These changes include, among others, expanding the definition of "covered employee" to include the chief financial officer and repealing the performance-based compensation exception to the $1 million cap, subject to certain transition rules. The TCJA also added that once an individual becomes a covered employee after December 31, 2016, that individual will remain a covered employee for all future years including after termination or death. Compensation paid to "covered employees" in excess of the 162(m) deductibility limit increases our taxable income compared to fully deductible compensation and, as a result, increases the amount of dividends we must distribute to stockholders to maintain our REIT status and/or to avoid U.S. federal and state income tax, which could adversely affect our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Structure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our exemption from regulation pursuant to the Investment Company Act would adversely affect us.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conduct our business so as not to become regulated as an investment company under the Investment Company Act in reliance on the exemption provided by Section 3(c)(5)(C) of the Investment Company Act. Section 3(c)(5)(C), as interpreted by the staff of the SEC, requires that: (i) at least 55% of our investment portfolio consists of "mortgages and other liens on and interest in real estate," or "qualifying real estate interests," and (ii) at least 80% of our investment portfolio consists of qualifying real estate interests plus "real estate-related assets."</w:t>
      </w:r>
    </w:p>
    <w:p>
      <w:pPr>
        <w:spacing w:after="0" w:line="13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specific real estate related assets that we acquire are limited by the provisions of the Investment Company Act and the rules and regulations promulgated thereunder. In satisfying the 55% requirement, we treat Agency RMBS issued with respect to an underlying pool of mortgage loans in which we directly or indirectly hold all the certificates issued by the pool ("whole pool" securities) as qualifying real estate interests based on pronouncements of the SEC staff. We treat partial pool securities, CRT and other mortgage related securities as real estate-related assets. Consequently, our ability to satisfy the exemption under the Investment Company Act is dependent upon our ability to acquire and hold on a continuous basis a sufficient amount of whole pool securities, The availability of whole pool securities may be adversely impacted by a variety of factors, including GSE pooling practices, which can change over time, housing finance reform initiatives and competition for whole pool securities with other mortgage REITs.</w:t>
      </w:r>
    </w:p>
    <w:p>
      <w:pPr>
        <w:spacing w:after="0" w:line="11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Additionally, if the SEC determines that any of our securities are not qualifying interests in real estate or real estate-related assets, adopts a contrary interpretation with respect to these securities or otherwise believes we do not satisfy the above exceptions or changes its interpretation of the above exceptions, we could be required to restructure our activities or sell certain of our assets. As such, we cannot guarantee that we will be able acquire or hold a sufficient amount of whole pool securities to maintain our exemption under the Investment Company Act, and our compliance with these requirements may at times lead us to adopt less efficient methods of financing certain of our investments or to forego acquiring higher yielding securities. Importantly, if we fail to qualify for this exemption, our ability to use leverage would be substantially reduced and we would be unable to conduct our business as we currently conduct it, which could materially and adversely affect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w:t>
      </w:r>
    </w:p>
    <w:p>
      <w:pPr>
        <w:spacing w:after="0" w:line="171"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The market price and trading volume of our common stock may be highly volatile and subject to wide fluctuations. Price variations may be unrelated to our operating performance. If the market price of our common stock declines significantly, stockholders may be unable to resell shares at a gain. Further, fluctuations in the trading price of our common stock may adversely affect the liquidity of the trading market for our common stock and our ability to raise additional equity capital</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Some of the factors that could negatively affect our share price or result in fluctuations in the price or trading volume of our common stock include:</w:t>
      </w:r>
    </w:p>
    <w:p>
      <w:pPr>
        <w:spacing w:after="0" w:line="183"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 or distributions;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earnings estimates or publication of research reports about us or the real estate or specialty finance industry;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market interest rates that lead purchasers of our shares of common stock to demand a higher yield;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19" w:right="239" w:bottom="1440" w:gutter="0" w:footer="0" w:header="0"/>
        </w:sectPr>
      </w:pPr>
    </w:p>
    <w:bookmarkStart w:id="22" w:name="page23"/>
    <w:bookmarkEnd w:id="22"/>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market reaction to any increased indebtedness we incur in the future;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issuance of additional equity securities;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repurchases of shares of our common stock;</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and volume fluctuations in the stock market from time to time, which are often unrelated to our operating performance;</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policies, tax laws and financial accounting and reporting standards, particularly with respect to REITs, or applicable exemptions from the Investment Company Act of 1940, as amended;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changes in our dividend policy and earnings or variations in operating results;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securities analysts;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decreases in our net book value per share;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major repurchase agreement providers;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225"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In addition, the price of our common stock may be below our reported net book value per common share. We cannot assure you that the market price of our common stock will not fluctuate or decline significantly in the future.</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Future offerings of debt securities, which would rank senior to our common and preferred upon our liquidation, and future offerings of equity securities, which would dilute our existing stockholders or may be senior to our common stock for the purposes of dividend and liquidating distributions, may adversely affect the market price of our common stock.</w:t>
      </w:r>
    </w:p>
    <w:p>
      <w:pPr>
        <w:spacing w:after="0" w:line="127"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7"/>
          <w:szCs w:val="17"/>
          <w:color w:val="auto"/>
        </w:rPr>
        <w:t>In the future, we may raise capital through the issuance of debt or equity securities. Upon liquidation, holders of our debt securities, if any, preferred stock and lenders with respect to other borrowings will be entitled to our available assets prior to the holders of our common stock. Additional equity offerings may dilute the holdings of our existing stockholders or reduce the market price of our common stock, or both. Our preferred stock has a preference on liquidating distributions and a preference on dividend payments that could limit our ability to pay dividends to the holders of our common stock. Sales of substantial amounts of our common stock, or the perception that these sales could occur, could have a material adverse effect on the price of our common stock. Because our decision to issue debt or equity securities in any future offering will depend on market conditions and other factors beyond our control, we cannot predict or estimate the amount, timing or nature of our future offerings. Thus, holders of our common stock bear the risk of our future offerings reducing the market price of our common stock and diluting the value of their stock holdings in us.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of our common stock may depress the price of our shares.</w:t>
      </w:r>
    </w:p>
    <w:p>
      <w:pPr>
        <w:spacing w:after="0" w:line="171"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cannot predict the effect, if any, of future sales of our common stock or the availability of shares for future sales on the market price of our common stock. Any sales of a substantial number of our shares in the public market, or the perception that sales might occur, may cause the market price of our shares to decline.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established a minimum dividend payment level and we cannot assure you of our ability to pay dividends in the future.</w:t>
      </w:r>
    </w:p>
    <w:p>
      <w:pPr>
        <w:spacing w:after="0" w:line="171"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6"/>
          <w:szCs w:val="16"/>
          <w:color w:val="auto"/>
        </w:rPr>
        <w:t>We intend to pay monthly dividends to our common stockholders in an amount that all or substantially all our taxable income is distributed within the limits prescribed by the Internal Revenue Code. However, we have not established a minimum dividend payment level and the amount of our dividend may fluctuate. Our ability to pay dividends may be adversely affected by the risk factors described herein. All distributions will be made at the discretion of our Board of Directors and will depend on our earnings and financial condition, the requirements for REIT qualification and such other factors as our Board of Directors deems relevant from time to time. We may not be able to make distributions in the future or our Board of Directors may change our dividend policy. In addition, some of our distributions may include a return of capital. To the extent that we decide to pay dividends in excess of our current and accumulated tax earnings and profits, such distributions would generally be considered a return of capital for federal income tax purposes. A return of capital reduces the cost basis of a stockholder's investment in our common stock to the extent of such basis and is treated as capital gain thereafter.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1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An increase in market interest rates may cause a material decrease in our net book value and the market price of our common stock.</w:t>
      </w:r>
    </w:p>
    <w:p>
      <w:pPr>
        <w:spacing w:after="0" w:line="171"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Market interest rate fluctuations and capital market conditions can have a significant adverse effect on our net book value and the market price of our common stock. For instance, rising interest rates would result in increased interest expense on our variable rate debt, thereby reducing cash flow and our ability to service our indebtedness and pay distributions. In addition, if market interest rates rise without an increase in our distribution rate, the market price of our common stock could decrease as potential investors may require a higher distribution yield on our common stock or seek other investments paying higher distributions or interest.</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stock ownership limit imposed by the Internal Revenue Code for REITs and our amended and restated certificate of incorporation may restrict our business combination opportunities.</w:t>
      </w:r>
    </w:p>
    <w:p>
      <w:pPr>
        <w:spacing w:after="0" w:line="116"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To qualify as a REIT under the Internal Revenue Code, not more than 50% of our outstanding stock may be owned, directly or indirectly, by five or fewer individuals (as defined in the Internal Revenue Code to include certain entities) at any time during the last half of each taxable year in which we qualify as a REIT. Our amended and restated certificate of incorporation, with certain exceptions, authorizes our Board of Directors to take the actions that are necessary and desirable to qualify as a REIT. Pursuant to our amended and restated certificate of incorporation, no person may beneficially or constructively own more than 9.8% in value or in number of shares, whichever is more restrictive, of our common or capital stock.</w:t>
      </w:r>
    </w:p>
    <w:p>
      <w:pPr>
        <w:spacing w:after="0" w:line="119"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Our Board of Directors may grant an exemption from this 9.8% stock ownership limitation, in its sole discretion, subject to such conditions, representations and undertakings as it may determine are reasonably necessary. Pursuant to our amended and restated certificate of incorporation, our Board of Directors has the power to increase or decrease the percentage of common or capital stock that a person may beneficially or constructively own. However, any decreased stock ownership limit will not apply to any person whose percentage ownership of our common or capital stock is in excess of such decreased stock ownership limit until that person's percentage ownership of our common or capital stock equals or falls below the decreased stock ownership limit. Until such a person's percentage ownership of our common or capital stock falls below such decreased stock ownership limit, any further acquisition of our common or capital stock will be in violation of the decreased stock ownership limit.</w:t>
      </w:r>
    </w:p>
    <w:p>
      <w:pPr>
        <w:spacing w:after="0" w:line="124"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The ownership limits imposed by the tax law are based upon direct or indirect ownership by "individuals," but only during the last half of a tax year. The ownership limits contained in our amended and restated certificate of incorporation apply to the ownership at any time by any "person," which term includes entities. Any attempt to own or transfer shares of our common stock or capital stock in violation of these restrictions may result in the shares being transferred to a charitable trust or may be void. These ownership limitations are intended to assist us in complying with the tax law requirements, and to minimize administrative burdens. However, these ownership limits might also delay or prevent a transaction or a change in our control that might involve a premium price for our common stock or otherwise be in the best interest of our stockholders.</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The stock ownership limitation contained in our amended and restated certificate of incorporation generally does not permit ownership of more than 9.8% of our common or capital stock and attempts to acquire our common or capital stock above this limit will be ineffective unless an exemption is granted by our Board of Directors.</w:t>
      </w:r>
    </w:p>
    <w:p>
      <w:pPr>
        <w:spacing w:after="0" w:line="181"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7"/>
          <w:szCs w:val="17"/>
          <w:color w:val="auto"/>
        </w:rPr>
        <w:t>As described above, our amended and restated certificate of incorporation generally prohibits beneficial or constructive ownership by any person of more than 9.8% (by value or by number of shares, whichever is more restrictive) of our common or capital stock, unless exempted by our Board of Directors. Our amended and restated certificate of incorporation's constructive ownership rules are complex and may cause the outstanding stock owned by a group of related individuals or entities to be deemed to be constructively owned by one individual or entity. As a result, the acquisition of 9.8% or less of the outstanding stock by an individual or entity or group could result in constructive ownership greater than 9.8% and thus be subject to our amended and restated certificate of incorporation's ownership limit. Any attempt to own or transfer shares of our common or preferred stock more than the ownership limit without the consent of the Board of Directors will result in the shares being automatically transferred to a charitable trust or, if the transfer to a charitable trust would not be effective, such transfer being treated as invalid from the outset.</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in our amended and restated certificate of incorporation and bylaws could discourage a change of control that our stockholders may favor, which could also adversely affect the market price of our common stock.</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Provisions in our amended and restated certificate of incorporation and bylaws may make it more difficult and expensive for a third-party to acquire control of us, even if a change of control would be beneficial to our stockholders. We could issue a series of preferred stock to impede the completion of a merger, tender offer or other takeover attempt. The anti-takeover provisions in our amended and restated certificate of incorporation and bylaws may impede takeover attempts, or other transactions, that may be in the best interests of our stockholders. In addition, the market price of our common stock could be adversely affected to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19" w:right="2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extent that provisions of our amended and restated certificate of incorporation and bylaws discourage potential takeover attempts, or other transactions, that our stockholders may favor.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own any property. Our executive offices are in Bethesda, Maryland.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 xml:space="preserve">AGNC was named as a nominal defendant in three stockholder derivative lawsuits filed against the Company and certain of our current and former directors and officers. One case, </w:t>
      </w:r>
      <w:r>
        <w:rPr>
          <w:rFonts w:ascii="Arial" w:cs="Arial" w:eastAsia="Arial" w:hAnsi="Arial"/>
          <w:sz w:val="16"/>
          <w:szCs w:val="16"/>
          <w:i w:val="1"/>
          <w:iCs w:val="1"/>
          <w:color w:val="auto"/>
        </w:rPr>
        <w:t>H&amp;N Management Group and AFF Cos. Frozen Money Purchase Plan v. Couch, et al.</w:t>
      </w:r>
      <w:r>
        <w:rPr>
          <w:rFonts w:ascii="Arial" w:cs="Arial" w:eastAsia="Arial" w:hAnsi="Arial"/>
          <w:sz w:val="16"/>
          <w:szCs w:val="16"/>
          <w:color w:val="auto"/>
        </w:rPr>
        <w:t>, (the “Delaware Action”) was filed in the Chancery Court of the State of Delaware on October 21, 2016. The plaintiff in the Delaware Action alleged breach of fiduciary duty and corporate waste by certain of our current and former directors and officers relating to decisions not to terminate our management agreement with our former external manager (the “Renewal Claims”) and the internalization of our management through the acquisition of our manager, which was completed on July 1, 2016 (“Internalization Claims”). The plaintiff also named Ares Capital Corporation, Ivy Hill Asset Management, LLC and ACAS, LLC, (collectively, the “Ares Defendants”) as defendants and alleged that they aided and abetted and were unjustly enriched by the supposed breaches of duty (the “Ares Claims”). Following fact discovery, the parties to the Delaware Action reached a settlement, which was approved by the Delaware Chancery Court on December 4, 2019 and has now become final. Pursuant to the terms of the settlement, as approved, in February 2020, the Company received aggregate settlement payments of approximately $25.6 million on behalf of all defendants, and the plaintiff attorneys were awarded approximately $9.8 million in fees. The settlement also releases the Company, the defendants and certain of their respective affiliates from liability, subject to the terms and conditions of the settlement.</w:t>
      </w:r>
    </w:p>
    <w:p>
      <w:pPr>
        <w:spacing w:after="0" w:line="3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 xml:space="preserve">The other two cases, </w:t>
      </w:r>
      <w:r>
        <w:rPr>
          <w:rFonts w:ascii="Arial" w:cs="Arial" w:eastAsia="Arial" w:hAnsi="Arial"/>
          <w:sz w:val="17"/>
          <w:szCs w:val="17"/>
          <w:i w:val="1"/>
          <w:iCs w:val="1"/>
          <w:color w:val="auto"/>
        </w:rPr>
        <w:t>Clem v. Kain, et al.</w:t>
      </w:r>
      <w:r>
        <w:rPr>
          <w:rFonts w:ascii="Arial" w:cs="Arial" w:eastAsia="Arial" w:hAnsi="Arial"/>
          <w:sz w:val="17"/>
          <w:szCs w:val="17"/>
          <w:color w:val="auto"/>
        </w:rPr>
        <w:t xml:space="preserve">, and </w:t>
      </w:r>
      <w:r>
        <w:rPr>
          <w:rFonts w:ascii="Arial" w:cs="Arial" w:eastAsia="Arial" w:hAnsi="Arial"/>
          <w:sz w:val="17"/>
          <w:szCs w:val="17"/>
          <w:i w:val="1"/>
          <w:iCs w:val="1"/>
          <w:color w:val="auto"/>
        </w:rPr>
        <w:t>Wall v. Kain, et al.</w:t>
      </w:r>
      <w:r>
        <w:rPr>
          <w:rFonts w:ascii="Arial" w:cs="Arial" w:eastAsia="Arial" w:hAnsi="Arial"/>
          <w:sz w:val="17"/>
          <w:szCs w:val="17"/>
          <w:color w:val="auto"/>
        </w:rPr>
        <w:t xml:space="preserve">, were filed in the U.S. District Court in the District of Maryland on September 21, 2016 and September 30, 2016, respectively, and were consolidated on October 25, 2016, under the name </w:t>
      </w:r>
      <w:r>
        <w:rPr>
          <w:rFonts w:ascii="Arial" w:cs="Arial" w:eastAsia="Arial" w:hAnsi="Arial"/>
          <w:sz w:val="17"/>
          <w:szCs w:val="17"/>
          <w:i w:val="1"/>
          <w:iCs w:val="1"/>
          <w:color w:val="auto"/>
        </w:rPr>
        <w:t>In re American Capital Agency Stockholder Derivative</w:t>
      </w:r>
      <w:r>
        <w:rPr>
          <w:rFonts w:ascii="Arial" w:cs="Arial" w:eastAsia="Arial" w:hAnsi="Arial"/>
          <w:sz w:val="17"/>
          <w:szCs w:val="17"/>
          <w:color w:val="auto"/>
        </w:rPr>
        <w:t xml:space="preserve"> </w:t>
      </w:r>
      <w:r>
        <w:rPr>
          <w:rFonts w:ascii="Arial" w:cs="Arial" w:eastAsia="Arial" w:hAnsi="Arial"/>
          <w:sz w:val="17"/>
          <w:szCs w:val="17"/>
          <w:i w:val="1"/>
          <w:iCs w:val="1"/>
          <w:color w:val="auto"/>
        </w:rPr>
        <w:t>Litigation</w:t>
      </w:r>
      <w:r>
        <w:rPr>
          <w:rFonts w:ascii="Arial" w:cs="Arial" w:eastAsia="Arial" w:hAnsi="Arial"/>
          <w:sz w:val="17"/>
          <w:szCs w:val="17"/>
          <w:color w:val="auto"/>
        </w:rPr>
        <w:t>, (collectively, the “Maryland Action”). The Maryland Action involved allegations of breach of fiduciary duties and aiding and abetting against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individuals related to substantially the same events (i.e., Renewal Claims, Internalization Claims and Ares Claims) as alleged in the Delaware Action. Upon joint request of the parties, the District Court dismissed the Maryland Action with prejudice on January 21,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57" w:right="239" w:bottom="1440" w:gutter="0" w:footer="0" w:header="0"/>
        </w:sectPr>
      </w:pPr>
    </w:p>
    <w:bookmarkStart w:id="25" w:name="page26"/>
    <w:bookmarkEnd w:id="25"/>
    <w:p>
      <w:pPr>
        <w:ind w:left="536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Stock Prices and Dividend Declarations</w:t>
      </w:r>
    </w:p>
    <w:p>
      <w:pPr>
        <w:spacing w:after="0" w:line="1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common stock is listed on the Nasdaq Global Select Market under the symbol "AGNC." As of January 31, 2020, we had 1,181 stockholders of record. Most of the shares of our common stock are held by brokers and other institutions on behalf of stockholders. The following table sets forth the range of high and low sales prices of our common stock as reported on the Nasdaq Global Select Market and dividends declared on our common stock for fiscal years 2019 and 2018:</w:t>
      </w:r>
    </w:p>
    <w:p>
      <w:pPr>
        <w:spacing w:after="0" w:line="295" w:lineRule="exact"/>
        <w:rPr>
          <w:sz w:val="20"/>
          <w:szCs w:val="20"/>
          <w:color w:val="auto"/>
        </w:rPr>
      </w:pPr>
    </w:p>
    <w:tbl>
      <w:tblPr>
        <w:tblLayout w:type="fixed"/>
        <w:tblInd w:w="244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w w:val="90"/>
              </w:rPr>
              <w:t>Common Stock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20" w:type="dxa"/>
            <w:vAlign w:val="bottom"/>
            <w:gridSpan w:val="3"/>
          </w:tcPr>
          <w:p>
            <w:pPr>
              <w:jc w:val="right"/>
              <w:ind w:right="759"/>
              <w:spacing w:after="0"/>
              <w:rPr>
                <w:sz w:val="20"/>
                <w:szCs w:val="20"/>
                <w:color w:val="auto"/>
              </w:rPr>
            </w:pPr>
            <w:r>
              <w:rPr>
                <w:rFonts w:ascii="Arial" w:cs="Arial" w:eastAsia="Arial" w:hAnsi="Arial"/>
                <w:sz w:val="16"/>
                <w:szCs w:val="16"/>
                <w:b w:val="1"/>
                <w:bCs w:val="1"/>
                <w:color w:val="auto"/>
                <w:w w:val="91"/>
              </w:rPr>
              <w:t>Sales Prices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6"/>
              </w:rPr>
              <w:t>Dividends</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High</w:t>
            </w:r>
          </w:p>
        </w:tc>
        <w:tc>
          <w:tcPr>
            <w:tcW w:w="4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Low</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5"/>
              </w:rPr>
              <w:t xml:space="preserve">Declared </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Fiscal Year 2019</w:t>
            </w:r>
          </w:p>
        </w:tc>
        <w:tc>
          <w:tcPr>
            <w:tcW w:w="8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20"/>
              <w:spacing w:after="0"/>
              <w:rPr>
                <w:sz w:val="20"/>
                <w:szCs w:val="20"/>
                <w:color w:val="auto"/>
              </w:rPr>
            </w:pPr>
            <w:r>
              <w:rPr>
                <w:rFonts w:ascii="Arial" w:cs="Arial" w:eastAsia="Arial" w:hAnsi="Arial"/>
                <w:sz w:val="16"/>
                <w:szCs w:val="16"/>
                <w:color w:val="auto"/>
              </w:rPr>
              <w:t>Fourth Quarter</w:t>
            </w: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94"/>
              </w:rPr>
              <w:t>18.09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15.60</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Third Quarter</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17.60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14.51</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237"/>
        </w:trPr>
        <w:tc>
          <w:tcPr>
            <w:tcW w:w="2740" w:type="dxa"/>
            <w:vAlign w:val="bottom"/>
          </w:tcPr>
          <w:p>
            <w:pPr>
              <w:ind w:left="20"/>
              <w:spacing w:after="0"/>
              <w:rPr>
                <w:sz w:val="20"/>
                <w:szCs w:val="20"/>
                <w:color w:val="auto"/>
              </w:rPr>
            </w:pPr>
            <w:r>
              <w:rPr>
                <w:rFonts w:ascii="Arial" w:cs="Arial" w:eastAsia="Arial" w:hAnsi="Arial"/>
                <w:sz w:val="16"/>
                <w:szCs w:val="16"/>
                <w:color w:val="auto"/>
              </w:rPr>
              <w:t>Second Quarter</w:t>
            </w: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94"/>
              </w:rPr>
              <w:t>18.29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16.19</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0.50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First Quarter</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18.20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17.40</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r>
        <w:trPr>
          <w:trHeight w:val="237"/>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Fiscal Year 2018</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Fourth Quarter</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18.76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16.96</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r>
        <w:trPr>
          <w:trHeight w:val="237"/>
        </w:trPr>
        <w:tc>
          <w:tcPr>
            <w:tcW w:w="2740" w:type="dxa"/>
            <w:vAlign w:val="bottom"/>
          </w:tcPr>
          <w:p>
            <w:pPr>
              <w:ind w:left="20"/>
              <w:spacing w:after="0"/>
              <w:rPr>
                <w:sz w:val="20"/>
                <w:szCs w:val="20"/>
                <w:color w:val="auto"/>
              </w:rPr>
            </w:pPr>
            <w:r>
              <w:rPr>
                <w:rFonts w:ascii="Arial" w:cs="Arial" w:eastAsia="Arial" w:hAnsi="Arial"/>
                <w:sz w:val="16"/>
                <w:szCs w:val="16"/>
                <w:color w:val="auto"/>
              </w:rPr>
              <w:t>Third Quarter</w:t>
            </w: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94"/>
              </w:rPr>
              <w:t>19.72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18.51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Second Quarter</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19.26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18.46</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r>
        <w:trPr>
          <w:trHeight w:val="237"/>
        </w:trPr>
        <w:tc>
          <w:tcPr>
            <w:tcW w:w="2740" w:type="dxa"/>
            <w:vAlign w:val="bottom"/>
          </w:tcPr>
          <w:p>
            <w:pPr>
              <w:ind w:left="20"/>
              <w:spacing w:after="0"/>
              <w:rPr>
                <w:sz w:val="20"/>
                <w:szCs w:val="20"/>
                <w:color w:val="auto"/>
              </w:rPr>
            </w:pPr>
            <w:r>
              <w:rPr>
                <w:rFonts w:ascii="Arial" w:cs="Arial" w:eastAsia="Arial" w:hAnsi="Arial"/>
                <w:sz w:val="16"/>
                <w:szCs w:val="16"/>
                <w:color w:val="auto"/>
              </w:rPr>
              <w:t>First Quarter</w:t>
            </w: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94"/>
              </w:rPr>
              <w:t>20.26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17.84</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1960"/>
        <w:spacing w:after="0"/>
        <w:rPr>
          <w:sz w:val="20"/>
          <w:szCs w:val="20"/>
          <w:color w:val="auto"/>
        </w:rPr>
      </w:pPr>
      <w:r>
        <w:rPr>
          <w:rFonts w:ascii="Arial" w:cs="Arial" w:eastAsia="Arial" w:hAnsi="Arial"/>
          <w:sz w:val="11"/>
          <w:szCs w:val="11"/>
          <w:color w:val="auto"/>
        </w:rPr>
        <w:t>________________________________</w:t>
      </w:r>
    </w:p>
    <w:p>
      <w:pPr>
        <w:spacing w:after="0" w:line="40" w:lineRule="exact"/>
        <w:rPr>
          <w:sz w:val="20"/>
          <w:szCs w:val="20"/>
          <w:color w:val="auto"/>
        </w:rPr>
      </w:pPr>
    </w:p>
    <w:p>
      <w:pPr>
        <w:ind w:left="2220" w:hanging="267"/>
        <w:spacing w:after="0"/>
        <w:tabs>
          <w:tab w:leader="none" w:pos="2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the sum of monthly dividends declared during each period presented.</w:t>
      </w:r>
    </w:p>
    <w:p>
      <w:pPr>
        <w:spacing w:after="0" w:line="19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intend to pay dividends monthly to our common stockholders and to continue to qualify for the tax benefits accorded to a REIT under the Internal Revenue Code. We have not established a minimum dividend payment level and our ability to pay dividends may be adversely affected for the reasons described under the caption "Risk Factors." Additionally, holders of depositary shares underlying our preferred stock are entitled to receive cumulative cash dividends before holders of our common stock are entitled to receive any dividends. (For a description of our preferred stock please refer to Note 9 to the Consolidated Financial Statements included under Item 8 of this Annual Report on Form 10-K). All distributions to stockholders will be made at the discretion of our Board of Directors and will depend on our earnings, financial condition, maintenance of our REIT status and other factors as our Board of Directors may deem relevant from time to time.</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tax characterization of dividends declared on our common stock for fiscal years 2019 and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Tax Characterization</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40" w:type="dxa"/>
            <w:vAlign w:val="bottom"/>
          </w:tcPr>
          <w:p>
            <w:pPr>
              <w:spacing w:after="0"/>
              <w:rPr>
                <w:sz w:val="12"/>
                <w:szCs w:val="12"/>
                <w:color w:val="auto"/>
              </w:rPr>
            </w:pPr>
          </w:p>
        </w:tc>
        <w:tc>
          <w:tcPr>
            <w:tcW w:w="1900" w:type="dxa"/>
            <w:vAlign w:val="bottom"/>
            <w:gridSpan w:val="2"/>
          </w:tcPr>
          <w:p>
            <w:pPr>
              <w:jc w:val="center"/>
              <w:ind w:left="182"/>
              <w:spacing w:after="0" w:line="139" w:lineRule="exact"/>
              <w:rPr>
                <w:sz w:val="20"/>
                <w:szCs w:val="20"/>
                <w:color w:val="auto"/>
              </w:rPr>
            </w:pPr>
            <w:r>
              <w:rPr>
                <w:rFonts w:ascii="Arial" w:cs="Arial" w:eastAsia="Arial" w:hAnsi="Arial"/>
                <w:sz w:val="14"/>
                <w:szCs w:val="14"/>
                <w:b w:val="1"/>
                <w:bCs w:val="1"/>
                <w:color w:val="auto"/>
                <w:w w:val="92"/>
              </w:rPr>
              <w:t>Dividends Declared</w:t>
            </w: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40" w:type="dxa"/>
            <w:vAlign w:val="bottom"/>
          </w:tcPr>
          <w:p>
            <w:pPr>
              <w:jc w:val="center"/>
              <w:ind w:right="203"/>
              <w:spacing w:after="0"/>
              <w:rPr>
                <w:sz w:val="20"/>
                <w:szCs w:val="20"/>
                <w:color w:val="auto"/>
              </w:rPr>
            </w:pPr>
            <w:r>
              <w:rPr>
                <w:rFonts w:ascii="Arial" w:cs="Arial" w:eastAsia="Arial" w:hAnsi="Arial"/>
                <w:sz w:val="14"/>
                <w:szCs w:val="14"/>
                <w:b w:val="1"/>
                <w:bCs w:val="1"/>
                <w:color w:val="auto"/>
                <w:w w:val="94"/>
              </w:rPr>
              <w:t>Per Share of</w:t>
            </w: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Ordinary Income Per</w:t>
            </w: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w w:val="99"/>
              </w:rPr>
              <w:t>Qualified Dividends</w:t>
            </w:r>
          </w:p>
        </w:tc>
        <w:tc>
          <w:tcPr>
            <w:tcW w:w="200" w:type="dxa"/>
            <w:vAlign w:val="bottom"/>
          </w:tcPr>
          <w:p>
            <w:pPr>
              <w:spacing w:after="0"/>
              <w:rPr>
                <w:sz w:val="16"/>
                <w:szCs w:val="16"/>
                <w:color w:val="auto"/>
              </w:rPr>
            </w:pPr>
          </w:p>
        </w:tc>
        <w:tc>
          <w:tcPr>
            <w:tcW w:w="1300" w:type="dxa"/>
            <w:vAlign w:val="bottom"/>
          </w:tcPr>
          <w:p>
            <w:pPr>
              <w:jc w:val="right"/>
              <w:ind w:right="23"/>
              <w:spacing w:after="0"/>
              <w:rPr>
                <w:sz w:val="20"/>
                <w:szCs w:val="20"/>
                <w:color w:val="auto"/>
              </w:rPr>
            </w:pPr>
            <w:r>
              <w:rPr>
                <w:rFonts w:ascii="Arial" w:cs="Arial" w:eastAsia="Arial" w:hAnsi="Arial"/>
                <w:sz w:val="14"/>
                <w:szCs w:val="14"/>
                <w:b w:val="1"/>
                <w:bCs w:val="1"/>
                <w:color w:val="auto"/>
                <w:w w:val="95"/>
              </w:rPr>
              <w:t>Long-Term Capital</w:t>
            </w:r>
          </w:p>
        </w:tc>
        <w:tc>
          <w:tcPr>
            <w:tcW w:w="240" w:type="dxa"/>
            <w:vAlign w:val="bottom"/>
          </w:tcPr>
          <w:p>
            <w:pPr>
              <w:spacing w:after="0"/>
              <w:rPr>
                <w:sz w:val="16"/>
                <w:szCs w:val="16"/>
                <w:color w:val="auto"/>
              </w:rPr>
            </w:pPr>
          </w:p>
        </w:tc>
        <w:tc>
          <w:tcPr>
            <w:tcW w:w="1220" w:type="dxa"/>
            <w:vAlign w:val="bottom"/>
          </w:tcPr>
          <w:p>
            <w:pPr>
              <w:jc w:val="right"/>
              <w:ind w:right="183"/>
              <w:spacing w:after="0"/>
              <w:rPr>
                <w:sz w:val="20"/>
                <w:szCs w:val="20"/>
                <w:color w:val="auto"/>
              </w:rPr>
            </w:pPr>
            <w:r>
              <w:rPr>
                <w:rFonts w:ascii="Arial" w:cs="Arial" w:eastAsia="Arial" w:hAnsi="Arial"/>
                <w:sz w:val="14"/>
                <w:szCs w:val="14"/>
                <w:b w:val="1"/>
                <w:bCs w:val="1"/>
                <w:color w:val="auto"/>
              </w:rPr>
              <w:t>Non-Dividend</w:t>
            </w: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w w:val="92"/>
              </w:rPr>
              <w:t>Section 199A Dividend</w:t>
            </w:r>
          </w:p>
        </w:tc>
        <w:tc>
          <w:tcPr>
            <w:tcW w:w="0" w:type="dxa"/>
            <w:vAlign w:val="bottom"/>
          </w:tcPr>
          <w:p>
            <w:pPr>
              <w:spacing w:after="0"/>
              <w:rPr>
                <w:sz w:val="1"/>
                <w:szCs w:val="1"/>
                <w:color w:val="auto"/>
              </w:rPr>
            </w:pPr>
          </w:p>
        </w:tc>
      </w:tr>
      <w:tr>
        <w:trPr>
          <w:trHeight w:val="162"/>
        </w:trPr>
        <w:tc>
          <w:tcPr>
            <w:tcW w:w="2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auto"/>
                <w:w w:val="91"/>
              </w:rPr>
              <w:t>Common Stock</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Share</w:t>
            </w:r>
          </w:p>
        </w:tc>
        <w:tc>
          <w:tcPr>
            <w:tcW w:w="146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Gains Per Share</w:t>
            </w: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 xml:space="preserve">Distributions </w:t>
            </w:r>
            <w:r>
              <w:rPr>
                <w:rFonts w:ascii="Arial" w:cs="Arial" w:eastAsia="Arial" w:hAnsi="Arial"/>
                <w:sz w:val="8"/>
                <w:szCs w:val="8"/>
                <w:b w:val="1"/>
                <w:bCs w:val="1"/>
                <w:color w:val="auto"/>
              </w:rPr>
              <w:t>3</w:t>
            </w: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31"/>
              <w:spacing w:after="0"/>
              <w:rPr>
                <w:sz w:val="20"/>
                <w:szCs w:val="20"/>
                <w:color w:val="auto"/>
              </w:rPr>
            </w:pPr>
            <w:r>
              <w:rPr>
                <w:rFonts w:ascii="Arial" w:cs="Arial" w:eastAsia="Arial" w:hAnsi="Arial"/>
                <w:sz w:val="9"/>
                <w:szCs w:val="9"/>
                <w:b w:val="1"/>
                <w:bCs w:val="1"/>
                <w:color w:val="auto"/>
              </w:rPr>
              <w:t>4</w:t>
            </w:r>
          </w:p>
        </w:tc>
        <w:tc>
          <w:tcPr>
            <w:tcW w:w="0" w:type="dxa"/>
            <w:vAlign w:val="bottom"/>
          </w:tcPr>
          <w:p>
            <w:pPr>
              <w:spacing w:after="0"/>
              <w:rPr>
                <w:sz w:val="1"/>
                <w:szCs w:val="1"/>
                <w:color w:val="auto"/>
              </w:rPr>
            </w:pPr>
          </w:p>
        </w:tc>
      </w:tr>
      <w:tr>
        <w:trPr>
          <w:trHeight w:val="264"/>
        </w:trPr>
        <w:tc>
          <w:tcPr>
            <w:tcW w:w="2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Fiscal Year 2019 </w:t>
            </w:r>
            <w:r>
              <w:rPr>
                <w:rFonts w:ascii="Arial" w:cs="Arial" w:eastAsia="Arial" w:hAnsi="Arial"/>
                <w:sz w:val="21"/>
                <w:szCs w:val="21"/>
                <w:color w:val="auto"/>
                <w:vertAlign w:val="superscript"/>
              </w:rPr>
              <w:t>1</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2.02</w:t>
            </w:r>
          </w:p>
        </w:tc>
        <w:tc>
          <w:tcPr>
            <w:tcW w:w="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1.159504</w:t>
            </w:r>
          </w:p>
        </w:tc>
        <w:tc>
          <w:tcPr>
            <w:tcW w:w="660" w:type="dxa"/>
            <w:vAlign w:val="bottom"/>
            <w:shd w:val="clear" w:color="auto" w:fill="CCEEFF"/>
          </w:tcPr>
          <w:p>
            <w:pPr>
              <w:jc w:val="right"/>
              <w:ind w:right="422"/>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0.860496</w:t>
            </w:r>
          </w:p>
        </w:tc>
        <w:tc>
          <w:tcPr>
            <w:tcW w:w="44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6"/>
                <w:szCs w:val="16"/>
                <w:color w:val="auto"/>
              </w:rPr>
              <w:t>1.159504</w:t>
            </w:r>
          </w:p>
        </w:tc>
        <w:tc>
          <w:tcPr>
            <w:tcW w:w="0" w:type="dxa"/>
            <w:vAlign w:val="bottom"/>
          </w:tcPr>
          <w:p>
            <w:pPr>
              <w:spacing w:after="0"/>
              <w:rPr>
                <w:sz w:val="1"/>
                <w:szCs w:val="1"/>
                <w:color w:val="auto"/>
              </w:rPr>
            </w:pPr>
          </w:p>
        </w:tc>
      </w:tr>
      <w:tr>
        <w:trPr>
          <w:trHeight w:val="260"/>
        </w:trPr>
        <w:tc>
          <w:tcPr>
            <w:tcW w:w="2140" w:type="dxa"/>
            <w:vAlign w:val="bottom"/>
          </w:tcPr>
          <w:p>
            <w:pPr>
              <w:ind w:left="40"/>
              <w:spacing w:after="0"/>
              <w:rPr>
                <w:sz w:val="20"/>
                <w:szCs w:val="20"/>
                <w:color w:val="auto"/>
              </w:rPr>
            </w:pPr>
            <w:r>
              <w:rPr>
                <w:rFonts w:ascii="Arial" w:cs="Arial" w:eastAsia="Arial" w:hAnsi="Arial"/>
                <w:sz w:val="16"/>
                <w:szCs w:val="16"/>
                <w:color w:val="auto"/>
              </w:rPr>
              <w:t xml:space="preserve">Fiscal Year 2018 </w:t>
            </w:r>
            <w:r>
              <w:rPr>
                <w:rFonts w:ascii="Arial" w:cs="Arial" w:eastAsia="Arial" w:hAnsi="Arial"/>
                <w:sz w:val="21"/>
                <w:szCs w:val="21"/>
                <w:color w:val="auto"/>
                <w:vertAlign w:val="superscript"/>
              </w:rPr>
              <w:t>2</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63"/>
              <w:spacing w:after="0"/>
              <w:rPr>
                <w:sz w:val="20"/>
                <w:szCs w:val="20"/>
                <w:color w:val="auto"/>
              </w:rPr>
            </w:pPr>
            <w:r>
              <w:rPr>
                <w:rFonts w:ascii="Arial" w:cs="Arial" w:eastAsia="Arial" w:hAnsi="Arial"/>
                <w:sz w:val="16"/>
                <w:szCs w:val="16"/>
                <w:color w:val="auto"/>
              </w:rPr>
              <w:t>2.16</w:t>
            </w:r>
          </w:p>
        </w:tc>
        <w:tc>
          <w:tcPr>
            <w:tcW w:w="32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1.127208</w:t>
            </w:r>
          </w:p>
        </w:tc>
        <w:tc>
          <w:tcPr>
            <w:tcW w:w="66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800" w:type="dxa"/>
            <w:vAlign w:val="bottom"/>
          </w:tcPr>
          <w:p>
            <w:pPr>
              <w:ind w:left="50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1.032792</w:t>
            </w:r>
          </w:p>
        </w:tc>
        <w:tc>
          <w:tcPr>
            <w:tcW w:w="440" w:type="dxa"/>
            <w:vAlign w:val="bottom"/>
          </w:tcPr>
          <w:p>
            <w:pPr>
              <w:ind w:lef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1"/>
              <w:spacing w:after="0"/>
              <w:rPr>
                <w:sz w:val="20"/>
                <w:szCs w:val="20"/>
                <w:color w:val="auto"/>
              </w:rPr>
            </w:pPr>
            <w:r>
              <w:rPr>
                <w:rFonts w:ascii="Arial" w:cs="Arial" w:eastAsia="Arial" w:hAnsi="Arial"/>
                <w:sz w:val="16"/>
                <w:szCs w:val="16"/>
                <w:color w:val="auto"/>
              </w:rPr>
              <w:t>1.127208</w:t>
            </w:r>
          </w:p>
        </w:tc>
        <w:tc>
          <w:tcPr>
            <w:tcW w:w="0" w:type="dxa"/>
            <w:vAlign w:val="bottom"/>
          </w:tcPr>
          <w:p>
            <w:pPr>
              <w:spacing w:after="0"/>
              <w:rPr>
                <w:sz w:val="1"/>
                <w:szCs w:val="1"/>
                <w:color w:val="auto"/>
              </w:rPr>
            </w:pPr>
          </w:p>
        </w:tc>
      </w:tr>
      <w:tr>
        <w:trPr>
          <w:trHeight w:val="125"/>
        </w:trPr>
        <w:tc>
          <w:tcPr>
            <w:tcW w:w="2140" w:type="dxa"/>
            <w:vAlign w:val="bottom"/>
          </w:tcPr>
          <w:p>
            <w:pPr>
              <w:jc w:val="right"/>
              <w:ind w:right="328"/>
              <w:spacing w:after="0" w:line="125" w:lineRule="exact"/>
              <w:rPr>
                <w:sz w:val="20"/>
                <w:szCs w:val="20"/>
                <w:color w:val="auto"/>
              </w:rPr>
            </w:pPr>
            <w:r>
              <w:rPr>
                <w:rFonts w:ascii="Arial" w:cs="Arial" w:eastAsia="Arial" w:hAnsi="Arial"/>
                <w:sz w:val="11"/>
                <w:szCs w:val="11"/>
                <w:color w:val="auto"/>
                <w:w w:val="87"/>
              </w:rPr>
              <w:t>________________________________</w:t>
            </w:r>
          </w:p>
        </w:tc>
        <w:tc>
          <w:tcPr>
            <w:tcW w:w="5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660" w:hanging="328"/>
        <w:spacing w:after="0" w:line="241"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dividends declared during the 12-month period ended November 30, 2019. The dividend of $0.16 per common share declared on December 10, 2019, which was paid on January 10, 2020, will be reported to stockholders as a fiscal year 2020 distribution for U.S. federal income tax purposes.</w:t>
      </w:r>
    </w:p>
    <w:p>
      <w:pPr>
        <w:ind w:left="660" w:hanging="328"/>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dividends declared during the 12-month period ended November 30, 2018.</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Also referred to as a "return of capital." Represents dividends paid in excess of our current and accumulated earnings and profit, or "E&amp;P," which is a tax-based measure calculated by adjusting taxable income for items that are treated differently for E&amp;P purposes, such as utilization of net capital loss carryforwards. A return of capital reduces the basis of a stockholder's investment in our common stock to the extent of such basis and is treated as capital gain thereafter.</w:t>
      </w:r>
    </w:p>
    <w:p>
      <w:pPr>
        <w:spacing w:after="0" w:line="1" w:lineRule="exact"/>
        <w:rPr>
          <w:rFonts w:ascii="Arial" w:cs="Arial" w:eastAsia="Arial" w:hAnsi="Arial"/>
          <w:sz w:val="14"/>
          <w:szCs w:val="14"/>
          <w:color w:val="auto"/>
        </w:rPr>
      </w:pPr>
    </w:p>
    <w:p>
      <w:pPr>
        <w:ind w:left="660" w:hanging="328"/>
        <w:spacing w:after="0" w:line="255"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Twenty percent of Section 199A dividends may be deducted in computing a U.S. non-corporate investor’s taxable income. The deduction is subject to certain limitations calculated based on an investor’s taxable ordinary income. For detailed rules regarding the section 199A deduction, stockholders should consult with their tax advisors.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53" w:right="239" w:bottom="1440" w:gutter="0" w:footer="0" w:header="0"/>
        </w:sectPr>
      </w:pPr>
    </w:p>
    <w:bookmarkStart w:id="26" w:name="page27"/>
    <w:bookmarkEnd w:id="26"/>
    <w:p>
      <w:pPr>
        <w:jc w:val="both"/>
        <w:ind w:right="20" w:firstLine="432"/>
        <w:spacing w:after="0" w:line="277" w:lineRule="auto"/>
        <w:rPr>
          <w:sz w:val="20"/>
          <w:szCs w:val="20"/>
          <w:color w:val="auto"/>
        </w:rPr>
      </w:pPr>
      <w:r>
        <w:rPr>
          <w:rFonts w:ascii="Arial" w:cs="Arial" w:eastAsia="Arial" w:hAnsi="Arial"/>
          <w:sz w:val="18"/>
          <w:szCs w:val="18"/>
          <w:color w:val="auto"/>
        </w:rPr>
        <w:t>Our stock transfer agent and registrar is Computershare Investor Services. Requests for information from Computershare can be sent to Computershare Investor Services, P.O. Box 43078, Providence, RI 02940-3078 and their telephone number is 1-800-733-5001.</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8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summarizes information, as of December 31, 2019, concerning shares of our common stock authorized for issuance under our equity compensation plans, pursuant to which grants of equity-based awards, namely restricted stock units ("RSUs"), may be granted from time to time. See "Item 8. Financial Statements" for a description of our equity compensation plans.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Number of securities to be</w:t>
            </w:r>
          </w:p>
        </w:tc>
        <w:tc>
          <w:tcPr>
            <w:tcW w:w="100" w:type="dxa"/>
            <w:vAlign w:val="bottom"/>
          </w:tcPr>
          <w:p>
            <w:pPr>
              <w:spacing w:after="0"/>
              <w:rPr>
                <w:sz w:val="14"/>
                <w:szCs w:val="14"/>
                <w:color w:val="auto"/>
              </w:rPr>
            </w:pPr>
          </w:p>
        </w:tc>
        <w:tc>
          <w:tcPr>
            <w:tcW w:w="14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securities remaining</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available for future issuance</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0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 equity compensation plans</w:t>
            </w:r>
          </w:p>
        </w:tc>
        <w:tc>
          <w:tcPr>
            <w:tcW w:w="0" w:type="dxa"/>
            <w:vAlign w:val="bottom"/>
          </w:tcPr>
          <w:p>
            <w:pPr>
              <w:spacing w:after="0"/>
              <w:rPr>
                <w:sz w:val="1"/>
                <w:szCs w:val="1"/>
                <w:color w:val="auto"/>
              </w:rPr>
            </w:pPr>
          </w:p>
        </w:tc>
      </w:tr>
      <w:tr>
        <w:trPr>
          <w:trHeight w:val="149"/>
        </w:trPr>
        <w:tc>
          <w:tcPr>
            <w:tcW w:w="5720" w:type="dxa"/>
            <w:vAlign w:val="bottom"/>
            <w:vMerge w:val="restart"/>
          </w:tcPr>
          <w:p>
            <w:pPr>
              <w:ind w:left="242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warrants</w:t>
            </w:r>
          </w:p>
        </w:tc>
        <w:tc>
          <w:tcPr>
            <w:tcW w:w="100" w:type="dxa"/>
            <w:vAlign w:val="bottom"/>
          </w:tcPr>
          <w:p>
            <w:pPr>
              <w:spacing w:after="0"/>
              <w:rPr>
                <w:sz w:val="12"/>
                <w:szCs w:val="12"/>
                <w:color w:val="auto"/>
              </w:rPr>
            </w:pPr>
          </w:p>
        </w:tc>
        <w:tc>
          <w:tcPr>
            <w:tcW w:w="14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(excluding securities reflected in</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and rights </w:t>
            </w:r>
            <w:r>
              <w:rPr>
                <w:rFonts w:ascii="Arial" w:cs="Arial" w:eastAsia="Arial" w:hAnsi="Arial"/>
                <w:sz w:val="8"/>
                <w:szCs w:val="8"/>
                <w:b w:val="1"/>
                <w:bCs w:val="1"/>
                <w:color w:val="auto"/>
                <w:w w:val="94"/>
              </w:rPr>
              <w:t>1</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w w:val="93"/>
              </w:rPr>
              <w:t>warrants and rights</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the first column of this table) </w:t>
            </w:r>
            <w:r>
              <w:rPr>
                <w:rFonts w:ascii="Arial" w:cs="Arial" w:eastAsia="Arial" w:hAnsi="Arial"/>
                <w:sz w:val="8"/>
                <w:szCs w:val="8"/>
                <w:b w:val="1"/>
                <w:bCs w:val="1"/>
                <w:color w:val="auto"/>
                <w:w w:val="92"/>
              </w:rPr>
              <w:t>2</w:t>
            </w:r>
          </w:p>
        </w:tc>
        <w:tc>
          <w:tcPr>
            <w:tcW w:w="0" w:type="dxa"/>
            <w:vAlign w:val="bottom"/>
          </w:tcPr>
          <w:p>
            <w:pPr>
              <w:spacing w:after="0"/>
              <w:rPr>
                <w:sz w:val="1"/>
                <w:szCs w:val="1"/>
                <w:color w:val="auto"/>
              </w:rPr>
            </w:pPr>
          </w:p>
        </w:tc>
      </w:tr>
      <w:tr>
        <w:trPr>
          <w:trHeight w:val="236"/>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Equity compensation plans approved by security holders</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3,440,135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6,413,631</w:t>
            </w:r>
          </w:p>
        </w:tc>
        <w:tc>
          <w:tcPr>
            <w:tcW w:w="0" w:type="dxa"/>
            <w:vAlign w:val="bottom"/>
          </w:tcPr>
          <w:p>
            <w:pPr>
              <w:spacing w:after="0"/>
              <w:rPr>
                <w:sz w:val="1"/>
                <w:szCs w:val="1"/>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6"/>
                <w:szCs w:val="16"/>
                <w:color w:val="auto"/>
              </w:rPr>
              <w:t>Equity compensation plans not approved by security holders</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3,440,135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6,413,631</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bl>
    <w:p>
      <w:pPr>
        <w:jc w:val="both"/>
        <w:ind w:left="660" w:hanging="328"/>
        <w:spacing w:after="0" w:line="241"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(i) unvested time and performance-based RSU awards (unvested performance-based awards assume the maximum payout under the terms of the award); (ii) outstanding previously vested awards, if distribution of such awards has been deferred beyond the vesting date; and (iii) accrued dividend equivalent units on items (i) and (ii) through December 31, 2019.</w:t>
      </w:r>
    </w:p>
    <w:p>
      <w:pPr>
        <w:spacing w:after="0" w:line="1" w:lineRule="exact"/>
        <w:rPr>
          <w:rFonts w:ascii="Arial" w:cs="Arial" w:eastAsia="Arial" w:hAnsi="Arial"/>
          <w:sz w:val="14"/>
          <w:szCs w:val="14"/>
          <w:color w:val="auto"/>
        </w:rPr>
      </w:pPr>
    </w:p>
    <w:p>
      <w:pPr>
        <w:ind w:left="660" w:hanging="328"/>
        <w:spacing w:after="0" w:line="255"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Available shares are reduced by items (i), (ii) and (iii) noted above and by shares issued for vested awards, net of units withheld to cover minimum statutory tax withholding requirements paid by us in cash on behalf of the employee.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62"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following graph and table compare a stockholder's cumulative total return, assuming $100 invested at December 31, 2014, with the reinvestment of all dividends, as if such amounts had been invested in: (i) our common stock; (ii) the stocks included in the Standard &amp; Poor's 500 Stock Index ("S&amp;P 500");</w:t>
      </w:r>
    </w:p>
    <w:p>
      <w:pPr>
        <w:jc w:val="both"/>
        <w:ind w:firstLine="8"/>
        <w:spacing w:after="0" w:line="254" w:lineRule="auto"/>
        <w:tabs>
          <w:tab w:leader="none" w:pos="34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stocks included in the FTSE NAREIT Mortgage REIT Index; (iv) an index of selected issuers in our peer group, composed of Annaly Capital Management, Inc., Anworth Mortgage Asset Corporation, Capstead Mortgage Corporation and Armour Residential REIT, Inc, (collectively, the "Agency REIT Peer Group (old)"); and (v) an updated index of peers adding Two Harbors Investment Corp, Invesco Mortgage Capital, Inc and Dynex Capital, Inc, to Agency REIT Peer Group (old) (collectively, the "Agency REIT Peer Group (new)").</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57" w:right="23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363220</wp:posOffset>
            </wp:positionV>
            <wp:extent cx="5145405" cy="4030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145405" cy="403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6180" w:type="dxa"/>
            <w:vAlign w:val="bottom"/>
            <w:gridSpan w:val="2"/>
          </w:tcPr>
          <w:p>
            <w:pPr>
              <w:spacing w:after="0"/>
              <w:rPr>
                <w:sz w:val="20"/>
                <w:szCs w:val="20"/>
                <w:color w:val="auto"/>
              </w:rPr>
            </w:pPr>
            <w:r>
              <w:rPr>
                <w:rFonts w:ascii="Arial" w:cs="Arial" w:eastAsia="Arial" w:hAnsi="Arial"/>
                <w:sz w:val="11"/>
                <w:szCs w:val="11"/>
                <w:color w:val="auto"/>
              </w:rPr>
              <w:t>________________________________</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86"/>
        </w:trPr>
        <w:tc>
          <w:tcPr>
            <w:tcW w:w="600" w:type="dxa"/>
            <w:vAlign w:val="bottom"/>
          </w:tcPr>
          <w:p>
            <w:pPr>
              <w:ind w:left="420"/>
              <w:spacing w:after="0"/>
              <w:rPr>
                <w:sz w:val="20"/>
                <w:szCs w:val="20"/>
                <w:color w:val="auto"/>
              </w:rPr>
            </w:pPr>
            <w:r>
              <w:rPr>
                <w:rFonts w:ascii="Arial" w:cs="Arial" w:eastAsia="Arial" w:hAnsi="Arial"/>
                <w:sz w:val="14"/>
                <w:szCs w:val="14"/>
                <w:color w:val="auto"/>
              </w:rPr>
              <w:t>*</w:t>
            </w:r>
          </w:p>
        </w:tc>
        <w:tc>
          <w:tcPr>
            <w:tcW w:w="5580" w:type="dxa"/>
            <w:vAlign w:val="bottom"/>
          </w:tcPr>
          <w:p>
            <w:pPr>
              <w:ind w:left="120"/>
              <w:spacing w:after="0"/>
              <w:rPr>
                <w:sz w:val="20"/>
                <w:szCs w:val="20"/>
                <w:color w:val="auto"/>
              </w:rPr>
            </w:pPr>
            <w:r>
              <w:rPr>
                <w:rFonts w:ascii="Arial" w:cs="Arial" w:eastAsia="Arial" w:hAnsi="Arial"/>
                <w:sz w:val="14"/>
                <w:szCs w:val="14"/>
                <w:color w:val="auto"/>
              </w:rPr>
              <w:t>$100 invested on 12/31/14 in stock or index, including reinvestment of dividends.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69"/>
        </w:trPr>
        <w:tc>
          <w:tcPr>
            <w:tcW w:w="600" w:type="dxa"/>
            <w:vAlign w:val="bottom"/>
          </w:tcPr>
          <w:p>
            <w:pPr>
              <w:spacing w:after="0"/>
              <w:rPr>
                <w:sz w:val="14"/>
                <w:szCs w:val="14"/>
                <w:color w:val="auto"/>
              </w:rPr>
            </w:pPr>
          </w:p>
        </w:tc>
        <w:tc>
          <w:tcPr>
            <w:tcW w:w="5580" w:type="dxa"/>
            <w:vAlign w:val="bottom"/>
          </w:tcPr>
          <w:p>
            <w:pPr>
              <w:ind w:left="60"/>
              <w:spacing w:after="0"/>
              <w:rPr>
                <w:sz w:val="20"/>
                <w:szCs w:val="20"/>
                <w:color w:val="auto"/>
              </w:rPr>
            </w:pPr>
            <w:r>
              <w:rPr>
                <w:rFonts w:ascii="Arial" w:cs="Arial" w:eastAsia="Arial" w:hAnsi="Arial"/>
                <w:sz w:val="14"/>
                <w:szCs w:val="14"/>
                <w:color w:val="auto"/>
              </w:rPr>
              <w:t>Fiscal year ending December 31.</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2"/>
        </w:trPr>
        <w:tc>
          <w:tcPr>
            <w:tcW w:w="600" w:type="dxa"/>
            <w:vAlign w:val="bottom"/>
          </w:tcPr>
          <w:p>
            <w:pPr>
              <w:spacing w:after="0"/>
              <w:rPr>
                <w:sz w:val="15"/>
                <w:szCs w:val="15"/>
                <w:color w:val="auto"/>
              </w:rPr>
            </w:pPr>
          </w:p>
        </w:tc>
        <w:tc>
          <w:tcPr>
            <w:tcW w:w="5580" w:type="dxa"/>
            <w:vAlign w:val="bottom"/>
          </w:tcPr>
          <w:p>
            <w:pPr>
              <w:ind w:left="60"/>
              <w:spacing w:after="0"/>
              <w:rPr>
                <w:sz w:val="20"/>
                <w:szCs w:val="20"/>
                <w:color w:val="auto"/>
              </w:rPr>
            </w:pPr>
            <w:r>
              <w:rPr>
                <w:rFonts w:ascii="Arial" w:cs="Arial" w:eastAsia="Arial" w:hAnsi="Arial"/>
                <w:sz w:val="14"/>
                <w:szCs w:val="14"/>
                <w:color w:val="auto"/>
              </w:rPr>
              <w:t>Copyright © 2020 S&amp;P, a division of S&amp;P Global. All rights reserved.</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830"/>
        </w:trPr>
        <w:tc>
          <w:tcPr>
            <w:tcW w:w="6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64"/>
        </w:trPr>
        <w:tc>
          <w:tcPr>
            <w:tcW w:w="600" w:type="dxa"/>
            <w:vAlign w:val="bottom"/>
            <w:tcBorders>
              <w:bottom w:val="single" w:sz="8" w:color="CCEEFF"/>
            </w:tcBorders>
          </w:tcPr>
          <w:p>
            <w:pPr>
              <w:spacing w:after="0"/>
              <w:rPr>
                <w:sz w:val="22"/>
                <w:szCs w:val="22"/>
                <w:color w:val="auto"/>
              </w:rPr>
            </w:pPr>
          </w:p>
        </w:tc>
        <w:tc>
          <w:tcPr>
            <w:tcW w:w="55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r>
      <w:tr>
        <w:trPr>
          <w:trHeight w:val="256"/>
        </w:trPr>
        <w:tc>
          <w:tcPr>
            <w:tcW w:w="6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AGNC Investment Corp.</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145.55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128.44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131.74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106.50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90.11</w:t>
            </w:r>
          </w:p>
        </w:tc>
      </w:tr>
      <w:tr>
        <w:trPr>
          <w:trHeight w:val="264"/>
        </w:trPr>
        <w:tc>
          <w:tcPr>
            <w:tcW w:w="600" w:type="dxa"/>
            <w:vAlign w:val="bottom"/>
          </w:tcPr>
          <w:p>
            <w:pPr>
              <w:ind w:left="40"/>
              <w:spacing w:after="0"/>
              <w:rPr>
                <w:sz w:val="20"/>
                <w:szCs w:val="20"/>
                <w:color w:val="auto"/>
              </w:rPr>
            </w:pPr>
            <w:r>
              <w:rPr>
                <w:rFonts w:ascii="Arial" w:cs="Arial" w:eastAsia="Arial" w:hAnsi="Arial"/>
                <w:sz w:val="14"/>
                <w:szCs w:val="14"/>
                <w:color w:val="auto"/>
                <w:w w:val="97"/>
              </w:rPr>
              <w:t>S&amp;P 500</w:t>
            </w:r>
          </w:p>
        </w:tc>
        <w:tc>
          <w:tcPr>
            <w:tcW w:w="558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173.86</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132.23</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138.29</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113.51</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101.38</w:t>
            </w:r>
          </w:p>
        </w:tc>
      </w:tr>
      <w:tr>
        <w:trPr>
          <w:trHeight w:val="276"/>
        </w:trPr>
        <w:tc>
          <w:tcPr>
            <w:tcW w:w="6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FTSE NAREIT Mortgage REITs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158.60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130.71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134.10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111.95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91.12</w:t>
            </w:r>
          </w:p>
        </w:tc>
      </w:tr>
      <w:tr>
        <w:trPr>
          <w:trHeight w:val="264"/>
        </w:trPr>
        <w:tc>
          <w:tcPr>
            <w:tcW w:w="6180" w:type="dxa"/>
            <w:vAlign w:val="bottom"/>
            <w:gridSpan w:val="2"/>
          </w:tcPr>
          <w:p>
            <w:pPr>
              <w:ind w:left="40"/>
              <w:spacing w:after="0"/>
              <w:rPr>
                <w:sz w:val="20"/>
                <w:szCs w:val="20"/>
                <w:color w:val="auto"/>
              </w:rPr>
            </w:pPr>
            <w:r>
              <w:rPr>
                <w:rFonts w:ascii="Arial" w:cs="Arial" w:eastAsia="Arial" w:hAnsi="Arial"/>
                <w:sz w:val="14"/>
                <w:szCs w:val="14"/>
                <w:color w:val="auto"/>
              </w:rPr>
              <w:t xml:space="preserve">Agency REIT Peer Group (old) </w:t>
            </w:r>
            <w:r>
              <w:rPr>
                <w:rFonts w:ascii="Arial" w:cs="Arial" w:eastAsia="Arial" w:hAnsi="Arial"/>
                <w:sz w:val="8"/>
                <w:szCs w:val="8"/>
                <w:color w:val="auto"/>
              </w:rPr>
              <w:t>1</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143.30</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133.76</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146.12</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114.20</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95.07</w:t>
            </w:r>
          </w:p>
        </w:tc>
      </w:tr>
      <w:tr>
        <w:trPr>
          <w:trHeight w:val="276"/>
        </w:trPr>
        <w:tc>
          <w:tcPr>
            <w:tcW w:w="6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Agency REIT Peer Group (new) </w:t>
            </w:r>
            <w:r>
              <w:rPr>
                <w:rFonts w:ascii="Arial" w:cs="Arial" w:eastAsia="Arial" w:hAnsi="Arial"/>
                <w:sz w:val="8"/>
                <w:szCs w:val="8"/>
                <w:color w:val="auto"/>
              </w:rPr>
              <w:t>1</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148.74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132.34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93.51</w:t>
            </w:r>
          </w:p>
        </w:tc>
      </w:tr>
      <w:tr>
        <w:trPr>
          <w:trHeight w:val="136"/>
        </w:trPr>
        <w:tc>
          <w:tcPr>
            <w:tcW w:w="6180" w:type="dxa"/>
            <w:vAlign w:val="bottom"/>
            <w:gridSpan w:val="2"/>
          </w:tcPr>
          <w:p>
            <w:pPr>
              <w:spacing w:after="0"/>
              <w:rPr>
                <w:sz w:val="20"/>
                <w:szCs w:val="20"/>
                <w:color w:val="auto"/>
              </w:rPr>
            </w:pPr>
            <w:r>
              <w:rPr>
                <w:rFonts w:ascii="Arial" w:cs="Arial" w:eastAsia="Arial" w:hAnsi="Arial"/>
                <w:sz w:val="11"/>
                <w:szCs w:val="11"/>
                <w:color w:val="auto"/>
              </w:rPr>
              <w:t>________________________________</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bl>
    <w:p>
      <w:pPr>
        <w:ind w:left="840" w:hanging="427"/>
        <w:spacing w:after="0"/>
        <w:tabs>
          <w:tab w:leader="none" w:pos="8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Agency REIT Peer Group annual return is calculated on a weighted basis by market cap at the end of the previous year.</w:t>
      </w:r>
    </w:p>
    <w:p>
      <w:pPr>
        <w:spacing w:after="0" w:line="32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in the share performance graph and table has been obtained from sources believed to be reliable, but neither its accuracy nor its completeness can be guaranteed. The historical information set forth above is not necessarily indicative of future performance. Accordingly, we do not make or endorse any predictions as to future share performance.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4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Item 6. Selected Financial Data</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The following selected financial data is derived from our annual financial statements for the five years ended December 31, 2019. The selected financial data should be read in conjunction with the more detailed information contained in Item 8.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and Item 7.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Operations </w:t>
      </w:r>
      <w:r>
        <w:rPr>
          <w:rFonts w:ascii="Arial" w:cs="Arial" w:eastAsia="Arial" w:hAnsi="Arial"/>
          <w:sz w:val="18"/>
          <w:szCs w:val="18"/>
          <w:color w:val="auto"/>
        </w:rPr>
        <w:t>included in this Annual Report on Form 10-K:</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 Except Per Share Amounts)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Sheet Data</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2015</w:t>
            </w:r>
          </w:p>
        </w:tc>
      </w:tr>
      <w:tr>
        <w:trPr>
          <w:trHeight w:val="223"/>
        </w:trPr>
        <w:tc>
          <w:tcPr>
            <w:tcW w:w="5840" w:type="dxa"/>
            <w:vAlign w:val="bottom"/>
            <w:gridSpan w:val="2"/>
          </w:tcPr>
          <w:p>
            <w:pPr>
              <w:ind w:left="40"/>
              <w:spacing w:after="0"/>
              <w:rPr>
                <w:sz w:val="20"/>
                <w:szCs w:val="20"/>
                <w:color w:val="auto"/>
              </w:rPr>
            </w:pPr>
            <w:r>
              <w:rPr>
                <w:rFonts w:ascii="Arial" w:cs="Arial" w:eastAsia="Arial" w:hAnsi="Arial"/>
                <w:sz w:val="16"/>
                <w:szCs w:val="16"/>
                <w:color w:val="auto"/>
              </w:rPr>
              <w:t>Investment securities, at fair value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100,442</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84,287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57,080</w:t>
            </w:r>
          </w:p>
        </w:tc>
        <w:tc>
          <w:tcPr>
            <w:tcW w:w="100" w:type="dxa"/>
            <w:vAlign w:val="bottom"/>
          </w:tcPr>
          <w:p>
            <w:pPr>
              <w:spacing w:after="0"/>
              <w:rPr>
                <w:sz w:val="19"/>
                <w:szCs w:val="19"/>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46,499</w:t>
            </w:r>
          </w:p>
        </w:tc>
        <w:tc>
          <w:tcPr>
            <w:tcW w:w="100" w:type="dxa"/>
            <w:vAlign w:val="bottom"/>
          </w:tcPr>
          <w:p>
            <w:pPr>
              <w:spacing w:after="0"/>
              <w:rPr>
                <w:sz w:val="19"/>
                <w:szCs w:val="19"/>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52,473</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113,082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109,241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70,376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56,880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57,021</w:t>
            </w: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6"/>
                <w:szCs w:val="16"/>
                <w:color w:val="auto"/>
              </w:rPr>
              <w:t>Repurchase agreements and other debt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89,410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75,992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50,653</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41,355</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46,102</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102,041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99,335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61,622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49,524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49,050</w:t>
            </w: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6"/>
                <w:szCs w:val="16"/>
                <w:color w:val="auto"/>
              </w:rPr>
              <w:t>Total stockholders' equity</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11,041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9,906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8,754</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7,356</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7,971</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Net book value per common share </w:t>
            </w:r>
            <w:r>
              <w:rPr>
                <w:rFonts w:ascii="Arial" w:cs="Arial" w:eastAsia="Arial" w:hAnsi="Arial"/>
                <w:sz w:val="21"/>
                <w:szCs w:val="21"/>
                <w:color w:val="auto"/>
                <w:vertAlign w:val="superscript"/>
              </w:rPr>
              <w:t>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18.63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17.54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21.09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21.17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22.59</w:t>
            </w:r>
          </w:p>
        </w:tc>
      </w:tr>
      <w:tr>
        <w:trPr>
          <w:trHeight w:val="311"/>
        </w:trPr>
        <w:tc>
          <w:tcPr>
            <w:tcW w:w="5840" w:type="dxa"/>
            <w:vAlign w:val="bottom"/>
            <w:gridSpan w:val="2"/>
          </w:tcPr>
          <w:p>
            <w:pPr>
              <w:ind w:left="40"/>
              <w:spacing w:after="0"/>
              <w:rPr>
                <w:sz w:val="20"/>
                <w:szCs w:val="20"/>
                <w:color w:val="auto"/>
              </w:rPr>
            </w:pPr>
            <w:r>
              <w:rPr>
                <w:rFonts w:ascii="Arial" w:cs="Arial" w:eastAsia="Arial" w:hAnsi="Arial"/>
                <w:sz w:val="16"/>
                <w:szCs w:val="16"/>
                <w:color w:val="auto"/>
              </w:rPr>
              <w:t xml:space="preserve">Tangible net book value per common share </w:t>
            </w:r>
            <w:r>
              <w:rPr>
                <w:rFonts w:ascii="Arial" w:cs="Arial" w:eastAsia="Arial" w:hAnsi="Arial"/>
                <w:sz w:val="21"/>
                <w:szCs w:val="21"/>
                <w:color w:val="auto"/>
                <w:vertAlign w:val="superscript"/>
              </w:rPr>
              <w:t>2</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17.66</w:t>
            </w:r>
          </w:p>
        </w:tc>
        <w:tc>
          <w:tcPr>
            <w:tcW w:w="1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16.56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19.69</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19.50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N/A</w:t>
            </w:r>
          </w:p>
        </w:tc>
      </w:tr>
      <w:tr>
        <w:trPr>
          <w:trHeight w:val="358"/>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Fiscal Year</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64"/>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Statement of Comprehensive Income Data</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2015</w:t>
            </w:r>
          </w:p>
        </w:tc>
      </w:tr>
      <w:tr>
        <w:trPr>
          <w:trHeight w:val="256"/>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2,842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1,949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1,293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1,321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1,466</w:t>
            </w:r>
          </w:p>
        </w:tc>
      </w:tr>
      <w:tr>
        <w:trPr>
          <w:trHeight w:val="264"/>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2,149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1,173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330</w:t>
            </w:r>
          </w:p>
        </w:tc>
      </w:tr>
      <w:tr>
        <w:trPr>
          <w:trHeight w:val="250"/>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interest income</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693</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776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769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927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1,136</w:t>
            </w:r>
          </w:p>
        </w:tc>
      </w:tr>
      <w:tr>
        <w:trPr>
          <w:trHeight w:val="250"/>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Other gain (loss), net</w:t>
            </w:r>
          </w:p>
        </w:tc>
        <w:tc>
          <w:tcPr>
            <w:tcW w:w="240" w:type="dxa"/>
            <w:vAlign w:val="bottom"/>
          </w:tcPr>
          <w:p>
            <w:pPr>
              <w:spacing w:after="0"/>
              <w:rPr>
                <w:sz w:val="21"/>
                <w:szCs w:val="21"/>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(782)</w:t>
            </w:r>
          </w:p>
        </w:tc>
      </w:tr>
      <w:tr>
        <w:trPr>
          <w:trHeight w:val="270"/>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139</w:t>
            </w:r>
          </w:p>
        </w:tc>
      </w:tr>
      <w:tr>
        <w:trPr>
          <w:trHeight w:val="250"/>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Net income</w:t>
            </w:r>
          </w:p>
        </w:tc>
        <w:tc>
          <w:tcPr>
            <w:tcW w:w="240" w:type="dxa"/>
            <w:vAlign w:val="bottom"/>
          </w:tcPr>
          <w:p>
            <w:pPr>
              <w:spacing w:after="0"/>
              <w:rPr>
                <w:sz w:val="21"/>
                <w:szCs w:val="21"/>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215</w:t>
            </w:r>
          </w:p>
        </w:tc>
      </w:tr>
      <w:tr>
        <w:trPr>
          <w:trHeight w:val="276"/>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Dividends on preferred stock</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r>
      <w:tr>
        <w:trPr>
          <w:trHeight w:val="264"/>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Issuance cost of redeemed preferred stock</w:t>
            </w:r>
          </w:p>
        </w:tc>
        <w:tc>
          <w:tcPr>
            <w:tcW w:w="24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6"/>
        </w:trPr>
        <w:tc>
          <w:tcPr>
            <w:tcW w:w="58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income available to common stockholders</w:t>
            </w: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628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733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595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187</w:t>
            </w:r>
          </w:p>
        </w:tc>
      </w:tr>
      <w:tr>
        <w:trPr>
          <w:trHeight w:val="20"/>
        </w:trPr>
        <w:tc>
          <w:tcPr>
            <w:tcW w:w="58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78"/>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688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771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215</w:t>
            </w:r>
          </w:p>
        </w:tc>
      </w:tr>
      <w:tr>
        <w:trPr>
          <w:trHeight w:val="264"/>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Other comprehensive income (loss), net</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1,040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w:t>
            </w:r>
          </w:p>
        </w:tc>
      </w:tr>
      <w:tr>
        <w:trPr>
          <w:trHeight w:val="256"/>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Comprehensive income (loss)</w:t>
            </w: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1,728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823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r>
      <w:tr>
        <w:trPr>
          <w:trHeight w:val="264"/>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Dividends on preferred stock</w:t>
            </w:r>
          </w:p>
        </w:tc>
        <w:tc>
          <w:tcPr>
            <w:tcW w:w="24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28</w:t>
            </w:r>
          </w:p>
        </w:tc>
      </w:tr>
      <w:tr>
        <w:trPr>
          <w:trHeight w:val="270"/>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Issuance cost of redeemed preferred stock</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96"/>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Comprehensive income (loss) available (attributable) to common stockholders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1,668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785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(309)</w:t>
            </w:r>
          </w:p>
        </w:tc>
      </w:tr>
      <w:tr>
        <w:trPr>
          <w:trHeight w:val="278"/>
        </w:trPr>
        <w:tc>
          <w:tcPr>
            <w:tcW w:w="5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97"/>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Weighted average number of common shares outstanding - basic</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540.6</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441.1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358.6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331.9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348.6</w:t>
            </w:r>
          </w:p>
        </w:tc>
      </w:tr>
      <w:tr>
        <w:trPr>
          <w:trHeight w:val="237"/>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Weighted average number of common shares outstanding - diluted</w:t>
            </w: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541.4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358.7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331.9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348.6</w:t>
            </w:r>
          </w:p>
        </w:tc>
      </w:tr>
      <w:tr>
        <w:trPr>
          <w:trHeight w:val="20"/>
        </w:trPr>
        <w:tc>
          <w:tcPr>
            <w:tcW w:w="58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77"/>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income per common share - basic</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0.21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0.54</w:t>
            </w:r>
          </w:p>
        </w:tc>
      </w:tr>
      <w:tr>
        <w:trPr>
          <w:trHeight w:val="237"/>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income per common share - diluted</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0.54</w:t>
            </w:r>
          </w:p>
        </w:tc>
      </w:tr>
      <w:tr>
        <w:trPr>
          <w:trHeight w:val="20"/>
        </w:trPr>
        <w:tc>
          <w:tcPr>
            <w:tcW w:w="58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77"/>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Comprehensive income (loss) per common share - basic</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0.80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(0.89)</w:t>
            </w:r>
          </w:p>
        </w:tc>
      </w:tr>
      <w:tr>
        <w:trPr>
          <w:trHeight w:val="237"/>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Comprehensive income (loss) per common share - diluted</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0.80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(0.89)</w:t>
            </w:r>
          </w:p>
        </w:tc>
      </w:tr>
      <w:tr>
        <w:trPr>
          <w:trHeight w:val="20"/>
        </w:trPr>
        <w:tc>
          <w:tcPr>
            <w:tcW w:w="58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Dividends declared per common share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2.48</w:t>
            </w: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19"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Other Data (Unaudited) *</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2015</w:t>
            </w:r>
          </w:p>
        </w:tc>
      </w:tr>
      <w:tr>
        <w:trPr>
          <w:trHeight w:val="256"/>
        </w:trPr>
        <w:tc>
          <w:tcPr>
            <w:tcW w:w="56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investment securities - at par</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89,234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60,733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45,198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47,101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51,759</w:t>
            </w:r>
          </w:p>
        </w:tc>
      </w:tr>
      <w:tr>
        <w:trPr>
          <w:trHeight w:val="264"/>
        </w:trPr>
        <w:tc>
          <w:tcPr>
            <w:tcW w:w="5600" w:type="dxa"/>
            <w:vAlign w:val="bottom"/>
            <w:gridSpan w:val="2"/>
          </w:tcPr>
          <w:p>
            <w:pPr>
              <w:ind w:left="40"/>
              <w:spacing w:after="0"/>
              <w:rPr>
                <w:sz w:val="20"/>
                <w:szCs w:val="20"/>
                <w:color w:val="auto"/>
              </w:rPr>
            </w:pPr>
            <w:r>
              <w:rPr>
                <w:rFonts w:ascii="Arial" w:cs="Arial" w:eastAsia="Arial" w:hAnsi="Arial"/>
                <w:sz w:val="14"/>
                <w:szCs w:val="14"/>
                <w:color w:val="auto"/>
              </w:rPr>
              <w:t>Average investment securities - at cost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92,207</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40"/>
              <w:spacing w:after="0"/>
              <w:rPr>
                <w:sz w:val="20"/>
                <w:szCs w:val="20"/>
                <w:color w:val="auto"/>
              </w:rPr>
            </w:pPr>
            <w:r>
              <w:rPr>
                <w:rFonts w:ascii="Arial" w:cs="Arial" w:eastAsia="Arial" w:hAnsi="Arial"/>
                <w:sz w:val="16"/>
                <w:szCs w:val="16"/>
                <w:color w:val="auto"/>
              </w:rPr>
              <w:t>63,348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47,330</w:t>
            </w:r>
          </w:p>
        </w:tc>
        <w:tc>
          <w:tcPr>
            <w:tcW w:w="12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49,268</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40"/>
              <w:spacing w:after="0"/>
              <w:rPr>
                <w:sz w:val="20"/>
                <w:szCs w:val="20"/>
                <w:color w:val="auto"/>
              </w:rPr>
            </w:pPr>
            <w:r>
              <w:rPr>
                <w:rFonts w:ascii="Arial" w:cs="Arial" w:eastAsia="Arial" w:hAnsi="Arial"/>
                <w:sz w:val="16"/>
                <w:szCs w:val="16"/>
                <w:color w:val="auto"/>
              </w:rPr>
              <w:t>54,019</w:t>
            </w:r>
          </w:p>
        </w:tc>
      </w:tr>
      <w:tr>
        <w:trPr>
          <w:trHeight w:val="276"/>
        </w:trPr>
        <w:tc>
          <w:tcPr>
            <w:tcW w:w="56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TBA dollar roll position - at par (as of period end)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7,322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7,152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15,474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10,916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7,295</w:t>
            </w:r>
          </w:p>
        </w:tc>
      </w:tr>
      <w:tr>
        <w:trPr>
          <w:trHeight w:val="264"/>
        </w:trPr>
        <w:tc>
          <w:tcPr>
            <w:tcW w:w="5600" w:type="dxa"/>
            <w:vAlign w:val="bottom"/>
            <w:gridSpan w:val="2"/>
          </w:tcPr>
          <w:p>
            <w:pPr>
              <w:ind w:left="40"/>
              <w:spacing w:after="0"/>
              <w:rPr>
                <w:sz w:val="20"/>
                <w:szCs w:val="20"/>
                <w:color w:val="auto"/>
              </w:rPr>
            </w:pPr>
            <w:r>
              <w:rPr>
                <w:rFonts w:ascii="Arial" w:cs="Arial" w:eastAsia="Arial" w:hAnsi="Arial"/>
                <w:sz w:val="14"/>
                <w:szCs w:val="14"/>
                <w:color w:val="auto"/>
              </w:rPr>
              <w:t>Net TBA dollar roll position - at cost (as of period end)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7,404</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40"/>
              <w:spacing w:after="0"/>
              <w:rPr>
                <w:sz w:val="20"/>
                <w:szCs w:val="20"/>
                <w:color w:val="auto"/>
              </w:rPr>
            </w:pPr>
            <w:r>
              <w:rPr>
                <w:rFonts w:ascii="Arial" w:cs="Arial" w:eastAsia="Arial" w:hAnsi="Arial"/>
                <w:sz w:val="16"/>
                <w:szCs w:val="16"/>
                <w:color w:val="auto"/>
              </w:rPr>
              <w:t>7,252</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15,739</w:t>
            </w:r>
          </w:p>
        </w:tc>
        <w:tc>
          <w:tcPr>
            <w:tcW w:w="12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11,312</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40"/>
              <w:spacing w:after="0"/>
              <w:rPr>
                <w:sz w:val="20"/>
                <w:szCs w:val="20"/>
                <w:color w:val="auto"/>
              </w:rPr>
            </w:pPr>
            <w:r>
              <w:rPr>
                <w:rFonts w:ascii="Arial" w:cs="Arial" w:eastAsia="Arial" w:hAnsi="Arial"/>
                <w:sz w:val="16"/>
                <w:szCs w:val="16"/>
                <w:color w:val="auto"/>
              </w:rPr>
              <w:t>7,430</w:t>
            </w:r>
          </w:p>
        </w:tc>
      </w:tr>
      <w:tr>
        <w:trPr>
          <w:trHeight w:val="276"/>
        </w:trPr>
        <w:tc>
          <w:tcPr>
            <w:tcW w:w="56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TBA dollar roll position - at market value (as of period end)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7,429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7,322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15,742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11,165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7,444</w:t>
            </w:r>
          </w:p>
        </w:tc>
      </w:tr>
      <w:tr>
        <w:trPr>
          <w:trHeight w:val="264"/>
        </w:trPr>
        <w:tc>
          <w:tcPr>
            <w:tcW w:w="5600" w:type="dxa"/>
            <w:vAlign w:val="bottom"/>
            <w:gridSpan w:val="2"/>
          </w:tcPr>
          <w:p>
            <w:pPr>
              <w:ind w:left="40"/>
              <w:spacing w:after="0"/>
              <w:rPr>
                <w:sz w:val="20"/>
                <w:szCs w:val="20"/>
                <w:color w:val="auto"/>
              </w:rPr>
            </w:pPr>
            <w:r>
              <w:rPr>
                <w:rFonts w:ascii="Arial" w:cs="Arial" w:eastAsia="Arial" w:hAnsi="Arial"/>
                <w:sz w:val="14"/>
                <w:szCs w:val="14"/>
                <w:color w:val="auto"/>
              </w:rPr>
              <w:t xml:space="preserve">Net TBA dollar roll position - at carrying value (as of period end) </w:t>
            </w:r>
            <w:r>
              <w:rPr>
                <w:rFonts w:ascii="Arial" w:cs="Arial" w:eastAsia="Arial" w:hAnsi="Arial"/>
                <w:sz w:val="8"/>
                <w:szCs w:val="8"/>
                <w:color w:val="auto"/>
              </w:rPr>
              <w:t>3</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40"/>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40"/>
              <w:spacing w:after="0"/>
              <w:rPr>
                <w:sz w:val="20"/>
                <w:szCs w:val="20"/>
                <w:color w:val="auto"/>
              </w:rPr>
            </w:pPr>
            <w:r>
              <w:rPr>
                <w:rFonts w:ascii="Arial" w:cs="Arial" w:eastAsia="Arial" w:hAnsi="Arial"/>
                <w:sz w:val="16"/>
                <w:szCs w:val="16"/>
                <w:color w:val="auto"/>
              </w:rPr>
              <w:t>14</w:t>
            </w:r>
          </w:p>
        </w:tc>
      </w:tr>
      <w:tr>
        <w:trPr>
          <w:trHeight w:val="276"/>
        </w:trPr>
        <w:tc>
          <w:tcPr>
            <w:tcW w:w="56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net TBA portfolio - at cost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9,262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14,697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16,859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10,329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7,547</w:t>
            </w:r>
          </w:p>
        </w:tc>
      </w:tr>
      <w:tr>
        <w:trPr>
          <w:trHeight w:val="264"/>
        </w:trPr>
        <w:tc>
          <w:tcPr>
            <w:tcW w:w="5600" w:type="dxa"/>
            <w:vAlign w:val="bottom"/>
            <w:gridSpan w:val="2"/>
          </w:tcPr>
          <w:p>
            <w:pPr>
              <w:ind w:left="40"/>
              <w:spacing w:after="0"/>
              <w:rPr>
                <w:sz w:val="20"/>
                <w:szCs w:val="20"/>
                <w:color w:val="auto"/>
              </w:rPr>
            </w:pPr>
            <w:r>
              <w:rPr>
                <w:rFonts w:ascii="Arial" w:cs="Arial" w:eastAsia="Arial" w:hAnsi="Arial"/>
                <w:sz w:val="14"/>
                <w:szCs w:val="14"/>
                <w:color w:val="auto"/>
              </w:rPr>
              <w:t>Average total assets - at fair value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110,112</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40"/>
              <w:spacing w:after="0"/>
              <w:rPr>
                <w:sz w:val="20"/>
                <w:szCs w:val="20"/>
                <w:color w:val="auto"/>
              </w:rPr>
            </w:pPr>
            <w:r>
              <w:rPr>
                <w:rFonts w:ascii="Arial" w:cs="Arial" w:eastAsia="Arial" w:hAnsi="Arial"/>
                <w:sz w:val="16"/>
                <w:szCs w:val="16"/>
                <w:color w:val="auto"/>
              </w:rPr>
              <w:t>79,094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58,727</w:t>
            </w:r>
          </w:p>
        </w:tc>
        <w:tc>
          <w:tcPr>
            <w:tcW w:w="12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56,931</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40"/>
              <w:spacing w:after="0"/>
              <w:rPr>
                <w:sz w:val="20"/>
                <w:szCs w:val="20"/>
                <w:color w:val="auto"/>
              </w:rPr>
            </w:pPr>
            <w:r>
              <w:rPr>
                <w:rFonts w:ascii="Arial" w:cs="Arial" w:eastAsia="Arial" w:hAnsi="Arial"/>
                <w:sz w:val="16"/>
                <w:szCs w:val="16"/>
                <w:color w:val="auto"/>
              </w:rPr>
              <w:t>63,674</w:t>
            </w:r>
          </w:p>
        </w:tc>
      </w:tr>
      <w:tr>
        <w:trPr>
          <w:trHeight w:val="276"/>
        </w:trPr>
        <w:tc>
          <w:tcPr>
            <w:tcW w:w="56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Average repurchase agreements and other debt outstanding </w:t>
            </w:r>
            <w:r>
              <w:rPr>
                <w:rFonts w:ascii="Arial" w:cs="Arial" w:eastAsia="Arial" w:hAnsi="Arial"/>
                <w:sz w:val="8"/>
                <w:szCs w:val="8"/>
                <w:color w:val="auto"/>
              </w:rPr>
              <w:t>4</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86,231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55,592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41,942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44,566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48,641</w:t>
            </w:r>
          </w:p>
        </w:tc>
      </w:tr>
      <w:tr>
        <w:trPr>
          <w:trHeight w:val="264"/>
        </w:trPr>
        <w:tc>
          <w:tcPr>
            <w:tcW w:w="5600" w:type="dxa"/>
            <w:vAlign w:val="bottom"/>
            <w:gridSpan w:val="2"/>
          </w:tcPr>
          <w:p>
            <w:pPr>
              <w:ind w:left="40"/>
              <w:spacing w:after="0"/>
              <w:rPr>
                <w:sz w:val="20"/>
                <w:szCs w:val="20"/>
                <w:color w:val="auto"/>
              </w:rPr>
            </w:pPr>
            <w:r>
              <w:rPr>
                <w:rFonts w:ascii="Arial" w:cs="Arial" w:eastAsia="Arial" w:hAnsi="Arial"/>
                <w:sz w:val="14"/>
                <w:szCs w:val="14"/>
                <w:color w:val="auto"/>
              </w:rPr>
              <w:t xml:space="preserve">Average stockholders' equity </w:t>
            </w:r>
            <w:r>
              <w:rPr>
                <w:rFonts w:ascii="Arial" w:cs="Arial" w:eastAsia="Arial" w:hAnsi="Arial"/>
                <w:sz w:val="8"/>
                <w:szCs w:val="8"/>
                <w:color w:val="auto"/>
              </w:rPr>
              <w:t>5</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10,380</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40"/>
              <w:spacing w:after="0"/>
              <w:rPr>
                <w:sz w:val="20"/>
                <w:szCs w:val="20"/>
                <w:color w:val="auto"/>
              </w:rPr>
            </w:pPr>
            <w:r>
              <w:rPr>
                <w:rFonts w:ascii="Arial" w:cs="Arial" w:eastAsia="Arial" w:hAnsi="Arial"/>
                <w:sz w:val="16"/>
                <w:szCs w:val="16"/>
                <w:color w:val="auto"/>
              </w:rPr>
              <w:t>9,050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7,933</w:t>
            </w:r>
          </w:p>
        </w:tc>
        <w:tc>
          <w:tcPr>
            <w:tcW w:w="12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7,718</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40"/>
              <w:spacing w:after="0"/>
              <w:rPr>
                <w:sz w:val="20"/>
                <w:szCs w:val="20"/>
                <w:color w:val="auto"/>
              </w:rPr>
            </w:pPr>
            <w:r>
              <w:rPr>
                <w:rFonts w:ascii="Arial" w:cs="Arial" w:eastAsia="Arial" w:hAnsi="Arial"/>
                <w:sz w:val="16"/>
                <w:szCs w:val="16"/>
                <w:color w:val="auto"/>
              </w:rPr>
              <w:t>8,817</w:t>
            </w:r>
          </w:p>
        </w:tc>
      </w:tr>
      <w:tr>
        <w:trPr>
          <w:trHeight w:val="276"/>
        </w:trPr>
        <w:tc>
          <w:tcPr>
            <w:tcW w:w="56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Average tangible net book value "at risk" leverage </w:t>
            </w:r>
            <w:r>
              <w:rPr>
                <w:rFonts w:ascii="Arial" w:cs="Arial" w:eastAsia="Arial" w:hAnsi="Arial"/>
                <w:sz w:val="8"/>
                <w:szCs w:val="8"/>
                <w:color w:val="auto"/>
              </w:rPr>
              <w:t>6</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9.7:1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8.3:1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8.0:1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7.5:1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6.4:1</w:t>
            </w:r>
          </w:p>
        </w:tc>
      </w:tr>
      <w:tr>
        <w:trPr>
          <w:trHeight w:val="264"/>
        </w:trPr>
        <w:tc>
          <w:tcPr>
            <w:tcW w:w="5600" w:type="dxa"/>
            <w:vAlign w:val="bottom"/>
            <w:gridSpan w:val="2"/>
          </w:tcPr>
          <w:p>
            <w:pPr>
              <w:ind w:left="40"/>
              <w:spacing w:after="0"/>
              <w:rPr>
                <w:sz w:val="20"/>
                <w:szCs w:val="20"/>
                <w:color w:val="auto"/>
              </w:rPr>
            </w:pPr>
            <w:r>
              <w:rPr>
                <w:rFonts w:ascii="Arial" w:cs="Arial" w:eastAsia="Arial" w:hAnsi="Arial"/>
                <w:sz w:val="14"/>
                <w:szCs w:val="14"/>
                <w:color w:val="auto"/>
              </w:rPr>
              <w:t xml:space="preserve">Tangible net book value "at risk" leverage </w:t>
            </w:r>
            <w:r>
              <w:rPr>
                <w:rFonts w:ascii="Arial" w:cs="Arial" w:eastAsia="Arial" w:hAnsi="Arial"/>
                <w:sz w:val="14"/>
                <w:szCs w:val="14"/>
                <w:i w:val="1"/>
                <w:iCs w:val="1"/>
                <w:color w:val="auto"/>
              </w:rPr>
              <w:t>(as of period end)</w:t>
            </w:r>
            <w:r>
              <w:rPr>
                <w:rFonts w:ascii="Arial" w:cs="Arial" w:eastAsia="Arial" w:hAnsi="Arial"/>
                <w:sz w:val="14"/>
                <w:szCs w:val="14"/>
                <w:color w:val="auto"/>
              </w:rPr>
              <w:t xml:space="preserve"> </w:t>
            </w:r>
            <w:r>
              <w:rPr>
                <w:rFonts w:ascii="Arial" w:cs="Arial" w:eastAsia="Arial" w:hAnsi="Arial"/>
                <w:sz w:val="8"/>
                <w:szCs w:val="8"/>
                <w:color w:val="auto"/>
              </w:rPr>
              <w:t>7</w:t>
            </w:r>
          </w:p>
        </w:tc>
        <w:tc>
          <w:tcPr>
            <w:tcW w:w="240" w:type="dxa"/>
            <w:vAlign w:val="bottom"/>
          </w:tcPr>
          <w:p>
            <w:pPr>
              <w:spacing w:after="0"/>
              <w:rPr>
                <w:sz w:val="22"/>
                <w:szCs w:val="22"/>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9.4:1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140"/>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8.1:1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7.7:1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140"/>
              <w:spacing w:after="0"/>
              <w:rPr>
                <w:sz w:val="20"/>
                <w:szCs w:val="20"/>
                <w:color w:val="auto"/>
              </w:rPr>
            </w:pPr>
            <w:r>
              <w:rPr>
                <w:rFonts w:ascii="Arial" w:cs="Arial" w:eastAsia="Arial" w:hAnsi="Arial"/>
                <w:sz w:val="16"/>
                <w:szCs w:val="16"/>
                <w:color w:val="auto"/>
              </w:rPr>
              <w:t>6.8:1</w:t>
            </w:r>
          </w:p>
        </w:tc>
      </w:tr>
      <w:tr>
        <w:trPr>
          <w:trHeight w:val="276"/>
        </w:trPr>
        <w:tc>
          <w:tcPr>
            <w:tcW w:w="56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Economic return on tangible common equity </w:t>
            </w:r>
            <w:r>
              <w:rPr>
                <w:rFonts w:ascii="Arial" w:cs="Arial" w:eastAsia="Arial" w:hAnsi="Arial"/>
                <w:sz w:val="8"/>
                <w:szCs w:val="8"/>
                <w:color w:val="auto"/>
              </w:rPr>
              <w:t>8</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64"/>
        </w:trPr>
        <w:tc>
          <w:tcPr>
            <w:tcW w:w="5600" w:type="dxa"/>
            <w:vAlign w:val="bottom"/>
            <w:gridSpan w:val="2"/>
          </w:tcPr>
          <w:p>
            <w:pPr>
              <w:ind w:left="40"/>
              <w:spacing w:after="0"/>
              <w:rPr>
                <w:sz w:val="20"/>
                <w:szCs w:val="20"/>
                <w:color w:val="auto"/>
              </w:rPr>
            </w:pPr>
            <w:r>
              <w:rPr>
                <w:rFonts w:ascii="Arial" w:cs="Arial" w:eastAsia="Arial" w:hAnsi="Arial"/>
                <w:sz w:val="14"/>
                <w:szCs w:val="14"/>
                <w:color w:val="auto"/>
              </w:rPr>
              <w:t xml:space="preserve">Expenses % of average total assets </w:t>
            </w:r>
            <w:r>
              <w:rPr>
                <w:rFonts w:ascii="Arial" w:cs="Arial" w:eastAsia="Arial" w:hAnsi="Arial"/>
                <w:sz w:val="8"/>
                <w:szCs w:val="8"/>
                <w:color w:val="auto"/>
              </w:rPr>
              <w:t>9</w:t>
            </w: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0.09 %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0.22 %</w:t>
            </w:r>
          </w:p>
        </w:tc>
      </w:tr>
      <w:tr>
        <w:trPr>
          <w:trHeight w:val="276"/>
        </w:trPr>
        <w:tc>
          <w:tcPr>
            <w:tcW w:w="56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Expenses % of average assets, including average net TBA position </w:t>
            </w:r>
            <w:r>
              <w:rPr>
                <w:rFonts w:ascii="Arial" w:cs="Arial" w:eastAsia="Arial" w:hAnsi="Arial"/>
                <w:sz w:val="8"/>
                <w:szCs w:val="8"/>
                <w:color w:val="auto"/>
              </w:rPr>
              <w:t>9</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0.08 %</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0.20 %</w:t>
            </w:r>
          </w:p>
        </w:tc>
      </w:tr>
      <w:tr>
        <w:trPr>
          <w:trHeight w:val="258"/>
        </w:trPr>
        <w:tc>
          <w:tcPr>
            <w:tcW w:w="5600" w:type="dxa"/>
            <w:vAlign w:val="bottom"/>
            <w:gridSpan w:val="2"/>
          </w:tcPr>
          <w:p>
            <w:pPr>
              <w:ind w:left="40"/>
              <w:spacing w:after="0"/>
              <w:rPr>
                <w:sz w:val="20"/>
                <w:szCs w:val="20"/>
                <w:color w:val="auto"/>
              </w:rPr>
            </w:pPr>
            <w:r>
              <w:rPr>
                <w:rFonts w:ascii="Arial" w:cs="Arial" w:eastAsia="Arial" w:hAnsi="Arial"/>
                <w:sz w:val="14"/>
                <w:szCs w:val="14"/>
                <w:color w:val="auto"/>
              </w:rPr>
              <w:t xml:space="preserve">Expenses % of average stockholders' equity </w:t>
            </w:r>
            <w:r>
              <w:rPr>
                <w:rFonts w:ascii="Arial" w:cs="Arial" w:eastAsia="Arial" w:hAnsi="Arial"/>
                <w:sz w:val="8"/>
                <w:szCs w:val="8"/>
                <w:color w:val="auto"/>
              </w:rPr>
              <w:t>9</w:t>
            </w: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0.80%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0.81 %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0.92%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1.58 %</w:t>
            </w:r>
          </w:p>
        </w:tc>
      </w:tr>
      <w:tr>
        <w:trPr>
          <w:trHeight w:val="127"/>
        </w:trPr>
        <w:tc>
          <w:tcPr>
            <w:tcW w:w="5500" w:type="dxa"/>
            <w:vAlign w:val="bottom"/>
          </w:tcPr>
          <w:p>
            <w:pPr>
              <w:spacing w:after="0"/>
              <w:rPr>
                <w:sz w:val="20"/>
                <w:szCs w:val="20"/>
                <w:color w:val="auto"/>
              </w:rPr>
            </w:pPr>
            <w:r>
              <w:rPr>
                <w:rFonts w:ascii="Arial" w:cs="Arial" w:eastAsia="Arial" w:hAnsi="Arial"/>
                <w:sz w:val="11"/>
                <w:szCs w:val="11"/>
                <w:color w:val="auto"/>
              </w:rPr>
              <w:t>________________________________</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r>
    </w:tbl>
    <w:p>
      <w:pPr>
        <w:ind w:left="340"/>
        <w:spacing w:after="0"/>
        <w:rPr>
          <w:sz w:val="20"/>
          <w:szCs w:val="20"/>
          <w:color w:val="auto"/>
        </w:rPr>
      </w:pPr>
      <w:r>
        <w:rPr>
          <w:rFonts w:ascii="Arial" w:cs="Arial" w:eastAsia="Arial" w:hAnsi="Arial"/>
          <w:sz w:val="14"/>
          <w:szCs w:val="14"/>
          <w:color w:val="auto"/>
        </w:rPr>
        <w:t>* Except as noted below, average numbers for each period are weighted based on days on our books and records.</w:t>
      </w:r>
    </w:p>
    <w:p>
      <w:pPr>
        <w:spacing w:after="0" w:line="1" w:lineRule="exact"/>
        <w:rPr>
          <w:sz w:val="20"/>
          <w:szCs w:val="20"/>
          <w:color w:val="auto"/>
        </w:rPr>
      </w:pPr>
    </w:p>
    <w:p>
      <w:pPr>
        <w:ind w:left="980" w:hanging="648"/>
        <w:spacing w:after="0" w:line="241" w:lineRule="auto"/>
        <w:tabs>
          <w:tab w:leader="none" w:pos="6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Net book value per common share is calculated as total stockholders' equity, less preferred stock liquidation preference, divided by number of common shares outstanding as of period end.</w:t>
      </w: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Tangible net book value per common share excludes goodwill and other intangible assets.</w:t>
      </w:r>
    </w:p>
    <w:p>
      <w:pPr>
        <w:spacing w:after="0" w:line="1" w:lineRule="exact"/>
        <w:rPr>
          <w:rFonts w:ascii="Arial" w:cs="Arial" w:eastAsia="Arial" w:hAnsi="Arial"/>
          <w:sz w:val="14"/>
          <w:szCs w:val="14"/>
          <w:color w:val="auto"/>
        </w:rPr>
      </w:pPr>
    </w:p>
    <w:p>
      <w:pPr>
        <w:ind w:left="980" w:hanging="648"/>
        <w:spacing w:after="0" w:line="241" w:lineRule="auto"/>
        <w:tabs>
          <w:tab w:leader="none" w:pos="6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carrying value of our net TBA position represents the difference between the market value and the cost basis of the TBA contract as of period-end and is reported in derivative assets/(liabilities), at fair value on our accompanying consolidated balances sheets.</w:t>
      </w: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Amount excludes U.S. Treasury repurchase agreements and TBA contracts. Other debt includes debt of consolidated VIEs.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Average stockholders' equity calculated as average month-ended stockholders' equity during the period.</w:t>
      </w:r>
    </w:p>
    <w:p>
      <w:pPr>
        <w:spacing w:after="0" w:line="1" w:lineRule="exact"/>
        <w:rPr>
          <w:rFonts w:ascii="Arial" w:cs="Arial" w:eastAsia="Arial" w:hAnsi="Arial"/>
          <w:sz w:val="14"/>
          <w:szCs w:val="14"/>
          <w:color w:val="auto"/>
        </w:rPr>
      </w:pPr>
    </w:p>
    <w:p>
      <w:pPr>
        <w:ind w:left="980" w:hanging="648"/>
        <w:spacing w:after="0" w:line="241" w:lineRule="auto"/>
        <w:tabs>
          <w:tab w:leader="none" w:pos="6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Average tangible net book value "at risk" leverage is calculated by dividing the sum of daily weighted average mortgage borrowings outstanding (Agency and non-Agency MBS repurchase agreements, other debt and TBA securities (at cost)) for the period by the sum of average stockholders' equity adjusted to exclude goodwill and other intangible assets for the period. Leverage excludes U.S. Treasury repurchase agreements.</w:t>
      </w:r>
    </w:p>
    <w:p>
      <w:pPr>
        <w:spacing w:after="0" w:line="1" w:lineRule="exact"/>
        <w:rPr>
          <w:rFonts w:ascii="Arial" w:cs="Arial" w:eastAsia="Arial" w:hAnsi="Arial"/>
          <w:sz w:val="14"/>
          <w:szCs w:val="14"/>
          <w:color w:val="auto"/>
        </w:rPr>
      </w:pPr>
    </w:p>
    <w:p>
      <w:pPr>
        <w:ind w:left="980" w:right="20" w:hanging="648"/>
        <w:spacing w:after="0" w:line="260" w:lineRule="auto"/>
        <w:tabs>
          <w:tab w:leader="none" w:pos="656" w:val="left"/>
        </w:tabs>
        <w:numPr>
          <w:ilvl w:val="0"/>
          <w:numId w:val="21"/>
        </w:numPr>
        <w:rPr>
          <w:rFonts w:ascii="Arial" w:cs="Arial" w:eastAsia="Arial" w:hAnsi="Arial"/>
          <w:sz w:val="13"/>
          <w:szCs w:val="13"/>
          <w:color w:val="auto"/>
        </w:rPr>
      </w:pPr>
      <w:r>
        <w:rPr>
          <w:rFonts w:ascii="Arial" w:cs="Arial" w:eastAsia="Arial" w:hAnsi="Arial"/>
          <w:sz w:val="13"/>
          <w:szCs w:val="13"/>
          <w:color w:val="auto"/>
        </w:rPr>
        <w:t>"At risk" leverage as of period end is calculated by dividing the sum of mortgage borrowings outstanding and receivable/payable for unsettled investment securities as of period end (at cost) by the sum of total stockholders' equity adjusted to exclude goodwill and other intangible assets as of period end. Leverage excludes U.S. Treasury repurchase agreements.</w:t>
      </w:r>
    </w:p>
    <w:p>
      <w:pPr>
        <w:ind w:left="980" w:hanging="648"/>
        <w:spacing w:after="0" w:line="241" w:lineRule="auto"/>
        <w:tabs>
          <w:tab w:leader="none" w:pos="6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Economic return on tangible common equity represents the sum of the change in tangible net book value per common share and dividends declared per share of common stock during the period over beginning tangible net book value per common share.</w:t>
      </w:r>
    </w:p>
    <w:p>
      <w:pPr>
        <w:ind w:left="980" w:hanging="648"/>
        <w:spacing w:after="0" w:line="246" w:lineRule="auto"/>
        <w:tabs>
          <w:tab w:leader="none" w:pos="6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Expenses for fiscal year 2018 and 2016 have been adjusted to exclude one-time or non-recurring expenses. Fiscal year 2018 adjusted expenses exclude $27 million of non-recurring expenses associated with the sale of MTGE Investment Corp., an entity we previously managed, and corresponding termination of MTGE's management agreement. Excluded amounts include the write-off of our intangible asset associated with our acquisition of the MTGE management agreement and other miscellaneous expenses. Fiscal year 2016 adjusted expenses exclude $9 million of one-time expenses associated with our acquisition of AMM.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Annual Report on Form 10-K. Our MD&amp;A is presented in eight sections:</w:t>
      </w:r>
    </w:p>
    <w:p>
      <w:pPr>
        <w:spacing w:after="0" w:line="3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Summary of Critical Accounting Estimates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Aggregate Contractual Obligations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79"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are an internally managed REIT. We commenced operations on May 20, 2008 following the completion of our initial public offering. Our common stock is traded on The Nasdaq Global Select Market under the symbol "AGNC."</w:t>
      </w:r>
    </w:p>
    <w:p>
      <w:pPr>
        <w:spacing w:after="0" w:line="116"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As a REIT, we are required to distribute annually 90% of our taxable income. As a REIT, we will generally not be subject to U.S. federal or state corporate taxes on our taxable income to the extent that we distribute all our annual taxable income to our stockholders on a timely basis. It is our intention to distribute 100% of our taxable income within the time limits prescribed by the Internal Revenue Code, which may extend into the subsequent taxable year.</w:t>
      </w:r>
    </w:p>
    <w:p>
      <w:pPr>
        <w:spacing w:after="0" w:line="9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invest primarily in Agency RMBS on a leveraged basis. These investments consist of residential mortgage pass-through securities and collateralized mortgage obligations for which the principal and interest payments are guaranteed by a U.S. Government-sponsored enterprise, such as Fannie Mae and Freddie Mac, or by a U.S. Government agency, such as Ginnie Mae. We also invest in other types of mortgage and mortgage-related residential and commercial mortgage-backed securities where repayment of principal and interest is not guaranteed by a GSE or U.S. Government agency and in other investments in, or related to, the housing, mortgage or real estate markets.</w:t>
      </w:r>
    </w:p>
    <w:p>
      <w:pPr>
        <w:spacing w:after="0" w:line="13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Our principal objective is to provide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 We fund our investments primarily through borrowings structured as repurchase agreements.</w:t>
      </w:r>
    </w:p>
    <w:p>
      <w:pPr>
        <w:spacing w:after="0" w:line="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size and composition of our investment portfolio depends on the investment strategies we implement, availability of attractively priced investments, suitable financing to appropriately leverage our investment portfolio and overall market conditions.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Recent Market Impacts</w:t>
      </w:r>
    </w:p>
    <w:p>
      <w:pPr>
        <w:spacing w:after="0" w:line="31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Global equity and bond markets finished fiscal year 2019 on a positive note, as signs of stabilization in global economic growth and prospects of a “Phase 1” trade deal between the U.S. and China emerged. Notwithstanding the strong end to 2019, concerns over slower growth and trade tensions contributed to periods of pronounced interest rate volatility during the year, with the 10-year U.S. Treasury note rate declining from 2.68% at the start of the year to a multi-year low of 1.42%, before closing the year at 1.92%. Many major central banks responded to the growing global growth concerns by lowering short-term rates as well as implementing other forms of monetary policy accommodation during the year.</w:t>
      </w:r>
    </w:p>
    <w:p>
      <w:pPr>
        <w:spacing w:after="0" w:line="11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For its part, the U.S. Federal Reserve pivoted sharply from its campaign of raising short-term interest rates at the end of 2018 and, for the first time since 2008, lowered the federal funds target rate by 25 basis point rate cuts at each of its July, September, and October 2019 meetings. In August 2019, the Fed also suspended the runoff of its U.S. Treasury portfolio and began redeploying up to $20 billion per month of paydowns from its Agency RMBS portfolio into Treasury securities and reinvesting paydowns in excess of $20 billion into Agency RMBS, maintaining a larger balance sheet than the market had previously anticipated. Notwithstanding the Fed’s more accommodative stance, repo rates remained elevated throughout the year compared to other short-term rates, and, in September, disruptions in the repo market led to a large spike in overnight rates. In response, the Fed reinstituted daily open market repurchase operations at the end of the third quarter, thereby adding significant liquidity to the repo market. In October, the Fed announced additional measures to further stabilize the funding markets through monthly purchases of Treasury bills and an increase to its overnight and term open market operations. Together, these actions added in excess of $400 billion of liquidity to the system as of the end of 2019. The Fed also announced that it would continue its monthly U.S. Treasury purchase program and its open market repurchase operations through the first half of 2020. Although specific future Fed actions, including continuation of these or other additional efforts, are uncertain, its actions added stability to the overnight repo markets at the end of December 2019, and, as such, we expect repo funding will return to more normal levels relative to the federal funds rate in 2020.</w:t>
      </w:r>
    </w:p>
    <w:p>
      <w:pPr>
        <w:spacing w:after="0" w:line="11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U.S. equities and other risk assets performed well during the year, reaching new highs as greater central bank accommodation outweighed concerns over global economic weakness. The performance of Agency RMBS, however, was mixed. During the first quarter, Agency RMBS outperformed U.S. Treasury and interest rate swap hedges but underperformed in the second and third quarters due to elevated prepayment concerns and a flattening yield curve. Late in the fourth quarter, the combination of easing trade tensions, increasing monetary accommodation and diminished prepayment concerns resulting from rising interest rates drove mortgage spreads meaningfully tighter and reversed much of the spread widening from the prior two quarters.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15" w:right="239" w:bottom="1440" w:gutter="0" w:footer="0" w:header="0"/>
        </w:sectPr>
      </w:pPr>
    </w:p>
    <w:bookmarkStart w:id="31" w:name="page32"/>
    <w:bookmarkEnd w:id="31"/>
    <w:p>
      <w:pPr>
        <w:jc w:val="both"/>
        <w:ind w:right="20" w:firstLine="405"/>
        <w:spacing w:after="0" w:line="342" w:lineRule="auto"/>
        <w:rPr>
          <w:sz w:val="20"/>
          <w:szCs w:val="20"/>
          <w:color w:val="auto"/>
        </w:rPr>
      </w:pPr>
      <w:r>
        <w:rPr>
          <w:rFonts w:ascii="Arial" w:cs="Arial" w:eastAsia="Arial" w:hAnsi="Arial"/>
          <w:sz w:val="16"/>
          <w:szCs w:val="16"/>
          <w:color w:val="auto"/>
        </w:rPr>
        <w:t>Despite these challenging conditions, our tangible economic return for the year was 18.7%, consisting of a $1.10 increase in tangible net book value per common share and $2.00 of dividends per common for the year. Asset selection and hedge repositioning drove much of our strong performance for the year.</w:t>
      </w:r>
    </w:p>
    <w:p>
      <w:pPr>
        <w:spacing w:after="0" w:line="7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Prepayment risk in the Agency RMBS market increased significantly over the course of the year as interest rates fell. A large percentage of our portfolio, however, consisted of specified Agency RMBS with favorable attributes that reduce the likelihood of prepayment. As a result, these assets meaningfully outperformed other more generic Agency RMBS. In addition, we proactively reduced our holdings of higher coupon, generic Agency RMBS in favor of lower coupon RMBS, which significantly reduced our exposure to faster prepayments while also taking advantage of compelling valuations.</w:t>
      </w:r>
    </w:p>
    <w:p>
      <w:pPr>
        <w:spacing w:after="0" w:line="10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On the hedge side, we increased our interest rate hedges from 77% of our aggregate funding liabilities as of the start of the year to 102% at year-end. We also adjusted the duration and composition of our hedge portfolio, taking advantage of material repricing events in the interest rate swap market during the year. As a result, despite significant interest rate volatility, our duration gap, which is a measure of the mismatch between the interest sensitivity of our assets and liabilities, inclusive of interest rate hedges, remained relatively stable during year and was 0.4 years as of December 31, 2019, compared to 0.2 years as of December 31, 2018. (For additional information regarding our interest rate and spread sensitivity please refer to Item 3. </w:t>
      </w:r>
      <w:r>
        <w:rPr>
          <w:rFonts w:ascii="Arial" w:cs="Arial" w:eastAsia="Arial" w:hAnsi="Arial"/>
          <w:sz w:val="18"/>
          <w:szCs w:val="18"/>
          <w:i w:val="1"/>
          <w:iCs w:val="1"/>
          <w:color w:val="auto"/>
        </w:rPr>
        <w:t>Quantitative and Qualitative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about Market Risk </w:t>
      </w:r>
      <w:r>
        <w:rPr>
          <w:rFonts w:ascii="Arial" w:cs="Arial" w:eastAsia="Arial" w:hAnsi="Arial"/>
          <w:sz w:val="18"/>
          <w:szCs w:val="18"/>
          <w:color w:val="auto"/>
        </w:rPr>
        <w:t>of this Form 10-K.)</w:t>
      </w:r>
    </w:p>
    <w:p>
      <w:pPr>
        <w:spacing w:after="0" w:line="13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Our net spread and dollar roll income (a non-GAAP measure) was $1.97 per common share for the year, compared to $2.40 per common share for 2018. Excluding "catch-up" premium amortization, net spread and dollar roll income was $2.16 per common share for the year, a decline from $2.35 per common share for 2018 largely due to higher funding costs resulting from multiple Fed rate hikes in prior years and persistently elevated repo funding costs during 2019. Our net interest spread, which represents the difference in the yield on our assets (excluding “catch-up” amortization and including TBA securities) and our cost of funds, was 1.18% for 2019, compared to 1.27% for 2018. (For additional information regarding non-GAAP measures and reconciliations to the the most comparable GAAP measure please refer to </w:t>
      </w:r>
      <w:r>
        <w:rPr>
          <w:rFonts w:ascii="Arial" w:cs="Arial" w:eastAsia="Arial" w:hAnsi="Arial"/>
          <w:sz w:val="17"/>
          <w:szCs w:val="17"/>
          <w:i w:val="1"/>
          <w:iCs w:val="1"/>
          <w:color w:val="auto"/>
        </w:rPr>
        <w:t>Results of Operations</w:t>
      </w:r>
      <w:r>
        <w:rPr>
          <w:rFonts w:ascii="Arial" w:cs="Arial" w:eastAsia="Arial" w:hAnsi="Arial"/>
          <w:sz w:val="17"/>
          <w:szCs w:val="17"/>
          <w:color w:val="auto"/>
        </w:rPr>
        <w:t xml:space="preserve"> later within this MD&amp;A.)</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average forecasted portfolio CPR as of December 31, 2019 was 10.8%, an increase from 7.9%, consistent with the decline in longer-term rates. Our actual portfolio CPR averaged 11.4% for the year, an increase from 8.7% for 2018 but well below prepayment rates observed on other generic, higher coupon Agency RMBS. Our tangible net book value "at risk" leverage increased to 9.4x as of December 31, 2019, from 9.0x as of December 31, 2018, and averaged 9.7x for the year, compared to 8.3x for 2018, as Agency RMBS valuations relative to interest rate hedges during the year enhanced our expected risk-adjusted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19"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3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interest rates and prices of generic fixed rate Agency RMBS as of each date presented below:</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 31,</w:t>
            </w: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 31,</w:t>
            </w: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June 30,</w:t>
            </w: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 30,</w:t>
            </w: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 31,</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Dec. 31, 2019</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 xml:space="preserve">Interest Rate/Security Price </w:t>
            </w:r>
            <w:r>
              <w:rPr>
                <w:rFonts w:ascii="Arial" w:cs="Arial" w:eastAsia="Arial" w:hAnsi="Arial"/>
                <w:sz w:val="8"/>
                <w:szCs w:val="8"/>
                <w:b w:val="1"/>
                <w:bCs w:val="1"/>
                <w:color w:val="auto"/>
              </w:rPr>
              <w:t>1</w:t>
            </w:r>
          </w:p>
        </w:tc>
        <w:tc>
          <w:tcPr>
            <w:tcW w:w="100" w:type="dxa"/>
            <w:vAlign w:val="bottom"/>
            <w:vMerge w:val="restart"/>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6"/>
              </w:rPr>
              <w:t>vs</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Dec. 31, 2018</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Target Federal Funds Rate:</w:t>
            </w: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00"/>
              <w:spacing w:after="0"/>
              <w:rPr>
                <w:sz w:val="20"/>
                <w:szCs w:val="20"/>
                <w:color w:val="auto"/>
              </w:rPr>
            </w:pPr>
            <w:r>
              <w:rPr>
                <w:rFonts w:ascii="Arial" w:cs="Arial" w:eastAsia="Arial" w:hAnsi="Arial"/>
                <w:sz w:val="14"/>
                <w:szCs w:val="14"/>
                <w:color w:val="auto"/>
              </w:rPr>
              <w:t>Target Federal Funds Rate - Upper Band</w:t>
            </w: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2.50%</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2.50%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2.50%</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2.00%</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1.75%</w:t>
            </w:r>
          </w:p>
        </w:tc>
        <w:tc>
          <w:tcPr>
            <w:tcW w:w="100" w:type="dxa"/>
            <w:vAlign w:val="bottom"/>
          </w:tcPr>
          <w:p>
            <w:pPr>
              <w:spacing w:after="0"/>
              <w:rPr>
                <w:sz w:val="22"/>
                <w:szCs w:val="22"/>
                <w:color w:val="auto"/>
              </w:rPr>
            </w:pP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-0.75 bps</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LIBOR:</w:t>
            </w: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00"/>
              <w:spacing w:after="0"/>
              <w:rPr>
                <w:sz w:val="20"/>
                <w:szCs w:val="20"/>
                <w:color w:val="auto"/>
              </w:rPr>
            </w:pPr>
            <w:r>
              <w:rPr>
                <w:rFonts w:ascii="Arial" w:cs="Arial" w:eastAsia="Arial" w:hAnsi="Arial"/>
                <w:sz w:val="14"/>
                <w:szCs w:val="14"/>
                <w:color w:val="auto"/>
              </w:rPr>
              <w:t>1-Month</w:t>
            </w: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2.50%</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2.49%</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2.40%</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2.02%</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1.76%</w:t>
            </w:r>
          </w:p>
        </w:tc>
        <w:tc>
          <w:tcPr>
            <w:tcW w:w="100" w:type="dxa"/>
            <w:vAlign w:val="bottom"/>
          </w:tcPr>
          <w:p>
            <w:pPr>
              <w:spacing w:after="0"/>
              <w:rPr>
                <w:sz w:val="22"/>
                <w:szCs w:val="22"/>
                <w:color w:val="auto"/>
              </w:rPr>
            </w:pP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-0.74 bps</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3-Month</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2.81%</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2.60%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2.32%</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2.09%</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1.91%</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-0.90 bps</w:t>
            </w:r>
          </w:p>
        </w:tc>
        <w:tc>
          <w:tcPr>
            <w:tcW w:w="0" w:type="dxa"/>
            <w:vAlign w:val="bottom"/>
          </w:tcPr>
          <w:p>
            <w:pPr>
              <w:spacing w:after="0"/>
              <w:rPr>
                <w:sz w:val="1"/>
                <w:szCs w:val="1"/>
                <w:color w:val="auto"/>
              </w:rPr>
            </w:pPr>
          </w:p>
        </w:tc>
      </w:tr>
      <w:tr>
        <w:trPr>
          <w:trHeight w:val="264"/>
        </w:trPr>
        <w:tc>
          <w:tcPr>
            <w:tcW w:w="4340" w:type="dxa"/>
            <w:vAlign w:val="bottom"/>
            <w:gridSpan w:val="2"/>
          </w:tcPr>
          <w:p>
            <w:pPr>
              <w:ind w:left="40"/>
              <w:spacing w:after="0"/>
              <w:rPr>
                <w:sz w:val="20"/>
                <w:szCs w:val="20"/>
                <w:color w:val="auto"/>
              </w:rPr>
            </w:pPr>
            <w:r>
              <w:rPr>
                <w:rFonts w:ascii="Arial" w:cs="Arial" w:eastAsia="Arial" w:hAnsi="Arial"/>
                <w:sz w:val="14"/>
                <w:szCs w:val="14"/>
                <w:b w:val="1"/>
                <w:bCs w:val="1"/>
                <w:color w:val="auto"/>
              </w:rPr>
              <w:t>U.S. Treasury Security Rate:</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2-Year U.S. Treasury</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2.49%</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2.26%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1.75%</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1.62%</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1.57%</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-0.92 bps</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00"/>
              <w:spacing w:after="0"/>
              <w:rPr>
                <w:sz w:val="20"/>
                <w:szCs w:val="20"/>
                <w:color w:val="auto"/>
              </w:rPr>
            </w:pPr>
            <w:r>
              <w:rPr>
                <w:rFonts w:ascii="Arial" w:cs="Arial" w:eastAsia="Arial" w:hAnsi="Arial"/>
                <w:sz w:val="14"/>
                <w:szCs w:val="14"/>
                <w:color w:val="auto"/>
              </w:rPr>
              <w:t>5-Year U.S. Treasury</w:t>
            </w: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2.51%</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2.23%</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1.77%</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1.54%</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1.69%</w:t>
            </w:r>
          </w:p>
        </w:tc>
        <w:tc>
          <w:tcPr>
            <w:tcW w:w="100" w:type="dxa"/>
            <w:vAlign w:val="bottom"/>
          </w:tcPr>
          <w:p>
            <w:pPr>
              <w:spacing w:after="0"/>
              <w:rPr>
                <w:sz w:val="22"/>
                <w:szCs w:val="22"/>
                <w:color w:val="auto"/>
              </w:rPr>
            </w:pP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-0.82 bps</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10-Year U.S. Treasury</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2.68%</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2.41%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2.01%</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1.66%</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1.92%</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-0.76 bps</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00"/>
              <w:spacing w:after="0"/>
              <w:rPr>
                <w:sz w:val="20"/>
                <w:szCs w:val="20"/>
                <w:color w:val="auto"/>
              </w:rPr>
            </w:pPr>
            <w:r>
              <w:rPr>
                <w:rFonts w:ascii="Arial" w:cs="Arial" w:eastAsia="Arial" w:hAnsi="Arial"/>
                <w:sz w:val="14"/>
                <w:szCs w:val="14"/>
                <w:color w:val="auto"/>
              </w:rPr>
              <w:t>30-Year U.S. Treasury</w:t>
            </w: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3.01%</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2.81%</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2.53%</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2.11%</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2.39%</w:t>
            </w:r>
          </w:p>
        </w:tc>
        <w:tc>
          <w:tcPr>
            <w:tcW w:w="100" w:type="dxa"/>
            <w:vAlign w:val="bottom"/>
          </w:tcPr>
          <w:p>
            <w:pPr>
              <w:spacing w:after="0"/>
              <w:rPr>
                <w:sz w:val="22"/>
                <w:szCs w:val="22"/>
                <w:color w:val="auto"/>
              </w:rPr>
            </w:pP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-0.62 bps</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Interest Rate Swap Rate:</w:t>
            </w: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00"/>
              <w:spacing w:after="0"/>
              <w:rPr>
                <w:sz w:val="20"/>
                <w:szCs w:val="20"/>
                <w:color w:val="auto"/>
              </w:rPr>
            </w:pPr>
            <w:r>
              <w:rPr>
                <w:rFonts w:ascii="Arial" w:cs="Arial" w:eastAsia="Arial" w:hAnsi="Arial"/>
                <w:sz w:val="14"/>
                <w:szCs w:val="14"/>
                <w:color w:val="auto"/>
              </w:rPr>
              <w:t>2-Year Swap</w:t>
            </w: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2.66%</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2.38%</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1.81%</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1.63%</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1.70%</w:t>
            </w:r>
          </w:p>
        </w:tc>
        <w:tc>
          <w:tcPr>
            <w:tcW w:w="100" w:type="dxa"/>
            <w:vAlign w:val="bottom"/>
          </w:tcPr>
          <w:p>
            <w:pPr>
              <w:spacing w:after="0"/>
              <w:rPr>
                <w:sz w:val="22"/>
                <w:szCs w:val="22"/>
                <w:color w:val="auto"/>
              </w:rPr>
            </w:pP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-0.96 bps</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5-Year Swap</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2.57%</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2.28%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1.77%</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1.50%</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1.73%</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-0.84 bps</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00"/>
              <w:spacing w:after="0"/>
              <w:rPr>
                <w:sz w:val="20"/>
                <w:szCs w:val="20"/>
                <w:color w:val="auto"/>
              </w:rPr>
            </w:pPr>
            <w:r>
              <w:rPr>
                <w:rFonts w:ascii="Arial" w:cs="Arial" w:eastAsia="Arial" w:hAnsi="Arial"/>
                <w:sz w:val="14"/>
                <w:szCs w:val="14"/>
                <w:color w:val="auto"/>
              </w:rPr>
              <w:t>10-Year Swap</w:t>
            </w: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2.71%</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2.41%</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1.96%</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1.56%</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1.90%</w:t>
            </w:r>
          </w:p>
        </w:tc>
        <w:tc>
          <w:tcPr>
            <w:tcW w:w="100" w:type="dxa"/>
            <w:vAlign w:val="bottom"/>
          </w:tcPr>
          <w:p>
            <w:pPr>
              <w:spacing w:after="0"/>
              <w:rPr>
                <w:sz w:val="22"/>
                <w:szCs w:val="22"/>
                <w:color w:val="auto"/>
              </w:rPr>
            </w:pP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-0.81 bps</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30-Year Swap</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2.84%</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2.21%</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1.71%</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2.09%</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-0.75 bps</w:t>
            </w:r>
          </w:p>
        </w:tc>
        <w:tc>
          <w:tcPr>
            <w:tcW w:w="0" w:type="dxa"/>
            <w:vAlign w:val="bottom"/>
          </w:tcPr>
          <w:p>
            <w:pPr>
              <w:spacing w:after="0"/>
              <w:rPr>
                <w:sz w:val="1"/>
                <w:szCs w:val="1"/>
                <w:color w:val="auto"/>
              </w:rPr>
            </w:pPr>
          </w:p>
        </w:tc>
      </w:tr>
      <w:tr>
        <w:trPr>
          <w:trHeight w:val="264"/>
        </w:trPr>
        <w:tc>
          <w:tcPr>
            <w:tcW w:w="4340" w:type="dxa"/>
            <w:vAlign w:val="bottom"/>
            <w:gridSpan w:val="2"/>
          </w:tcPr>
          <w:p>
            <w:pPr>
              <w:ind w:left="40"/>
              <w:spacing w:after="0"/>
              <w:rPr>
                <w:sz w:val="20"/>
                <w:szCs w:val="20"/>
                <w:color w:val="auto"/>
              </w:rPr>
            </w:pPr>
            <w:r>
              <w:rPr>
                <w:rFonts w:ascii="Arial" w:cs="Arial" w:eastAsia="Arial" w:hAnsi="Arial"/>
                <w:sz w:val="14"/>
                <w:szCs w:val="14"/>
                <w:b w:val="1"/>
                <w:bCs w:val="1"/>
                <w:color w:val="auto"/>
              </w:rPr>
              <w:t>30-Year Fixed Rate Agency Price:</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$97.54</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$99.55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$100.84</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$101.51</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$101.42</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264"/>
        </w:trPr>
        <w:tc>
          <w:tcPr>
            <w:tcW w:w="4240" w:type="dxa"/>
            <w:vAlign w:val="bottom"/>
          </w:tcPr>
          <w:p>
            <w:pPr>
              <w:ind w:left="200"/>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$99.95</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$101.35</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4"/>
              </w:rPr>
              <w:t>$102.24</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$102.58</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$102.86</w:t>
            </w:r>
          </w:p>
        </w:tc>
        <w:tc>
          <w:tcPr>
            <w:tcW w:w="100" w:type="dxa"/>
            <w:vAlign w:val="bottom"/>
          </w:tcPr>
          <w:p>
            <w:pPr>
              <w:spacing w:after="0"/>
              <w:rPr>
                <w:sz w:val="22"/>
                <w:szCs w:val="22"/>
                <w:color w:val="auto"/>
              </w:rPr>
            </w:pP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$101.94</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$102.86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$103.36</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$103.77</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$104.01</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264"/>
        </w:trPr>
        <w:tc>
          <w:tcPr>
            <w:tcW w:w="4240" w:type="dxa"/>
            <w:vAlign w:val="bottom"/>
          </w:tcPr>
          <w:p>
            <w:pPr>
              <w:ind w:left="200"/>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$103.53</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$104.20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4"/>
              </w:rPr>
              <w:t>$104.49</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$105.29</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$105.29</w:t>
            </w:r>
          </w:p>
        </w:tc>
        <w:tc>
          <w:tcPr>
            <w:tcW w:w="100" w:type="dxa"/>
            <w:vAlign w:val="bottom"/>
          </w:tcPr>
          <w:p>
            <w:pPr>
              <w:spacing w:after="0"/>
              <w:rPr>
                <w:sz w:val="22"/>
                <w:szCs w:val="22"/>
                <w:color w:val="auto"/>
              </w:rPr>
            </w:pP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15-Year Fixed Rate Agency Price:</w:t>
            </w: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200"/>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$97.70</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8"/>
              </w:rPr>
              <w:t>$99.39</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4"/>
              </w:rPr>
              <w:t>$100.67</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$100.85</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$100.91</w:t>
            </w:r>
          </w:p>
        </w:tc>
        <w:tc>
          <w:tcPr>
            <w:tcW w:w="100" w:type="dxa"/>
            <w:vAlign w:val="bottom"/>
          </w:tcPr>
          <w:p>
            <w:pPr>
              <w:spacing w:after="0"/>
              <w:rPr>
                <w:sz w:val="22"/>
                <w:szCs w:val="22"/>
                <w:color w:val="auto"/>
              </w:rPr>
            </w:pP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$99.80</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$100.89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$101.95</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$102.21</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$102.50</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64"/>
        </w:trPr>
        <w:tc>
          <w:tcPr>
            <w:tcW w:w="4240" w:type="dxa"/>
            <w:vAlign w:val="bottom"/>
          </w:tcPr>
          <w:p>
            <w:pPr>
              <w:ind w:left="200"/>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$101.23</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$102.28</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4"/>
              </w:rPr>
              <w:t>$103.20</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$103.42</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$103.69</w:t>
            </w:r>
          </w:p>
        </w:tc>
        <w:tc>
          <w:tcPr>
            <w:tcW w:w="100" w:type="dxa"/>
            <w:vAlign w:val="bottom"/>
          </w:tcPr>
          <w:p>
            <w:pPr>
              <w:spacing w:after="0"/>
              <w:rPr>
                <w:sz w:val="22"/>
                <w:szCs w:val="22"/>
                <w:color w:val="auto"/>
              </w:rPr>
            </w:pP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$102.34</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$103.84</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$104.08</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$104.28</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67"/>
        </w:trPr>
        <w:tc>
          <w:tcPr>
            <w:tcW w:w="4240" w:type="dxa"/>
            <w:vAlign w:val="bottom"/>
          </w:tcPr>
          <w:p>
            <w:pPr>
              <w:spacing w:after="0"/>
              <w:rPr>
                <w:sz w:val="20"/>
                <w:szCs w:val="20"/>
                <w:color w:val="auto"/>
              </w:rPr>
            </w:pPr>
            <w:r>
              <w:rPr>
                <w:rFonts w:ascii="Arial" w:cs="Arial" w:eastAsia="Arial" w:hAnsi="Arial"/>
                <w:sz w:val="11"/>
                <w:szCs w:val="11"/>
                <w:color w:val="auto"/>
              </w:rPr>
              <w:t>________________________________</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660" w:hanging="328"/>
        <w:spacing w:after="0" w:line="273"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Price information is for generic instruments only and is not reflective of our specific portfolio holdings. Price information is as of 3:00 p.m. (EST) on such date and can vary by source. Prices and interest rates in the table above were obtained from Barclays. LIBOR rates were obtained from Bloomberg.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1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2019 and 2018, our investment portfolio consisted of $100.4 billion and $84.3 billion of investment securities, at fair value, respectively, and $7.4 billion and $7.3 billion of TBA securities, at fair value, respectively. The following table is a summary of our investment portfolio as of December 31, 2019 and 2018 (dollars in millions):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2019</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2018</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Investment Portfolio (Includes TBAs)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3"/>
                <w:szCs w:val="13"/>
                <w:color w:val="auto"/>
              </w:rPr>
            </w:pPr>
          </w:p>
        </w:tc>
        <w:tc>
          <w:tcPr>
            <w:tcW w:w="106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Average</w:t>
            </w:r>
          </w:p>
        </w:tc>
        <w:tc>
          <w:tcPr>
            <w:tcW w:w="6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vMerge w:val="restart"/>
          </w:tcPr>
          <w:p>
            <w:pPr>
              <w:spacing w:after="0"/>
              <w:rPr>
                <w:sz w:val="13"/>
                <w:szCs w:val="13"/>
                <w:color w:val="auto"/>
              </w:rPr>
            </w:pPr>
          </w:p>
        </w:tc>
        <w:tc>
          <w:tcPr>
            <w:tcW w:w="106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Average</w:t>
            </w:r>
          </w:p>
        </w:tc>
        <w:tc>
          <w:tcPr>
            <w:tcW w:w="5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Coupon</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Coupon</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Fixed rate Agency RMBS and TBA securities: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40" w:type="dxa"/>
            <w:vAlign w:val="bottom"/>
            <w:gridSpan w:val="2"/>
          </w:tcPr>
          <w:p>
            <w:pPr>
              <w:ind w:left="140"/>
              <w:spacing w:after="0"/>
              <w:rPr>
                <w:sz w:val="20"/>
                <w:szCs w:val="20"/>
                <w:color w:val="auto"/>
              </w:rPr>
            </w:pPr>
            <w:r>
              <w:rPr>
                <w:rFonts w:ascii="Arial" w:cs="Arial" w:eastAsia="Arial" w:hAnsi="Arial"/>
                <w:sz w:val="14"/>
                <w:szCs w:val="14"/>
                <w:color w:val="auto"/>
              </w:rPr>
              <w:t>≤ 15-year:</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74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 15-year RMBS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6,239</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7,386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7,294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 xml:space="preserve">15-year TBA securities, net </w:t>
            </w:r>
            <w:r>
              <w:rPr>
                <w:rFonts w:ascii="Arial" w:cs="Arial" w:eastAsia="Arial" w:hAnsi="Arial"/>
                <w:sz w:val="8"/>
                <w:szCs w:val="8"/>
                <w:color w:val="auto"/>
              </w:rPr>
              <w:t>1</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2,222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2,226</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3,635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3,673</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Total ≤ 15-year</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8,362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8,465</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11,021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10,967</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40" w:type="dxa"/>
            <w:vAlign w:val="bottom"/>
            <w:gridSpan w:val="2"/>
          </w:tcPr>
          <w:p>
            <w:pPr>
              <w:ind w:left="100"/>
              <w:spacing w:after="0"/>
              <w:rPr>
                <w:sz w:val="20"/>
                <w:szCs w:val="20"/>
                <w:color w:val="auto"/>
              </w:rPr>
            </w:pPr>
            <w:r>
              <w:rPr>
                <w:rFonts w:ascii="Arial" w:cs="Arial" w:eastAsia="Arial" w:hAnsi="Arial"/>
                <w:sz w:val="14"/>
                <w:szCs w:val="14"/>
                <w:color w:val="auto"/>
              </w:rPr>
              <w:t>20-year RMBS</w:t>
            </w: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752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773</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3.87%</w:t>
            </w: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778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774</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3.95%</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7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30-year:</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40" w:type="dxa"/>
            <w:vAlign w:val="bottom"/>
            <w:gridSpan w:val="2"/>
          </w:tcPr>
          <w:p>
            <w:pPr>
              <w:ind w:left="280"/>
              <w:spacing w:after="0"/>
              <w:rPr>
                <w:sz w:val="20"/>
                <w:szCs w:val="20"/>
                <w:color w:val="auto"/>
              </w:rPr>
            </w:pPr>
            <w:r>
              <w:rPr>
                <w:rFonts w:ascii="Arial" w:cs="Arial" w:eastAsia="Arial" w:hAnsi="Arial"/>
                <w:sz w:val="14"/>
                <w:szCs w:val="14"/>
                <w:color w:val="auto"/>
              </w:rPr>
              <w:t>30-year RMBS</w:t>
            </w: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89,483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91,062</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3.67%</w:t>
            </w: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74,883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73,685</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3.87%</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30-year TBA securities, net </w:t>
            </w:r>
            <w:r>
              <w:rPr>
                <w:rFonts w:ascii="Arial" w:cs="Arial" w:eastAsia="Arial" w:hAnsi="Arial"/>
                <w:sz w:val="8"/>
                <w:szCs w:val="8"/>
                <w:color w:val="auto"/>
              </w:rPr>
              <w:t>1</w:t>
            </w: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5,182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5,203</w:t>
            </w: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2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3,617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3,649</w:t>
            </w: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4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Total 30-year</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94,665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96,265</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w:t>
            </w:r>
          </w:p>
        </w:tc>
        <w:tc>
          <w:tcPr>
            <w:tcW w:w="1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78,500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77,334</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w:t>
            </w: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fixed rate Agency RMBS and TBA securities</w:t>
            </w: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103,779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105,503</w:t>
            </w:r>
          </w:p>
        </w:tc>
        <w:tc>
          <w:tcPr>
            <w:tcW w:w="1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2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90,299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89,075</w:t>
            </w:r>
          </w:p>
        </w:tc>
        <w:tc>
          <w:tcPr>
            <w:tcW w:w="1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2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40" w:type="dxa"/>
            <w:vAlign w:val="bottom"/>
            <w:gridSpan w:val="2"/>
          </w:tcPr>
          <w:p>
            <w:pPr>
              <w:ind w:left="20"/>
              <w:spacing w:after="0"/>
              <w:rPr>
                <w:sz w:val="20"/>
                <w:szCs w:val="20"/>
                <w:color w:val="auto"/>
              </w:rPr>
            </w:pPr>
            <w:r>
              <w:rPr>
                <w:rFonts w:ascii="Arial" w:cs="Arial" w:eastAsia="Arial" w:hAnsi="Arial"/>
                <w:sz w:val="14"/>
                <w:szCs w:val="14"/>
                <w:color w:val="auto"/>
              </w:rPr>
              <w:t>Adjustable rate Agency RMBS</w:t>
            </w:r>
          </w:p>
        </w:tc>
        <w:tc>
          <w:tcPr>
            <w:tcW w:w="1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3.04%</w:t>
            </w:r>
          </w:p>
        </w:tc>
        <w:tc>
          <w:tcPr>
            <w:tcW w:w="120" w:type="dxa"/>
            <w:vAlign w:val="bottom"/>
          </w:tcPr>
          <w:p>
            <w:pPr>
              <w:spacing w:after="0"/>
              <w:rPr>
                <w:sz w:val="21"/>
                <w:szCs w:val="2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Multifamily</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40" w:type="dxa"/>
            <w:vAlign w:val="bottom"/>
            <w:gridSpan w:val="2"/>
          </w:tcPr>
          <w:p>
            <w:pPr>
              <w:ind w:left="20"/>
              <w:spacing w:after="0"/>
              <w:rPr>
                <w:sz w:val="20"/>
                <w:szCs w:val="20"/>
                <w:color w:val="auto"/>
              </w:rPr>
            </w:pPr>
            <w:r>
              <w:rPr>
                <w:rFonts w:ascii="Arial" w:cs="Arial" w:eastAsia="Arial" w:hAnsi="Arial"/>
                <w:sz w:val="14"/>
                <w:szCs w:val="14"/>
                <w:color w:val="auto"/>
              </w:rPr>
              <w:t>CMO Agency RMBS:</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7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CMO</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583</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40" w:type="dxa"/>
            <w:vAlign w:val="bottom"/>
            <w:gridSpan w:val="2"/>
          </w:tcPr>
          <w:p>
            <w:pPr>
              <w:ind w:left="280"/>
              <w:spacing w:after="0"/>
              <w:rPr>
                <w:sz w:val="20"/>
                <w:szCs w:val="20"/>
                <w:color w:val="auto"/>
              </w:rPr>
            </w:pPr>
            <w:r>
              <w:rPr>
                <w:rFonts w:ascii="Arial" w:cs="Arial" w:eastAsia="Arial" w:hAnsi="Arial"/>
                <w:sz w:val="14"/>
                <w:szCs w:val="14"/>
                <w:color w:val="auto"/>
              </w:rPr>
              <w:t>Interest-only strips</w:t>
            </w: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4.22%</w:t>
            </w:r>
          </w:p>
        </w:tc>
        <w:tc>
          <w:tcPr>
            <w:tcW w:w="12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Principal-only strips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CMO Agency RMBS</w:t>
            </w: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587</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611</w:t>
            </w:r>
          </w:p>
        </w:tc>
        <w:tc>
          <w:tcPr>
            <w:tcW w:w="10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3.48%</w:t>
            </w:r>
          </w:p>
        </w:tc>
        <w:tc>
          <w:tcPr>
            <w:tcW w:w="12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760</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761</w:t>
            </w:r>
          </w:p>
        </w:tc>
        <w:tc>
          <w:tcPr>
            <w:tcW w:w="10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3.21%</w:t>
            </w:r>
          </w:p>
        </w:tc>
        <w:tc>
          <w:tcPr>
            <w:tcW w:w="12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Agency RMBS and TBA securities</w:t>
            </w: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104,563</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106,316</w:t>
            </w:r>
          </w:p>
        </w:tc>
        <w:tc>
          <w:tcPr>
            <w:tcW w:w="1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12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91,271</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90,049</w:t>
            </w:r>
          </w:p>
        </w:tc>
        <w:tc>
          <w:tcPr>
            <w:tcW w:w="1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2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40" w:type="dxa"/>
            <w:vAlign w:val="bottom"/>
            <w:gridSpan w:val="2"/>
          </w:tcPr>
          <w:p>
            <w:pPr>
              <w:ind w:left="20"/>
              <w:spacing w:after="0"/>
              <w:rPr>
                <w:sz w:val="20"/>
                <w:szCs w:val="20"/>
                <w:color w:val="auto"/>
              </w:rPr>
            </w:pPr>
            <w:r>
              <w:rPr>
                <w:rFonts w:ascii="Arial" w:cs="Arial" w:eastAsia="Arial" w:hAnsi="Arial"/>
                <w:sz w:val="14"/>
                <w:szCs w:val="14"/>
                <w:color w:val="auto"/>
              </w:rPr>
              <w:t>Non-Agency RMBS</w:t>
            </w:r>
          </w:p>
        </w:tc>
        <w:tc>
          <w:tcPr>
            <w:tcW w:w="1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4.05%</w:t>
            </w:r>
          </w:p>
        </w:tc>
        <w:tc>
          <w:tcPr>
            <w:tcW w:w="120" w:type="dxa"/>
            <w:vAlign w:val="bottom"/>
          </w:tcPr>
          <w:p>
            <w:pPr>
              <w:spacing w:after="0"/>
              <w:rPr>
                <w:sz w:val="21"/>
                <w:szCs w:val="2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3.83%</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CRT</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976</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1,012</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investment portfolio</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106,074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107,871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92,821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91,609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jc w:val="right"/>
              <w:ind w:right="1848"/>
              <w:spacing w:after="0"/>
              <w:rPr>
                <w:sz w:val="20"/>
                <w:szCs w:val="20"/>
                <w:color w:val="auto"/>
              </w:rPr>
            </w:pPr>
            <w:r>
              <w:rPr>
                <w:rFonts w:ascii="Arial" w:cs="Arial" w:eastAsia="Arial" w:hAnsi="Arial"/>
                <w:sz w:val="11"/>
                <w:szCs w:val="11"/>
                <w:color w:val="auto"/>
                <w:w w:val="87"/>
              </w:rPr>
              <w:t>________________________________</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6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jc w:val="both"/>
        <w:ind w:left="660" w:hanging="328"/>
        <w:spacing w:after="0" w:line="245"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TBA securities are presented net of long and short positions. As of December 31, 2019, 30-year TBA securities consisted of $6.8 billion long and $(1.6) billion short TBA securities (at fair value) at an average coupon of 3.17% and 4.00%, respectively, and 15-year TBA securities consisted of entirely long TBA securities at an average coupon of 2.91%. As of December 31, 2018, 30-year TBA securities consisted of $6.9 billion long and $(3.3) billion short TBA securities at an average coupon of 4.03% and 3.56%, respectively, and 15-year TBA securities consisted entirely of long TBA securities at an average coupon of 3.61%. For further details of our TBA securities held as of each date refer to Note 5 of the accompanying consolidated financial statements.</w:t>
      </w:r>
    </w:p>
    <w:p>
      <w:pPr>
        <w:spacing w:after="0" w:line="14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TBA securities are recorded as derivative instruments in our accompanying consolidated financial statements and our TBA dollar roll transactions represent a form of off-balance sheet financing. As of December 31, 2019 and 2018, our TBA positions had a net carrying value of $25 million and $70 million, respectively, reported in derivative assets /(liabilities) on our accompanying consolidated balance sheets. The net carrying value represents the difference between the fair value of the underlying Agency security in the TBA contract and the contract price to be paid or received for the underlying Agency security.</w:t>
      </w:r>
    </w:p>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2019 and 2018, the weighted average yield on our investment securities (excluding TBA securities) was 3.07% and 3.31%,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15" w:right="239" w:bottom="1440" w:gutter="0" w:footer="0" w:header="0"/>
        </w:sectPr>
      </w:pPr>
    </w:p>
    <w:bookmarkStart w:id="34" w:name="page35"/>
    <w:bookmarkEnd w:id="34"/>
    <w:p>
      <w:pPr>
        <w:ind w:right="20" w:firstLine="432"/>
        <w:spacing w:after="0" w:line="277" w:lineRule="auto"/>
        <w:rPr>
          <w:sz w:val="20"/>
          <w:szCs w:val="20"/>
          <w:color w:val="auto"/>
        </w:rPr>
      </w:pPr>
      <w:r>
        <w:rPr>
          <w:rFonts w:ascii="Arial" w:cs="Arial" w:eastAsia="Arial" w:hAnsi="Arial"/>
          <w:sz w:val="18"/>
          <w:szCs w:val="18"/>
          <w:color w:val="auto"/>
        </w:rPr>
        <w:t>The following tables summarize certain characteristics of our fixed rate Agency RMBS portfolio, inclusive of TBAs, as of December 31, 2019 and 2018 (dollars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2019</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8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Fixed Rate Agency RMBS and TBA</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99"/>
              </w:rPr>
              <w:t>Specified</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Amortized</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22"/>
                <w:szCs w:val="2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71"/>
        </w:trPr>
        <w:tc>
          <w:tcPr>
            <w:tcW w:w="24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6"/>
                <w:szCs w:val="6"/>
                <w:color w:val="auto"/>
              </w:rPr>
            </w:pPr>
          </w:p>
        </w:tc>
        <w:tc>
          <w:tcPr>
            <w:tcW w:w="8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2</w:t>
            </w:r>
          </w:p>
        </w:tc>
        <w:tc>
          <w:tcPr>
            <w:tcW w:w="100" w:type="dxa"/>
            <w:vAlign w:val="bottom"/>
            <w:vMerge w:val="restart"/>
          </w:tcPr>
          <w:p>
            <w:pPr>
              <w:spacing w:after="0"/>
              <w:rPr>
                <w:sz w:val="6"/>
                <w:szCs w:val="6"/>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3</w:t>
            </w:r>
          </w:p>
        </w:tc>
        <w:tc>
          <w:tcPr>
            <w:tcW w:w="100" w:type="dxa"/>
            <w:vAlign w:val="bottom"/>
            <w:vMerge w:val="restart"/>
          </w:tcPr>
          <w:p>
            <w:pPr>
              <w:spacing w:after="0"/>
              <w:rPr>
                <w:sz w:val="6"/>
                <w:szCs w:val="6"/>
                <w:color w:val="auto"/>
              </w:rPr>
            </w:pP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Age (Months)</w:t>
            </w:r>
          </w:p>
        </w:tc>
        <w:tc>
          <w:tcPr>
            <w:tcW w:w="100" w:type="dxa"/>
            <w:vAlign w:val="bottom"/>
            <w:vMerge w:val="restart"/>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xml:space="preserve">Pool % </w:t>
            </w:r>
            <w:r>
              <w:rPr>
                <w:rFonts w:ascii="Arial" w:cs="Arial" w:eastAsia="Arial" w:hAnsi="Arial"/>
                <w:sz w:val="8"/>
                <w:szCs w:val="8"/>
                <w:b w:val="1"/>
                <w:bCs w:val="1"/>
                <w:color w:val="auto"/>
              </w:rPr>
              <w:t>1</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Cost Basis</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320"/>
              <w:spacing w:after="0"/>
              <w:rPr>
                <w:sz w:val="20"/>
                <w:szCs w:val="20"/>
                <w:color w:val="auto"/>
              </w:rPr>
            </w:pPr>
            <w:r>
              <w:rPr>
                <w:rFonts w:ascii="Arial" w:cs="Arial" w:eastAsia="Arial" w:hAnsi="Arial"/>
                <w:sz w:val="14"/>
                <w:szCs w:val="14"/>
                <w:color w:val="auto"/>
              </w:rPr>
              <w:t>≤ 15-year</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1,738</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40%</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101.0%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2.98%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3,041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3,067</w:t>
            </w:r>
          </w:p>
        </w:tc>
        <w:tc>
          <w:tcPr>
            <w:tcW w:w="100" w:type="dxa"/>
            <w:vAlign w:val="bottom"/>
          </w:tcPr>
          <w:p>
            <w:pPr>
              <w:spacing w:after="0"/>
              <w:rPr>
                <w:sz w:val="22"/>
                <w:szCs w:val="22"/>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59%</w:t>
            </w:r>
          </w:p>
        </w:tc>
        <w:tc>
          <w:tcPr>
            <w:tcW w:w="1320" w:type="dxa"/>
            <w:vAlign w:val="bottom"/>
            <w:gridSpan w:val="3"/>
          </w:tcPr>
          <w:p>
            <w:pPr>
              <w:jc w:val="center"/>
              <w:ind w:left="228"/>
              <w:spacing w:after="0"/>
              <w:rPr>
                <w:sz w:val="20"/>
                <w:szCs w:val="20"/>
                <w:color w:val="auto"/>
              </w:rPr>
            </w:pPr>
            <w:r>
              <w:rPr>
                <w:rFonts w:ascii="Arial" w:cs="Arial" w:eastAsia="Arial" w:hAnsi="Arial"/>
                <w:sz w:val="14"/>
                <w:szCs w:val="14"/>
                <w:color w:val="auto"/>
                <w:w w:val="96"/>
              </w:rPr>
              <w:t>101.7%</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3.52%</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2,354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2,401</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71%</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102.2%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1,075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1,135</w:t>
            </w:r>
          </w:p>
        </w:tc>
        <w:tc>
          <w:tcPr>
            <w:tcW w:w="100" w:type="dxa"/>
            <w:vAlign w:val="bottom"/>
          </w:tcPr>
          <w:p>
            <w:pPr>
              <w:spacing w:after="0"/>
              <w:rPr>
                <w:sz w:val="22"/>
                <w:szCs w:val="22"/>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84%</w:t>
            </w:r>
          </w:p>
        </w:tc>
        <w:tc>
          <w:tcPr>
            <w:tcW w:w="1320" w:type="dxa"/>
            <w:vAlign w:val="bottom"/>
            <w:gridSpan w:val="3"/>
          </w:tcPr>
          <w:p>
            <w:pPr>
              <w:jc w:val="center"/>
              <w:ind w:left="228"/>
              <w:spacing w:after="0"/>
              <w:rPr>
                <w:sz w:val="20"/>
                <w:szCs w:val="20"/>
                <w:color w:val="auto"/>
              </w:rPr>
            </w:pPr>
            <w:r>
              <w:rPr>
                <w:rFonts w:ascii="Arial" w:cs="Arial" w:eastAsia="Arial" w:hAnsi="Arial"/>
                <w:sz w:val="14"/>
                <w:szCs w:val="14"/>
                <w:color w:val="auto"/>
                <w:w w:val="96"/>
              </w:rPr>
              <w:t>103.1%</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4.60%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98%</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103.5%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4.87%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111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4"/>
              </w:rPr>
              <w:t>100%</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101.9%</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6.55%</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4.55%</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146</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15%</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8,197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8,362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8,465</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63%</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102.0%</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3.82%</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47</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58"/>
        </w:trPr>
        <w:tc>
          <w:tcPr>
            <w:tcW w:w="2420" w:type="dxa"/>
            <w:vAlign w:val="bottom"/>
            <w:gridSpan w:val="2"/>
          </w:tcPr>
          <w:p>
            <w:pPr>
              <w:ind w:left="28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97%</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103.2%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3.78%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284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22"/>
                <w:szCs w:val="22"/>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81%</w:t>
            </w:r>
          </w:p>
        </w:tc>
        <w:tc>
          <w:tcPr>
            <w:tcW w:w="1320" w:type="dxa"/>
            <w:vAlign w:val="bottom"/>
            <w:gridSpan w:val="3"/>
          </w:tcPr>
          <w:p>
            <w:pPr>
              <w:jc w:val="center"/>
              <w:ind w:left="228"/>
              <w:spacing w:after="0"/>
              <w:rPr>
                <w:sz w:val="20"/>
                <w:szCs w:val="20"/>
                <w:color w:val="auto"/>
              </w:rPr>
            </w:pPr>
            <w:r>
              <w:rPr>
                <w:rFonts w:ascii="Arial" w:cs="Arial" w:eastAsia="Arial" w:hAnsi="Arial"/>
                <w:sz w:val="14"/>
                <w:szCs w:val="14"/>
                <w:color w:val="auto"/>
                <w:w w:val="96"/>
              </w:rPr>
              <w:t>102.0%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4.05%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77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92%</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103.3%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4.45%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2"/>
                <w:szCs w:val="22"/>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4"/>
              </w:rPr>
              <w:t>100%</w:t>
            </w:r>
          </w:p>
        </w:tc>
        <w:tc>
          <w:tcPr>
            <w:tcW w:w="1320" w:type="dxa"/>
            <w:vAlign w:val="bottom"/>
            <w:gridSpan w:val="3"/>
          </w:tcPr>
          <w:p>
            <w:pPr>
              <w:jc w:val="center"/>
              <w:ind w:left="228"/>
              <w:spacing w:after="0"/>
              <w:rPr>
                <w:sz w:val="20"/>
                <w:szCs w:val="20"/>
                <w:color w:val="auto"/>
              </w:rPr>
            </w:pPr>
            <w:r>
              <w:rPr>
                <w:rFonts w:ascii="Arial" w:cs="Arial" w:eastAsia="Arial" w:hAnsi="Arial"/>
                <w:sz w:val="14"/>
                <w:szCs w:val="14"/>
                <w:color w:val="auto"/>
                <w:w w:val="96"/>
              </w:rPr>
              <w:t>104.8%</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5.00%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15%</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center"/>
              <w:ind w:left="8"/>
              <w:spacing w:after="0"/>
              <w:rPr>
                <w:sz w:val="20"/>
                <w:szCs w:val="20"/>
                <w:color w:val="auto"/>
              </w:rPr>
            </w:pPr>
            <w:r>
              <w:rPr>
                <w:rFonts w:ascii="Arial" w:cs="Arial" w:eastAsia="Arial" w:hAnsi="Arial"/>
                <w:sz w:val="14"/>
                <w:szCs w:val="14"/>
                <w:color w:val="auto"/>
                <w:w w:val="98"/>
              </w:rPr>
              <w:t>—%</w:t>
            </w:r>
          </w:p>
        </w:tc>
        <w:tc>
          <w:tcPr>
            <w:tcW w:w="8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105.1%</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5.95%</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141</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18%</w:t>
            </w:r>
          </w:p>
        </w:tc>
        <w:tc>
          <w:tcPr>
            <w:tcW w:w="0" w:type="dxa"/>
            <w:vAlign w:val="bottom"/>
          </w:tcPr>
          <w:p>
            <w:pPr>
              <w:spacing w:after="0"/>
              <w:rPr>
                <w:sz w:val="1"/>
                <w:szCs w:val="1"/>
                <w:color w:val="auto"/>
              </w:rPr>
            </w:pPr>
          </w:p>
        </w:tc>
      </w:tr>
      <w:tr>
        <w:trPr>
          <w:trHeight w:val="250"/>
        </w:trPr>
        <w:tc>
          <w:tcPr>
            <w:tcW w:w="2420" w:type="dxa"/>
            <w:vAlign w:val="bottom"/>
            <w:gridSpan w:val="2"/>
          </w:tcPr>
          <w:p>
            <w:pPr>
              <w:ind w:left="280"/>
              <w:spacing w:after="0"/>
              <w:rPr>
                <w:sz w:val="20"/>
                <w:szCs w:val="20"/>
                <w:color w:val="auto"/>
              </w:rPr>
            </w:pPr>
            <w:r>
              <w:rPr>
                <w:rFonts w:ascii="Arial" w:cs="Arial" w:eastAsia="Arial" w:hAnsi="Arial"/>
                <w:sz w:val="14"/>
                <w:szCs w:val="14"/>
                <w:color w:val="auto"/>
              </w:rPr>
              <w:t>Total 20-year: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773</w:t>
            </w:r>
          </w:p>
        </w:tc>
        <w:tc>
          <w:tcPr>
            <w:tcW w:w="100" w:type="dxa"/>
            <w:vAlign w:val="bottom"/>
          </w:tcPr>
          <w:p>
            <w:pPr>
              <w:spacing w:after="0"/>
              <w:rPr>
                <w:sz w:val="21"/>
                <w:szCs w:val="21"/>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90%</w:t>
            </w:r>
          </w:p>
        </w:tc>
        <w:tc>
          <w:tcPr>
            <w:tcW w:w="1320" w:type="dxa"/>
            <w:vAlign w:val="bottom"/>
            <w:gridSpan w:val="3"/>
          </w:tcPr>
          <w:p>
            <w:pPr>
              <w:jc w:val="center"/>
              <w:ind w:left="228"/>
              <w:spacing w:after="0"/>
              <w:rPr>
                <w:sz w:val="20"/>
                <w:szCs w:val="20"/>
                <w:color w:val="auto"/>
              </w:rPr>
            </w:pPr>
            <w:r>
              <w:rPr>
                <w:rFonts w:ascii="Arial" w:cs="Arial" w:eastAsia="Arial" w:hAnsi="Arial"/>
                <w:sz w:val="14"/>
                <w:szCs w:val="14"/>
                <w:color w:val="auto"/>
                <w:w w:val="96"/>
              </w:rPr>
              <w:t>103.2%</w:t>
            </w:r>
          </w:p>
        </w:tc>
        <w:tc>
          <w:tcPr>
            <w:tcW w:w="1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4.40%</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49</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70"/>
        </w:trPr>
        <w:tc>
          <w:tcPr>
            <w:tcW w:w="2420" w:type="dxa"/>
            <w:vAlign w:val="bottom"/>
            <w:tcBorders>
              <w:top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27,864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28,218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28,252</w:t>
            </w:r>
          </w:p>
        </w:tc>
        <w:tc>
          <w:tcPr>
            <w:tcW w:w="100" w:type="dxa"/>
            <w:vAlign w:val="bottom"/>
          </w:tcPr>
          <w:p>
            <w:pPr>
              <w:spacing w:after="0"/>
              <w:rPr>
                <w:sz w:val="22"/>
                <w:szCs w:val="22"/>
                <w:color w:val="auto"/>
              </w:rPr>
            </w:pPr>
          </w:p>
        </w:tc>
        <w:tc>
          <w:tcPr>
            <w:tcW w:w="820" w:type="dxa"/>
            <w:vAlign w:val="bottom"/>
          </w:tcPr>
          <w:p>
            <w:pPr>
              <w:jc w:val="center"/>
              <w:ind w:left="28"/>
              <w:spacing w:after="0"/>
              <w:rPr>
                <w:sz w:val="20"/>
                <w:szCs w:val="20"/>
                <w:color w:val="auto"/>
              </w:rPr>
            </w:pPr>
            <w:r>
              <w:rPr>
                <w:rFonts w:ascii="Arial" w:cs="Arial" w:eastAsia="Arial" w:hAnsi="Arial"/>
                <w:sz w:val="14"/>
                <w:szCs w:val="14"/>
                <w:color w:val="auto"/>
                <w:w w:val="98"/>
              </w:rPr>
              <w:t>3%</w:t>
            </w:r>
          </w:p>
        </w:tc>
        <w:tc>
          <w:tcPr>
            <w:tcW w:w="1320" w:type="dxa"/>
            <w:vAlign w:val="bottom"/>
            <w:gridSpan w:val="3"/>
          </w:tcPr>
          <w:p>
            <w:pPr>
              <w:jc w:val="center"/>
              <w:ind w:left="228"/>
              <w:spacing w:after="0"/>
              <w:rPr>
                <w:sz w:val="20"/>
                <w:szCs w:val="20"/>
                <w:color w:val="auto"/>
              </w:rPr>
            </w:pPr>
            <w:r>
              <w:rPr>
                <w:rFonts w:ascii="Arial" w:cs="Arial" w:eastAsia="Arial" w:hAnsi="Arial"/>
                <w:sz w:val="14"/>
                <w:szCs w:val="14"/>
                <w:color w:val="auto"/>
                <w:w w:val="96"/>
              </w:rPr>
              <w:t>101.4%</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3.85%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76"/>
              </w:rPr>
              <w:t>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23,760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24,902</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60%</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103.3%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4.05%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26,934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28,062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28,795</w:t>
            </w:r>
          </w:p>
        </w:tc>
        <w:tc>
          <w:tcPr>
            <w:tcW w:w="100" w:type="dxa"/>
            <w:vAlign w:val="bottom"/>
          </w:tcPr>
          <w:p>
            <w:pPr>
              <w:spacing w:after="0"/>
              <w:rPr>
                <w:sz w:val="22"/>
                <w:szCs w:val="22"/>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84%</w:t>
            </w:r>
          </w:p>
        </w:tc>
        <w:tc>
          <w:tcPr>
            <w:tcW w:w="1320" w:type="dxa"/>
            <w:vAlign w:val="bottom"/>
            <w:gridSpan w:val="3"/>
          </w:tcPr>
          <w:p>
            <w:pPr>
              <w:jc w:val="center"/>
              <w:ind w:left="228"/>
              <w:spacing w:after="0"/>
              <w:rPr>
                <w:sz w:val="20"/>
                <w:szCs w:val="20"/>
                <w:color w:val="auto"/>
              </w:rPr>
            </w:pPr>
            <w:r>
              <w:rPr>
                <w:rFonts w:ascii="Arial" w:cs="Arial" w:eastAsia="Arial" w:hAnsi="Arial"/>
                <w:sz w:val="14"/>
                <w:szCs w:val="14"/>
                <w:color w:val="auto"/>
                <w:w w:val="96"/>
              </w:rPr>
              <w:t>104.2%</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4.51%</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13,381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13,831</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93%</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105.1%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4.98%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22"/>
                <w:szCs w:val="22"/>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94%</w:t>
            </w:r>
          </w:p>
        </w:tc>
        <w:tc>
          <w:tcPr>
            <w:tcW w:w="1320" w:type="dxa"/>
            <w:vAlign w:val="bottom"/>
            <w:gridSpan w:val="3"/>
          </w:tcPr>
          <w:p>
            <w:pPr>
              <w:jc w:val="center"/>
              <w:ind w:left="228"/>
              <w:spacing w:after="0"/>
              <w:rPr>
                <w:sz w:val="20"/>
                <w:szCs w:val="20"/>
                <w:color w:val="auto"/>
              </w:rPr>
            </w:pPr>
            <w:r>
              <w:rPr>
                <w:rFonts w:ascii="Arial" w:cs="Arial" w:eastAsia="Arial" w:hAnsi="Arial"/>
                <w:sz w:val="14"/>
                <w:szCs w:val="14"/>
                <w:color w:val="auto"/>
                <w:w w:val="96"/>
              </w:rPr>
              <w:t>108.0%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5.50%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center"/>
              <w:ind w:left="8"/>
              <w:spacing w:after="0"/>
              <w:rPr>
                <w:sz w:val="20"/>
                <w:szCs w:val="20"/>
                <w:color w:val="auto"/>
              </w:rPr>
            </w:pPr>
            <w:r>
              <w:rPr>
                <w:rFonts w:ascii="Arial" w:cs="Arial" w:eastAsia="Arial" w:hAnsi="Arial"/>
                <w:sz w:val="14"/>
                <w:szCs w:val="14"/>
                <w:color w:val="auto"/>
                <w:w w:val="92"/>
              </w:rPr>
              <w:t>49%</w:t>
            </w:r>
          </w:p>
        </w:tc>
        <w:tc>
          <w:tcPr>
            <w:tcW w:w="8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109.6%</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6.18%</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158</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91,731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94,665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96,265</w:t>
            </w: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2"/>
              </w:rPr>
              <w:t>55%</w:t>
            </w: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103.3%</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4.29%</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3.07%</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31</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100,657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103,779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8"/>
              </w:rPr>
              <w:t>105,503</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56%</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103.3%</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4.26%</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3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jc w:val="both"/>
        <w:ind w:left="660" w:hanging="328"/>
        <w:spacing w:after="0" w:line="241"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Specified pools include pools backed by lower balance loans with original loan balances of up to $200K, HARP pools (defined as pools that were issued between May 2009 and December 2018 and backed by 100% refinance loans with original LTVs ≥ 80%), and pools backed by loans 100% originated in New York and Puerto Rico. As of December 31, 2019, lower balance specified pools had a weighted average original loan balance of $115,000 and $118,000 for 15-year and 30-year securities, respectively, and HARP pools had a weighted average original LTV of 119% and 136% for 15-year and 30-year securities, respectively.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based on forward rate assumptions as of December 31, 2019.</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19"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2018</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8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Fixed Rate Agency RMBS and TBA</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99"/>
              </w:rPr>
              <w:t>Specified</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Amortized</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22"/>
                <w:szCs w:val="2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71"/>
        </w:trPr>
        <w:tc>
          <w:tcPr>
            <w:tcW w:w="24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6"/>
                <w:szCs w:val="6"/>
                <w:color w:val="auto"/>
              </w:rPr>
            </w:pPr>
          </w:p>
        </w:tc>
        <w:tc>
          <w:tcPr>
            <w:tcW w:w="8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2</w:t>
            </w:r>
          </w:p>
        </w:tc>
        <w:tc>
          <w:tcPr>
            <w:tcW w:w="100" w:type="dxa"/>
            <w:vAlign w:val="bottom"/>
            <w:vMerge w:val="restart"/>
          </w:tcPr>
          <w:p>
            <w:pPr>
              <w:spacing w:after="0"/>
              <w:rPr>
                <w:sz w:val="6"/>
                <w:szCs w:val="6"/>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3</w:t>
            </w:r>
          </w:p>
        </w:tc>
        <w:tc>
          <w:tcPr>
            <w:tcW w:w="100" w:type="dxa"/>
            <w:vAlign w:val="bottom"/>
            <w:vMerge w:val="restart"/>
          </w:tcPr>
          <w:p>
            <w:pPr>
              <w:spacing w:after="0"/>
              <w:rPr>
                <w:sz w:val="6"/>
                <w:szCs w:val="6"/>
                <w:color w:val="auto"/>
              </w:rPr>
            </w:pP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Age (Months)</w:t>
            </w:r>
          </w:p>
        </w:tc>
        <w:tc>
          <w:tcPr>
            <w:tcW w:w="100" w:type="dxa"/>
            <w:vAlign w:val="bottom"/>
            <w:vMerge w:val="restart"/>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xml:space="preserve">Pool % </w:t>
            </w:r>
            <w:r>
              <w:rPr>
                <w:rFonts w:ascii="Arial" w:cs="Arial" w:eastAsia="Arial" w:hAnsi="Arial"/>
                <w:sz w:val="8"/>
                <w:szCs w:val="8"/>
                <w:b w:val="1"/>
                <w:bCs w:val="1"/>
                <w:color w:val="auto"/>
              </w:rPr>
              <w:t>1</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Cost Basis</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580"/>
              <w:spacing w:after="0"/>
              <w:rPr>
                <w:sz w:val="20"/>
                <w:szCs w:val="20"/>
                <w:color w:val="auto"/>
              </w:rPr>
            </w:pPr>
            <w:r>
              <w:rPr>
                <w:rFonts w:ascii="Arial" w:cs="Arial" w:eastAsia="Arial" w:hAnsi="Arial"/>
                <w:sz w:val="14"/>
                <w:szCs w:val="14"/>
                <w:color w:val="auto"/>
              </w:rPr>
              <w:t>≤ 15-year</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2.5%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1,139</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75%</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101.2%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2.98%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2,651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2,677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2,650</w:t>
            </w:r>
          </w:p>
        </w:tc>
        <w:tc>
          <w:tcPr>
            <w:tcW w:w="100" w:type="dxa"/>
            <w:vAlign w:val="bottom"/>
          </w:tcPr>
          <w:p>
            <w:pPr>
              <w:spacing w:after="0"/>
              <w:rPr>
                <w:sz w:val="22"/>
                <w:szCs w:val="22"/>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75%</w:t>
            </w:r>
          </w:p>
        </w:tc>
        <w:tc>
          <w:tcPr>
            <w:tcW w:w="1320" w:type="dxa"/>
            <w:vAlign w:val="bottom"/>
            <w:gridSpan w:val="3"/>
          </w:tcPr>
          <w:p>
            <w:pPr>
              <w:jc w:val="center"/>
              <w:ind w:left="228"/>
              <w:spacing w:after="0"/>
              <w:rPr>
                <w:sz w:val="20"/>
                <w:szCs w:val="20"/>
                <w:color w:val="auto"/>
              </w:rPr>
            </w:pPr>
            <w:r>
              <w:rPr>
                <w:rFonts w:ascii="Arial" w:cs="Arial" w:eastAsia="Arial" w:hAnsi="Arial"/>
                <w:sz w:val="14"/>
                <w:szCs w:val="14"/>
                <w:color w:val="auto"/>
                <w:w w:val="96"/>
              </w:rPr>
              <w:t>101.7%</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3.51%</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4,498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4,502</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43%</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101.9%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4.07%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2,449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2,509</w:t>
            </w:r>
          </w:p>
        </w:tc>
        <w:tc>
          <w:tcPr>
            <w:tcW w:w="100" w:type="dxa"/>
            <w:vAlign w:val="bottom"/>
          </w:tcPr>
          <w:p>
            <w:pPr>
              <w:spacing w:after="0"/>
              <w:rPr>
                <w:sz w:val="22"/>
                <w:szCs w:val="22"/>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40%</w:t>
            </w:r>
          </w:p>
        </w:tc>
        <w:tc>
          <w:tcPr>
            <w:tcW w:w="1320" w:type="dxa"/>
            <w:vAlign w:val="bottom"/>
            <w:gridSpan w:val="3"/>
          </w:tcPr>
          <w:p>
            <w:pPr>
              <w:jc w:val="center"/>
              <w:ind w:left="228"/>
              <w:spacing w:after="0"/>
              <w:rPr>
                <w:sz w:val="20"/>
                <w:szCs w:val="20"/>
                <w:color w:val="auto"/>
              </w:rPr>
            </w:pPr>
            <w:r>
              <w:rPr>
                <w:rFonts w:ascii="Arial" w:cs="Arial" w:eastAsia="Arial" w:hAnsi="Arial"/>
                <w:sz w:val="14"/>
                <w:szCs w:val="14"/>
                <w:color w:val="auto"/>
                <w:w w:val="96"/>
              </w:rPr>
              <w:t>103.5%</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4.47%</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99%</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104.0%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4.87%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99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4"/>
              </w:rPr>
              <w:t>100%</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102.4%</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6.55%</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4.57%</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134</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10,863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10,967</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54%</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102.0%</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3.82%</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58"/>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80%</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102.0%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4.05%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22"/>
                <w:szCs w:val="22"/>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91%</w:t>
            </w:r>
          </w:p>
        </w:tc>
        <w:tc>
          <w:tcPr>
            <w:tcW w:w="1320" w:type="dxa"/>
            <w:vAlign w:val="bottom"/>
            <w:gridSpan w:val="3"/>
          </w:tcPr>
          <w:p>
            <w:pPr>
              <w:jc w:val="center"/>
              <w:ind w:left="228"/>
              <w:spacing w:after="0"/>
              <w:rPr>
                <w:sz w:val="20"/>
                <w:szCs w:val="20"/>
                <w:color w:val="auto"/>
              </w:rPr>
            </w:pPr>
            <w:r>
              <w:rPr>
                <w:rFonts w:ascii="Arial" w:cs="Arial" w:eastAsia="Arial" w:hAnsi="Arial"/>
                <w:sz w:val="14"/>
                <w:szCs w:val="14"/>
                <w:color w:val="auto"/>
                <w:w w:val="96"/>
              </w:rPr>
              <w:t>103.4%</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4.45%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100%</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105.2%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5.00%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8"/>
              </w:rPr>
              <w:t>—%</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105.7%</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5.94%</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3.34%</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128</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16%</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20-year: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774</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89%</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103.4%</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4.46%</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44</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58"/>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3,108</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8"/>
              </w:rPr>
              <w:t>3%</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100.1%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22,410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23,258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22,496</w:t>
            </w:r>
          </w:p>
        </w:tc>
        <w:tc>
          <w:tcPr>
            <w:tcW w:w="100" w:type="dxa"/>
            <w:vAlign w:val="bottom"/>
          </w:tcPr>
          <w:p>
            <w:pPr>
              <w:spacing w:after="0"/>
              <w:rPr>
                <w:sz w:val="22"/>
                <w:szCs w:val="22"/>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71%</w:t>
            </w:r>
          </w:p>
        </w:tc>
        <w:tc>
          <w:tcPr>
            <w:tcW w:w="1320" w:type="dxa"/>
            <w:vAlign w:val="bottom"/>
            <w:gridSpan w:val="3"/>
          </w:tcPr>
          <w:p>
            <w:pPr>
              <w:jc w:val="center"/>
              <w:ind w:left="228"/>
              <w:spacing w:after="0"/>
              <w:rPr>
                <w:sz w:val="20"/>
                <w:szCs w:val="20"/>
                <w:color w:val="auto"/>
              </w:rPr>
            </w:pPr>
            <w:r>
              <w:rPr>
                <w:rFonts w:ascii="Arial" w:cs="Arial" w:eastAsia="Arial" w:hAnsi="Arial"/>
                <w:sz w:val="14"/>
                <w:szCs w:val="14"/>
                <w:color w:val="auto"/>
                <w:w w:val="96"/>
              </w:rPr>
              <w:t>103.2%</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4.06%</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38,564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38,147</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61%</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103.8%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4.54%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12,777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13,319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13,361</w:t>
            </w:r>
          </w:p>
        </w:tc>
        <w:tc>
          <w:tcPr>
            <w:tcW w:w="100" w:type="dxa"/>
            <w:vAlign w:val="bottom"/>
          </w:tcPr>
          <w:p>
            <w:pPr>
              <w:spacing w:after="0"/>
              <w:rPr>
                <w:sz w:val="22"/>
                <w:szCs w:val="22"/>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69%</w:t>
            </w:r>
          </w:p>
        </w:tc>
        <w:tc>
          <w:tcPr>
            <w:tcW w:w="1320" w:type="dxa"/>
            <w:vAlign w:val="bottom"/>
            <w:gridSpan w:val="3"/>
          </w:tcPr>
          <w:p>
            <w:pPr>
              <w:jc w:val="center"/>
              <w:ind w:left="228"/>
              <w:spacing w:after="0"/>
              <w:rPr>
                <w:sz w:val="20"/>
                <w:szCs w:val="20"/>
                <w:color w:val="auto"/>
              </w:rPr>
            </w:pPr>
            <w:r>
              <w:rPr>
                <w:rFonts w:ascii="Arial" w:cs="Arial" w:eastAsia="Arial" w:hAnsi="Arial"/>
                <w:sz w:val="14"/>
                <w:szCs w:val="14"/>
                <w:color w:val="auto"/>
                <w:w w:val="96"/>
              </w:rPr>
              <w:t>104.7%</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4.99%</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14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117%</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106.8%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5.53%</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2"/>
              </w:rPr>
              <w:t>49%</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110.5%</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6.17%</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3.35%</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147</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50"/>
        </w:trPr>
        <w:tc>
          <w:tcPr>
            <w:tcW w:w="24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75,803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78,500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77,334</w:t>
            </w:r>
          </w:p>
        </w:tc>
        <w:tc>
          <w:tcPr>
            <w:tcW w:w="10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center"/>
              <w:ind w:left="8"/>
              <w:spacing w:after="0"/>
              <w:rPr>
                <w:sz w:val="20"/>
                <w:szCs w:val="20"/>
                <w:color w:val="auto"/>
              </w:rPr>
            </w:pPr>
            <w:r>
              <w:rPr>
                <w:rFonts w:ascii="Arial" w:cs="Arial" w:eastAsia="Arial" w:hAnsi="Arial"/>
                <w:sz w:val="14"/>
                <w:szCs w:val="14"/>
                <w:color w:val="auto"/>
                <w:w w:val="92"/>
              </w:rPr>
              <w:t>63%</w:t>
            </w: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103.6%</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4.41%</w:t>
            </w:r>
          </w:p>
        </w:tc>
        <w:tc>
          <w:tcPr>
            <w:tcW w:w="10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28</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87,418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90,299</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89,075</w:t>
            </w:r>
          </w:p>
        </w:tc>
        <w:tc>
          <w:tcPr>
            <w:tcW w:w="100" w:type="dxa"/>
            <w:vAlign w:val="bottom"/>
          </w:tcPr>
          <w:p>
            <w:pPr>
              <w:spacing w:after="0"/>
              <w:rPr>
                <w:sz w:val="21"/>
                <w:szCs w:val="21"/>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62%</w:t>
            </w:r>
          </w:p>
        </w:tc>
        <w:tc>
          <w:tcPr>
            <w:tcW w:w="1320" w:type="dxa"/>
            <w:vAlign w:val="bottom"/>
            <w:gridSpan w:val="3"/>
          </w:tcPr>
          <w:p>
            <w:pPr>
              <w:jc w:val="center"/>
              <w:ind w:left="228"/>
              <w:spacing w:after="0"/>
              <w:rPr>
                <w:sz w:val="20"/>
                <w:szCs w:val="20"/>
                <w:color w:val="auto"/>
              </w:rPr>
            </w:pPr>
            <w:r>
              <w:rPr>
                <w:rFonts w:ascii="Arial" w:cs="Arial" w:eastAsia="Arial" w:hAnsi="Arial"/>
                <w:sz w:val="14"/>
                <w:szCs w:val="14"/>
                <w:color w:val="auto"/>
                <w:w w:val="96"/>
              </w:rPr>
              <w:t>103.5%</w:t>
            </w:r>
          </w:p>
        </w:tc>
        <w:tc>
          <w:tcPr>
            <w:tcW w:w="1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4.36%</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30</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jc w:val="right"/>
        <w:ind w:left="980" w:hanging="648"/>
        <w:spacing w:after="0" w:line="269" w:lineRule="auto"/>
        <w:tabs>
          <w:tab w:leader="none" w:pos="656" w:val="left"/>
        </w:tabs>
        <w:numPr>
          <w:ilvl w:val="0"/>
          <w:numId w:val="26"/>
        </w:numPr>
        <w:rPr>
          <w:rFonts w:ascii="Arial" w:cs="Arial" w:eastAsia="Arial" w:hAnsi="Arial"/>
          <w:sz w:val="13"/>
          <w:szCs w:val="13"/>
          <w:color w:val="auto"/>
        </w:rPr>
      </w:pPr>
      <w:r>
        <w:rPr>
          <w:rFonts w:ascii="Arial" w:cs="Arial" w:eastAsia="Arial" w:hAnsi="Arial"/>
          <w:sz w:val="13"/>
          <w:szCs w:val="13"/>
          <w:color w:val="auto"/>
        </w:rPr>
        <w:t>See Note 1 of preceding table for specified pool composition. As of December 31, 2018, lower balance specified pools had a weighted average original loan balance of $102,000 and $113,000 for 15-year and 30-year securities, respectively, and HARP pools had a weighted average original LTV of 119% and 136% for 15-year and 30-year securities, respectively.</w:t>
      </w:r>
    </w:p>
    <w:p>
      <w:pPr>
        <w:spacing w:after="0" w:line="1" w:lineRule="exact"/>
        <w:rPr>
          <w:rFonts w:ascii="Arial" w:cs="Arial" w:eastAsia="Arial" w:hAnsi="Arial"/>
          <w:sz w:val="13"/>
          <w:szCs w:val="13"/>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based on forward rate assumptions as of December 31, 2018.</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2019 and 2018, our investments in CRT and non-Agency securities had the following credit ratings: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8"/>
              </w:rPr>
              <w:t>December 31, 2019</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December 31, 2018</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CRT and Non-Agency Security Credit Ratings </w:t>
            </w:r>
            <w:r>
              <w:rPr>
                <w:rFonts w:ascii="Arial" w:cs="Arial" w:eastAsia="Arial" w:hAnsi="Arial"/>
                <w:sz w:val="8"/>
                <w:szCs w:val="8"/>
                <w:b w:val="1"/>
                <w:bCs w:val="1"/>
                <w:color w:val="auto"/>
              </w:rPr>
              <w:t>1</w:t>
            </w:r>
          </w:p>
        </w:tc>
        <w:tc>
          <w:tcPr>
            <w:tcW w:w="2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xml:space="preserve">CRT </w:t>
            </w:r>
            <w:r>
              <w:rPr>
                <w:rFonts w:ascii="Arial" w:cs="Arial" w:eastAsia="Arial" w:hAnsi="Arial"/>
                <w:sz w:val="8"/>
                <w:szCs w:val="8"/>
                <w:b w:val="1"/>
                <w:bCs w:val="1"/>
                <w:color w:val="auto"/>
              </w:rPr>
              <w:t>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RMBS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CMBS</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xml:space="preserve">CRT </w:t>
            </w:r>
            <w:r>
              <w:rPr>
                <w:rFonts w:ascii="Arial" w:cs="Arial" w:eastAsia="Arial" w:hAnsi="Arial"/>
                <w:sz w:val="8"/>
                <w:szCs w:val="8"/>
                <w:b w:val="1"/>
                <w:bCs w:val="1"/>
                <w:color w:val="auto"/>
              </w:rPr>
              <w:t>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CMBS</w:t>
            </w:r>
          </w:p>
        </w:tc>
        <w:tc>
          <w:tcPr>
            <w:tcW w:w="0" w:type="dxa"/>
            <w:vAlign w:val="bottom"/>
          </w:tcPr>
          <w:p>
            <w:pPr>
              <w:spacing w:after="0"/>
              <w:rPr>
                <w:sz w:val="1"/>
                <w:szCs w:val="1"/>
                <w:color w:val="auto"/>
              </w:rPr>
            </w:pPr>
          </w:p>
        </w:tc>
      </w:tr>
      <w:tr>
        <w:trPr>
          <w:trHeight w:val="256"/>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AAA</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64"/>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AA</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214</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76"/>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64"/>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BBB</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76"/>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BB</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B</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453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 Rated</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976</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370</w:t>
            </w:r>
          </w:p>
        </w:tc>
        <w:tc>
          <w:tcPr>
            <w:tcW w:w="2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1,012</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40"/>
              <w:spacing w:after="0"/>
              <w:rPr>
                <w:sz w:val="20"/>
                <w:szCs w:val="20"/>
                <w:color w:val="auto"/>
              </w:rPr>
            </w:pPr>
            <w:r>
              <w:rPr>
                <w:rFonts w:ascii="Arial" w:cs="Arial" w:eastAsia="Arial" w:hAnsi="Arial"/>
                <w:sz w:val="11"/>
                <w:szCs w:val="11"/>
                <w:color w:val="auto"/>
              </w:rPr>
              <w:t>________________________________</w:t>
            </w: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6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20" w:hanging="328"/>
        <w:spacing w:after="0" w:line="241"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the lowest of Standard and Poor's ("S&amp;P"), Moody's, Fitch, DBRS, Kroll Bond Rating Agency ("KBRA") and Morningstar credit ratings, stated in terms of the S&amp;P equivalent rating as of each date.</w:t>
      </w:r>
    </w:p>
    <w:p>
      <w:pPr>
        <w:ind w:left="660" w:hanging="328"/>
        <w:spacing w:after="0" w:line="255"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CRT securities reference the performance of loans underlying Agency RMBS issued by Fannie Mae or Freddie Mac, each of which were subject to Fannie Mae and Freddie Mac's underwriting standards.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941" w:right="239"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b w:val="1"/>
          <w:bCs w:val="1"/>
          <w:color w:val="auto"/>
        </w:rPr>
        <w:t>SUMMARY OF CRITICAL ACCOUNTING ESTIMATES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critical accounting estimates involve estimates that require management to make judgments that are subjective in nature. We rely on our experience and analysis of historical and current market data to arrive at what we believe to be reasonable estimates. Under different conditions, we could report materially different amounts based on such estimates. For additional information regarding our significant accounting policies please refer to Note 2 to the Consolidated Financial Statements included under Item 8 of this Annual Report on Form 10-K.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effective yield on our Agency RMBS and non-Agency securities of high credit quality is highly impacted by our estimate of future prepayments. We accrue interest income based on the outstanding principal amount and their contractual terms and we amortize or accrete premiums and discounts associated with our purchase of these securities into interest income over their projected lives, taking into account scheduled contractual payments and estimated prepayments, using the interest method. The weighted average cost basis of our securities as of December 31, 2019 was 103.3% of par value; therefore, faster actual or projected prepayments could significantly reduce the yield on our assets.</w:t>
      </w:r>
    </w:p>
    <w:p>
      <w:pPr>
        <w:spacing w:after="0" w:line="11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Future prepayment rates are difficult to predict, and we rely on a third-party service provider and our experience and analysis of historical and current market data to arrive at what we believe to be reasonable estimates. Our third-party service provider estimates prepayment speeds using models that incorporate the forward yield curve, current mortgage rates, mortgage rates on the outstanding loans, age and size of the outstanding loans, loan-to-value ratios, interest rate volatility and other factors. We review the prepayment speeds estimated and compare the results to market consensus prepayment speeds, if available. We also consider historical prepayment speeds and current market conditions to validate the reasonableness of the third-party estimates and, based on our judgment, we may adjust the estimates.</w:t>
      </w:r>
    </w:p>
    <w:p>
      <w:pPr>
        <w:spacing w:after="0" w:line="13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review our actual and anticipated prepayment experience on at least a quarterly basis and effective yields are recalculated when differences arise between (i) our previous estimate of future prepayments and (ii) actual prepayments to date and current estimates of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through the reporting date.</w:t>
      </w:r>
    </w:p>
    <w:p>
      <w:pPr>
        <w:spacing w:after="0" w:line="11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The most significant factor impacting prepayment rates on our securities is changes to long-term interest rates. Prepayment rates generally increase when interest rates fall and decrease when interest rates rise. However, there are a variety of other factors that may impact the rate of prepayments on our securities. Consequently, under different conditions, we could report materially different amounts. Item 7A. </w:t>
      </w:r>
      <w:r>
        <w:rPr>
          <w:rFonts w:ascii="Arial" w:cs="Arial" w:eastAsia="Arial" w:hAnsi="Arial"/>
          <w:sz w:val="17"/>
          <w:szCs w:val="17"/>
          <w:i w:val="1"/>
          <w:iCs w:val="1"/>
          <w:color w:val="auto"/>
        </w:rPr>
        <w:t>Quantitative and Qualitative Disclosures About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Market Risk </w:t>
      </w:r>
      <w:r>
        <w:rPr>
          <w:rFonts w:ascii="Arial" w:cs="Arial" w:eastAsia="Arial" w:hAnsi="Arial"/>
          <w:sz w:val="17"/>
          <w:szCs w:val="17"/>
          <w:color w:val="auto"/>
        </w:rPr>
        <w:t>in this Form 10-K includes the estimated change in the weighted average projected CPR of our investments and in the corresponding weighted</w:t>
      </w:r>
      <w:r>
        <w:rPr>
          <w:rFonts w:ascii="Arial" w:cs="Arial" w:eastAsia="Arial" w:hAnsi="Arial"/>
          <w:sz w:val="17"/>
          <w:szCs w:val="17"/>
          <w:i w:val="1"/>
          <w:iCs w:val="1"/>
          <w:color w:val="auto"/>
        </w:rPr>
        <w:t xml:space="preserve"> </w:t>
      </w:r>
      <w:r>
        <w:rPr>
          <w:rFonts w:ascii="Arial" w:cs="Arial" w:eastAsia="Arial" w:hAnsi="Arial"/>
          <w:sz w:val="17"/>
          <w:szCs w:val="17"/>
          <w:color w:val="auto"/>
        </w:rPr>
        <w:t>average yield on our investments should interest rates instantaneously go up or down by 50 and 100 basis points.</w:t>
      </w:r>
    </w:p>
    <w:p>
      <w:pPr>
        <w:spacing w:after="0" w:line="1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At the time we purchase non-Agency securities that are not of high credit quality, we determine an effective interest rate based on our estimate of the timing and amount of cash flows and our cost basis. On at least a quarterly basis, we review the estimated cash flows and make appropriate adjustments, based on input and analysis received from external sources, internal models, and our judgment about interest rates, prepayment rates, timing and amount of estimated credit losses, and other factors. Any resulting changes in effective yield are recognized prospectively based on the current amortized cost of the investment as adjusted for credit impairment, if 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to the results presented in accordance with GAAP, our results of operations discussed below include certain non-GAAP financial information, including "economic interest income," "economic interest expense," "net spread and dollar roll income," "net spread and dollar roll income, excluding 'catch-up' premium amortization," "estimated taxable income" and the related per common share measures and certain financial metrics derived from such non-GAAP information, such as "cost of funds" and "net interest spread."</w:t>
      </w:r>
    </w:p>
    <w:p>
      <w:pPr>
        <w:spacing w:after="0" w:line="133"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"Economic interest income" is measured as interest income (GAAP measure), adjusted (i) to exclude "catch-up" premium amortization associated with changes in CPR estimates and (ii) to include TBA dollar roll implied interest income. "Economic interest expense" is measured as interest expense (GAAP measure) adjusted to include TBA dollar roll implied interest expense and interest rate swap periodic income/(cost). "Net spread and dollar roll income, excluding "catch-up" premium amortization" includes (i) the components of economic interest income and economic interest expense and other interest and dividend income (referred to as "adjusted net interest and dollar roll income"), less (ii) total operating expenses (GAAP measure), net of management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15" w:right="2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fee income (GAAP measure), adjusted, as applicable, to exclude one-time expenses and termination fee income recognized in connection with MTGE's termination of its management agreement due to the sale of MTGE to a third-party.</w:t>
      </w:r>
    </w:p>
    <w:p>
      <w:pPr>
        <w:spacing w:after="0" w:line="1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w:t>
      </w:r>
    </w:p>
    <w:p>
      <w:pPr>
        <w:spacing w:after="0" w:line="13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Specifically, in the case of "adjusted net interest and dollar roll income," we believe the inclusion of TBA dollar roll income is meaningful as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in "economic interest expense" is meaningful as interest rate swaps are the primary instrument we use to economically hedge against fluctuations in our borrowing costs and it is more indicative of our total cost of funds than interest expense alone. In the case of "economic interest income" and "net spread and dollar roll income, excluding 'catch-up' premium amortization," we believe the exclusion of "catch-up" adjustments to premium amortization cost or benefit is meaningful as it excludes the cumulative effect from prior reporting periods due to current changes in future prepayment expectations and, therefore, exclusion of such cost or benefit is more indicative of the current earnings potential of our investment portfolio. In the case of estimated taxable income, we believe it is meaningful information because it directly relates to the amount of dividends we are required to distribute to maintain our REIT qualification status.</w:t>
      </w:r>
    </w:p>
    <w:p>
      <w:pPr>
        <w:spacing w:after="0" w:line="12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Interest Income and Asset Yields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following table summarizes our economic interest income (a non-GAAP measure) for fiscal years 2019, 2018 and 2017, which includes the combination of interest income (a GAAP measure) on our holdings reported as investment securities on our consolidated balance sheets, adjusted to exclude estimated "catch-up" premium amortization adjustments for the cumulative effect from prior reporting periods of changes in our CPR forecast, and implied interest income on our TBA securities (dollars in millions):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Fiscal Year 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Fiscal Year 2018</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Fiscal Year 2017</w:t>
            </w:r>
          </w:p>
        </w:tc>
      </w:tr>
      <w:tr>
        <w:trPr>
          <w:trHeight w:val="264"/>
        </w:trPr>
        <w:tc>
          <w:tcPr>
            <w:tcW w:w="5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ind w:left="320"/>
              <w:spacing w:after="0"/>
              <w:rPr>
                <w:sz w:val="20"/>
                <w:szCs w:val="20"/>
                <w:color w:val="auto"/>
              </w:rPr>
            </w:pPr>
            <w:r>
              <w:rPr>
                <w:rFonts w:ascii="Arial" w:cs="Arial" w:eastAsia="Arial" w:hAnsi="Arial"/>
                <w:sz w:val="14"/>
                <w:szCs w:val="14"/>
                <w:b w:val="1"/>
                <w:bCs w:val="1"/>
                <w:color w:val="auto"/>
              </w:rPr>
              <w:t>Yield</w:t>
            </w:r>
          </w:p>
        </w:tc>
        <w:tc>
          <w:tcPr>
            <w:tcW w:w="16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ind w:left="320"/>
              <w:spacing w:after="0"/>
              <w:rPr>
                <w:sz w:val="20"/>
                <w:szCs w:val="20"/>
                <w:color w:val="auto"/>
              </w:rPr>
            </w:pPr>
            <w:r>
              <w:rPr>
                <w:rFonts w:ascii="Arial" w:cs="Arial" w:eastAsia="Arial" w:hAnsi="Arial"/>
                <w:sz w:val="14"/>
                <w:szCs w:val="14"/>
                <w:b w:val="1"/>
                <w:bCs w:val="1"/>
                <w:color w:val="auto"/>
              </w:rPr>
              <w:t>Yield</w:t>
            </w:r>
          </w:p>
        </w:tc>
        <w:tc>
          <w:tcPr>
            <w:tcW w:w="16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980" w:type="dxa"/>
            <w:vAlign w:val="bottom"/>
          </w:tcPr>
          <w:p>
            <w:pPr>
              <w:jc w:val="right"/>
              <w:ind w:right="268"/>
              <w:spacing w:after="0"/>
              <w:rPr>
                <w:sz w:val="20"/>
                <w:szCs w:val="20"/>
                <w:color w:val="auto"/>
              </w:rPr>
            </w:pPr>
            <w:r>
              <w:rPr>
                <w:rFonts w:ascii="Arial" w:cs="Arial" w:eastAsia="Arial" w:hAnsi="Arial"/>
                <w:sz w:val="14"/>
                <w:szCs w:val="14"/>
                <w:b w:val="1"/>
                <w:bCs w:val="1"/>
                <w:color w:val="auto"/>
              </w:rPr>
              <w:t>Yield</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16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r>
      <w:tr>
        <w:trPr>
          <w:trHeight w:val="264"/>
        </w:trPr>
        <w:tc>
          <w:tcPr>
            <w:tcW w:w="5160" w:type="dxa"/>
            <w:vAlign w:val="bottom"/>
          </w:tcPr>
          <w:p>
            <w:pPr>
              <w:ind w:left="120"/>
              <w:spacing w:after="0"/>
              <w:rPr>
                <w:sz w:val="20"/>
                <w:szCs w:val="20"/>
                <w:color w:val="auto"/>
              </w:rPr>
            </w:pPr>
            <w:r>
              <w:rPr>
                <w:rFonts w:ascii="Arial" w:cs="Arial" w:eastAsia="Arial" w:hAnsi="Arial"/>
                <w:sz w:val="14"/>
                <w:szCs w:val="14"/>
                <w:color w:val="auto"/>
              </w:rPr>
              <w:t>Cash/coupon interest income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3,443</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3.84 %</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2,280</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3.76 %</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1,671</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3.70 %</w:t>
            </w:r>
          </w:p>
        </w:tc>
      </w:tr>
      <w:tr>
        <w:trPr>
          <w:trHeight w:val="270"/>
        </w:trPr>
        <w:tc>
          <w:tcPr>
            <w:tcW w:w="5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premium amortization</w:t>
            </w: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(601)</w:t>
            </w:r>
          </w:p>
        </w:tc>
        <w:tc>
          <w:tcPr>
            <w:tcW w:w="1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(331)</w:t>
            </w:r>
          </w:p>
        </w:tc>
        <w:tc>
          <w:tcPr>
            <w:tcW w:w="1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(378)</w:t>
            </w:r>
          </w:p>
        </w:tc>
        <w:tc>
          <w:tcPr>
            <w:tcW w:w="1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(0.97)%</w:t>
            </w:r>
          </w:p>
        </w:tc>
      </w:tr>
      <w:tr>
        <w:trPr>
          <w:trHeight w:val="250"/>
        </w:trPr>
        <w:tc>
          <w:tcPr>
            <w:tcW w:w="5160" w:type="dxa"/>
            <w:vAlign w:val="bottom"/>
          </w:tcPr>
          <w:p>
            <w:pPr>
              <w:ind w:left="40"/>
              <w:spacing w:after="0"/>
              <w:rPr>
                <w:sz w:val="20"/>
                <w:szCs w:val="20"/>
                <w:color w:val="auto"/>
              </w:rPr>
            </w:pPr>
            <w:r>
              <w:rPr>
                <w:rFonts w:ascii="Arial" w:cs="Arial" w:eastAsia="Arial" w:hAnsi="Arial"/>
                <w:sz w:val="14"/>
                <w:szCs w:val="14"/>
                <w:color w:val="auto"/>
              </w:rPr>
              <w:t>Interest income (GAAP measure)</w:t>
            </w:r>
          </w:p>
        </w:tc>
        <w:tc>
          <w:tcPr>
            <w:tcW w:w="160" w:type="dxa"/>
            <w:vAlign w:val="bottom"/>
          </w:tcPr>
          <w:p>
            <w:pPr>
              <w:spacing w:after="0"/>
              <w:rPr>
                <w:sz w:val="21"/>
                <w:szCs w:val="21"/>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2,842</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3.08 %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1,949</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3.08 %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1,293</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2.73 %</w:t>
            </w:r>
          </w:p>
        </w:tc>
      </w:tr>
      <w:tr>
        <w:trPr>
          <w:trHeight w:val="163"/>
        </w:trPr>
        <w:tc>
          <w:tcPr>
            <w:tcW w:w="5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Estimated "catch-up" premium amortization cost (benefit) due to change in CPR</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8"/>
        </w:trPr>
        <w:tc>
          <w:tcPr>
            <w:tcW w:w="5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forecast</w:t>
            </w: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0.11 %</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0.08 %</w:t>
            </w:r>
          </w:p>
        </w:tc>
      </w:tr>
      <w:tr>
        <w:trPr>
          <w:trHeight w:val="250"/>
        </w:trPr>
        <w:tc>
          <w:tcPr>
            <w:tcW w:w="5160" w:type="dxa"/>
            <w:vAlign w:val="bottom"/>
          </w:tcPr>
          <w:p>
            <w:pPr>
              <w:ind w:left="40"/>
              <w:spacing w:after="0"/>
              <w:rPr>
                <w:sz w:val="20"/>
                <w:szCs w:val="20"/>
                <w:color w:val="auto"/>
              </w:rPr>
            </w:pPr>
            <w:r>
              <w:rPr>
                <w:rFonts w:ascii="Arial" w:cs="Arial" w:eastAsia="Arial" w:hAnsi="Arial"/>
                <w:sz w:val="14"/>
                <w:szCs w:val="14"/>
                <w:color w:val="auto"/>
              </w:rPr>
              <w:t>Interest income, excluding "catch-up" premium amortization</w:t>
            </w:r>
          </w:p>
        </w:tc>
        <w:tc>
          <w:tcPr>
            <w:tcW w:w="160" w:type="dxa"/>
            <w:vAlign w:val="bottom"/>
          </w:tcPr>
          <w:p>
            <w:pPr>
              <w:spacing w:after="0"/>
              <w:rPr>
                <w:sz w:val="21"/>
                <w:szCs w:val="21"/>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2,946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3.19 %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1,926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3.04 %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1,330</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2.81 %</w:t>
            </w:r>
          </w:p>
        </w:tc>
      </w:tr>
      <w:tr>
        <w:trPr>
          <w:trHeight w:val="270"/>
        </w:trPr>
        <w:tc>
          <w:tcPr>
            <w:tcW w:w="5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 xml:space="preserve">TBA dollar roll income - implied interest income </w:t>
            </w:r>
            <w:r>
              <w:rPr>
                <w:rFonts w:ascii="Arial" w:cs="Arial" w:eastAsia="Arial" w:hAnsi="Arial"/>
                <w:sz w:val="8"/>
                <w:szCs w:val="8"/>
                <w:color w:val="auto"/>
              </w:rPr>
              <w:t>1,2</w:t>
            </w: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306</w:t>
            </w:r>
          </w:p>
        </w:tc>
        <w:tc>
          <w:tcPr>
            <w:tcW w:w="1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3.30 %</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3.40 %</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493</w:t>
            </w:r>
          </w:p>
        </w:tc>
        <w:tc>
          <w:tcPr>
            <w:tcW w:w="1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2.92 %</w:t>
            </w:r>
          </w:p>
        </w:tc>
      </w:tr>
      <w:tr>
        <w:trPr>
          <w:trHeight w:val="283"/>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w w:val="97"/>
              </w:rPr>
              <w:t xml:space="preserve">Economic interest income, excluding "catch-up" amortization (non-GAAP measure) </w:t>
            </w:r>
            <w:r>
              <w:rPr>
                <w:rFonts w:ascii="Arial" w:cs="Arial" w:eastAsia="Arial" w:hAnsi="Arial"/>
                <w:sz w:val="8"/>
                <w:szCs w:val="8"/>
                <w:color w:val="auto"/>
                <w:w w:val="97"/>
              </w:rPr>
              <w:t>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3,252</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3.20 %</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2,426</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3.11 %</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1,823</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2.84 %</w:t>
            </w:r>
          </w:p>
        </w:tc>
      </w:tr>
      <w:tr>
        <w:trPr>
          <w:trHeight w:val="264"/>
        </w:trPr>
        <w:tc>
          <w:tcPr>
            <w:tcW w:w="5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157"/>
        </w:trPr>
        <w:tc>
          <w:tcPr>
            <w:tcW w:w="5160" w:type="dxa"/>
            <w:vAlign w:val="bottom"/>
          </w:tcPr>
          <w:p>
            <w:pPr>
              <w:ind w:left="40"/>
              <w:spacing w:after="0" w:line="157" w:lineRule="exact"/>
              <w:rPr>
                <w:sz w:val="20"/>
                <w:szCs w:val="20"/>
                <w:color w:val="auto"/>
              </w:rPr>
            </w:pPr>
            <w:r>
              <w:rPr>
                <w:rFonts w:ascii="Arial" w:cs="Arial" w:eastAsia="Arial" w:hAnsi="Arial"/>
                <w:sz w:val="14"/>
                <w:szCs w:val="14"/>
                <w:color w:val="auto"/>
              </w:rPr>
              <w:t>Weighted average actual portfolio CPR for investment securities held during the</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8"/>
        </w:trPr>
        <w:tc>
          <w:tcPr>
            <w:tcW w:w="5160" w:type="dxa"/>
            <w:vAlign w:val="bottom"/>
          </w:tcPr>
          <w:p>
            <w:pPr>
              <w:ind w:left="40"/>
              <w:spacing w:after="0"/>
              <w:rPr>
                <w:sz w:val="20"/>
                <w:szCs w:val="20"/>
                <w:color w:val="auto"/>
              </w:rPr>
            </w:pPr>
            <w:r>
              <w:rPr>
                <w:rFonts w:ascii="Arial" w:cs="Arial" w:eastAsia="Arial" w:hAnsi="Arial"/>
                <w:sz w:val="14"/>
                <w:szCs w:val="14"/>
                <w:color w:val="auto"/>
              </w:rPr>
              <w:t>period</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63"/>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Weighted average projected CPR for the remaining life of investment securities held</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9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 of period end</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 xml:space="preserve">Average 30-year fixed rate mortgage rate as of period end </w:t>
            </w:r>
            <w:r>
              <w:rPr>
                <w:rFonts w:ascii="Arial" w:cs="Arial" w:eastAsia="Arial" w:hAnsi="Arial"/>
                <w:sz w:val="8"/>
                <w:szCs w:val="8"/>
                <w:color w:val="auto"/>
              </w:rPr>
              <w:t>4</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3.74%</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4.55%</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3.99%</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10-year U.S. Treasury rate as of period end</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115"/>
        </w:trPr>
        <w:tc>
          <w:tcPr>
            <w:tcW w:w="5160" w:type="dxa"/>
            <w:vAlign w:val="bottom"/>
          </w:tcPr>
          <w:p>
            <w:pPr>
              <w:ind w:left="60"/>
              <w:spacing w:after="0" w:line="115" w:lineRule="exact"/>
              <w:rPr>
                <w:sz w:val="20"/>
                <w:szCs w:val="20"/>
                <w:color w:val="auto"/>
              </w:rPr>
            </w:pPr>
            <w:r>
              <w:rPr>
                <w:rFonts w:ascii="Arial" w:cs="Arial" w:eastAsia="Arial" w:hAnsi="Arial"/>
                <w:sz w:val="11"/>
                <w:szCs w:val="11"/>
                <w:color w:val="auto"/>
              </w:rPr>
              <w:t>________________________________</w:t>
            </w: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r>
    </w:tbl>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Reported in gain (loss) on derivatives instruments and other securities, net in the accompanying consolidated statements of operations.</w:t>
      </w:r>
    </w:p>
    <w:p>
      <w:pPr>
        <w:spacing w:after="0" w:line="1" w:lineRule="exact"/>
        <w:rPr>
          <w:rFonts w:ascii="Arial" w:cs="Arial" w:eastAsia="Arial" w:hAnsi="Arial"/>
          <w:sz w:val="14"/>
          <w:szCs w:val="14"/>
          <w:color w:val="auto"/>
        </w:rPr>
      </w:pPr>
    </w:p>
    <w:p>
      <w:pPr>
        <w:jc w:val="both"/>
        <w:ind w:left="660" w:hanging="328"/>
        <w:spacing w:after="0" w:line="246"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Implied interest income from TBA dollar roll transactions is computed as the sum of (i) TBA dollar roll income and (ii) estimated TBA implied funding cost (see </w:t>
      </w:r>
      <w:r>
        <w:rPr>
          <w:rFonts w:ascii="Arial" w:cs="Arial" w:eastAsia="Arial" w:hAnsi="Arial"/>
          <w:sz w:val="14"/>
          <w:szCs w:val="14"/>
          <w:i w:val="1"/>
          <w:iCs w:val="1"/>
          <w:color w:val="auto"/>
        </w:rPr>
        <w:t>Economic Interest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Expense and Aggregate Cost of Funds </w:t>
      </w:r>
      <w:r>
        <w:rPr>
          <w:rFonts w:ascii="Arial" w:cs="Arial" w:eastAsia="Arial" w:hAnsi="Arial"/>
          <w:sz w:val="14"/>
          <w:szCs w:val="14"/>
          <w:color w:val="auto"/>
        </w:rPr>
        <w:t>below). TBA dollar roll income represents the price differential, or "price drop," between the TBA price for current month settlement versus the</w:t>
      </w:r>
      <w:r>
        <w:rPr>
          <w:rFonts w:ascii="Arial" w:cs="Arial" w:eastAsia="Arial" w:hAnsi="Arial"/>
          <w:sz w:val="14"/>
          <w:szCs w:val="14"/>
          <w:i w:val="1"/>
          <w:iCs w:val="1"/>
          <w:color w:val="auto"/>
        </w:rPr>
        <w:t xml:space="preserve"> </w:t>
      </w:r>
      <w:r>
        <w:rPr>
          <w:rFonts w:ascii="Arial" w:cs="Arial" w:eastAsia="Arial" w:hAnsi="Arial"/>
          <w:sz w:val="14"/>
          <w:szCs w:val="14"/>
          <w:color w:val="auto"/>
        </w:rPr>
        <w:t>TBA price for forward month settlement and is the economic equivalent to interest income on the underlying Agency securities, less an implied funding cost, over the forward settlement period. Amount is net of TBAs used for hedging purposes. Amount excludes TBA mark-to-market adjustments.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19" w:right="239" w:bottom="1440" w:gutter="0" w:footer="0" w:header="0"/>
        </w:sectPr>
      </w:pPr>
    </w:p>
    <w:bookmarkStart w:id="38" w:name="page39"/>
    <w:bookmarkEnd w:id="38"/>
    <w:p>
      <w:pPr>
        <w:ind w:left="660" w:hanging="328"/>
        <w:spacing w:after="0"/>
        <w:tabs>
          <w:tab w:leader="none" w:pos="6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combined asset yield is calculated on a weighted average basis based on our average investment and TBA balances outstanding during the period and their respective yields.</w:t>
      </w:r>
    </w:p>
    <w:p>
      <w:pPr>
        <w:spacing w:after="0" w:line="24" w:lineRule="exact"/>
        <w:rPr>
          <w:rFonts w:ascii="Arial" w:cs="Arial" w:eastAsia="Arial" w:hAnsi="Arial"/>
          <w:sz w:val="13"/>
          <w:szCs w:val="13"/>
          <w:color w:val="auto"/>
        </w:rPr>
      </w:pP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Source: Freddie Mac Primary Fixed Mortgage Rate Mortgage Market Survey</w:t>
      </w:r>
    </w:p>
    <w:p>
      <w:pPr>
        <w:spacing w:after="0" w:line="1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principal elements impacting our economic interest income are the size of our average investment portfolio and the yield (actual and implied) on our securities. The following table includes a summary of the estimated impact of each of these elements on our economic interest income for fiscal years 2019 and 2018 compared to the corresponding prior year period (in millions):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the Principal Elements Impacting Economic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Due to Change in Average</w:t>
            </w:r>
          </w:p>
        </w:tc>
        <w:tc>
          <w:tcPr>
            <w:tcW w:w="0" w:type="dxa"/>
            <w:vAlign w:val="bottom"/>
          </w:tcPr>
          <w:p>
            <w:pPr>
              <w:spacing w:after="0"/>
              <w:rPr>
                <w:sz w:val="1"/>
                <w:szCs w:val="1"/>
                <w:color w:val="auto"/>
              </w:rPr>
            </w:pPr>
          </w:p>
        </w:tc>
      </w:tr>
      <w:tr>
        <w:trPr>
          <w:trHeight w:val="153"/>
        </w:trPr>
        <w:tc>
          <w:tcPr>
            <w:tcW w:w="6640" w:type="dxa"/>
            <w:vAlign w:val="bottom"/>
            <w:vMerge w:val="restart"/>
          </w:tcPr>
          <w:p>
            <w:pPr>
              <w:ind w:left="2560"/>
              <w:spacing w:after="0"/>
              <w:rPr>
                <w:sz w:val="20"/>
                <w:szCs w:val="20"/>
                <w:color w:val="auto"/>
              </w:rPr>
            </w:pPr>
            <w:r>
              <w:rPr>
                <w:rFonts w:ascii="Arial" w:cs="Arial" w:eastAsia="Arial" w:hAnsi="Arial"/>
                <w:sz w:val="14"/>
                <w:szCs w:val="14"/>
                <w:b w:val="1"/>
                <w:bCs w:val="1"/>
                <w:color w:val="auto"/>
              </w:rPr>
              <w:t>Fiscal Year 2019 vs. 2018</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Total Increase /</w:t>
            </w:r>
          </w:p>
        </w:tc>
        <w:tc>
          <w:tcPr>
            <w:tcW w:w="280" w:type="dxa"/>
            <w:vAlign w:val="bottom"/>
          </w:tcPr>
          <w:p>
            <w:pPr>
              <w:spacing w:after="0"/>
              <w:rPr>
                <w:sz w:val="13"/>
                <w:szCs w:val="13"/>
                <w:color w:val="auto"/>
              </w:rPr>
            </w:pPr>
          </w:p>
        </w:tc>
        <w:tc>
          <w:tcPr>
            <w:tcW w:w="130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Portfolio</w:t>
            </w:r>
          </w:p>
        </w:tc>
        <w:tc>
          <w:tcPr>
            <w:tcW w:w="340" w:type="dxa"/>
            <w:vAlign w:val="bottom"/>
          </w:tcPr>
          <w:p>
            <w:pPr>
              <w:spacing w:after="0"/>
              <w:rPr>
                <w:sz w:val="13"/>
                <w:szCs w:val="13"/>
                <w:color w:val="auto"/>
              </w:rPr>
            </w:pPr>
          </w:p>
        </w:tc>
        <w:tc>
          <w:tcPr>
            <w:tcW w:w="1120" w:type="dxa"/>
            <w:vAlign w:val="bottom"/>
          </w:tcPr>
          <w:p>
            <w:pPr>
              <w:jc w:val="right"/>
              <w:ind w:right="488"/>
              <w:spacing w:after="0" w:line="153" w:lineRule="exact"/>
              <w:rPr>
                <w:sz w:val="20"/>
                <w:szCs w:val="20"/>
                <w:color w:val="auto"/>
              </w:rPr>
            </w:pPr>
            <w:r>
              <w:rPr>
                <w:rFonts w:ascii="Arial" w:cs="Arial" w:eastAsia="Arial" w:hAnsi="Arial"/>
                <w:sz w:val="14"/>
                <w:szCs w:val="14"/>
                <w:b w:val="1"/>
                <w:bCs w:val="1"/>
                <w:color w:val="auto"/>
              </w:rPr>
              <w:t>Asset</w:t>
            </w:r>
          </w:p>
        </w:tc>
        <w:tc>
          <w:tcPr>
            <w:tcW w:w="0" w:type="dxa"/>
            <w:vAlign w:val="bottom"/>
          </w:tcPr>
          <w:p>
            <w:pPr>
              <w:spacing w:after="0"/>
              <w:rPr>
                <w:sz w:val="1"/>
                <w:szCs w:val="1"/>
                <w:color w:val="auto"/>
              </w:rPr>
            </w:pPr>
          </w:p>
        </w:tc>
      </w:tr>
      <w:tr>
        <w:trPr>
          <w:trHeight w:val="192"/>
        </w:trPr>
        <w:tc>
          <w:tcPr>
            <w:tcW w:w="66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(Decrease)</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Size</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250"/>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Interest Income (GAAP measure)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893</w:t>
            </w:r>
          </w:p>
        </w:tc>
        <w:tc>
          <w:tcPr>
            <w:tcW w:w="1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888</w:t>
            </w:r>
          </w:p>
        </w:tc>
        <w:tc>
          <w:tcPr>
            <w:tcW w:w="10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0"/>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Estimated "catch-up" premium amortization due to change in CPR forecast</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50"/>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Interest income, excluding "catch-up" premium amortization</w:t>
            </w:r>
          </w:p>
        </w:tc>
        <w:tc>
          <w:tcPr>
            <w:tcW w:w="1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1,020</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888</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70"/>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TBA dollar roll income - implied interest income</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83"/>
        </w:trPr>
        <w:tc>
          <w:tcPr>
            <w:tcW w:w="67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Economic interest income, excluding "catch-up" amortization (non-GAAP measure)</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826</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64"/>
        </w:trPr>
        <w:tc>
          <w:tcPr>
            <w:tcW w:w="6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Due to Change in Average</w:t>
            </w:r>
          </w:p>
        </w:tc>
        <w:tc>
          <w:tcPr>
            <w:tcW w:w="0" w:type="dxa"/>
            <w:vAlign w:val="bottom"/>
          </w:tcPr>
          <w:p>
            <w:pPr>
              <w:spacing w:after="0"/>
              <w:rPr>
                <w:sz w:val="1"/>
                <w:szCs w:val="1"/>
                <w:color w:val="auto"/>
              </w:rPr>
            </w:pPr>
          </w:p>
        </w:tc>
      </w:tr>
      <w:tr>
        <w:trPr>
          <w:trHeight w:val="153"/>
        </w:trPr>
        <w:tc>
          <w:tcPr>
            <w:tcW w:w="6640" w:type="dxa"/>
            <w:vAlign w:val="bottom"/>
            <w:vMerge w:val="restart"/>
          </w:tcPr>
          <w:p>
            <w:pPr>
              <w:ind w:left="2560"/>
              <w:spacing w:after="0"/>
              <w:rPr>
                <w:sz w:val="20"/>
                <w:szCs w:val="20"/>
                <w:color w:val="auto"/>
              </w:rPr>
            </w:pPr>
            <w:r>
              <w:rPr>
                <w:rFonts w:ascii="Arial" w:cs="Arial" w:eastAsia="Arial" w:hAnsi="Arial"/>
                <w:sz w:val="14"/>
                <w:szCs w:val="14"/>
                <w:b w:val="1"/>
                <w:bCs w:val="1"/>
                <w:color w:val="auto"/>
              </w:rPr>
              <w:t>Fiscal Year 2018 vs. 2017</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Total Increase /</w:t>
            </w:r>
          </w:p>
        </w:tc>
        <w:tc>
          <w:tcPr>
            <w:tcW w:w="280" w:type="dxa"/>
            <w:vAlign w:val="bottom"/>
          </w:tcPr>
          <w:p>
            <w:pPr>
              <w:spacing w:after="0"/>
              <w:rPr>
                <w:sz w:val="13"/>
                <w:szCs w:val="13"/>
                <w:color w:val="auto"/>
              </w:rPr>
            </w:pPr>
          </w:p>
        </w:tc>
        <w:tc>
          <w:tcPr>
            <w:tcW w:w="130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Portfolio</w:t>
            </w:r>
          </w:p>
        </w:tc>
        <w:tc>
          <w:tcPr>
            <w:tcW w:w="340" w:type="dxa"/>
            <w:vAlign w:val="bottom"/>
          </w:tcPr>
          <w:p>
            <w:pPr>
              <w:spacing w:after="0"/>
              <w:rPr>
                <w:sz w:val="13"/>
                <w:szCs w:val="13"/>
                <w:color w:val="auto"/>
              </w:rPr>
            </w:pPr>
          </w:p>
        </w:tc>
        <w:tc>
          <w:tcPr>
            <w:tcW w:w="1120" w:type="dxa"/>
            <w:vAlign w:val="bottom"/>
          </w:tcPr>
          <w:p>
            <w:pPr>
              <w:jc w:val="right"/>
              <w:ind w:right="488"/>
              <w:spacing w:after="0" w:line="153" w:lineRule="exact"/>
              <w:rPr>
                <w:sz w:val="20"/>
                <w:szCs w:val="20"/>
                <w:color w:val="auto"/>
              </w:rPr>
            </w:pPr>
            <w:r>
              <w:rPr>
                <w:rFonts w:ascii="Arial" w:cs="Arial" w:eastAsia="Arial" w:hAnsi="Arial"/>
                <w:sz w:val="14"/>
                <w:szCs w:val="14"/>
                <w:b w:val="1"/>
                <w:bCs w:val="1"/>
                <w:color w:val="auto"/>
              </w:rPr>
              <w:t>Asset</w:t>
            </w:r>
          </w:p>
        </w:tc>
        <w:tc>
          <w:tcPr>
            <w:tcW w:w="0" w:type="dxa"/>
            <w:vAlign w:val="bottom"/>
          </w:tcPr>
          <w:p>
            <w:pPr>
              <w:spacing w:after="0"/>
              <w:rPr>
                <w:sz w:val="1"/>
                <w:szCs w:val="1"/>
                <w:color w:val="auto"/>
              </w:rPr>
            </w:pPr>
          </w:p>
        </w:tc>
      </w:tr>
      <w:tr>
        <w:trPr>
          <w:trHeight w:val="192"/>
        </w:trPr>
        <w:tc>
          <w:tcPr>
            <w:tcW w:w="66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(Decrease)</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Size</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250"/>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Interest Income (GAAP measure)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656</w:t>
            </w:r>
          </w:p>
        </w:tc>
        <w:tc>
          <w:tcPr>
            <w:tcW w:w="1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270"/>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Estimated "catch-up" premium amortization due to change in CPR forecast</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50"/>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Interest income, excluding "catch-up" premium amortization</w:t>
            </w:r>
          </w:p>
        </w:tc>
        <w:tc>
          <w:tcPr>
            <w:tcW w:w="1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596</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70"/>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TBA dollar roll income - implied interest income</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Economic interest income, excluding "catch-up" amortization (non-GAAP measure)</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603</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Our average investment portfolio, inclusive of TBAs, increased 30% and 22% (at cost) for fiscal years 2019 and 2018, respectively, compared to the corresponding prior year period, largely as a function of deploying net proceeds from equity capital raises into incremental assets and increases to our tangible net book value "at risk" leverage ratio. The annual increases in our average asset yield, excluding "catch-up" amortization and including TBAs, over the corresponding prior year period was largely due to changes in asset composition. During each of 2019 and 2018, we increased our holdings of 30-year fixed rate securities relative to lower coupon, 15-year fixed rate securities. During 2019, the increase in our average portfolio coupon was partly offset by an increase in premium amortization expense associated with lower long-term interest rates and correspondingly faster CPR projections; whereas, during 2018, asset yields benefited from higher rates and correspondingly lower CPR projections, compared to the prior year period.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8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primary measure of leverage is our tangible net book value "at risk" leverage ratio, which is measured as the sum of our repurchase agreements and other debt used to fund our investment securities and net TBA position (at cost) (together referred to as "mortgage borrowings") and our net receivable/payable for unsettled investment securities, divided by our total stockholders' equity adjusted to exclude goodwill and other intangible assets.</w:t>
      </w:r>
    </w:p>
    <w:p>
      <w:pPr>
        <w:spacing w:after="0" w:line="9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for further discussion of TBA securities and dollar roll transactions). Repurchase agreements used to fund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U.S. Treasury securities ("U.S. Treasury repo") are excluded from our measure of leverage due to the temporary and highly liquid nature of these investments.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53" w:right="239" w:bottom="1440" w:gutter="0" w:footer="0" w:header="0"/>
        </w:sectPr>
      </w:pPr>
    </w:p>
    <w:bookmarkStart w:id="39" w:name="page40"/>
    <w:bookmarkEnd w:id="39"/>
    <w:p>
      <w:pPr>
        <w:ind w:firstLine="405"/>
        <w:spacing w:after="0" w:line="277" w:lineRule="auto"/>
        <w:rPr>
          <w:sz w:val="20"/>
          <w:szCs w:val="20"/>
          <w:color w:val="auto"/>
        </w:rPr>
      </w:pPr>
      <w:r>
        <w:rPr>
          <w:rFonts w:ascii="Arial" w:cs="Arial" w:eastAsia="Arial" w:hAnsi="Arial"/>
          <w:sz w:val="18"/>
          <w:szCs w:val="18"/>
          <w:color w:val="auto"/>
        </w:rPr>
        <w:t>Our tangible net book value "at risk" leverage ratio was 9.4x, 9.0x and 8.1x as of December 31, 2019, 2018 and 2017, respectively. The table below presents a summary of our leverage ratios for the periods listed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0" w:type="dxa"/>
            <w:vAlign w:val="bottom"/>
            <w:gridSpan w:val="6"/>
          </w:tcPr>
          <w:p>
            <w:pPr>
              <w:jc w:val="center"/>
              <w:ind w:right="8"/>
              <w:spacing w:after="0"/>
              <w:rPr>
                <w:sz w:val="20"/>
                <w:szCs w:val="20"/>
                <w:color w:val="auto"/>
              </w:rPr>
            </w:pPr>
            <w:r>
              <w:rPr>
                <w:rFonts w:ascii="Arial" w:cs="Arial" w:eastAsia="Arial" w:hAnsi="Arial"/>
                <w:sz w:val="13"/>
                <w:szCs w:val="13"/>
                <w:b w:val="1"/>
                <w:bCs w:val="1"/>
                <w:color w:val="auto"/>
                <w:w w:val="86"/>
              </w:rPr>
              <w:t>Repurchase Agreements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4"/>
          </w:tcPr>
          <w:p>
            <w:pPr>
              <w:jc w:val="right"/>
              <w:ind w:right="389"/>
              <w:spacing w:after="0"/>
              <w:rPr>
                <w:sz w:val="20"/>
                <w:szCs w:val="20"/>
                <w:color w:val="auto"/>
              </w:rPr>
            </w:pPr>
            <w:r>
              <w:rPr>
                <w:rFonts w:ascii="Arial" w:cs="Arial" w:eastAsia="Arial" w:hAnsi="Arial"/>
                <w:sz w:val="13"/>
                <w:szCs w:val="13"/>
                <w:b w:val="1"/>
                <w:bCs w:val="1"/>
                <w:color w:val="auto"/>
              </w:rPr>
              <w:t>Net TBA Position</w:t>
            </w: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7"/>
              </w:rPr>
              <w:t>Tangible Net Book</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9"/>
              </w:rPr>
              <w:t xml:space="preserve">and Other Debt </w:t>
            </w:r>
            <w:r>
              <w:rPr>
                <w:rFonts w:ascii="Arial" w:cs="Arial" w:eastAsia="Arial" w:hAnsi="Arial"/>
                <w:sz w:val="8"/>
                <w:szCs w:val="8"/>
                <w:b w:val="1"/>
                <w:bCs w:val="1"/>
                <w:color w:val="auto"/>
                <w:w w:val="99"/>
              </w:rPr>
              <w:t>1</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gridSpan w:val="4"/>
          </w:tcPr>
          <w:p>
            <w:pPr>
              <w:jc w:val="right"/>
              <w:ind w:right="489"/>
              <w:spacing w:after="0" w:line="135" w:lineRule="exact"/>
              <w:rPr>
                <w:sz w:val="20"/>
                <w:szCs w:val="20"/>
                <w:color w:val="auto"/>
              </w:rPr>
            </w:pPr>
            <w:r>
              <w:rPr>
                <w:rFonts w:ascii="Arial" w:cs="Arial" w:eastAsia="Arial" w:hAnsi="Arial"/>
                <w:sz w:val="13"/>
                <w:szCs w:val="13"/>
                <w:b w:val="1"/>
                <w:bCs w:val="1"/>
                <w:color w:val="auto"/>
              </w:rPr>
              <w:t xml:space="preserve">Long/(Short) </w:t>
            </w:r>
            <w:r>
              <w:rPr>
                <w:rFonts w:ascii="Arial" w:cs="Arial" w:eastAsia="Arial" w:hAnsi="Arial"/>
                <w:sz w:val="8"/>
                <w:szCs w:val="8"/>
                <w:b w:val="1"/>
                <w:bCs w:val="1"/>
                <w:color w:val="auto"/>
              </w:rPr>
              <w:t>2</w:t>
            </w:r>
          </w:p>
        </w:tc>
        <w:tc>
          <w:tcPr>
            <w:tcW w:w="100" w:type="dxa"/>
            <w:vAlign w:val="bottom"/>
          </w:tcPr>
          <w:p>
            <w:pPr>
              <w:spacing w:after="0"/>
              <w:rPr>
                <w:sz w:val="11"/>
                <w:szCs w:val="11"/>
                <w:color w:val="auto"/>
              </w:rPr>
            </w:pPr>
          </w:p>
        </w:tc>
        <w:tc>
          <w:tcPr>
            <w:tcW w:w="14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Average Tangible Net</w:t>
            </w:r>
          </w:p>
        </w:tc>
        <w:tc>
          <w:tcPr>
            <w:tcW w:w="13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Value "At Risk"</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2"/>
            <w:vMerge w:val="restart"/>
          </w:tcPr>
          <w:p>
            <w:pPr>
              <w:jc w:val="center"/>
              <w:ind w:right="100"/>
              <w:spacing w:after="0" w:line="117" w:lineRule="exact"/>
              <w:rPr>
                <w:sz w:val="20"/>
                <w:szCs w:val="20"/>
                <w:color w:val="auto"/>
              </w:rPr>
            </w:pPr>
            <w:r>
              <w:rPr>
                <w:rFonts w:ascii="Arial" w:cs="Arial" w:eastAsia="Arial" w:hAnsi="Arial"/>
                <w:sz w:val="13"/>
                <w:szCs w:val="13"/>
                <w:b w:val="1"/>
                <w:bCs w:val="1"/>
                <w:color w:val="auto"/>
                <w:w w:val="87"/>
              </w:rPr>
              <w:t>Book Value</w:t>
            </w:r>
          </w:p>
        </w:tc>
        <w:tc>
          <w:tcPr>
            <w:tcW w:w="136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7"/>
              </w:rPr>
              <w:t>Leverage</w:t>
            </w:r>
          </w:p>
        </w:tc>
        <w:tc>
          <w:tcPr>
            <w:tcW w:w="0" w:type="dxa"/>
            <w:vAlign w:val="bottom"/>
          </w:tcPr>
          <w:p>
            <w:pPr>
              <w:spacing w:after="0"/>
              <w:rPr>
                <w:sz w:val="1"/>
                <w:szCs w:val="1"/>
                <w:color w:val="auto"/>
              </w:rPr>
            </w:pPr>
          </w:p>
        </w:tc>
      </w:tr>
      <w:tr>
        <w:trPr>
          <w:trHeight w:val="43"/>
        </w:trPr>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gridSpan w:val="2"/>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5"/>
              </w:rPr>
              <w:t>Average Daily</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3"/>
              </w:rPr>
              <w:t>Maximum</w:t>
            </w:r>
          </w:p>
        </w:tc>
        <w:tc>
          <w:tcPr>
            <w:tcW w:w="16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Ending</w:t>
            </w:r>
          </w:p>
        </w:tc>
        <w:tc>
          <w:tcPr>
            <w:tcW w:w="100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Average Daily</w:t>
            </w:r>
          </w:p>
        </w:tc>
        <w:tc>
          <w:tcPr>
            <w:tcW w:w="160" w:type="dxa"/>
            <w:vAlign w:val="bottom"/>
          </w:tcPr>
          <w:p>
            <w:pPr>
              <w:spacing w:after="0"/>
              <w:rPr>
                <w:sz w:val="11"/>
                <w:szCs w:val="11"/>
                <w:color w:val="auto"/>
              </w:rPr>
            </w:pPr>
          </w:p>
        </w:tc>
        <w:tc>
          <w:tcPr>
            <w:tcW w:w="740" w:type="dxa"/>
            <w:vAlign w:val="bottom"/>
          </w:tcPr>
          <w:p>
            <w:pPr>
              <w:jc w:val="right"/>
              <w:ind w:right="189"/>
              <w:spacing w:after="0" w:line="135" w:lineRule="exact"/>
              <w:rPr>
                <w:sz w:val="20"/>
                <w:szCs w:val="20"/>
                <w:color w:val="auto"/>
              </w:rPr>
            </w:pPr>
            <w:r>
              <w:rPr>
                <w:rFonts w:ascii="Arial" w:cs="Arial" w:eastAsia="Arial" w:hAnsi="Arial"/>
                <w:sz w:val="13"/>
                <w:szCs w:val="13"/>
                <w:b w:val="1"/>
                <w:bCs w:val="1"/>
                <w:color w:val="auto"/>
              </w:rPr>
              <w:t>Ending</w:t>
            </w:r>
          </w:p>
        </w:tc>
        <w:tc>
          <w:tcPr>
            <w:tcW w:w="100" w:type="dxa"/>
            <w:vAlign w:val="bottom"/>
          </w:tcPr>
          <w:p>
            <w:pPr>
              <w:spacing w:after="0"/>
              <w:rPr>
                <w:sz w:val="11"/>
                <w:szCs w:val="11"/>
                <w:color w:val="auto"/>
              </w:rPr>
            </w:pPr>
          </w:p>
        </w:tc>
        <w:tc>
          <w:tcPr>
            <w:tcW w:w="14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"At Risk" Leverage</w:t>
            </w:r>
          </w:p>
        </w:tc>
        <w:tc>
          <w:tcPr>
            <w:tcW w:w="13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78"/>
              </w:rPr>
              <w:t>as of</w:t>
            </w:r>
          </w:p>
        </w:tc>
        <w:tc>
          <w:tcPr>
            <w:tcW w:w="0" w:type="dxa"/>
            <w:vAlign w:val="bottom"/>
          </w:tcPr>
          <w:p>
            <w:pPr>
              <w:spacing w:after="0"/>
              <w:rPr>
                <w:sz w:val="1"/>
                <w:szCs w:val="1"/>
                <w:color w:val="auto"/>
              </w:rPr>
            </w:pPr>
          </w:p>
        </w:tc>
      </w:tr>
      <w:tr>
        <w:trPr>
          <w:trHeight w:val="174"/>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Quarter Ended</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Amount</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Daily Amount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 xml:space="preserve">during the Period </w:t>
            </w:r>
            <w:r>
              <w:rPr>
                <w:rFonts w:ascii="Arial" w:cs="Arial" w:eastAsia="Arial" w:hAnsi="Arial"/>
                <w:sz w:val="8"/>
                <w:szCs w:val="8"/>
                <w:b w:val="1"/>
                <w:bCs w:val="1"/>
                <w:color w:val="auto"/>
                <w:w w:val="88"/>
              </w:rPr>
              <w:t>3</w:t>
            </w:r>
          </w:p>
        </w:tc>
        <w:tc>
          <w:tcPr>
            <w:tcW w:w="12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 xml:space="preserve">Period End </w:t>
            </w:r>
            <w:r>
              <w:rPr>
                <w:rFonts w:ascii="Arial" w:cs="Arial" w:eastAsia="Arial" w:hAnsi="Arial"/>
                <w:sz w:val="8"/>
                <w:szCs w:val="8"/>
                <w:b w:val="1"/>
                <w:bCs w:val="1"/>
                <w:color w:val="auto"/>
                <w:w w:val="88"/>
              </w:rPr>
              <w:t>4</w:t>
            </w:r>
          </w:p>
        </w:tc>
        <w:tc>
          <w:tcPr>
            <w:tcW w:w="0" w:type="dxa"/>
            <w:vAlign w:val="bottom"/>
          </w:tcPr>
          <w:p>
            <w:pPr>
              <w:spacing w:after="0"/>
              <w:rPr>
                <w:sz w:val="1"/>
                <w:szCs w:val="1"/>
                <w:color w:val="auto"/>
              </w:rPr>
            </w:pPr>
          </w:p>
        </w:tc>
      </w:tr>
      <w:tr>
        <w:trPr>
          <w:trHeight w:val="257"/>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88,677</w:t>
            </w: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92,672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89,313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7,038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7,404</w:t>
            </w:r>
          </w:p>
        </w:tc>
        <w:tc>
          <w:tcPr>
            <w:tcW w:w="14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9.5:1</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9.4:1</w:t>
            </w:r>
          </w:p>
        </w:tc>
        <w:tc>
          <w:tcPr>
            <w:tcW w:w="0" w:type="dxa"/>
            <w:vAlign w:val="bottom"/>
          </w:tcPr>
          <w:p>
            <w:pPr>
              <w:spacing w:after="0"/>
              <w:rPr>
                <w:sz w:val="1"/>
                <w:szCs w:val="1"/>
                <w:color w:val="auto"/>
              </w:rPr>
            </w:pPr>
          </w:p>
        </w:tc>
      </w:tr>
      <w:tr>
        <w:trPr>
          <w:trHeight w:val="264"/>
        </w:trPr>
        <w:tc>
          <w:tcPr>
            <w:tcW w:w="3460" w:type="dxa"/>
            <w:vAlign w:val="bottom"/>
            <w:gridSpan w:val="2"/>
          </w:tcPr>
          <w:p>
            <w:pPr>
              <w:ind w:left="40"/>
              <w:spacing w:after="0"/>
              <w:rPr>
                <w:sz w:val="20"/>
                <w:szCs w:val="20"/>
                <w:color w:val="auto"/>
              </w:rPr>
            </w:pPr>
            <w:r>
              <w:rPr>
                <w:rFonts w:ascii="Arial" w:cs="Arial" w:eastAsia="Arial" w:hAnsi="Arial"/>
                <w:sz w:val="14"/>
                <w:szCs w:val="14"/>
                <w:color w:val="auto"/>
              </w:rPr>
              <w:t>September 30, 2019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87,938</w:t>
            </w:r>
          </w:p>
        </w:tc>
        <w:tc>
          <w:tcPr>
            <w:tcW w:w="320" w:type="dxa"/>
            <w:vAlign w:val="bottom"/>
            <w:gridSpan w:val="3"/>
          </w:tcPr>
          <w:p>
            <w:pPr>
              <w:ind w:lef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92,420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90,462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10,146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1,820</w:t>
            </w:r>
          </w:p>
        </w:tc>
        <w:tc>
          <w:tcPr>
            <w:tcW w:w="1460" w:type="dxa"/>
            <w:vAlign w:val="bottom"/>
            <w:gridSpan w:val="2"/>
          </w:tcPr>
          <w:p>
            <w:pPr>
              <w:jc w:val="center"/>
              <w:ind w:left="28"/>
              <w:spacing w:after="0"/>
              <w:rPr>
                <w:sz w:val="20"/>
                <w:szCs w:val="20"/>
                <w:color w:val="auto"/>
              </w:rPr>
            </w:pPr>
            <w:r>
              <w:rPr>
                <w:rFonts w:ascii="Arial" w:cs="Arial" w:eastAsia="Arial" w:hAnsi="Arial"/>
                <w:sz w:val="14"/>
                <w:szCs w:val="14"/>
                <w:color w:val="auto"/>
                <w:w w:val="92"/>
              </w:rPr>
              <w:t>10.0:1</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9.8:1</w:t>
            </w:r>
          </w:p>
        </w:tc>
        <w:tc>
          <w:tcPr>
            <w:tcW w:w="0" w:type="dxa"/>
            <w:vAlign w:val="bottom"/>
          </w:tcPr>
          <w:p>
            <w:pPr>
              <w:spacing w:after="0"/>
              <w:rPr>
                <w:sz w:val="1"/>
                <w:szCs w:val="1"/>
                <w:color w:val="auto"/>
              </w:rPr>
            </w:pPr>
          </w:p>
        </w:tc>
      </w:tr>
      <w:tr>
        <w:trPr>
          <w:trHeight w:val="276"/>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30, 2019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86,147</w:t>
            </w: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86,969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85,367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11,864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11,086</w:t>
            </w:r>
          </w:p>
        </w:tc>
        <w:tc>
          <w:tcPr>
            <w:tcW w:w="146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2"/>
              </w:rPr>
              <w:t>10.0:1</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9.8:1</w:t>
            </w:r>
          </w:p>
        </w:tc>
        <w:tc>
          <w:tcPr>
            <w:tcW w:w="0" w:type="dxa"/>
            <w:vAlign w:val="bottom"/>
          </w:tcPr>
          <w:p>
            <w:pPr>
              <w:spacing w:after="0"/>
              <w:rPr>
                <w:sz w:val="1"/>
                <w:szCs w:val="1"/>
                <w:color w:val="auto"/>
              </w:rPr>
            </w:pPr>
          </w:p>
        </w:tc>
      </w:tr>
      <w:tr>
        <w:trPr>
          <w:trHeight w:val="264"/>
        </w:trPr>
        <w:tc>
          <w:tcPr>
            <w:tcW w:w="3460" w:type="dxa"/>
            <w:vAlign w:val="bottom"/>
            <w:gridSpan w:val="2"/>
          </w:tcPr>
          <w:p>
            <w:pPr>
              <w:ind w:left="40"/>
              <w:spacing w:after="0"/>
              <w:rPr>
                <w:sz w:val="20"/>
                <w:szCs w:val="20"/>
                <w:color w:val="auto"/>
              </w:rPr>
            </w:pPr>
            <w:r>
              <w:rPr>
                <w:rFonts w:ascii="Arial" w:cs="Arial" w:eastAsia="Arial" w:hAnsi="Arial"/>
                <w:sz w:val="14"/>
                <w:szCs w:val="14"/>
                <w:color w:val="auto"/>
              </w:rPr>
              <w:t>March 31, 2019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82,070</w:t>
            </w:r>
          </w:p>
        </w:tc>
        <w:tc>
          <w:tcPr>
            <w:tcW w:w="320" w:type="dxa"/>
            <w:vAlign w:val="bottom"/>
            <w:gridSpan w:val="3"/>
          </w:tcPr>
          <w:p>
            <w:pPr>
              <w:ind w:lef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87,877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86,590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8,002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6,885</w:t>
            </w:r>
          </w:p>
        </w:tc>
        <w:tc>
          <w:tcPr>
            <w:tcW w:w="146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9.3:1</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9.4:1</w:t>
            </w:r>
          </w:p>
        </w:tc>
        <w:tc>
          <w:tcPr>
            <w:tcW w:w="0" w:type="dxa"/>
            <w:vAlign w:val="bottom"/>
          </w:tcPr>
          <w:p>
            <w:pPr>
              <w:spacing w:after="0"/>
              <w:rPr>
                <w:sz w:val="1"/>
                <w:szCs w:val="1"/>
                <w:color w:val="auto"/>
              </w:rPr>
            </w:pPr>
          </w:p>
        </w:tc>
      </w:tr>
      <w:tr>
        <w:trPr>
          <w:trHeight w:val="276"/>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31, 2018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68,499</w:t>
            </w: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77,442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75,992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8,066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7,252</w:t>
            </w:r>
          </w:p>
        </w:tc>
        <w:tc>
          <w:tcPr>
            <w:tcW w:w="14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8.4:1</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9.0:1</w:t>
            </w:r>
          </w:p>
        </w:tc>
        <w:tc>
          <w:tcPr>
            <w:tcW w:w="0" w:type="dxa"/>
            <w:vAlign w:val="bottom"/>
          </w:tcPr>
          <w:p>
            <w:pPr>
              <w:spacing w:after="0"/>
              <w:rPr>
                <w:sz w:val="1"/>
                <w:szCs w:val="1"/>
                <w:color w:val="auto"/>
              </w:rPr>
            </w:pPr>
          </w:p>
        </w:tc>
      </w:tr>
      <w:tr>
        <w:trPr>
          <w:trHeight w:val="264"/>
        </w:trPr>
        <w:tc>
          <w:tcPr>
            <w:tcW w:w="3460" w:type="dxa"/>
            <w:vAlign w:val="bottom"/>
            <w:gridSpan w:val="2"/>
          </w:tcPr>
          <w:p>
            <w:pPr>
              <w:ind w:left="40"/>
              <w:spacing w:after="0"/>
              <w:rPr>
                <w:sz w:val="20"/>
                <w:szCs w:val="20"/>
                <w:color w:val="auto"/>
              </w:rPr>
            </w:pPr>
            <w:r>
              <w:rPr>
                <w:rFonts w:ascii="Arial" w:cs="Arial" w:eastAsia="Arial" w:hAnsi="Arial"/>
                <w:sz w:val="14"/>
                <w:szCs w:val="14"/>
                <w:color w:val="auto"/>
              </w:rPr>
              <w:t>September 30, 2018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56,265</w:t>
            </w:r>
          </w:p>
        </w:tc>
        <w:tc>
          <w:tcPr>
            <w:tcW w:w="320" w:type="dxa"/>
            <w:vAlign w:val="bottom"/>
            <w:gridSpan w:val="3"/>
          </w:tcPr>
          <w:p>
            <w:pPr>
              <w:ind w:lef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66,969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65,975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18,270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9,436</w:t>
            </w:r>
          </w:p>
        </w:tc>
        <w:tc>
          <w:tcPr>
            <w:tcW w:w="146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8.5:1</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8.2:1</w:t>
            </w:r>
          </w:p>
        </w:tc>
        <w:tc>
          <w:tcPr>
            <w:tcW w:w="0" w:type="dxa"/>
            <w:vAlign w:val="bottom"/>
          </w:tcPr>
          <w:p>
            <w:pPr>
              <w:spacing w:after="0"/>
              <w:rPr>
                <w:sz w:val="1"/>
                <w:szCs w:val="1"/>
                <w:color w:val="auto"/>
              </w:rPr>
            </w:pPr>
          </w:p>
        </w:tc>
      </w:tr>
      <w:tr>
        <w:trPr>
          <w:trHeight w:val="276"/>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30, 2018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47,823</w:t>
            </w: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49,892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49,152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16,912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19,898</w:t>
            </w:r>
          </w:p>
        </w:tc>
        <w:tc>
          <w:tcPr>
            <w:tcW w:w="14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8.0:1</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8.3:1</w:t>
            </w:r>
          </w:p>
        </w:tc>
        <w:tc>
          <w:tcPr>
            <w:tcW w:w="0" w:type="dxa"/>
            <w:vAlign w:val="bottom"/>
          </w:tcPr>
          <w:p>
            <w:pPr>
              <w:spacing w:after="0"/>
              <w:rPr>
                <w:sz w:val="1"/>
                <w:szCs w:val="1"/>
                <w:color w:val="auto"/>
              </w:rPr>
            </w:pPr>
          </w:p>
        </w:tc>
      </w:tr>
      <w:tr>
        <w:trPr>
          <w:trHeight w:val="264"/>
        </w:trPr>
        <w:tc>
          <w:tcPr>
            <w:tcW w:w="3460" w:type="dxa"/>
            <w:vAlign w:val="bottom"/>
            <w:gridSpan w:val="2"/>
          </w:tcPr>
          <w:p>
            <w:pPr>
              <w:ind w:left="40"/>
              <w:spacing w:after="0"/>
              <w:rPr>
                <w:sz w:val="20"/>
                <w:szCs w:val="20"/>
                <w:color w:val="auto"/>
              </w:rPr>
            </w:pPr>
            <w:r>
              <w:rPr>
                <w:rFonts w:ascii="Arial" w:cs="Arial" w:eastAsia="Arial" w:hAnsi="Arial"/>
                <w:sz w:val="14"/>
                <w:szCs w:val="14"/>
                <w:color w:val="auto"/>
              </w:rPr>
              <w:t>March 31, 2018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49,567</w:t>
            </w:r>
          </w:p>
        </w:tc>
        <w:tc>
          <w:tcPr>
            <w:tcW w:w="320" w:type="dxa"/>
            <w:vAlign w:val="bottom"/>
            <w:gridSpan w:val="3"/>
          </w:tcPr>
          <w:p>
            <w:pPr>
              <w:ind w:lef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50,645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49,292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15,585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13,529</w:t>
            </w:r>
          </w:p>
        </w:tc>
        <w:tc>
          <w:tcPr>
            <w:tcW w:w="146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8.2:1</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8.2:1</w:t>
            </w:r>
          </w:p>
        </w:tc>
        <w:tc>
          <w:tcPr>
            <w:tcW w:w="0" w:type="dxa"/>
            <w:vAlign w:val="bottom"/>
          </w:tcPr>
          <w:p>
            <w:pPr>
              <w:spacing w:after="0"/>
              <w:rPr>
                <w:sz w:val="1"/>
                <w:szCs w:val="1"/>
                <w:color w:val="auto"/>
              </w:rPr>
            </w:pPr>
          </w:p>
        </w:tc>
      </w:tr>
      <w:tr>
        <w:trPr>
          <w:trHeight w:val="276"/>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31, 2017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48,122</w:t>
            </w: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51,322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50,653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18,355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15,739</w:t>
            </w:r>
          </w:p>
        </w:tc>
        <w:tc>
          <w:tcPr>
            <w:tcW w:w="14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8.1:1</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8.1:1</w:t>
            </w:r>
          </w:p>
        </w:tc>
        <w:tc>
          <w:tcPr>
            <w:tcW w:w="0" w:type="dxa"/>
            <w:vAlign w:val="bottom"/>
          </w:tcPr>
          <w:p>
            <w:pPr>
              <w:spacing w:after="0"/>
              <w:rPr>
                <w:sz w:val="1"/>
                <w:szCs w:val="1"/>
                <w:color w:val="auto"/>
              </w:rPr>
            </w:pPr>
          </w:p>
        </w:tc>
      </w:tr>
      <w:tr>
        <w:trPr>
          <w:trHeight w:val="264"/>
        </w:trPr>
        <w:tc>
          <w:tcPr>
            <w:tcW w:w="3460" w:type="dxa"/>
            <w:vAlign w:val="bottom"/>
            <w:gridSpan w:val="2"/>
          </w:tcPr>
          <w:p>
            <w:pPr>
              <w:ind w:left="40"/>
              <w:spacing w:after="0"/>
              <w:rPr>
                <w:sz w:val="20"/>
                <w:szCs w:val="20"/>
                <w:color w:val="auto"/>
              </w:rPr>
            </w:pPr>
            <w:r>
              <w:rPr>
                <w:rFonts w:ascii="Arial" w:cs="Arial" w:eastAsia="Arial" w:hAnsi="Arial"/>
                <w:sz w:val="14"/>
                <w:szCs w:val="14"/>
                <w:color w:val="auto"/>
              </w:rPr>
              <w:t>September 30, 2017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41,406</w:t>
            </w:r>
          </w:p>
        </w:tc>
        <w:tc>
          <w:tcPr>
            <w:tcW w:w="320" w:type="dxa"/>
            <w:vAlign w:val="bottom"/>
            <w:gridSpan w:val="3"/>
          </w:tcPr>
          <w:p>
            <w:pPr>
              <w:ind w:lef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47,442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45,885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18,616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19,433</w:t>
            </w:r>
          </w:p>
        </w:tc>
        <w:tc>
          <w:tcPr>
            <w:tcW w:w="146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7.9:1</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8.0:1</w:t>
            </w:r>
          </w:p>
        </w:tc>
        <w:tc>
          <w:tcPr>
            <w:tcW w:w="0" w:type="dxa"/>
            <w:vAlign w:val="bottom"/>
          </w:tcPr>
          <w:p>
            <w:pPr>
              <w:spacing w:after="0"/>
              <w:rPr>
                <w:sz w:val="1"/>
                <w:szCs w:val="1"/>
                <w:color w:val="auto"/>
              </w:rPr>
            </w:pPr>
          </w:p>
        </w:tc>
      </w:tr>
      <w:tr>
        <w:trPr>
          <w:trHeight w:val="276"/>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30, 2017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38,945</w:t>
            </w: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40,112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39,463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16,931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17,283</w:t>
            </w:r>
          </w:p>
        </w:tc>
        <w:tc>
          <w:tcPr>
            <w:tcW w:w="14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8.0:1</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8.1:1</w:t>
            </w:r>
          </w:p>
        </w:tc>
        <w:tc>
          <w:tcPr>
            <w:tcW w:w="0" w:type="dxa"/>
            <w:vAlign w:val="bottom"/>
          </w:tcPr>
          <w:p>
            <w:pPr>
              <w:spacing w:after="0"/>
              <w:rPr>
                <w:sz w:val="1"/>
                <w:szCs w:val="1"/>
                <w:color w:val="auto"/>
              </w:rPr>
            </w:pPr>
          </w:p>
        </w:tc>
      </w:tr>
      <w:tr>
        <w:trPr>
          <w:trHeight w:val="258"/>
        </w:trPr>
        <w:tc>
          <w:tcPr>
            <w:tcW w:w="3460" w:type="dxa"/>
            <w:vAlign w:val="bottom"/>
            <w:gridSpan w:val="2"/>
          </w:tcPr>
          <w:p>
            <w:pPr>
              <w:ind w:left="40"/>
              <w:spacing w:after="0"/>
              <w:rPr>
                <w:sz w:val="20"/>
                <w:szCs w:val="20"/>
                <w:color w:val="auto"/>
              </w:rPr>
            </w:pPr>
            <w:r>
              <w:rPr>
                <w:rFonts w:ascii="Arial" w:cs="Arial" w:eastAsia="Arial" w:hAnsi="Arial"/>
                <w:sz w:val="14"/>
                <w:szCs w:val="14"/>
                <w:color w:val="auto"/>
              </w:rPr>
              <w:t>March 31, 2017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39,203</w:t>
            </w:r>
          </w:p>
        </w:tc>
        <w:tc>
          <w:tcPr>
            <w:tcW w:w="320" w:type="dxa"/>
            <w:vAlign w:val="bottom"/>
            <w:gridSpan w:val="3"/>
          </w:tcPr>
          <w:p>
            <w:pPr>
              <w:ind w:lef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41,221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39,809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13,460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14,377</w:t>
            </w:r>
          </w:p>
        </w:tc>
        <w:tc>
          <w:tcPr>
            <w:tcW w:w="146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7.8:1</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8.0:1</w:t>
            </w:r>
          </w:p>
        </w:tc>
        <w:tc>
          <w:tcPr>
            <w:tcW w:w="0" w:type="dxa"/>
            <w:vAlign w:val="bottom"/>
          </w:tcPr>
          <w:p>
            <w:pPr>
              <w:spacing w:after="0"/>
              <w:rPr>
                <w:sz w:val="1"/>
                <w:szCs w:val="1"/>
                <w:color w:val="auto"/>
              </w:rPr>
            </w:pPr>
          </w:p>
        </w:tc>
      </w:tr>
      <w:tr>
        <w:trPr>
          <w:trHeight w:val="127"/>
        </w:trPr>
        <w:tc>
          <w:tcPr>
            <w:tcW w:w="3340" w:type="dxa"/>
            <w:vAlign w:val="bottom"/>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Other debt includes debt of consolidated VIEs. Amounts exclude U.S. Treasury repo agreements.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w:t>
      </w:r>
    </w:p>
    <w:p>
      <w:pPr>
        <w:spacing w:after="0" w:line="1" w:lineRule="exact"/>
        <w:rPr>
          <w:rFonts w:ascii="Arial" w:cs="Arial" w:eastAsia="Arial" w:hAnsi="Arial"/>
          <w:sz w:val="14"/>
          <w:szCs w:val="14"/>
          <w:color w:val="auto"/>
        </w:rPr>
      </w:pPr>
    </w:p>
    <w:p>
      <w:pPr>
        <w:ind w:left="660" w:right="20" w:hanging="328"/>
        <w:spacing w:after="0" w:line="260" w:lineRule="auto"/>
        <w:tabs>
          <w:tab w:leader="none" w:pos="6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Average tangible net book value "at risk" leverage during the period represents the sum of our daily weighted average repurchase agreements and other debt used to fund acquisitions of investment securities and net TBA position outstanding divided by the sum of our average month-ended stockholders' equity, adjusted to exclude goodwill and other intangible assets.</w:t>
      </w:r>
    </w:p>
    <w:p>
      <w:pPr>
        <w:jc w:val="both"/>
        <w:ind w:left="660" w:hanging="328"/>
        <w:spacing w:after="0" w:line="248"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Tangible net book value "at risk" leverage as of period end represents the sum of our repurchase agreements and other debt used to fund acquisitions of investments securities, net TBA position (at cost) and net receivable/payable for unsettled investment securities outstanding as of period end divided by total stockholders' equity, adjusted to exclude goodwill and other intangible assets as of period end.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Interest Expense and Aggregate Cost of Funds</w:t>
      </w:r>
    </w:p>
    <w:p>
      <w:pPr>
        <w:spacing w:after="0" w:line="18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summarizes our economic interest expense and aggregate cost of funds (non-GAAP measures) for fiscal years 2019, 2018 and 2017 (dollars in millions), which includes the combination of interest expense on Agency repurchase agreements and other debt (GAAP measure), implied interest expense on our TBA securities and interest rate swap periodic interest (income) cost:</w:t>
      </w:r>
    </w:p>
    <w:p>
      <w:pPr>
        <w:spacing w:after="0" w:line="186"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Fiscal Year 2019</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Fiscal Year 2018</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Fiscal Year 2017</w:t>
            </w:r>
          </w:p>
        </w:tc>
        <w:tc>
          <w:tcPr>
            <w:tcW w:w="0" w:type="dxa"/>
            <w:vAlign w:val="bottom"/>
          </w:tcPr>
          <w:p>
            <w:pPr>
              <w:spacing w:after="0"/>
              <w:rPr>
                <w:sz w:val="1"/>
                <w:szCs w:val="1"/>
                <w:color w:val="auto"/>
              </w:rPr>
            </w:pPr>
          </w:p>
        </w:tc>
      </w:tr>
      <w:tr>
        <w:trPr>
          <w:trHeight w:val="152"/>
        </w:trPr>
        <w:tc>
          <w:tcPr>
            <w:tcW w:w="4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Economic Interest Expense and Aggregate Cost of Funds </w:t>
            </w:r>
            <w:r>
              <w:rPr>
                <w:rFonts w:ascii="Arial" w:cs="Arial" w:eastAsia="Arial" w:hAnsi="Arial"/>
                <w:sz w:val="8"/>
                <w:szCs w:val="8"/>
                <w:b w:val="1"/>
                <w:bCs w:val="1"/>
                <w:color w:val="auto"/>
              </w:rPr>
              <w:t>1</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vMerge w:val="restart"/>
          </w:tcPr>
          <w:p>
            <w:pPr>
              <w:spacing w:after="0"/>
              <w:rPr>
                <w:sz w:val="13"/>
                <w:szCs w:val="13"/>
                <w:color w:val="auto"/>
              </w:rPr>
            </w:pPr>
          </w:p>
        </w:tc>
        <w:tc>
          <w:tcPr>
            <w:tcW w:w="8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3"/>
                <w:szCs w:val="13"/>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vMerge w:val="restart"/>
          </w:tcPr>
          <w:p>
            <w:pPr>
              <w:spacing w:after="0"/>
              <w:rPr>
                <w:sz w:val="13"/>
                <w:szCs w:val="13"/>
                <w:color w:val="auto"/>
              </w:rPr>
            </w:pPr>
          </w:p>
        </w:tc>
        <w:tc>
          <w:tcPr>
            <w:tcW w:w="8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Cost of</w:t>
            </w:r>
          </w:p>
        </w:tc>
        <w:tc>
          <w:tcPr>
            <w:tcW w:w="120" w:type="dxa"/>
            <w:vAlign w:val="bottom"/>
          </w:tcPr>
          <w:p>
            <w:pPr>
              <w:spacing w:after="0"/>
              <w:rPr>
                <w:sz w:val="13"/>
                <w:szCs w:val="13"/>
                <w:color w:val="auto"/>
              </w:rPr>
            </w:pP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vMerge w:val="restart"/>
          </w:tcPr>
          <w:p>
            <w:pPr>
              <w:spacing w:after="0"/>
              <w:rPr>
                <w:sz w:val="13"/>
                <w:szCs w:val="13"/>
                <w:color w:val="auto"/>
              </w:rPr>
            </w:pPr>
          </w:p>
        </w:tc>
        <w:tc>
          <w:tcPr>
            <w:tcW w:w="74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rPr>
              <w:t>Cost of</w:t>
            </w:r>
          </w:p>
        </w:tc>
        <w:tc>
          <w:tcPr>
            <w:tcW w:w="0" w:type="dxa"/>
            <w:vAlign w:val="bottom"/>
          </w:tcPr>
          <w:p>
            <w:pPr>
              <w:spacing w:after="0"/>
              <w:rPr>
                <w:sz w:val="1"/>
                <w:szCs w:val="1"/>
                <w:color w:val="auto"/>
              </w:rPr>
            </w:pPr>
          </w:p>
        </w:tc>
      </w:tr>
      <w:tr>
        <w:trPr>
          <w:trHeight w:val="192"/>
        </w:trPr>
        <w:tc>
          <w:tcPr>
            <w:tcW w:w="4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Funds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Funds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Funds</w:t>
            </w:r>
          </w:p>
        </w:tc>
        <w:tc>
          <w:tcPr>
            <w:tcW w:w="0" w:type="dxa"/>
            <w:vAlign w:val="bottom"/>
          </w:tcPr>
          <w:p>
            <w:pPr>
              <w:spacing w:after="0"/>
              <w:rPr>
                <w:sz w:val="1"/>
                <w:szCs w:val="1"/>
                <w:color w:val="auto"/>
              </w:rPr>
            </w:pPr>
          </w:p>
        </w:tc>
      </w:tr>
      <w:tr>
        <w:trPr>
          <w:trHeight w:val="156"/>
        </w:trPr>
        <w:tc>
          <w:tcPr>
            <w:tcW w:w="420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Repurchase agreement and other debt - interest expense (GAAP</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200" w:type="dxa"/>
            <w:vAlign w:val="bottom"/>
            <w:gridSpan w:val="2"/>
          </w:tcPr>
          <w:p>
            <w:pPr>
              <w:ind w:left="20"/>
              <w:spacing w:after="0"/>
              <w:rPr>
                <w:sz w:val="20"/>
                <w:szCs w:val="20"/>
                <w:color w:val="auto"/>
              </w:rPr>
            </w:pPr>
            <w:r>
              <w:rPr>
                <w:rFonts w:ascii="Arial" w:cs="Arial" w:eastAsia="Arial" w:hAnsi="Arial"/>
                <w:sz w:val="14"/>
                <w:szCs w:val="14"/>
                <w:color w:val="auto"/>
              </w:rPr>
              <w:t>measure)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2,149</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2.46 %</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1,173</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2.11 %</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524</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76"/>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TBA dollar roll income - implied interest expense </w:t>
            </w:r>
            <w:r>
              <w:rPr>
                <w:rFonts w:ascii="Arial" w:cs="Arial" w:eastAsia="Arial" w:hAnsi="Arial"/>
                <w:sz w:val="8"/>
                <w:szCs w:val="8"/>
                <w:color w:val="auto"/>
              </w:rPr>
              <w:t>2,3</w:t>
            </w:r>
          </w:p>
        </w:tc>
        <w:tc>
          <w:tcPr>
            <w:tcW w:w="12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212</w:t>
            </w:r>
          </w:p>
        </w:tc>
        <w:tc>
          <w:tcPr>
            <w:tcW w:w="120" w:type="dxa"/>
            <w:vAlign w:val="bottom"/>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2.26 %</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1.85 %</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0.97%</w:t>
            </w:r>
          </w:p>
        </w:tc>
        <w:tc>
          <w:tcPr>
            <w:tcW w:w="0" w:type="dxa"/>
            <w:vAlign w:val="bottom"/>
          </w:tcPr>
          <w:p>
            <w:pPr>
              <w:spacing w:after="0"/>
              <w:rPr>
                <w:sz w:val="1"/>
                <w:szCs w:val="1"/>
                <w:color w:val="auto"/>
              </w:rPr>
            </w:pPr>
          </w:p>
        </w:tc>
      </w:tr>
      <w:tr>
        <w:trPr>
          <w:trHeight w:val="137"/>
        </w:trPr>
        <w:tc>
          <w:tcPr>
            <w:tcW w:w="4200" w:type="dxa"/>
            <w:vAlign w:val="bottom"/>
            <w:gridSpan w:val="2"/>
          </w:tcPr>
          <w:p>
            <w:pPr>
              <w:ind w:left="180"/>
              <w:spacing w:after="0" w:line="137" w:lineRule="exact"/>
              <w:rPr>
                <w:sz w:val="20"/>
                <w:szCs w:val="20"/>
                <w:color w:val="auto"/>
              </w:rPr>
            </w:pPr>
            <w:r>
              <w:rPr>
                <w:rFonts w:ascii="Arial" w:cs="Arial" w:eastAsia="Arial" w:hAnsi="Arial"/>
                <w:sz w:val="14"/>
                <w:szCs w:val="14"/>
                <w:color w:val="auto"/>
              </w:rPr>
              <w:t>Economic interest expense - before interest rate swap periodic</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200" w:type="dxa"/>
            <w:vAlign w:val="bottom"/>
            <w:gridSpan w:val="2"/>
          </w:tcPr>
          <w:p>
            <w:pPr>
              <w:ind w:left="180"/>
              <w:spacing w:after="0"/>
              <w:rPr>
                <w:sz w:val="20"/>
                <w:szCs w:val="20"/>
                <w:color w:val="auto"/>
              </w:rPr>
            </w:pPr>
            <w:r>
              <w:rPr>
                <w:rFonts w:ascii="Arial" w:cs="Arial" w:eastAsia="Arial" w:hAnsi="Arial"/>
                <w:sz w:val="14"/>
                <w:szCs w:val="14"/>
                <w:color w:val="auto"/>
              </w:rPr>
              <w:t xml:space="preserve">(income) costs, net </w:t>
            </w:r>
            <w:r>
              <w:rPr>
                <w:rFonts w:ascii="Arial" w:cs="Arial" w:eastAsia="Arial" w:hAnsi="Arial"/>
                <w:sz w:val="8"/>
                <w:szCs w:val="8"/>
                <w:color w:val="auto"/>
              </w:rPr>
              <w:t>4</w:t>
            </w:r>
          </w:p>
        </w:tc>
        <w:tc>
          <w:tcPr>
            <w:tcW w:w="1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2,361</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2.44 %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1,446</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2.06 %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688</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70"/>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Interest rate swap periodic interest (income) cost, net </w:t>
            </w:r>
            <w:r>
              <w:rPr>
                <w:rFonts w:ascii="Arial" w:cs="Arial" w:eastAsia="Arial" w:hAnsi="Arial"/>
                <w:sz w:val="8"/>
                <w:szCs w:val="8"/>
                <w:color w:val="auto"/>
              </w:rPr>
              <w:t>2,5</w:t>
            </w:r>
          </w:p>
        </w:tc>
        <w:tc>
          <w:tcPr>
            <w:tcW w:w="1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244"/>
        </w:trPr>
        <w:tc>
          <w:tcPr>
            <w:tcW w:w="4200" w:type="dxa"/>
            <w:vAlign w:val="bottom"/>
            <w:gridSpan w:val="2"/>
          </w:tcPr>
          <w:p>
            <w:pPr>
              <w:ind w:left="180"/>
              <w:spacing w:after="0"/>
              <w:rPr>
                <w:sz w:val="20"/>
                <w:szCs w:val="20"/>
                <w:color w:val="auto"/>
              </w:rPr>
            </w:pPr>
            <w:r>
              <w:rPr>
                <w:rFonts w:ascii="Arial" w:cs="Arial" w:eastAsia="Arial" w:hAnsi="Arial"/>
                <w:sz w:val="14"/>
                <w:szCs w:val="14"/>
                <w:color w:val="auto"/>
              </w:rPr>
              <w:t>Total economic interest expense (non-GAAP measure)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1,959</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2.02 %</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1,295</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1.84 %</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815</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0</wp:posOffset>
            </wp:positionV>
            <wp:extent cx="317309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73095" cy="2603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Amounts exclude interest rate swap termination fees and variation margin settlements paid or received, forward starting swaps and the impact of other supplemental hedges, such as swaptions and U.S. Treasury positions.</w:t>
      </w:r>
    </w:p>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implied funding cost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for all TBA transactions is weighted based on our daily average TBA balance outstanding for the period.</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combined cost of funds for total mortgage borrowings outstanding, before interest rate swap costs, is calculated on a weighted average basis based on average repo, other debt and TBA balances outstanding during the period and their respective cost of funds.</w:t>
      </w:r>
    </w:p>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Interest rate swap periodic interest (income) cost is measured as a percent of average mortgage borrowings outstanding for the period.</w:t>
      </w:r>
    </w:p>
    <w:p>
      <w:pPr>
        <w:spacing w:after="0" w:line="21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principal elements impacting our economic interest expense are (i) the size of our average mortgage borrowings and interest rate swap portfolio outstanding during the period, (ii) the average interest rate (actual and implied) on our mortgage borrowings and (iii) the average net interest rate paid/received on our interest rate swaps. The following table includes a summary of the estimated impact of these elements on our economic interest expense for fiscal years 2019 and 2018 compared to the corresponding prior year period (in millions):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19"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2"/>
          <w:szCs w:val="12"/>
          <w:b w:val="1"/>
          <w:bCs w:val="1"/>
          <w:color w:val="auto"/>
        </w:rPr>
        <w:t>Impact of Changes in the Principal Elements of Economic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175260</wp:posOffset>
            </wp:positionV>
            <wp:extent cx="6835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38100</wp:posOffset>
            </wp:positionV>
            <wp:extent cx="6835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700"/>
        <w:spacing w:after="0"/>
        <w:rPr>
          <w:sz w:val="20"/>
          <w:szCs w:val="20"/>
          <w:color w:val="auto"/>
        </w:rPr>
      </w:pPr>
      <w:r>
        <w:rPr>
          <w:rFonts w:ascii="Arial" w:cs="Arial" w:eastAsia="Arial" w:hAnsi="Arial"/>
          <w:sz w:val="12"/>
          <w:szCs w:val="12"/>
          <w:b w:val="1"/>
          <w:bCs w:val="1"/>
          <w:color w:val="auto"/>
        </w:rPr>
        <w:t>Fiscal Year 2019 vs. 2018</w:t>
      </w:r>
    </w:p>
    <w:p>
      <w:pPr>
        <w:spacing w:after="0" w:line="21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Repurchase agreements and other debt interest expense</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TBA dollar roll income - implied interest expense</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Interest rate swap periodic interest income/cost</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 change in economic interest expense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12"/>
          <w:szCs w:val="12"/>
          <w:b w:val="1"/>
          <w:bCs w:val="1"/>
          <w:color w:val="auto"/>
        </w:rPr>
        <w:t>Fiscal Year 2018 vs.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89535</wp:posOffset>
            </wp:positionV>
            <wp:extent cx="39706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Repurchase agreements and other debt interest expense</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TBA dollar roll income - implied interest expense</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Interest rate swap periodic interest income/cost</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 change in economic interest expense</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Due to Change in Average</w:t>
            </w:r>
          </w:p>
        </w:tc>
      </w:tr>
      <w:tr>
        <w:trPr>
          <w:trHeight w:val="153"/>
        </w:trPr>
        <w:tc>
          <w:tcPr>
            <w:tcW w:w="180" w:type="dxa"/>
            <w:vAlign w:val="bottom"/>
          </w:tcPr>
          <w:p>
            <w:pPr>
              <w:spacing w:after="0"/>
              <w:rPr>
                <w:sz w:val="13"/>
                <w:szCs w:val="13"/>
                <w:color w:val="auto"/>
              </w:rPr>
            </w:pPr>
          </w:p>
        </w:tc>
        <w:tc>
          <w:tcPr>
            <w:tcW w:w="13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Total Increase /</w:t>
            </w:r>
          </w:p>
        </w:tc>
        <w:tc>
          <w:tcPr>
            <w:tcW w:w="100" w:type="dxa"/>
            <w:vAlign w:val="bottom"/>
          </w:tcPr>
          <w:p>
            <w:pPr>
              <w:spacing w:after="0"/>
              <w:rPr>
                <w:sz w:val="13"/>
                <w:szCs w:val="13"/>
                <w:color w:val="auto"/>
              </w:rPr>
            </w:pPr>
          </w:p>
        </w:tc>
        <w:tc>
          <w:tcPr>
            <w:tcW w:w="13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Borrowing / Swap</w:t>
            </w:r>
          </w:p>
        </w:tc>
        <w:tc>
          <w:tcPr>
            <w:tcW w:w="120" w:type="dxa"/>
            <w:vAlign w:val="bottom"/>
          </w:tcPr>
          <w:p>
            <w:pPr>
              <w:spacing w:after="0"/>
              <w:rPr>
                <w:sz w:val="13"/>
                <w:szCs w:val="13"/>
                <w:color w:val="auto"/>
              </w:rPr>
            </w:pPr>
          </w:p>
        </w:tc>
        <w:tc>
          <w:tcPr>
            <w:tcW w:w="126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w w:val="92"/>
              </w:rPr>
              <w:t>Borrowing / Swap</w:t>
            </w:r>
          </w:p>
        </w:tc>
      </w:tr>
      <w:tr>
        <w:trPr>
          <w:trHeight w:val="192"/>
        </w:trPr>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6"/>
                <w:szCs w:val="16"/>
                <w:color w:val="auto"/>
              </w:rPr>
            </w:pPr>
          </w:p>
        </w:tc>
        <w:tc>
          <w:tcPr>
            <w:tcW w:w="1260" w:type="dxa"/>
            <w:vAlign w:val="bottom"/>
          </w:tcPr>
          <w:p>
            <w:pPr>
              <w:jc w:val="right"/>
              <w:ind w:right="468"/>
              <w:spacing w:after="0"/>
              <w:rPr>
                <w:sz w:val="20"/>
                <w:szCs w:val="20"/>
                <w:color w:val="auto"/>
              </w:rPr>
            </w:pPr>
            <w:r>
              <w:rPr>
                <w:rFonts w:ascii="Arial" w:cs="Arial" w:eastAsia="Arial" w:hAnsi="Arial"/>
                <w:sz w:val="14"/>
                <w:szCs w:val="14"/>
                <w:b w:val="1"/>
                <w:bCs w:val="1"/>
                <w:color w:val="auto"/>
              </w:rPr>
              <w:t>Rate</w:t>
            </w:r>
          </w:p>
        </w:tc>
      </w:tr>
      <w:tr>
        <w:trPr>
          <w:trHeight w:val="244"/>
        </w:trPr>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976</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641</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335</w:t>
            </w:r>
          </w:p>
        </w:tc>
      </w:tr>
      <w:tr>
        <w:trPr>
          <w:trHeight w:val="270"/>
        </w:trPr>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40</w:t>
            </w:r>
          </w:p>
        </w:tc>
      </w:tr>
      <w:tr>
        <w:trPr>
          <w:trHeight w:val="276"/>
        </w:trPr>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r>
      <w:tr>
        <w:trPr>
          <w:trHeight w:val="237"/>
        </w:trPr>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664</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467</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-359410</wp:posOffset>
            </wp:positionV>
            <wp:extent cx="683514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5140" cy="171450"/>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-702310</wp:posOffset>
            </wp:positionV>
            <wp:extent cx="683514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5140" cy="171450"/>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Due to Change in Average</w:t>
            </w:r>
          </w:p>
        </w:tc>
      </w:tr>
      <w:tr>
        <w:trPr>
          <w:trHeight w:val="153"/>
        </w:trPr>
        <w:tc>
          <w:tcPr>
            <w:tcW w:w="180" w:type="dxa"/>
            <w:vAlign w:val="bottom"/>
          </w:tcPr>
          <w:p>
            <w:pPr>
              <w:spacing w:after="0"/>
              <w:rPr>
                <w:sz w:val="13"/>
                <w:szCs w:val="13"/>
                <w:color w:val="auto"/>
              </w:rPr>
            </w:pPr>
          </w:p>
        </w:tc>
        <w:tc>
          <w:tcPr>
            <w:tcW w:w="13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Total Increase /</w:t>
            </w:r>
          </w:p>
        </w:tc>
        <w:tc>
          <w:tcPr>
            <w:tcW w:w="100" w:type="dxa"/>
            <w:vAlign w:val="bottom"/>
          </w:tcPr>
          <w:p>
            <w:pPr>
              <w:spacing w:after="0"/>
              <w:rPr>
                <w:sz w:val="13"/>
                <w:szCs w:val="13"/>
                <w:color w:val="auto"/>
              </w:rPr>
            </w:pPr>
          </w:p>
        </w:tc>
        <w:tc>
          <w:tcPr>
            <w:tcW w:w="13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Borrowing / Swap</w:t>
            </w:r>
          </w:p>
        </w:tc>
        <w:tc>
          <w:tcPr>
            <w:tcW w:w="120" w:type="dxa"/>
            <w:vAlign w:val="bottom"/>
          </w:tcPr>
          <w:p>
            <w:pPr>
              <w:spacing w:after="0"/>
              <w:rPr>
                <w:sz w:val="13"/>
                <w:szCs w:val="13"/>
                <w:color w:val="auto"/>
              </w:rPr>
            </w:pPr>
          </w:p>
        </w:tc>
        <w:tc>
          <w:tcPr>
            <w:tcW w:w="126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w w:val="92"/>
              </w:rPr>
              <w:t>Borrowing / Swap</w:t>
            </w:r>
          </w:p>
        </w:tc>
      </w:tr>
      <w:tr>
        <w:trPr>
          <w:trHeight w:val="192"/>
        </w:trPr>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6"/>
                <w:szCs w:val="16"/>
                <w:color w:val="auto"/>
              </w:rPr>
            </w:pPr>
          </w:p>
        </w:tc>
        <w:tc>
          <w:tcPr>
            <w:tcW w:w="1260" w:type="dxa"/>
            <w:vAlign w:val="bottom"/>
          </w:tcPr>
          <w:p>
            <w:pPr>
              <w:jc w:val="right"/>
              <w:ind w:right="468"/>
              <w:spacing w:after="0"/>
              <w:rPr>
                <w:sz w:val="20"/>
                <w:szCs w:val="20"/>
                <w:color w:val="auto"/>
              </w:rPr>
            </w:pPr>
            <w:r>
              <w:rPr>
                <w:rFonts w:ascii="Arial" w:cs="Arial" w:eastAsia="Arial" w:hAnsi="Arial"/>
                <w:sz w:val="14"/>
                <w:szCs w:val="14"/>
                <w:b w:val="1"/>
                <w:bCs w:val="1"/>
                <w:color w:val="auto"/>
              </w:rPr>
              <w:t>Rate</w:t>
            </w:r>
          </w:p>
        </w:tc>
      </w:tr>
      <w:tr>
        <w:trPr>
          <w:trHeight w:val="244"/>
        </w:trPr>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649</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478</w:t>
            </w:r>
          </w:p>
        </w:tc>
      </w:tr>
      <w:tr>
        <w:trPr>
          <w:trHeight w:val="270"/>
        </w:trPr>
        <w:tc>
          <w:tcPr>
            <w:tcW w:w="18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130</w:t>
            </w:r>
          </w:p>
        </w:tc>
      </w:tr>
      <w:tr>
        <w:trPr>
          <w:trHeight w:val="276"/>
        </w:trPr>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w:t>
            </w:r>
          </w:p>
        </w:tc>
      </w:tr>
      <w:tr>
        <w:trPr>
          <w:trHeight w:val="237"/>
        </w:trPr>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480</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310</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-530860</wp:posOffset>
            </wp:positionV>
            <wp:extent cx="683514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5140" cy="171450"/>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-187960</wp:posOffset>
            </wp:positionV>
            <wp:extent cx="683514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5140" cy="17145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5980" w:space="720"/>
            <w:col w:w="4720"/>
          </w:cols>
          <w:pgMar w:left="240" w:top="927" w:right="239" w:bottom="1440" w:gutter="0" w:footer="0" w:header="0"/>
          <w:type w:val="continuous"/>
        </w:sectPr>
      </w:pPr>
    </w:p>
    <w:p>
      <w:pPr>
        <w:jc w:val="both"/>
        <w:ind w:firstLine="432"/>
        <w:spacing w:after="0" w:line="293" w:lineRule="auto"/>
        <w:rPr>
          <w:sz w:val="20"/>
          <w:szCs w:val="20"/>
          <w:color w:val="auto"/>
        </w:rPr>
      </w:pPr>
      <w:r>
        <w:rPr>
          <w:rFonts w:ascii="Arial" w:cs="Arial" w:eastAsia="Arial" w:hAnsi="Arial"/>
          <w:sz w:val="16"/>
          <w:szCs w:val="16"/>
          <w:color w:val="auto"/>
        </w:rPr>
        <w:t>Our average mortgage borrowings, inclusive of TBAs, increased by 36% and 20% for fiscal years 2019 and 2018, respectively, compared to the corresponding prior year period as a function of our higher asset base. The annual increases in the average interest rate (actual and implied) on our mortgage borrowings was largely due to increases in the federal funds rate during fiscal years 2018 and 2017. The annual increases in our interest rate swap periodic interest income was due the combination of increases in our average swap position and increases in the net rate received on our interest rate swaps. The following table presents a summary of the ratio of our average interest rates swaps outstanding, excluding forward starting swaps, to our average mortgage borrowings and the weighted average pay-fixed / receive-floating rates on our interest rate swaps for fiscal years 2019, 2018 and 2017 (dollars in millions):</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74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w w:val="98"/>
              </w:rPr>
              <w:t>Average Ratio of Interest Rate Swaps (Excluding Forward Starting Swaps) to Mortgage</w:t>
            </w:r>
          </w:p>
        </w:tc>
        <w:tc>
          <w:tcPr>
            <w:tcW w:w="280" w:type="dxa"/>
            <w:vAlign w:val="bottom"/>
          </w:tcPr>
          <w:p>
            <w:pPr>
              <w:spacing w:after="0"/>
              <w:rPr>
                <w:sz w:val="12"/>
                <w:szCs w:val="12"/>
                <w:color w:val="auto"/>
              </w:rPr>
            </w:pPr>
          </w:p>
        </w:tc>
        <w:tc>
          <w:tcPr>
            <w:tcW w:w="96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Borrowings Outstanding</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Agency repo and other debt outstanding</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86,231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55,592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41,942</w:t>
            </w:r>
          </w:p>
        </w:tc>
        <w:tc>
          <w:tcPr>
            <w:tcW w:w="0" w:type="dxa"/>
            <w:vAlign w:val="bottom"/>
          </w:tcPr>
          <w:p>
            <w:pPr>
              <w:spacing w:after="0"/>
              <w:rPr>
                <w:sz w:val="1"/>
                <w:szCs w:val="1"/>
                <w:color w:val="auto"/>
              </w:rPr>
            </w:pPr>
          </w:p>
        </w:tc>
      </w:tr>
      <w:tr>
        <w:trPr>
          <w:trHeight w:val="264"/>
        </w:trPr>
        <w:tc>
          <w:tcPr>
            <w:tcW w:w="57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net TBA portfolio outstanding - at cost</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9,262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14,697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16,859</w:t>
            </w:r>
          </w:p>
        </w:tc>
        <w:tc>
          <w:tcPr>
            <w:tcW w:w="0" w:type="dxa"/>
            <w:vAlign w:val="bottom"/>
          </w:tcPr>
          <w:p>
            <w:pPr>
              <w:spacing w:after="0"/>
              <w:rPr>
                <w:sz w:val="1"/>
                <w:szCs w:val="1"/>
                <w:color w:val="auto"/>
              </w:rPr>
            </w:pPr>
          </w:p>
        </w:tc>
      </w:tr>
      <w:tr>
        <w:trPr>
          <w:trHeight w:val="256"/>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mortgage borrowings outstanding</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95,493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70,289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58,801</w:t>
            </w:r>
          </w:p>
        </w:tc>
        <w:tc>
          <w:tcPr>
            <w:tcW w:w="0" w:type="dxa"/>
            <w:vAlign w:val="bottom"/>
          </w:tcPr>
          <w:p>
            <w:pPr>
              <w:spacing w:after="0"/>
              <w:rPr>
                <w:sz w:val="1"/>
                <w:szCs w:val="1"/>
                <w:color w:val="auto"/>
              </w:rPr>
            </w:pPr>
          </w:p>
        </w:tc>
      </w:tr>
      <w:tr>
        <w:trPr>
          <w:trHeight w:val="264"/>
        </w:trPr>
        <w:tc>
          <w:tcPr>
            <w:tcW w:w="5740" w:type="dxa"/>
            <w:vAlign w:val="bottom"/>
            <w:gridSpan w:val="2"/>
          </w:tcPr>
          <w:p>
            <w:pPr>
              <w:ind w:left="20"/>
              <w:spacing w:after="0"/>
              <w:rPr>
                <w:sz w:val="20"/>
                <w:szCs w:val="20"/>
                <w:color w:val="auto"/>
              </w:rPr>
            </w:pPr>
            <w:r>
              <w:rPr>
                <w:rFonts w:ascii="Arial" w:cs="Arial" w:eastAsia="Arial" w:hAnsi="Arial"/>
                <w:sz w:val="14"/>
                <w:szCs w:val="14"/>
                <w:color w:val="auto"/>
                <w:w w:val="97"/>
              </w:rPr>
              <w:t>Average notional amount of interest rate swaps outstanding (excluding forward starting swaps)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63,890</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43,137</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37,331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-8255</wp:posOffset>
            </wp:positionV>
            <wp:extent cx="614870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48705" cy="171450"/>
                    </a:xfrm>
                    <a:prstGeom prst="rect">
                      <a:avLst/>
                    </a:prstGeom>
                    <a:noFill/>
                  </pic:spPr>
                </pic:pic>
              </a:graphicData>
            </a:graphic>
          </wp:anchor>
        </w:drawing>
      </w:r>
    </w:p>
    <w:p>
      <w:pPr>
        <w:spacing w:after="0" w:line="29" w:lineRule="exact"/>
        <w:rPr>
          <w:sz w:val="20"/>
          <w:szCs w:val="20"/>
          <w:color w:val="auto"/>
        </w:rPr>
      </w:pPr>
    </w:p>
    <w:tbl>
      <w:tblPr>
        <w:tblLayout w:type="fixed"/>
        <w:tblInd w:w="880" w:type="dxa"/>
        <w:tblCellMar>
          <w:top w:w="0" w:type="dxa"/>
          <w:left w:w="0" w:type="dxa"/>
          <w:bottom w:w="0" w:type="dxa"/>
          <w:right w:w="0" w:type="dxa"/>
        </w:tblCellMar>
      </w:tblPr>
      <w:tr>
        <w:trPr>
          <w:trHeight w:val="194"/>
        </w:trPr>
        <w:tc>
          <w:tcPr>
            <w:tcW w:w="5740" w:type="dxa"/>
            <w:vAlign w:val="bottom"/>
          </w:tcPr>
          <w:p>
            <w:pPr>
              <w:ind w:left="20"/>
              <w:spacing w:after="0"/>
              <w:rPr>
                <w:sz w:val="20"/>
                <w:szCs w:val="20"/>
                <w:color w:val="auto"/>
              </w:rPr>
            </w:pPr>
            <w:r>
              <w:rPr>
                <w:rFonts w:ascii="Arial" w:cs="Arial" w:eastAsia="Arial" w:hAnsi="Arial"/>
                <w:sz w:val="14"/>
                <w:szCs w:val="14"/>
                <w:color w:val="auto"/>
              </w:rPr>
              <w:t>Ratio of average interest rate swaps to mortgage borrowings outstanding</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67 %</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61 %</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63 %</w:t>
            </w:r>
          </w:p>
        </w:tc>
      </w:tr>
      <w:tr>
        <w:trPr>
          <w:trHeight w:val="20"/>
        </w:trPr>
        <w:tc>
          <w:tcPr>
            <w:tcW w:w="57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78"/>
        </w:trPr>
        <w:tc>
          <w:tcPr>
            <w:tcW w:w="5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Average interest rate swap pay-fixed rate (excluding forward starting swaps)</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1.61 %</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1.55 %</w:t>
            </w:r>
          </w:p>
        </w:tc>
      </w:tr>
      <w:tr>
        <w:trPr>
          <w:trHeight w:val="264"/>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Average interest rate swap receive-floating rate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r>
      <w:tr>
        <w:trPr>
          <w:trHeight w:val="243"/>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Average interest rate swap net pay/(receive) rate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0.34 %</w:t>
            </w:r>
          </w:p>
        </w:tc>
      </w:tr>
      <w:tr>
        <w:trPr>
          <w:trHeight w:val="20"/>
        </w:trPr>
        <w:tc>
          <w:tcPr>
            <w:tcW w:w="57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fiscal years 2019, 2018 and 2017, we had an average forward starting swap balance of $3.0 billion, $4.5 billion and $2.4 billion, respectively. Forward starting interest rate swaps do not impact our economic interest expense and aggregate cost of funds until they commence accruing net interest settlements on their forward start dates. Including forward starting swaps, our average ratio of interest rate swaps outstanding to our average mortgage borrowings for fiscal years 2019, 2018 and 2017 was 70%, 68% and 68%,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Spread</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a summary of our net interest spread (including the impact of TBA dollar roll income, interest rate swaps and excluding "catch-up" premium amortization) for fiscal years 2019, 2018 and 2017:</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927" w:right="239" w:bottom="1440" w:gutter="0" w:footer="0" w:header="0"/>
          <w:type w:val="continuous"/>
        </w:sectPr>
      </w:pPr>
    </w:p>
    <w:bookmarkStart w:id="41" w:name="page42"/>
    <w:bookmarkEnd w:id="41"/>
    <w:tbl>
      <w:tblPr>
        <w:tblLayout w:type="fixed"/>
        <w:tblInd w:w="112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780" w:type="dxa"/>
            <w:vAlign w:val="bottom"/>
            <w:tcBorders>
              <w:bottom w:val="single" w:sz="8" w:color="auto"/>
            </w:tcBorders>
          </w:tcPr>
          <w:p>
            <w:pPr>
              <w:spacing w:after="0"/>
              <w:rPr>
                <w:sz w:val="16"/>
                <w:szCs w:val="16"/>
                <w:color w:val="auto"/>
              </w:rPr>
            </w:pPr>
          </w:p>
        </w:tc>
      </w:tr>
      <w:tr>
        <w:trPr>
          <w:trHeight w:val="264"/>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Investment and TBA Securities - Net Interest Spread</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2017</w:t>
            </w:r>
          </w:p>
        </w:tc>
      </w:tr>
      <w:tr>
        <w:trPr>
          <w:trHeight w:val="256"/>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asset yield, excluding "catch-up" premium amortization</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3.20 %</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3.11 %</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2.84 %</w:t>
            </w:r>
          </w:p>
        </w:tc>
      </w:tr>
      <w:tr>
        <w:trPr>
          <w:trHeight w:val="264"/>
        </w:trPr>
        <w:tc>
          <w:tcPr>
            <w:tcW w:w="66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aggregate cost of funds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r>
      <w:tr>
        <w:trPr>
          <w:trHeight w:val="243"/>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Average net interest spread, excluding "catch-up" premium amortization</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1.18 %</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1.27 %</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1.45 %</w:t>
            </w:r>
          </w:p>
        </w:tc>
      </w:tr>
      <w:tr>
        <w:trPr>
          <w:trHeight w:val="20"/>
        </w:trPr>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 Income</w:t>
      </w:r>
    </w:p>
    <w:p>
      <w:pPr>
        <w:spacing w:after="0" w:line="17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Management fee income for fiscal years 2018 and 2017 consisted of $54 million and $38 million, respectively, of fees received from MTGE Investment Corp for asset management services. Fees for fiscal year 2018 included $42 million of termination fee income from MTGE due to MTGE's termination of its management agreement as a result of its sale to a third party.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Operating expenses, for fiscal year 2019, were $83 million, compared to $100 million for fiscal year 2018. The year-over-year decline in operating expenses was due to one-time expenses recognized during 2018 associated with the termination of MTGE's management, including the write-off or our intangible asset associated with the management agreement of $23 million and $4 million of other expenses. Excluding these one-time items, our operating expenses increased by $10 million for fiscal year 2019, due to the combination of higher compensation costs and other general expenses. Operating expenses for fiscal year 2018, excluding one-time items, were largely unchanged from fiscal year 2017.</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Spread and Dollar Roll Income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presents a summary of our net spread and dollar roll income, excluding estimated "catch-up" premium amortization, per diluted common share (a non-GAAP financial measure) and a reconciliation to our net interest income (the most comparable GAAP financial measure) for fiscal years 2019, 2018 and 2017 (dollars in millions):</w:t>
      </w:r>
    </w:p>
    <w:p>
      <w:pPr>
        <w:spacing w:after="0" w:line="267" w:lineRule="exact"/>
        <w:rPr>
          <w:sz w:val="20"/>
          <w:szCs w:val="20"/>
          <w:color w:val="auto"/>
        </w:rPr>
      </w:pPr>
    </w:p>
    <w:tbl>
      <w:tblPr>
        <w:tblLayout w:type="fixed"/>
        <w:tblInd w:w="150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5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interest income (GAAP measure)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264"/>
        </w:trPr>
        <w:tc>
          <w:tcPr>
            <w:tcW w:w="5820" w:type="dxa"/>
            <w:vAlign w:val="bottom"/>
          </w:tcPr>
          <w:p>
            <w:pPr>
              <w:ind w:left="160"/>
              <w:spacing w:after="0"/>
              <w:rPr>
                <w:sz w:val="20"/>
                <w:szCs w:val="20"/>
                <w:color w:val="auto"/>
              </w:rPr>
            </w:pPr>
            <w:r>
              <w:rPr>
                <w:rFonts w:ascii="Arial" w:cs="Arial" w:eastAsia="Arial" w:hAnsi="Arial"/>
                <w:sz w:val="14"/>
                <w:szCs w:val="14"/>
                <w:color w:val="auto"/>
              </w:rPr>
              <w:t xml:space="preserve">TBA dollar roll income, net </w:t>
            </w:r>
            <w:r>
              <w:rPr>
                <w:rFonts w:ascii="Arial" w:cs="Arial" w:eastAsia="Arial" w:hAnsi="Arial"/>
                <w:sz w:val="8"/>
                <w:szCs w:val="8"/>
                <w:color w:val="auto"/>
              </w:rPr>
              <w:t>1</w:t>
            </w:r>
          </w:p>
        </w:tc>
        <w:tc>
          <w:tcPr>
            <w:tcW w:w="18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276"/>
        </w:trPr>
        <w:tc>
          <w:tcPr>
            <w:tcW w:w="5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 xml:space="preserve">Interest rate swap periodic interest income (cost), net </w:t>
            </w:r>
            <w:r>
              <w:rPr>
                <w:rFonts w:ascii="Arial" w:cs="Arial" w:eastAsia="Arial" w:hAnsi="Arial"/>
                <w:sz w:val="8"/>
                <w:szCs w:val="8"/>
                <w:color w:val="auto"/>
              </w:rPr>
              <w:t>1</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64"/>
        </w:trPr>
        <w:tc>
          <w:tcPr>
            <w:tcW w:w="58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 xml:space="preserve">Other interest and dividend income </w:t>
            </w:r>
            <w:r>
              <w:rPr>
                <w:rFonts w:ascii="Arial" w:cs="Arial" w:eastAsia="Arial" w:hAnsi="Arial"/>
                <w:sz w:val="8"/>
                <w:szCs w:val="8"/>
                <w:color w:val="auto"/>
              </w:rPr>
              <w:t>1</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6"/>
        </w:trPr>
        <w:tc>
          <w:tcPr>
            <w:tcW w:w="5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net interest and dollar roll income</w:t>
            </w: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972</w:t>
            </w:r>
          </w:p>
        </w:tc>
        <w:tc>
          <w:tcPr>
            <w:tcW w:w="0" w:type="dxa"/>
            <w:vAlign w:val="bottom"/>
          </w:tcPr>
          <w:p>
            <w:pPr>
              <w:spacing w:after="0"/>
              <w:rPr>
                <w:sz w:val="1"/>
                <w:szCs w:val="1"/>
                <w:color w:val="auto"/>
              </w:rPr>
            </w:pPr>
          </w:p>
        </w:tc>
      </w:tr>
      <w:tr>
        <w:trPr>
          <w:trHeight w:val="264"/>
        </w:trPr>
        <w:tc>
          <w:tcPr>
            <w:tcW w:w="5820" w:type="dxa"/>
            <w:vAlign w:val="bottom"/>
          </w:tcPr>
          <w:p>
            <w:pPr>
              <w:ind w:left="40"/>
              <w:spacing w:after="0"/>
              <w:rPr>
                <w:sz w:val="20"/>
                <w:szCs w:val="20"/>
                <w:color w:val="auto"/>
              </w:rPr>
            </w:pPr>
            <w:r>
              <w:rPr>
                <w:rFonts w:ascii="Arial" w:cs="Arial" w:eastAsia="Arial" w:hAnsi="Arial"/>
                <w:sz w:val="14"/>
                <w:szCs w:val="14"/>
                <w:color w:val="auto"/>
              </w:rPr>
              <w:t>Other operating income (expense):</w:t>
            </w: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57"/>
        </w:trPr>
        <w:tc>
          <w:tcPr>
            <w:tcW w:w="5820" w:type="dxa"/>
            <w:vAlign w:val="bottom"/>
          </w:tcPr>
          <w:p>
            <w:pPr>
              <w:ind w:left="160"/>
              <w:spacing w:after="0" w:line="157" w:lineRule="exact"/>
              <w:rPr>
                <w:sz w:val="20"/>
                <w:szCs w:val="20"/>
                <w:color w:val="auto"/>
              </w:rPr>
            </w:pPr>
            <w:r>
              <w:rPr>
                <w:rFonts w:ascii="Arial" w:cs="Arial" w:eastAsia="Arial" w:hAnsi="Arial"/>
                <w:sz w:val="14"/>
                <w:szCs w:val="14"/>
                <w:color w:val="auto"/>
                <w:w w:val="96"/>
              </w:rPr>
              <w:t>Less non-recurring write-off of intangible asset and other expenses associated with termination</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820" w:type="dxa"/>
            <w:vAlign w:val="bottom"/>
          </w:tcPr>
          <w:p>
            <w:pPr>
              <w:ind w:left="160"/>
              <w:spacing w:after="0"/>
              <w:rPr>
                <w:sz w:val="20"/>
                <w:szCs w:val="20"/>
                <w:color w:val="auto"/>
              </w:rPr>
            </w:pPr>
            <w:r>
              <w:rPr>
                <w:rFonts w:ascii="Arial" w:cs="Arial" w:eastAsia="Arial" w:hAnsi="Arial"/>
                <w:sz w:val="14"/>
                <w:szCs w:val="14"/>
                <w:color w:val="auto"/>
              </w:rPr>
              <w:t>of management agreement</w:t>
            </w:r>
          </w:p>
        </w:tc>
        <w:tc>
          <w:tcPr>
            <w:tcW w:w="18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Management fee income</w:t>
            </w:r>
          </w:p>
        </w:tc>
        <w:tc>
          <w:tcPr>
            <w:tcW w:w="1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64"/>
        </w:trPr>
        <w:tc>
          <w:tcPr>
            <w:tcW w:w="5820" w:type="dxa"/>
            <w:vAlign w:val="bottom"/>
          </w:tcPr>
          <w:p>
            <w:pPr>
              <w:ind w:left="160"/>
              <w:spacing w:after="0"/>
              <w:rPr>
                <w:sz w:val="20"/>
                <w:szCs w:val="20"/>
                <w:color w:val="auto"/>
              </w:rPr>
            </w:pPr>
            <w:r>
              <w:rPr>
                <w:rFonts w:ascii="Arial" w:cs="Arial" w:eastAsia="Arial" w:hAnsi="Arial"/>
                <w:sz w:val="14"/>
                <w:szCs w:val="14"/>
                <w:color w:val="auto"/>
              </w:rPr>
              <w:t>Less management agreement termination fee income</w:t>
            </w:r>
          </w:p>
        </w:tc>
        <w:tc>
          <w:tcPr>
            <w:tcW w:w="180" w:type="dxa"/>
            <w:vAlign w:val="bottom"/>
          </w:tcPr>
          <w:p>
            <w:pPr>
              <w:spacing w:after="0"/>
              <w:rPr>
                <w:sz w:val="22"/>
                <w:szCs w:val="2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5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other operating income (expense), net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50"/>
        </w:trPr>
        <w:tc>
          <w:tcPr>
            <w:tcW w:w="5820" w:type="dxa"/>
            <w:vAlign w:val="bottom"/>
          </w:tcPr>
          <w:p>
            <w:pPr>
              <w:ind w:left="40"/>
              <w:spacing w:after="0"/>
              <w:rPr>
                <w:sz w:val="20"/>
                <w:szCs w:val="20"/>
                <w:color w:val="auto"/>
              </w:rPr>
            </w:pPr>
            <w:r>
              <w:rPr>
                <w:rFonts w:ascii="Arial" w:cs="Arial" w:eastAsia="Arial" w:hAnsi="Arial"/>
                <w:sz w:val="14"/>
                <w:szCs w:val="14"/>
                <w:color w:val="auto"/>
              </w:rPr>
              <w:t>Net spread and dollar roll income</w:t>
            </w:r>
          </w:p>
        </w:tc>
        <w:tc>
          <w:tcPr>
            <w:tcW w:w="18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915</w:t>
            </w:r>
          </w:p>
        </w:tc>
        <w:tc>
          <w:tcPr>
            <w:tcW w:w="0" w:type="dxa"/>
            <w:vAlign w:val="bottom"/>
          </w:tcPr>
          <w:p>
            <w:pPr>
              <w:spacing w:after="0"/>
              <w:rPr>
                <w:sz w:val="1"/>
                <w:szCs w:val="1"/>
                <w:color w:val="auto"/>
              </w:rPr>
            </w:pPr>
          </w:p>
        </w:tc>
      </w:tr>
      <w:tr>
        <w:trPr>
          <w:trHeight w:val="270"/>
        </w:trPr>
        <w:tc>
          <w:tcPr>
            <w:tcW w:w="5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Dividend on preferred stock</w:t>
            </w: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50"/>
        </w:trPr>
        <w:tc>
          <w:tcPr>
            <w:tcW w:w="5820" w:type="dxa"/>
            <w:vAlign w:val="bottom"/>
          </w:tcPr>
          <w:p>
            <w:pPr>
              <w:ind w:left="40"/>
              <w:spacing w:after="0"/>
              <w:rPr>
                <w:sz w:val="20"/>
                <w:szCs w:val="20"/>
                <w:color w:val="auto"/>
              </w:rPr>
            </w:pPr>
            <w:r>
              <w:rPr>
                <w:rFonts w:ascii="Arial" w:cs="Arial" w:eastAsia="Arial" w:hAnsi="Arial"/>
                <w:sz w:val="14"/>
                <w:szCs w:val="14"/>
                <w:color w:val="auto"/>
              </w:rPr>
              <w:t>Net spread and dollar roll income available to common stockholders (non-GAAP measure)</w:t>
            </w:r>
          </w:p>
        </w:tc>
        <w:tc>
          <w:tcPr>
            <w:tcW w:w="18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883</w:t>
            </w:r>
          </w:p>
        </w:tc>
        <w:tc>
          <w:tcPr>
            <w:tcW w:w="0" w:type="dxa"/>
            <w:vAlign w:val="bottom"/>
          </w:tcPr>
          <w:p>
            <w:pPr>
              <w:spacing w:after="0"/>
              <w:rPr>
                <w:sz w:val="1"/>
                <w:szCs w:val="1"/>
                <w:color w:val="auto"/>
              </w:rPr>
            </w:pPr>
          </w:p>
        </w:tc>
      </w:tr>
      <w:tr>
        <w:trPr>
          <w:trHeight w:val="276"/>
        </w:trPr>
        <w:tc>
          <w:tcPr>
            <w:tcW w:w="5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Estimated "catch-up" premium amortization cost (benefit) due to change in CPR forecast</w:t>
            </w:r>
          </w:p>
        </w:tc>
        <w:tc>
          <w:tcPr>
            <w:tcW w:w="1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37"/>
        </w:trPr>
        <w:tc>
          <w:tcPr>
            <w:tcW w:w="5820" w:type="dxa"/>
            <w:vAlign w:val="bottom"/>
          </w:tcPr>
          <w:p>
            <w:pPr>
              <w:ind w:left="40"/>
              <w:spacing w:after="0" w:line="137" w:lineRule="exact"/>
              <w:rPr>
                <w:sz w:val="20"/>
                <w:szCs w:val="20"/>
                <w:color w:val="auto"/>
              </w:rPr>
            </w:pPr>
            <w:r>
              <w:rPr>
                <w:rFonts w:ascii="Arial" w:cs="Arial" w:eastAsia="Arial" w:hAnsi="Arial"/>
                <w:sz w:val="14"/>
                <w:szCs w:val="14"/>
                <w:color w:val="auto"/>
              </w:rPr>
              <w:t>Net spread and dollar roll income, excluding "catch-up" premium amortization, available to</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1,170</w:t>
            </w: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1,037</w:t>
            </w: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221"/>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common stockholders (non-GAAP measure)</w:t>
            </w:r>
          </w:p>
        </w:tc>
        <w:tc>
          <w:tcPr>
            <w:tcW w:w="18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Weighted average number of common shares outstanding - basic</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540.6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441.1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358.6</w:t>
            </w:r>
          </w:p>
        </w:tc>
        <w:tc>
          <w:tcPr>
            <w:tcW w:w="0" w:type="dxa"/>
            <w:vAlign w:val="bottom"/>
          </w:tcPr>
          <w:p>
            <w:pPr>
              <w:spacing w:after="0"/>
              <w:rPr>
                <w:sz w:val="1"/>
                <w:szCs w:val="1"/>
                <w:color w:val="auto"/>
              </w:rPr>
            </w:pPr>
          </w:p>
        </w:tc>
      </w:tr>
      <w:tr>
        <w:trPr>
          <w:trHeight w:val="21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Weighted average number of common shares outstanding - diluted</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541.4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441.4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358.7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spread and dollar roll income per common share - basic</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1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spread and dollar roll income per common share - diluted</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40"/>
              <w:spacing w:after="0" w:line="151" w:lineRule="exact"/>
              <w:rPr>
                <w:sz w:val="20"/>
                <w:szCs w:val="20"/>
                <w:color w:val="auto"/>
              </w:rPr>
            </w:pPr>
            <w:r>
              <w:rPr>
                <w:rFonts w:ascii="Arial" w:cs="Arial" w:eastAsia="Arial" w:hAnsi="Arial"/>
                <w:sz w:val="14"/>
                <w:szCs w:val="14"/>
                <w:color w:val="auto"/>
              </w:rPr>
              <w:t>Net spread and dollar roll income, excluding "catch-up" premium amortization, per common</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5820" w:type="dxa"/>
            <w:vAlign w:val="bottom"/>
            <w:vMerge w:val="continue"/>
          </w:tcPr>
          <w:p>
            <w:pPr>
              <w:spacing w:after="0"/>
              <w:rPr>
                <w:sz w:val="9"/>
                <w:szCs w:val="9"/>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9"/>
                <w:szCs w:val="9"/>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9"/>
                <w:szCs w:val="9"/>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221"/>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share - basic</w:t>
            </w:r>
          </w:p>
        </w:tc>
        <w:tc>
          <w:tcPr>
            <w:tcW w:w="18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820" w:type="dxa"/>
            <w:vAlign w:val="bottom"/>
            <w:shd w:val="clear" w:color="auto" w:fill="CCEEFF"/>
          </w:tcPr>
          <w:p>
            <w:pPr>
              <w:ind w:left="40"/>
              <w:spacing w:after="0" w:line="110" w:lineRule="exact"/>
              <w:rPr>
                <w:sz w:val="20"/>
                <w:szCs w:val="20"/>
                <w:color w:val="auto"/>
              </w:rPr>
            </w:pPr>
            <w:r>
              <w:rPr>
                <w:rFonts w:ascii="Arial" w:cs="Arial" w:eastAsia="Arial" w:hAnsi="Arial"/>
                <w:sz w:val="12"/>
                <w:szCs w:val="12"/>
                <w:color w:val="auto"/>
              </w:rPr>
              <w:t>Net spread and dollar roll income, excluding "catch-up" premium amortization, per common</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81"/>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share - diluted</w:t>
            </w: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8890</wp:posOffset>
            </wp:positionV>
            <wp:extent cx="16554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94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Gain (Loss) on Investment Securities, Net</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the fiscal year 2019, we had net gains on our investment securities of $3.4 billion resulting from the decline in long-term interest rates and an increase in the premium, or pay-up values, for our specified Agency RMBS holdings, given their lower likelihood of prepayment in low interest rate environments compared to generic Agency securities. Conversely, during fiscal years 2018 and 2017, we incurred net losses of $1.0 billion and $0.1 billion, respectively, on our investment securities largely as a function of higher interest rates and declining pay-up values. The following table is a summary of our net gain (loss) on investment securities for fiscal years 2019, 2018 and 2017 (in millions):</w:t>
      </w:r>
    </w:p>
    <w:p>
      <w:pPr>
        <w:spacing w:after="0" w:line="355"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Gain (Loss) on Investment Securities, Net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r>
      <w:tr>
        <w:trPr>
          <w:trHeight w:val="256"/>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Gain (loss) on sale of investment securities, net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264"/>
        </w:trPr>
        <w:tc>
          <w:tcPr>
            <w:tcW w:w="7400" w:type="dxa"/>
            <w:vAlign w:val="bottom"/>
            <w:gridSpan w:val="2"/>
          </w:tcPr>
          <w:p>
            <w:pPr>
              <w:ind w:left="20"/>
              <w:spacing w:after="0"/>
              <w:rPr>
                <w:sz w:val="20"/>
                <w:szCs w:val="20"/>
                <w:color w:val="auto"/>
              </w:rPr>
            </w:pPr>
            <w:r>
              <w:rPr>
                <w:rFonts w:ascii="Arial" w:cs="Arial" w:eastAsia="Arial" w:hAnsi="Arial"/>
                <w:sz w:val="14"/>
                <w:szCs w:val="14"/>
                <w:color w:val="auto"/>
              </w:rPr>
              <w:t xml:space="preserve">Unrealized gain (loss) on investment securities measured at fair value through net income, net </w:t>
            </w:r>
            <w:r>
              <w:rPr>
                <w:rFonts w:ascii="Arial" w:cs="Arial" w:eastAsia="Arial" w:hAnsi="Arial"/>
                <w:sz w:val="8"/>
                <w:szCs w:val="8"/>
                <w:color w:val="auto"/>
              </w:rPr>
              <w:t>2</w:t>
            </w:r>
          </w:p>
        </w:tc>
        <w:tc>
          <w:tcPr>
            <w:tcW w:w="2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270"/>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Unrealized gain (loss) on investment securities measured at fair value through other comprehensive income, net</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w:t>
            </w:r>
          </w:p>
        </w:tc>
      </w:tr>
      <w:tr>
        <w:trPr>
          <w:trHeight w:val="244"/>
        </w:trPr>
        <w:tc>
          <w:tcPr>
            <w:tcW w:w="7400" w:type="dxa"/>
            <w:vAlign w:val="bottom"/>
            <w:gridSpan w:val="2"/>
          </w:tcPr>
          <w:p>
            <w:pPr>
              <w:ind w:left="20"/>
              <w:spacing w:after="0"/>
              <w:rPr>
                <w:sz w:val="20"/>
                <w:szCs w:val="20"/>
                <w:color w:val="auto"/>
              </w:rPr>
            </w:pPr>
            <w:r>
              <w:rPr>
                <w:rFonts w:ascii="Arial" w:cs="Arial" w:eastAsia="Arial" w:hAnsi="Arial"/>
                <w:sz w:val="14"/>
                <w:szCs w:val="14"/>
                <w:color w:val="auto"/>
              </w:rPr>
              <w:t>Total gain (loss) on investment securities, net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3,442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(1,032)</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0</wp:posOffset>
            </wp:positionV>
            <wp:extent cx="189547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95475" cy="260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980" w:right="20" w:hanging="648"/>
        <w:spacing w:after="0" w:line="241" w:lineRule="auto"/>
        <w:tabs>
          <w:tab w:leader="none" w:pos="656"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Amounts exclude gain (loss) on TBA securities, which are reported in gain (loss) on derivative instruments and other securities, net in our Consolidated Statements of Comprehensive Income.</w:t>
      </w:r>
    </w:p>
    <w:p>
      <w:pPr>
        <w:ind w:left="660" w:hanging="328"/>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Investment securities acquired after fiscal year 2016 are measured at fair value through net income (see Note 2 of our Consolidated Financial Statements in this Form 10-K).</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Derivative Instruments and Other Securities, Net</w:t>
      </w:r>
    </w:p>
    <w:p>
      <w:pPr>
        <w:spacing w:after="0" w:line="18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is a summary of our gain (loss) on derivative instruments and other securities, net for fiscal years 2019, 2018 and 2017 (in millions):</w:t>
      </w:r>
    </w:p>
    <w:p>
      <w:pPr>
        <w:spacing w:after="0" w:line="257"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64"/>
        </w:trPr>
        <w:tc>
          <w:tcPr>
            <w:tcW w:w="74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r>
      <w:tr>
        <w:trPr>
          <w:trHeight w:val="256"/>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 periodic interest income (cost), net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r>
      <w:tr>
        <w:trPr>
          <w:trHeight w:val="258"/>
        </w:trPr>
        <w:tc>
          <w:tcPr>
            <w:tcW w:w="7420" w:type="dxa"/>
            <w:vAlign w:val="bottom"/>
          </w:tcPr>
          <w:p>
            <w:pPr>
              <w:ind w:left="20"/>
              <w:spacing w:after="0"/>
              <w:rPr>
                <w:sz w:val="20"/>
                <w:szCs w:val="20"/>
                <w:color w:val="auto"/>
              </w:rPr>
            </w:pPr>
            <w:r>
              <w:rPr>
                <w:rFonts w:ascii="Arial" w:cs="Arial" w:eastAsia="Arial" w:hAnsi="Arial"/>
                <w:sz w:val="14"/>
                <w:szCs w:val="14"/>
                <w:color w:val="auto"/>
              </w:rPr>
              <w:t>Realized gain (loss) on derivative instruments and other securities, net:</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6"/>
        </w:trPr>
        <w:tc>
          <w:tcPr>
            <w:tcW w:w="742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TBA securities - dollar roll income, net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329</w:t>
            </w:r>
          </w:p>
        </w:tc>
      </w:tr>
      <w:tr>
        <w:trPr>
          <w:trHeight w:val="264"/>
        </w:trPr>
        <w:tc>
          <w:tcPr>
            <w:tcW w:w="7420" w:type="dxa"/>
            <w:vAlign w:val="bottom"/>
          </w:tcPr>
          <w:p>
            <w:pPr>
              <w:ind w:left="1180"/>
              <w:spacing w:after="0"/>
              <w:rPr>
                <w:sz w:val="20"/>
                <w:szCs w:val="20"/>
                <w:color w:val="auto"/>
              </w:rPr>
            </w:pPr>
            <w:r>
              <w:rPr>
                <w:rFonts w:ascii="Arial" w:cs="Arial" w:eastAsia="Arial" w:hAnsi="Arial"/>
                <w:sz w:val="14"/>
                <w:szCs w:val="14"/>
                <w:color w:val="auto"/>
              </w:rPr>
              <w:t>TBA securities - mark-to-market net gain (loss)</w:t>
            </w:r>
          </w:p>
        </w:tc>
        <w:tc>
          <w:tcPr>
            <w:tcW w:w="2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276"/>
        </w:trPr>
        <w:tc>
          <w:tcPr>
            <w:tcW w:w="742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Payer swaptions</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64"/>
        </w:trPr>
        <w:tc>
          <w:tcPr>
            <w:tcW w:w="7420" w:type="dxa"/>
            <w:vAlign w:val="bottom"/>
          </w:tcPr>
          <w:p>
            <w:pPr>
              <w:ind w:left="1180"/>
              <w:spacing w:after="0"/>
              <w:rPr>
                <w:sz w:val="20"/>
                <w:szCs w:val="20"/>
                <w:color w:val="auto"/>
              </w:rPr>
            </w:pPr>
            <w:r>
              <w:rPr>
                <w:rFonts w:ascii="Arial" w:cs="Arial" w:eastAsia="Arial" w:hAnsi="Arial"/>
                <w:sz w:val="14"/>
                <w:szCs w:val="14"/>
                <w:color w:val="auto"/>
              </w:rPr>
              <w:t>U.S. Treasury securities - long position</w:t>
            </w:r>
          </w:p>
        </w:tc>
        <w:tc>
          <w:tcPr>
            <w:tcW w:w="2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6"/>
        </w:trPr>
        <w:tc>
          <w:tcPr>
            <w:tcW w:w="742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U.S. Treasury securities - short position</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r>
      <w:tr>
        <w:trPr>
          <w:trHeight w:val="264"/>
        </w:trPr>
        <w:tc>
          <w:tcPr>
            <w:tcW w:w="7420" w:type="dxa"/>
            <w:vAlign w:val="bottom"/>
          </w:tcPr>
          <w:p>
            <w:pPr>
              <w:ind w:left="1180"/>
              <w:spacing w:after="0"/>
              <w:rPr>
                <w:sz w:val="20"/>
                <w:szCs w:val="20"/>
                <w:color w:val="auto"/>
              </w:rPr>
            </w:pPr>
            <w:r>
              <w:rPr>
                <w:rFonts w:ascii="Arial" w:cs="Arial" w:eastAsia="Arial" w:hAnsi="Arial"/>
                <w:sz w:val="14"/>
                <w:szCs w:val="14"/>
                <w:color w:val="auto"/>
              </w:rPr>
              <w:t>U.S. Treasury futures - short position</w:t>
            </w: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76"/>
        </w:trPr>
        <w:tc>
          <w:tcPr>
            <w:tcW w:w="742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Interest rate swaps - termination fees and variation margin settlements, net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w:t>
            </w:r>
          </w:p>
        </w:tc>
      </w:tr>
      <w:tr>
        <w:trPr>
          <w:trHeight w:val="264"/>
        </w:trPr>
        <w:tc>
          <w:tcPr>
            <w:tcW w:w="7420" w:type="dxa"/>
            <w:vAlign w:val="bottom"/>
            <w:tcBorders>
              <w:bottom w:val="single" w:sz="8" w:color="CCEEFF"/>
            </w:tcBorders>
          </w:tcPr>
          <w:p>
            <w:pPr>
              <w:ind w:left="118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r>
      <w:tr>
        <w:trPr>
          <w:trHeight w:val="256"/>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realized gain (loss) on derivative instruments and other securities, net</w:t>
            </w:r>
          </w:p>
        </w:tc>
        <w:tc>
          <w:tcPr>
            <w:tcW w:w="2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(2,550)</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472</w:t>
            </w:r>
          </w:p>
        </w:tc>
      </w:tr>
      <w:tr>
        <w:trPr>
          <w:trHeight w:val="258"/>
        </w:trPr>
        <w:tc>
          <w:tcPr>
            <w:tcW w:w="7420" w:type="dxa"/>
            <w:vAlign w:val="bottom"/>
          </w:tcPr>
          <w:p>
            <w:pPr>
              <w:ind w:left="20"/>
              <w:spacing w:after="0"/>
              <w:rPr>
                <w:sz w:val="20"/>
                <w:szCs w:val="20"/>
                <w:color w:val="auto"/>
              </w:rPr>
            </w:pPr>
            <w:r>
              <w:rPr>
                <w:rFonts w:ascii="Arial" w:cs="Arial" w:eastAsia="Arial" w:hAnsi="Arial"/>
                <w:sz w:val="14"/>
                <w:szCs w:val="14"/>
                <w:color w:val="auto"/>
              </w:rPr>
              <w:t>Unrealized gain (loss) on derivative instruments and other securities, net:</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6"/>
        </w:trPr>
        <w:tc>
          <w:tcPr>
            <w:tcW w:w="742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TBA securities - mark-to-market net gain (loss)</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w:t>
            </w:r>
          </w:p>
        </w:tc>
      </w:tr>
      <w:tr>
        <w:trPr>
          <w:trHeight w:val="264"/>
        </w:trPr>
        <w:tc>
          <w:tcPr>
            <w:tcW w:w="7420" w:type="dxa"/>
            <w:vAlign w:val="bottom"/>
          </w:tcPr>
          <w:p>
            <w:pPr>
              <w:ind w:left="1180"/>
              <w:spacing w:after="0"/>
              <w:rPr>
                <w:sz w:val="20"/>
                <w:szCs w:val="20"/>
                <w:color w:val="auto"/>
              </w:rPr>
            </w:pPr>
            <w:r>
              <w:rPr>
                <w:rFonts w:ascii="Arial" w:cs="Arial" w:eastAsia="Arial" w:hAnsi="Arial"/>
                <w:sz w:val="14"/>
                <w:szCs w:val="14"/>
                <w:color w:val="auto"/>
              </w:rPr>
              <w:t>Interest rate swaps</w:t>
            </w: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(184)</w:t>
            </w:r>
          </w:p>
        </w:tc>
      </w:tr>
      <w:tr>
        <w:trPr>
          <w:trHeight w:val="276"/>
        </w:trPr>
        <w:tc>
          <w:tcPr>
            <w:tcW w:w="742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Payer swaptions</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264"/>
        </w:trPr>
        <w:tc>
          <w:tcPr>
            <w:tcW w:w="7420" w:type="dxa"/>
            <w:vAlign w:val="bottom"/>
          </w:tcPr>
          <w:p>
            <w:pPr>
              <w:ind w:left="1180"/>
              <w:spacing w:after="0"/>
              <w:rPr>
                <w:sz w:val="20"/>
                <w:szCs w:val="20"/>
                <w:color w:val="auto"/>
              </w:rPr>
            </w:pPr>
            <w:r>
              <w:rPr>
                <w:rFonts w:ascii="Arial" w:cs="Arial" w:eastAsia="Arial" w:hAnsi="Arial"/>
                <w:sz w:val="14"/>
                <w:szCs w:val="14"/>
                <w:color w:val="auto"/>
              </w:rPr>
              <w:t>U.S. Treasury securities - long position</w:t>
            </w:r>
          </w:p>
        </w:tc>
        <w:tc>
          <w:tcPr>
            <w:tcW w:w="20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2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U.S. Treasury securities - short position</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264"/>
        </w:trPr>
        <w:tc>
          <w:tcPr>
            <w:tcW w:w="7420" w:type="dxa"/>
            <w:vAlign w:val="bottom"/>
          </w:tcPr>
          <w:p>
            <w:pPr>
              <w:ind w:left="1180"/>
              <w:spacing w:after="0"/>
              <w:rPr>
                <w:sz w:val="20"/>
                <w:szCs w:val="20"/>
                <w:color w:val="auto"/>
              </w:rPr>
            </w:pPr>
            <w:r>
              <w:rPr>
                <w:rFonts w:ascii="Arial" w:cs="Arial" w:eastAsia="Arial" w:hAnsi="Arial"/>
                <w:sz w:val="14"/>
                <w:szCs w:val="14"/>
                <w:color w:val="auto"/>
              </w:rPr>
              <w:t>U.S. Treasury futures - short position</w:t>
            </w:r>
          </w:p>
        </w:tc>
        <w:tc>
          <w:tcPr>
            <w:tcW w:w="2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w:t>
            </w:r>
          </w:p>
        </w:tc>
      </w:tr>
      <w:tr>
        <w:trPr>
          <w:trHeight w:val="270"/>
        </w:trPr>
        <w:tc>
          <w:tcPr>
            <w:tcW w:w="742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5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unrealized gain (loss) on derivative instruments and other securities, net</w:t>
            </w: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r>
      <w:tr>
        <w:trPr>
          <w:trHeight w:val="243"/>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gain (loss) on derivative instruments and other securities, net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193</w:t>
            </w:r>
          </w:p>
        </w:tc>
      </w:tr>
      <w:tr>
        <w:trPr>
          <w:trHeight w:val="20"/>
        </w:trPr>
        <w:tc>
          <w:tcPr>
            <w:tcW w:w="7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For further details regarding our use of derivative instruments and related activity refer to Notes 2 and 5 of our Consolidated Financial Statements in this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Taxable Income</w:t>
      </w:r>
    </w:p>
    <w:p>
      <w:pPr>
        <w:spacing w:after="0" w:line="18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For the fiscal years 2019, 2018 and 2017, we had estimated taxable income available to common stockholders of $620 million, $490 million and $191 million (or $1.15, $1.11 and $0.53 per diluted common share), respectively. Income determined</w:t>
      </w:r>
    </w:p>
    <w:p>
      <w:pPr>
        <w:sectPr>
          <w:pgSz w:w="11900" w:h="16838" w:orient="portrait"/>
          <w:cols w:equalWidth="0" w:num="1">
            <w:col w:w="11420"/>
          </w:cols>
          <w:pgMar w:left="240" w:top="719"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719" w:right="239" w:bottom="1440" w:gutter="0" w:footer="0" w:header="0"/>
          <w:type w:val="continuous"/>
        </w:sectPr>
      </w:pPr>
    </w:p>
    <w:bookmarkStart w:id="43" w:name="page44"/>
    <w:bookmarkEnd w:id="43"/>
    <w:p>
      <w:pPr>
        <w:jc w:val="both"/>
        <w:spacing w:after="0" w:line="272" w:lineRule="auto"/>
        <w:rPr>
          <w:sz w:val="20"/>
          <w:szCs w:val="20"/>
          <w:color w:val="auto"/>
        </w:rPr>
      </w:pPr>
      <w:r>
        <w:rPr>
          <w:rFonts w:ascii="Arial" w:cs="Arial" w:eastAsia="Arial" w:hAnsi="Arial"/>
          <w:sz w:val="17"/>
          <w:szCs w:val="17"/>
          <w:color w:val="auto"/>
        </w:rPr>
        <w:t>under GAAP differs from income determined under U.S. federal income tax rules because of both temporary and permanent differences in income and expense recognition. The primary differences are (i) unrealized gains and losses on investment securities and derivative instruments marked-to-market in current income for GAAP purposes, but excluded from taxable income until realized, settled or amortized over the instrument's original term, (ii) timing differences, both temporary and potentially permanent, in the recognition of certain realized gains and losses and (iii) temporary differences related to the amortization of premiums and discounts on investments. Furthermore, our estimated taxable income is subject to potential adjustments up to the time of filing our appropriate tax returns, which occurs after the end of our fiscal year. The following is a reconciliation of our GAAP net income to our estimated taxable income for fiscal years 2019, 2018 and 2017 (dollars in millions, except per share amounts):</w:t>
      </w:r>
    </w:p>
    <w:p>
      <w:pPr>
        <w:spacing w:after="0" w:line="264" w:lineRule="exact"/>
        <w:rPr>
          <w:sz w:val="20"/>
          <w:szCs w:val="20"/>
          <w:color w:val="auto"/>
        </w:rPr>
      </w:pPr>
    </w:p>
    <w:tbl>
      <w:tblPr>
        <w:tblLayout w:type="fixed"/>
        <w:tblInd w:w="90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r>
      <w:tr>
        <w:trPr>
          <w:trHeight w:val="256"/>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771</w:t>
            </w:r>
          </w:p>
        </w:tc>
      </w:tr>
      <w:tr>
        <w:trPr>
          <w:trHeight w:val="264"/>
        </w:trPr>
        <w:tc>
          <w:tcPr>
            <w:tcW w:w="6500" w:type="dxa"/>
            <w:vAlign w:val="bottom"/>
          </w:tcPr>
          <w:p>
            <w:pPr>
              <w:ind w:left="20"/>
              <w:spacing w:after="0"/>
              <w:rPr>
                <w:sz w:val="20"/>
                <w:szCs w:val="20"/>
                <w:color w:val="auto"/>
              </w:rPr>
            </w:pPr>
            <w:r>
              <w:rPr>
                <w:rFonts w:ascii="Arial" w:cs="Arial" w:eastAsia="Arial" w:hAnsi="Arial"/>
                <w:sz w:val="14"/>
                <w:szCs w:val="14"/>
                <w:color w:val="auto"/>
              </w:rPr>
              <w:t>Estimated book to tax differences:</w:t>
            </w: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6"/>
        </w:trPr>
        <w:tc>
          <w:tcPr>
            <w:tcW w:w="6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Premium amortization, net</w:t>
            </w: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264"/>
        </w:trPr>
        <w:tc>
          <w:tcPr>
            <w:tcW w:w="6500" w:type="dxa"/>
            <w:vAlign w:val="bottom"/>
          </w:tcPr>
          <w:p>
            <w:pPr>
              <w:ind w:left="160"/>
              <w:spacing w:after="0"/>
              <w:rPr>
                <w:sz w:val="20"/>
                <w:szCs w:val="20"/>
                <w:color w:val="auto"/>
              </w:rPr>
            </w:pPr>
            <w:r>
              <w:rPr>
                <w:rFonts w:ascii="Arial" w:cs="Arial" w:eastAsia="Arial" w:hAnsi="Arial"/>
                <w:sz w:val="14"/>
                <w:szCs w:val="14"/>
                <w:color w:val="auto"/>
              </w:rPr>
              <w:t>Realized gain/loss, net</w:t>
            </w:r>
          </w:p>
        </w:tc>
        <w:tc>
          <w:tcPr>
            <w:tcW w:w="2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(654)</w:t>
            </w:r>
          </w:p>
        </w:tc>
      </w:tr>
      <w:tr>
        <w:trPr>
          <w:trHeight w:val="276"/>
        </w:trPr>
        <w:tc>
          <w:tcPr>
            <w:tcW w:w="6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capital loss/(utilization of net capital loss carryforward)</w:t>
            </w: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r>
      <w:tr>
        <w:trPr>
          <w:trHeight w:val="264"/>
        </w:trPr>
        <w:tc>
          <w:tcPr>
            <w:tcW w:w="6500" w:type="dxa"/>
            <w:vAlign w:val="bottom"/>
          </w:tcPr>
          <w:p>
            <w:pPr>
              <w:ind w:left="160"/>
              <w:spacing w:after="0"/>
              <w:rPr>
                <w:sz w:val="20"/>
                <w:szCs w:val="20"/>
                <w:color w:val="auto"/>
              </w:rPr>
            </w:pPr>
            <w:r>
              <w:rPr>
                <w:rFonts w:ascii="Arial" w:cs="Arial" w:eastAsia="Arial" w:hAnsi="Arial"/>
                <w:sz w:val="14"/>
                <w:szCs w:val="14"/>
                <w:color w:val="auto"/>
              </w:rPr>
              <w:t>Unrealized (gain)/loss, net</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(1,838)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223</w:t>
            </w:r>
          </w:p>
        </w:tc>
      </w:tr>
      <w:tr>
        <w:trPr>
          <w:trHeight w:val="270"/>
        </w:trPr>
        <w:tc>
          <w:tcPr>
            <w:tcW w:w="6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50"/>
        </w:trPr>
        <w:tc>
          <w:tcPr>
            <w:tcW w:w="6500" w:type="dxa"/>
            <w:vAlign w:val="bottom"/>
            <w:tcBorders>
              <w:bottom w:val="single" w:sz="8" w:color="CCEEFF"/>
            </w:tcBorders>
          </w:tcPr>
          <w:p>
            <w:pPr>
              <w:ind w:left="840"/>
              <w:spacing w:after="0"/>
              <w:rPr>
                <w:sz w:val="20"/>
                <w:szCs w:val="20"/>
                <w:color w:val="auto"/>
              </w:rPr>
            </w:pPr>
            <w:r>
              <w:rPr>
                <w:rFonts w:ascii="Arial" w:cs="Arial" w:eastAsia="Arial" w:hAnsi="Arial"/>
                <w:sz w:val="14"/>
                <w:szCs w:val="14"/>
                <w:color w:val="auto"/>
              </w:rPr>
              <w:t>Total book to tax differences</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w:t>
            </w:r>
          </w:p>
        </w:tc>
      </w:tr>
      <w:tr>
        <w:trPr>
          <w:trHeight w:val="256"/>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Estimated REIT taxable income</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w:t>
            </w:r>
          </w:p>
        </w:tc>
      </w:tr>
      <w:tr>
        <w:trPr>
          <w:trHeight w:val="264"/>
        </w:trPr>
        <w:tc>
          <w:tcPr>
            <w:tcW w:w="65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Dividends on preferred stock</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w:t>
            </w:r>
          </w:p>
        </w:tc>
      </w:tr>
      <w:tr>
        <w:trPr>
          <w:trHeight w:val="243"/>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Estimated REIT taxable income available to common stockholders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191</w:t>
            </w:r>
          </w:p>
        </w:tc>
      </w:tr>
      <w:tr>
        <w:trPr>
          <w:trHeight w:val="20"/>
        </w:trPr>
        <w:tc>
          <w:tcPr>
            <w:tcW w:w="6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5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540.6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441.1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358.6</w:t>
            </w:r>
          </w:p>
        </w:tc>
      </w:tr>
      <w:tr>
        <w:trPr>
          <w:trHeight w:val="21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541.4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441.4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358.7</w:t>
            </w:r>
          </w:p>
        </w:tc>
      </w:tr>
      <w:tr>
        <w:trPr>
          <w:trHeight w:val="20"/>
        </w:trPr>
        <w:tc>
          <w:tcPr>
            <w:tcW w:w="6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5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Estimated REIT taxable income per common share - basic</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0.53</w:t>
            </w:r>
          </w:p>
        </w:tc>
      </w:tr>
      <w:tr>
        <w:trPr>
          <w:trHeight w:val="21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Estimated REIT taxable income per common share - diluted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0.53</w:t>
            </w:r>
          </w:p>
        </w:tc>
      </w:tr>
      <w:tr>
        <w:trPr>
          <w:trHeight w:val="20"/>
        </w:trPr>
        <w:tc>
          <w:tcPr>
            <w:tcW w:w="6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64"/>
        </w:trPr>
        <w:tc>
          <w:tcPr>
            <w:tcW w:w="6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0"/>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cumulative non-deductible net capital loss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452</w:t>
            </w:r>
          </w:p>
        </w:tc>
      </w:tr>
      <w:tr>
        <w:trPr>
          <w:trHeight w:val="264"/>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Increase (decrease) in net capital loss carryforward</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r>
      <w:tr>
        <w:trPr>
          <w:trHeight w:val="250"/>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Ending cumulative non-deductible net capital loss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357</w:t>
            </w:r>
          </w:p>
        </w:tc>
      </w:tr>
      <w:tr>
        <w:trPr>
          <w:trHeight w:val="243"/>
        </w:trPr>
        <w:tc>
          <w:tcPr>
            <w:tcW w:w="6500" w:type="dxa"/>
            <w:vAlign w:val="bottom"/>
          </w:tcPr>
          <w:p>
            <w:pPr>
              <w:ind w:left="20"/>
              <w:spacing w:after="0"/>
              <w:rPr>
                <w:sz w:val="20"/>
                <w:szCs w:val="20"/>
                <w:color w:val="auto"/>
              </w:rPr>
            </w:pPr>
            <w:r>
              <w:rPr>
                <w:rFonts w:ascii="Arial" w:cs="Arial" w:eastAsia="Arial" w:hAnsi="Arial"/>
                <w:sz w:val="14"/>
                <w:szCs w:val="14"/>
                <w:color w:val="auto"/>
              </w:rPr>
              <w:t>Ending cumulative non-deductible net capital loss per common share</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0.73</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0.34</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0.91</w:t>
            </w:r>
          </w:p>
        </w:tc>
      </w:tr>
      <w:tr>
        <w:trPr>
          <w:trHeight w:val="20"/>
        </w:trPr>
        <w:tc>
          <w:tcPr>
            <w:tcW w:w="6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December 31, 2019, 2018 and 2017, we had distributed all our estimated taxable income for fiscal years 2019, 2018 and 2017, respectively. Accordingly, we do not expect to incur an income tax or excise tax liability on our 2019 taxable income, nor did we incur such liabilities on our 2018 and 2017 taxable income. Please refer to Item 5 of this Form 10-K and Note 9 to our Consolidated Financial Statements included in this Form 10-K for a summary of dividends declared on our common and preferred stock during fiscal years 2019, 2018 and 2017.</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1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Our primary sources of funds are borrowings under master repurchase agreements, asset sales, receipts of monthly principal and interest payments on our investment portfolio and equity offerings. We may also enter into TBA contracts to acquire or dispose of Agency RMBS and TBA dollar roll transactions to finance Agency RMBS purchases. Because the level of our borrowings can be adjusted daily, the level of cash and cash equivalents carried on our balance sheet is significantly less important than the potential liquidity available under our borrowing arrangements. Our leverage will vary periodically depending on market conditions and our assessment of risks and returns. We generally would expect our leverage to be within six to twelve times the amount of our tangible stockholders' equity. However, under certain market conditions, we may operate at leverage levels outside of this range for extended periods of time.</w:t>
      </w:r>
    </w:p>
    <w:p>
      <w:pPr>
        <w:spacing w:after="0" w:line="11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currently believe that we have sufficient liquidity and capital resources available for the acquisition of additional investments, repayments on borrowings, maintenance of any margin requirements and the payment of cash dividends as required for our continued qualification as a REIT. We expect to distribute 100% of our taxable income so that we are not subject to U.S. federal and state corporate income taxes. Our REIT distribution requirement of at least 90% of our taxable income limits our ability to retain earnings and thereby replenish or increase capital from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Capital</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2019 and 2018, our mortgage borrowings consisted of the following (dollars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0"/>
              </w:rPr>
              <w:t>December 31, 2019</w:t>
            </w:r>
          </w:p>
        </w:tc>
        <w:tc>
          <w:tcPr>
            <w:tcW w:w="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0"/>
              </w:rPr>
              <w:t>December 31, 2018</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Mortgage Borrowings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6"/>
              </w:rPr>
              <w:t>%</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6"/>
        </w:trPr>
        <w:tc>
          <w:tcPr>
            <w:tcW w:w="6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Repurchase agreements </w:t>
            </w:r>
            <w:r>
              <w:rPr>
                <w:rFonts w:ascii="Arial" w:cs="Arial" w:eastAsia="Arial" w:hAnsi="Arial"/>
                <w:sz w:val="8"/>
                <w:szCs w:val="8"/>
                <w:color w:val="auto"/>
              </w:rPr>
              <w:t>1</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89,085</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75,717</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64"/>
        </w:trPr>
        <w:tc>
          <w:tcPr>
            <w:tcW w:w="6040" w:type="dxa"/>
            <w:vAlign w:val="bottom"/>
            <w:gridSpan w:val="2"/>
          </w:tcPr>
          <w:p>
            <w:pPr>
              <w:ind w:left="40"/>
              <w:spacing w:after="0"/>
              <w:rPr>
                <w:sz w:val="20"/>
                <w:szCs w:val="20"/>
                <w:color w:val="auto"/>
              </w:rPr>
            </w:pPr>
            <w:r>
              <w:rPr>
                <w:rFonts w:ascii="Arial" w:cs="Arial" w:eastAsia="Arial" w:hAnsi="Arial"/>
                <w:sz w:val="14"/>
                <w:szCs w:val="14"/>
                <w:color w:val="auto"/>
              </w:rPr>
              <w:t>Debt of consolidated variable interest entities, at fair value</w:t>
            </w: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60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debt</w:t>
            </w:r>
          </w:p>
        </w:tc>
        <w:tc>
          <w:tcPr>
            <w:tcW w:w="2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89,313</w:t>
            </w:r>
          </w:p>
        </w:tc>
        <w:tc>
          <w:tcPr>
            <w:tcW w:w="1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75,992</w:t>
            </w:r>
          </w:p>
        </w:tc>
        <w:tc>
          <w:tcPr>
            <w:tcW w:w="1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TBA position, at cost</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7,404</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7,252</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43"/>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mortgage borrowings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96,717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83,244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9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Amount excludes $97 million of repurchase agreements used to fund purchases of U.S. Treasury securities as of December 31, 2019.</w:t>
      </w:r>
    </w:p>
    <w:p>
      <w:pPr>
        <w:spacing w:after="0" w:line="156"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Our tangible net book value "at risk" leverage was 9.4x and 9.0x as of December 31, 2019 and 2018, respectively, measured as the sum of our total mortgage borrowings and net payable / (receivable) for unsettled investment securities, divided by the sum of our total stockholders' equity adjusted to exclude goodwill.</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Repurchase Agreements</w:t>
      </w:r>
    </w:p>
    <w:p>
      <w:pPr>
        <w:spacing w:after="0" w:line="17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As part of our investment strategy, we borrow against our investment portfolio pursuant to master repurchase agreements. We expect that the majority of our borrowings under repurchase agreements will have maturities ranging up to one year but may have terms ranging up to five years or longer. Borrowings with maturities greater than one year may have floating rates of interest based on a short-term benchmark rate plus or minus a fixed spread.</w:t>
      </w:r>
    </w:p>
    <w:p>
      <w:pPr>
        <w:spacing w:after="0" w:line="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2019, we had $89.1 billion of repurchase agreements outstanding used to fund acquisitions of investment securities with a weighted average interest rate of 2.17% and a weighted average remaining days-to-maturity of 55 days, compared $75.7 billion, 2.79% and 49 days, respectively, as of December 31, 2018.</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To limit our counterparty exposure, we diversify our funding across multiple counterparties and by counterparty region. As of December 31, 2019, we had master repurchase agreements with 46 financial institutions located throughout North America, Europe and Asia, including counterparties accessed through our wholly-owned captive broker-dealer subsidiary, BES. BES has direct access to bilateral and triparty funding, including the General Collateral Finance Repo service offered by the Fixed Income Clearing Corporation, or "FICC," which provides us greater depth and diversity of funding at favorable terms relative to traditional bilateral repurchase agreement funding. As of December 31, 2019, $35.5 billion of our repurchase agreement funding was sourced through BES.</w:t>
      </w:r>
    </w:p>
    <w:p>
      <w:pPr>
        <w:spacing w:after="0" w:line="139"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table below includes a summary of our Agency RMBS repurchase agreement funding by number of repo counterparties and counterparty region as of December 31, 2019. For further details regarding our borrowings under repurchase agreements as of December 31, 2019, please refer to Notes 4 and 6 to our Consolidated Financial Statements in this Form 10-K.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15" w:right="239" w:bottom="1440" w:gutter="0" w:footer="0" w:header="0"/>
        </w:sectPr>
      </w:pPr>
    </w:p>
    <w:bookmarkStart w:id="45" w:name="page46"/>
    <w:bookmarkEnd w:id="45"/>
    <w:tbl>
      <w:tblPr>
        <w:tblLayout w:type="fixed"/>
        <w:tblInd w:w="272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Number of Counter-</w:t>
            </w: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Counter-Party Region</w:t>
            </w:r>
          </w:p>
        </w:tc>
        <w:tc>
          <w:tcPr>
            <w:tcW w:w="100" w:type="dxa"/>
            <w:vAlign w:val="bottom"/>
            <w:vMerge w:val="restart"/>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Repurchase</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Parties</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Agreement Funding</w:t>
            </w: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040" w:type="dxa"/>
            <w:vAlign w:val="bottom"/>
            <w:gridSpan w:val="2"/>
          </w:tcPr>
          <w:p>
            <w:pPr>
              <w:ind w:left="160"/>
              <w:spacing w:after="0"/>
              <w:rPr>
                <w:sz w:val="20"/>
                <w:szCs w:val="20"/>
                <w:color w:val="auto"/>
              </w:rPr>
            </w:pPr>
            <w:r>
              <w:rPr>
                <w:rFonts w:ascii="Arial" w:cs="Arial" w:eastAsia="Arial" w:hAnsi="Arial"/>
                <w:sz w:val="14"/>
                <w:szCs w:val="14"/>
                <w:color w:val="auto"/>
              </w:rPr>
              <w:t>FICC</w:t>
            </w:r>
          </w:p>
        </w:tc>
        <w:tc>
          <w:tcPr>
            <w:tcW w:w="1420" w:type="dxa"/>
            <w:vAlign w:val="bottom"/>
          </w:tcPr>
          <w:p>
            <w:pPr>
              <w:jc w:val="center"/>
              <w:spacing w:after="0"/>
              <w:rPr>
                <w:sz w:val="20"/>
                <w:szCs w:val="20"/>
                <w:color w:val="auto"/>
              </w:rPr>
            </w:pPr>
            <w:r>
              <w:rPr>
                <w:rFonts w:ascii="Arial" w:cs="Arial" w:eastAsia="Arial" w:hAnsi="Arial"/>
                <w:sz w:val="14"/>
                <w:szCs w:val="14"/>
                <w:color w:val="auto"/>
                <w:w w:val="76"/>
              </w:rPr>
              <w:t>1</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38%</w:t>
            </w: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26</w:t>
            </w:r>
          </w:p>
        </w:tc>
        <w:tc>
          <w:tcPr>
            <w:tcW w:w="10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44%</w:t>
            </w:r>
          </w:p>
        </w:tc>
        <w:tc>
          <w:tcPr>
            <w:tcW w:w="0" w:type="dxa"/>
            <w:vAlign w:val="bottom"/>
          </w:tcPr>
          <w:p>
            <w:pPr>
              <w:spacing w:after="0"/>
              <w:rPr>
                <w:sz w:val="1"/>
                <w:szCs w:val="1"/>
                <w:color w:val="auto"/>
              </w:rPr>
            </w:pPr>
          </w:p>
        </w:tc>
      </w:tr>
      <w:tr>
        <w:trPr>
          <w:trHeight w:val="250"/>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Total North America</w:t>
            </w:r>
          </w:p>
        </w:tc>
        <w:tc>
          <w:tcPr>
            <w:tcW w:w="1420" w:type="dxa"/>
            <w:vAlign w:val="bottom"/>
          </w:tcPr>
          <w:p>
            <w:pPr>
              <w:jc w:val="center"/>
              <w:spacing w:after="0"/>
              <w:rPr>
                <w:sz w:val="20"/>
                <w:szCs w:val="20"/>
                <w:color w:val="auto"/>
              </w:rPr>
            </w:pPr>
            <w:r>
              <w:rPr>
                <w:rFonts w:ascii="Arial" w:cs="Arial" w:eastAsia="Arial" w:hAnsi="Arial"/>
                <w:sz w:val="14"/>
                <w:szCs w:val="14"/>
                <w:color w:val="auto"/>
                <w:w w:val="89"/>
              </w:rPr>
              <w:t>27</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82%</w:t>
            </w:r>
          </w:p>
        </w:tc>
        <w:tc>
          <w:tcPr>
            <w:tcW w:w="0" w:type="dxa"/>
            <w:vAlign w:val="bottom"/>
          </w:tcPr>
          <w:p>
            <w:pPr>
              <w:spacing w:after="0"/>
              <w:rPr>
                <w:sz w:val="1"/>
                <w:szCs w:val="1"/>
                <w:color w:val="auto"/>
              </w:rPr>
            </w:pPr>
          </w:p>
        </w:tc>
      </w:tr>
      <w:tr>
        <w:trPr>
          <w:trHeight w:val="27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14</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64"/>
        </w:trPr>
        <w:tc>
          <w:tcPr>
            <w:tcW w:w="3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Asia</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5</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4%</w:t>
            </w:r>
          </w:p>
        </w:tc>
        <w:tc>
          <w:tcPr>
            <w:tcW w:w="0" w:type="dxa"/>
            <w:vAlign w:val="bottom"/>
          </w:tcPr>
          <w:p>
            <w:pPr>
              <w:spacing w:after="0"/>
              <w:rPr>
                <w:sz w:val="1"/>
                <w:szCs w:val="1"/>
                <w:color w:val="auto"/>
              </w:rPr>
            </w:pPr>
          </w:p>
        </w:tc>
      </w:tr>
      <w:tr>
        <w:trPr>
          <w:trHeight w:val="243"/>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Amounts available to be borrowed under our repurchase agreements are dependent upon lender collateral requirements and the lender's determination of the fair value of the securities pledged as collateral, which fluctuates with changes in interest rates, credit quality and liquidity conditions within the investment banking, mortgage finance and real estate industries. In addition, our counterparties apply a "haircut" to our pledged collateral, which means our collateral is valued at slightly less than market value. This haircut reflects the underlying risk of the specific collateral and protects our counterparty against a change in its value, but conversely subjects us to counterparty credit risk and limits the amount we can borrow against our investment securities. Our master repurchase agreements do not specify the haircut; rather haircuts are determined on an individual repurchase transaction basis. Throughout fiscal year 2019, haircuts on our pledged collateral remained stable and, as of December 31, 2019, our weighted average haircut was approximately 4.4% of the value of our collateral, inclusive of collateral funded through BES. As of December 31, 2019, our maximum amount at risk (or the excess of the value of collateral pledged over our repurchase liabilities) with any counterparty related to our repurchase agreements, excluding the FICC, was less than 4% of our tangible stockholders' equity, with our top five repo counterparties, excluding the FICC, representing less than 12% of our tangible stockholders' equity. As of December 31, 2019, approximately 10% of our tangible stockholder's equity was at risk with the FICC. We could be exposed to credit risk if the FICC or an FICC netting member defaults on its obligations. However, we believe that the risk is minimal due to the FICC's initial and daily mark-to-market margin requirements, guarantee funds and other resources that are available in the event of a default.</w:t>
      </w:r>
    </w:p>
    <w:p>
      <w:pPr>
        <w:spacing w:after="0" w:line="121"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may be required to pledge additional assets to our counterparties in the event the estimated fair value of the existing collateral pledged under our agreements declines and our counterparties demand additional collateral (a "margin call"), which may take the form of additional securities or cash. Specifically, margin calls would result from a decline in the fair value of our investment securities securing our repurchase agreements as well as due to prepayments on the mortgages securing such securities. Similarly, if the estimated fair value of our investment securities increases due to changes in interest rates or other factors, counterparties may release collateral back to us. Our repurchase agreements generally provide that the valuations of securities securing our repurchase agreements are to be obtained from a generally recognized source agreed to by the parties. In certain circumstances, however, our lenders have the sole discretion to determine the value of pledged collateral. In such instances, our lenders are required to act in good faith in making determinations of value. Our repurchase agreements generally provide that in the event of a margin call, we must provide additional securities or cash on the same business day that a margin call is made if the lender provides us notice prior to the margin notice deadline on such day.</w:t>
      </w:r>
    </w:p>
    <w:p>
      <w:pPr>
        <w:spacing w:after="0" w:line="11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of December 31, 2019, we had met all of our margin requirements and we had unrestricted cash and cash equivalents of $0.8 billion and unpledged securities of approximately $4.8 billion, including securities pledged to us and unpledged interests in our consolidated VIEs, available to meet margin calls on our repurchase agreements and other funding liabilities, derivative instruments and for other corporate purposes.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Although we believe we will have adequate sources of liquidity available to us through repurchase agreement financing to execute our business strategy, there can be no assurances that repurchase agreement financing will be available to us upon the maturity of our current repurchase agreements to allow us to renew or replace our repurchase agreement financing on favorable terms or at all. If our repurchase agreement lenders default on their obligations to resell the underlying collateral back to us at the end of the term, we could incur a loss equal to the difference between the value of the collateral and the cash we originally received.</w:t>
      </w:r>
    </w:p>
    <w:p>
      <w:pPr>
        <w:spacing w:after="0" w:line="13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To help manage the adverse impact of interest rate changes on the value of our investment portfolio as well as our cash flows, we utilize an interest rate risk management strategy under which we use derivative financial instruments. In particular, we attempt to mitigate the risk of the cost of our variable rate liabilities increasing at a faster rate than the earnings of our long-term fixed rate assets during a period of rising interest rates. The primary derivative instruments that we use are interest rate swaps, interest rate swaptions, U.S. Treasury securities and U.S. Treasury futures contracts. Please refer to Notes 2 and 5 to our Consolidated Financial Statements in this Form 10-K for further details regarding our use of derivative instruments.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60" w:right="239" w:bottom="1440" w:gutter="0" w:footer="0" w:header="0"/>
        </w:sectPr>
      </w:pPr>
    </w:p>
    <w:bookmarkStart w:id="46" w:name="page47"/>
    <w:bookmarkEnd w:id="46"/>
    <w:p>
      <w:pPr>
        <w:jc w:val="both"/>
        <w:ind w:firstLine="432"/>
        <w:spacing w:after="0" w:line="270" w:lineRule="auto"/>
        <w:rPr>
          <w:sz w:val="20"/>
          <w:szCs w:val="20"/>
          <w:color w:val="auto"/>
        </w:rPr>
      </w:pPr>
      <w:r>
        <w:rPr>
          <w:rFonts w:ascii="Arial" w:cs="Arial" w:eastAsia="Arial" w:hAnsi="Arial"/>
          <w:sz w:val="17"/>
          <w:szCs w:val="17"/>
          <w:color w:val="auto"/>
        </w:rPr>
        <w:t>As with repurchase agreements, our derivative agreements typically require that we pledge/receive collateral to/from our counterparties. Our counterparties, or the central clearing agency, typically have the sole discretion to determine the value of the derivative instruments and the value of the collateral securing such instruments. In the event of a margin call, we must provide additional collateral generally on the same or next business day. We minimize counterparty credit risk associated with our derivative instruments by limiting our counterparties to registered central clearing exchanges and major financial institutions with acceptable credit ratings and by monitoring positions with individual counterparties. Excluding centrally cleared derivative instruments, as of December 31, 2019, our amount at risk with any counterparty related to our interest rate swap and swaption agreements was less than 1% of our stockholders' equity. In the case of centrally cleared derivative instruments, we could be exposed to credit risk if the exchange or a central clearing member defaults on its obligations. However, we believe that the risk is minimal due to initial and daily mark-to-market margin requirements, guarantee funds and other resources that are available in the event of a default.</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TBA Dollar Roll Transactions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TBA dollar roll transactions used to finance the purchase of Agency RMBS represent a form of off-balance sheet financing accounted for as derivative instruments. (See Notes 2 and 5 to our Consolidated Financial Statements in this Form 10-K additional details on of our TBA transactions). Under certain market conditions, it may be uneconomical for us to roll our TBA contracts into future months and we may need to take or make physical delivery of the underlying securities. If we were required to take physical delivery to settle a long TBA contract, we would have to fund our total purchase commitment with cash or other financing sources and our liquidity position could be negatively impacted. As of December 31, 2019, we had a net long TBA position with a total market value of $7.4 billion and a net carrying value of $25 million recognized in derivative assets/(liabilities), at fair value, on our Consolidated Balance Sheets in this Form 10-K.</w:t>
      </w:r>
    </w:p>
    <w:p>
      <w:pPr>
        <w:spacing w:after="0" w:line="13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TBA dollar roll contracts are also subject to margin requirements governed by the MBSD of the FICC and by our prime brokerage agreements, which may establish margin levels in excess of the MBSD. Such provisions require that we establish an initial margin based on the notional value of the TBA contract, which is subject to increase if the estimated fair value of our TBA contract or the estimated fair value of our pledged collateral declines. The MBSD has the sole discretion to determine the value of our TBA contracts and of the pledged collateral securing such contracts. In the event of a margin call, we must generally provide additional collateral on the same business day.</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Settlement of our TBA obligations by taking delivery of the underlying securities as well as satisfying margin requirements could negatively impact our liquidity position. However, since we do not use TBA dollar roll transactions as our primary source of financing, we believe that we will have adequate sources of liquidity to meet such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Bethesda Securities Regulatory Capital Requirements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BES is subject to regulations of the securities business that include but are not limited to trade practices, capital structure, recordkeeping and conduct of directors, officers and employees. As a self-clearing registered broker-dealer, BES is required to maintain minimum net regulatory capital as defined by SEC Rule 15c3-1 (the "Rule"). As of December 31, 2019, the minimum net capital required was $0.3 million and BES had excess net capital of $621.7 million. Regulatory capital in excess of the minimum required by the Rule is held to meet levels required by clearing organizations, the clearing bank and other repo counterparties.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Sales and TBA Eligible Securities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maintain a portfolio of highly liquid mortgage-backed securities. We may sell our Agency securities through the TBA market by delivering them into TBA contracts, subject to "good delivery" provisions promulgated by SIFMA. We may alternatively sell Agency securities that have more unique attributes on a specified basis when such securities trade at a premium over generic TBA securities or if the securities are not otherwise eligible for TBA delivery. Since the TBA market is the second most liquid market (after the U.S. Treasury market), maintaining a significant level of Agency securities eligible for TBA delivery enhances our liquidity profile and provides price support for our TBA eligible securities at or above generic TBA prices. As of December 31, 2019, approximately 95% of our fixed rate Agency RMBS portfolio was eligible for TBA delivery.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Capital</w:t>
      </w:r>
    </w:p>
    <w:p>
      <w:pPr>
        <w:spacing w:after="0" w:line="17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To the extent we raise additional equity capital, we may use cash proceeds from such transactions to purchase additional investment securities, to make scheduled payments of principal and interest on our funding liabilities and/or for other general corporate purposes. There can be no assurance, however, that we will be able to raise additional equity capital at any particular time or on any particular terms. Furthermore, when the trading price of our common stock is less than our estimate of our current tangible net book value per common share, among other conditions, we may repurchase shares of our common stock.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1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December 31, 2019,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December 31, 2019, we had not guaranteed obligations of unconsolidated entities or entered into a commitment or intent to provide funding to such entities.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effect on our liquidity and cash flows from contractual obligations for repurchase agreements and related interest expense (in millions):</w:t>
      </w:r>
    </w:p>
    <w:p>
      <w:pPr>
        <w:spacing w:after="0" w:line="338" w:lineRule="exact"/>
        <w:rPr>
          <w:sz w:val="20"/>
          <w:szCs w:val="20"/>
          <w:color w:val="auto"/>
        </w:rPr>
      </w:pPr>
    </w:p>
    <w:tbl>
      <w:tblPr>
        <w:tblLayout w:type="fixed"/>
        <w:tblInd w:w="110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64"/>
        </w:trPr>
        <w:tc>
          <w:tcPr>
            <w:tcW w:w="43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Total</w:t>
            </w:r>
          </w:p>
        </w:tc>
      </w:tr>
      <w:tr>
        <w:trPr>
          <w:trHeight w:val="256"/>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Repurchase agreements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86,857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89,182</w:t>
            </w:r>
          </w:p>
        </w:tc>
      </w:tr>
      <w:tr>
        <w:trPr>
          <w:trHeight w:val="264"/>
        </w:trPr>
        <w:tc>
          <w:tcPr>
            <w:tcW w:w="44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 xml:space="preserve">Interest expense </w:t>
            </w:r>
            <w:r>
              <w:rPr>
                <w:rFonts w:ascii="Arial" w:cs="Arial" w:eastAsia="Arial" w:hAnsi="Arial"/>
                <w:sz w:val="8"/>
                <w:szCs w:val="8"/>
                <w:color w:val="auto"/>
              </w:rPr>
              <w:t>1</w:t>
            </w: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w:t>
            </w:r>
          </w:p>
        </w:tc>
      </w:tr>
      <w:tr>
        <w:trPr>
          <w:trHeight w:val="243"/>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87,111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89,491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8890</wp:posOffset>
            </wp:positionV>
            <wp:extent cx="30187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Interest expense is calculated based on the weighted average interest rates on our repurchase agreements as of December 31, 2019.</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This document contains forward-looking statements within the meaning of the Private Securities Litigation Reform Act of 1995. These forward-looking statements are based on estimates, projections, beliefs and assumptions of our management as of the date of this Annual Report on Form 10-K and involve risks and uncertainties in predicting future results and conditions. Our actual performance could differ materially from those projected or anticipated in any forward looking statements due to a variety of factors, including, without limitation, changes in interest rates, the yield curve or prepayment rates; the availability and terms of financing; changes in the market value of our assets; the effectiveness of our risk mitigation strategies; conditions in the market for Agency RMBS and other mortgage securities; or legislative or regulatory changes that affect our status as a REIT, our exemption from the Investment Company Act of 1940, or the mortgage markets in which we participate. A discussion of risks and uncertainties that could cause actual results to differ from any of our forward-looking statements is included in this document under Item 1A. </w:t>
      </w:r>
      <w:r>
        <w:rPr>
          <w:rFonts w:ascii="Arial" w:cs="Arial" w:eastAsia="Arial" w:hAnsi="Arial"/>
          <w:sz w:val="18"/>
          <w:szCs w:val="18"/>
          <w:i w:val="1"/>
          <w:iCs w:val="1"/>
          <w:color w:val="auto"/>
        </w:rPr>
        <w:t>Risk Factors</w:t>
      </w:r>
      <w:r>
        <w:rPr>
          <w:rFonts w:ascii="Arial" w:cs="Arial" w:eastAsia="Arial" w:hAnsi="Arial"/>
          <w:sz w:val="18"/>
          <w:szCs w:val="18"/>
          <w:color w:val="auto"/>
        </w:rPr>
        <w:t>. We caution readers not to place undue reliance on our forward-looking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w:t>
      </w:r>
    </w:p>
    <w:p>
      <w:pPr>
        <w:spacing w:after="0" w:line="10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book value. The principal instruments that we use to hedge our interest rate risk are interest rate swaps, swaptions, U.S. Treasury securities and U.S. Treasury futures contracts. Our hedging techniques are highly complex and are partly based on assumed levels of prepayments of our assets. If prepayments are slower or faster than assumed, the maturity our investments will also differ from our expectations, which could reduce the effectiveness of our hedging strategies and may cause losses on such transactions and adversely affect our cash flow.</w:t>
      </w:r>
    </w:p>
    <w:p>
      <w:pPr>
        <w:spacing w:after="0" w:line="12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severity of potential declines in our tangible net book value due to fluctuations in interest rates would depend on our asset, liability and hedge composition at the time, as well as the magnitude and duration of the interest rate change. Primary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70" w:right="239" w:bottom="1440" w:gutter="0" w:footer="0" w:header="0"/>
        </w:sectPr>
      </w:pPr>
    </w:p>
    <w:bookmarkStart w:id="48" w:name="page49"/>
    <w:bookmarkEnd w:id="48"/>
    <w:p>
      <w:pPr>
        <w:jc w:val="both"/>
        <w:spacing w:after="0" w:line="279" w:lineRule="auto"/>
        <w:rPr>
          <w:sz w:val="20"/>
          <w:szCs w:val="20"/>
          <w:color w:val="auto"/>
        </w:rPr>
      </w:pPr>
      <w:r>
        <w:rPr>
          <w:rFonts w:ascii="Arial" w:cs="Arial" w:eastAsia="Arial" w:hAnsi="Arial"/>
          <w:sz w:val="17"/>
          <w:szCs w:val="17"/>
          <w:color w:val="auto"/>
        </w:rPr>
        <w:t>measures of an instrument's price sensitivity to interest rate fluctuations are its duration and convexity. Duration measures the estimated percentage change in market value of an instrument that would be caused by a parallel change in short and long-term interest rates. The duration of our assets will vary with changes in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duration and convexity of our assets using both a third-party risk management system and market data. We review the duration estimates from the third-party model and may make adjustments based on our judgment to better reflect any unique characteristics and market trading conventions associated with certain types of securities.</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table below quantifies the estimated changes in the fair value of our investment portfolio (including derivatives and other securities used for hedging purposes) and in our tangible net book value per common share as of December 31, 2019 and 2018 should interest rates go up or down by 50 and 100 basis points, assuming instantaneous parallel shifts in the yield curve and including the impact of both duration and convexity. All values in the table below are measured as percentage changes from the base interest rate scenario. The base interest rate scenario assumes interest rates and prepayment projections as of December 31, 2019 and 2018.</w:t>
      </w:r>
    </w:p>
    <w:p>
      <w:pPr>
        <w:spacing w:after="0" w:line="1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To the extent that these estimates or other assumptions do not hold true, which is likely in a period of high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8"/>
          <w:szCs w:val="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23495</wp:posOffset>
            </wp:positionV>
            <wp:extent cx="56597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9755" cy="8890"/>
                    </a:xfrm>
                    <a:prstGeom prst="rect">
                      <a:avLst/>
                    </a:prstGeom>
                    <a:noFill/>
                  </pic:spPr>
                </pic:pic>
              </a:graphicData>
            </a:graphic>
          </wp:anchor>
        </w:drawing>
      </w:r>
    </w:p>
    <w:p>
      <w:pPr>
        <w:spacing w:after="0" w:line="103"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Pr>
          <w:p>
            <w:pPr>
              <w:spacing w:after="0"/>
              <w:rPr>
                <w:sz w:val="16"/>
                <w:szCs w:val="16"/>
                <w:color w:val="auto"/>
              </w:rPr>
            </w:pPr>
          </w:p>
        </w:tc>
        <w:tc>
          <w:tcPr>
            <w:tcW w:w="286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2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Estimated Change</w:t>
            </w:r>
          </w:p>
        </w:tc>
        <w:tc>
          <w:tcPr>
            <w:tcW w:w="15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1"/>
              </w:rPr>
              <w:t>Estimated Change</w:t>
            </w: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Estimated Change</w:t>
            </w: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Estimated Change in</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in Tangible Net</w:t>
            </w:r>
          </w:p>
        </w:tc>
        <w:tc>
          <w:tcPr>
            <w:tcW w:w="144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Tangible Net Book</w:t>
            </w:r>
          </w:p>
        </w:tc>
        <w:tc>
          <w:tcPr>
            <w:tcW w:w="0" w:type="dxa"/>
            <w:vAlign w:val="bottom"/>
          </w:tcPr>
          <w:p>
            <w:pPr>
              <w:spacing w:after="0"/>
              <w:rPr>
                <w:sz w:val="1"/>
                <w:szCs w:val="1"/>
                <w:color w:val="auto"/>
              </w:rPr>
            </w:pPr>
          </w:p>
        </w:tc>
      </w:tr>
      <w:tr>
        <w:trPr>
          <w:trHeight w:val="149"/>
        </w:trPr>
        <w:tc>
          <w:tcPr>
            <w:tcW w:w="2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80" w:type="dxa"/>
            <w:vAlign w:val="bottom"/>
            <w:vMerge w:val="restart"/>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in Portfolio Market</w:t>
            </w: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Book Value Per</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in Portfolio Market</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Value Per Common</w:t>
            </w:r>
          </w:p>
        </w:tc>
        <w:tc>
          <w:tcPr>
            <w:tcW w:w="0" w:type="dxa"/>
            <w:vAlign w:val="bottom"/>
          </w:tcPr>
          <w:p>
            <w:pPr>
              <w:spacing w:after="0"/>
              <w:rPr>
                <w:sz w:val="1"/>
                <w:szCs w:val="1"/>
                <w:color w:val="auto"/>
              </w:rPr>
            </w:pPr>
          </w:p>
        </w:tc>
      </w:tr>
      <w:tr>
        <w:trPr>
          <w:trHeight w:val="192"/>
        </w:trPr>
        <w:tc>
          <w:tcPr>
            <w:tcW w:w="29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Share</w:t>
            </w:r>
          </w:p>
        </w:tc>
        <w:tc>
          <w:tcPr>
            <w:tcW w:w="1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-0.5%</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-6.0%</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-0.7%</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-7.3%</w:t>
            </w:r>
          </w:p>
        </w:tc>
        <w:tc>
          <w:tcPr>
            <w:tcW w:w="0" w:type="dxa"/>
            <w:vAlign w:val="bottom"/>
          </w:tcPr>
          <w:p>
            <w:pPr>
              <w:spacing w:after="0"/>
              <w:rPr>
                <w:sz w:val="1"/>
                <w:szCs w:val="1"/>
                <w:color w:val="auto"/>
              </w:rPr>
            </w:pPr>
          </w:p>
        </w:tc>
      </w:tr>
      <w:tr>
        <w:trPr>
          <w:trHeight w:val="264"/>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-0.1%</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-0.9%</w:t>
            </w:r>
          </w:p>
        </w:tc>
        <w:tc>
          <w:tcPr>
            <w:tcW w:w="18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-0.1%</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8"/>
              </w:rPr>
              <w:t>-1.0%</w:t>
            </w:r>
          </w:p>
        </w:tc>
        <w:tc>
          <w:tcPr>
            <w:tcW w:w="0" w:type="dxa"/>
            <w:vAlign w:val="bottom"/>
          </w:tcPr>
          <w:p>
            <w:pPr>
              <w:spacing w:after="0"/>
              <w:rPr>
                <w:sz w:val="1"/>
                <w:szCs w:val="1"/>
                <w:color w:val="auto"/>
              </w:rPr>
            </w:pPr>
          </w:p>
        </w:tc>
      </w:tr>
      <w:tr>
        <w:trPr>
          <w:trHeight w:val="276"/>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-0.4%</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-4.7%</w:t>
            </w: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-0.3%</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-3.1%</w:t>
            </w:r>
          </w:p>
        </w:tc>
        <w:tc>
          <w:tcPr>
            <w:tcW w:w="0" w:type="dxa"/>
            <w:vAlign w:val="bottom"/>
          </w:tcPr>
          <w:p>
            <w:pPr>
              <w:spacing w:after="0"/>
              <w:rPr>
                <w:sz w:val="1"/>
                <w:szCs w:val="1"/>
                <w:color w:val="auto"/>
              </w:rPr>
            </w:pPr>
          </w:p>
        </w:tc>
      </w:tr>
      <w:tr>
        <w:trPr>
          <w:trHeight w:val="258"/>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-1.3%</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-14.8%</w:t>
            </w:r>
          </w:p>
        </w:tc>
        <w:tc>
          <w:tcPr>
            <w:tcW w:w="18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-0.9%</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8"/>
              </w:rPr>
              <w:t>-9.3%</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Derived from models that are dependent on inputs and assumptions provided by third parties, assumes there are no changes in mortgage spreads and assumes a static portfolio. Actual results could differ materially from these estimates.</w:t>
      </w:r>
    </w:p>
    <w:p>
      <w:pPr>
        <w:ind w:left="660" w:hanging="328"/>
        <w:spacing w:after="0"/>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 Risk</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Prepayment risk is the risk that our assets will be repaid at a faster rate than anticipated. Interest rates and numerous other factors affect the rate of prepayments, including housing prices, general economic conditions, loan age, size and loan-to-value ratios, and the pace of GSE buyouts of delinquent loans underlying our securities among other factors. Generally, prepayments increase during periods of falling mortgage interest rates and decrease during periods of rising mortgage interest rates. However, this may not always be the case.</w:t>
      </w:r>
    </w:p>
    <w:p>
      <w:pPr>
        <w:spacing w:after="0" w:line="1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Risk</w:t>
      </w:r>
    </w:p>
    <w:p>
      <w:pPr>
        <w:spacing w:after="0" w:line="17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Extension risk is the risk that our assets will be repaid at a slower rate than anticipated and generally increases when interest rates rise. In which case, we may have to finance our investments at potentially higher costs without the ability to reinvest principal into higher yielding securities because borrowers prepay their mortgages at a slower pace than originally expected, adversely impacting our net interest spread, and thus our net interest income.</w:t>
      </w:r>
    </w:p>
    <w:p>
      <w:pPr>
        <w:spacing w:after="0" w:line="9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December 31, 2019 and 2018, our investment securities (excluding TBAs) had a weighted average projected CPR of 10.8% and 7.9%, respectively, and a weighted average yield of 3.07% and 3.31%, respectively. The table below presents estimated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19" w:right="239" w:bottom="1440" w:gutter="0" w:footer="0" w:header="0"/>
        </w:sectPr>
      </w:pPr>
    </w:p>
    <w:bookmarkStart w:id="49" w:name="page50"/>
    <w:bookmarkEnd w:id="49"/>
    <w:p>
      <w:pPr>
        <w:jc w:val="both"/>
        <w:spacing w:after="0" w:line="264" w:lineRule="auto"/>
        <w:rPr>
          <w:sz w:val="20"/>
          <w:szCs w:val="20"/>
          <w:color w:val="auto"/>
        </w:rPr>
      </w:pPr>
      <w:r>
        <w:rPr>
          <w:rFonts w:ascii="Arial" w:cs="Arial" w:eastAsia="Arial" w:hAnsi="Arial"/>
          <w:sz w:val="18"/>
          <w:szCs w:val="18"/>
          <w:color w:val="auto"/>
        </w:rPr>
        <w:t>weighted average projected CPRs and yields for our investment securities should interest rates go up or down instantaneously by 50 and 100 basis points. Estimated yields exclude the impact of retroactive "catch-up" premium amortization adjustments from prior periods due to changes in the projected CPR assumption.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23495</wp:posOffset>
            </wp:positionV>
            <wp:extent cx="56172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17210" cy="8890"/>
                    </a:xfrm>
                    <a:prstGeom prst="rect">
                      <a:avLst/>
                    </a:prstGeom>
                    <a:noFill/>
                  </pic:spPr>
                </pic:pic>
              </a:graphicData>
            </a:graphic>
          </wp:anchor>
        </w:drawing>
      </w:r>
    </w:p>
    <w:p>
      <w:pPr>
        <w:spacing w:after="0" w:line="103" w:lineRule="exact"/>
        <w:rPr>
          <w:sz w:val="20"/>
          <w:szCs w:val="20"/>
          <w:color w:val="auto"/>
        </w:rPr>
      </w:pPr>
    </w:p>
    <w:tbl>
      <w:tblPr>
        <w:tblLayout w:type="fixed"/>
        <w:tblInd w:w="130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Pr>
          <w:p>
            <w:pPr>
              <w:spacing w:after="0"/>
              <w:rPr>
                <w:sz w:val="16"/>
                <w:szCs w:val="16"/>
                <w:color w:val="auto"/>
              </w:rPr>
            </w:pPr>
          </w:p>
        </w:tc>
        <w:tc>
          <w:tcPr>
            <w:tcW w:w="276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2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80" w:type="dxa"/>
            <w:vAlign w:val="bottom"/>
            <w:vMerge w:val="restart"/>
          </w:tcPr>
          <w:p>
            <w:pPr>
              <w:spacing w:after="0"/>
              <w:rPr>
                <w:sz w:val="13"/>
                <w:szCs w:val="13"/>
                <w:color w:val="auto"/>
              </w:rPr>
            </w:pP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50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4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Projected CPR</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 xml:space="preserve">Asset Yield </w:t>
            </w:r>
            <w:r>
              <w:rPr>
                <w:rFonts w:ascii="Arial" w:cs="Arial" w:eastAsia="Arial" w:hAnsi="Arial"/>
                <w:sz w:val="8"/>
                <w:szCs w:val="8"/>
                <w:b w:val="1"/>
                <w:bCs w:val="1"/>
                <w:color w:val="auto"/>
                <w:w w:val="90"/>
              </w:rPr>
              <w:t>2</w:t>
            </w:r>
          </w:p>
        </w:tc>
        <w:tc>
          <w:tcPr>
            <w:tcW w:w="1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Projected CPR</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 xml:space="preserve">Asset Yield </w:t>
            </w:r>
            <w:r>
              <w:rPr>
                <w:rFonts w:ascii="Arial" w:cs="Arial" w:eastAsia="Arial" w:hAnsi="Arial"/>
                <w:sz w:val="8"/>
                <w:szCs w:val="8"/>
                <w:b w:val="1"/>
                <w:bCs w:val="1"/>
                <w:color w:val="auto"/>
                <w:w w:val="90"/>
              </w:rPr>
              <w:t>2</w:t>
            </w:r>
          </w:p>
        </w:tc>
        <w:tc>
          <w:tcPr>
            <w:tcW w:w="0" w:type="dxa"/>
            <w:vAlign w:val="bottom"/>
          </w:tcPr>
          <w:p>
            <w:pPr>
              <w:spacing w:after="0"/>
              <w:rPr>
                <w:sz w:val="1"/>
                <w:szCs w:val="1"/>
                <w:color w:val="auto"/>
              </w:rPr>
            </w:pPr>
          </w:p>
        </w:tc>
      </w:tr>
      <w:tr>
        <w:trPr>
          <w:trHeight w:val="256"/>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20.3%</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2.73%</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14.1%</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3.15%</w:t>
            </w:r>
          </w:p>
        </w:tc>
        <w:tc>
          <w:tcPr>
            <w:tcW w:w="0" w:type="dxa"/>
            <w:vAlign w:val="bottom"/>
          </w:tcPr>
          <w:p>
            <w:pPr>
              <w:spacing w:after="0"/>
              <w:rPr>
                <w:sz w:val="1"/>
                <w:szCs w:val="1"/>
                <w:color w:val="auto"/>
              </w:rPr>
            </w:pPr>
          </w:p>
        </w:tc>
      </w:tr>
      <w:tr>
        <w:trPr>
          <w:trHeight w:val="264"/>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320" w:type="dxa"/>
            <w:vAlign w:val="bottom"/>
          </w:tcPr>
          <w:p>
            <w:pPr>
              <w:jc w:val="center"/>
              <w:spacing w:after="0"/>
              <w:rPr>
                <w:sz w:val="20"/>
                <w:szCs w:val="20"/>
                <w:color w:val="auto"/>
              </w:rPr>
            </w:pPr>
            <w:r>
              <w:rPr>
                <w:rFonts w:ascii="Arial" w:cs="Arial" w:eastAsia="Arial" w:hAnsi="Arial"/>
                <w:sz w:val="14"/>
                <w:szCs w:val="14"/>
                <w:color w:val="auto"/>
                <w:w w:val="95"/>
              </w:rPr>
              <w:t>15.0%</w:t>
            </w:r>
          </w:p>
        </w:tc>
        <w:tc>
          <w:tcPr>
            <w:tcW w:w="10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5"/>
              </w:rPr>
              <w:t>2.90%</w:t>
            </w:r>
          </w:p>
        </w:tc>
        <w:tc>
          <w:tcPr>
            <w:tcW w:w="1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0"/>
              </w:rPr>
              <w:t>10.3%</w:t>
            </w:r>
          </w:p>
        </w:tc>
        <w:tc>
          <w:tcPr>
            <w:tcW w:w="12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5"/>
              </w:rPr>
              <w:t>3.25%</w:t>
            </w:r>
          </w:p>
        </w:tc>
        <w:tc>
          <w:tcPr>
            <w:tcW w:w="0" w:type="dxa"/>
            <w:vAlign w:val="bottom"/>
          </w:tcPr>
          <w:p>
            <w:pPr>
              <w:spacing w:after="0"/>
              <w:rPr>
                <w:sz w:val="1"/>
                <w:szCs w:val="1"/>
                <w:color w:val="auto"/>
              </w:rPr>
            </w:pPr>
          </w:p>
        </w:tc>
      </w:tr>
      <w:tr>
        <w:trPr>
          <w:trHeight w:val="276"/>
        </w:trPr>
        <w:tc>
          <w:tcPr>
            <w:tcW w:w="3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Actual as of Period End</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10.8%</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3.07%</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7.9%</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3.31%</w:t>
            </w:r>
          </w:p>
        </w:tc>
        <w:tc>
          <w:tcPr>
            <w:tcW w:w="0" w:type="dxa"/>
            <w:vAlign w:val="bottom"/>
          </w:tcPr>
          <w:p>
            <w:pPr>
              <w:spacing w:after="0"/>
              <w:rPr>
                <w:sz w:val="1"/>
                <w:szCs w:val="1"/>
                <w:color w:val="auto"/>
              </w:rPr>
            </w:pPr>
          </w:p>
        </w:tc>
      </w:tr>
      <w:tr>
        <w:trPr>
          <w:trHeight w:val="258"/>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320" w:type="dxa"/>
            <w:vAlign w:val="bottom"/>
          </w:tcPr>
          <w:p>
            <w:pPr>
              <w:jc w:val="center"/>
              <w:spacing w:after="0"/>
              <w:rPr>
                <w:sz w:val="20"/>
                <w:szCs w:val="20"/>
                <w:color w:val="auto"/>
              </w:rPr>
            </w:pPr>
            <w:r>
              <w:rPr>
                <w:rFonts w:ascii="Arial" w:cs="Arial" w:eastAsia="Arial" w:hAnsi="Arial"/>
                <w:sz w:val="14"/>
                <w:szCs w:val="14"/>
                <w:color w:val="auto"/>
                <w:w w:val="93"/>
              </w:rPr>
              <w:t>8.1%</w:t>
            </w:r>
          </w:p>
        </w:tc>
        <w:tc>
          <w:tcPr>
            <w:tcW w:w="10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5"/>
              </w:rPr>
              <w:t>3.12%</w:t>
            </w:r>
          </w:p>
        </w:tc>
        <w:tc>
          <w:tcPr>
            <w:tcW w:w="1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3"/>
              </w:rPr>
              <w:t>6.5%</w:t>
            </w:r>
          </w:p>
        </w:tc>
        <w:tc>
          <w:tcPr>
            <w:tcW w:w="12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5"/>
              </w:rPr>
              <w:t>3.33%</w:t>
            </w:r>
          </w:p>
        </w:tc>
        <w:tc>
          <w:tcPr>
            <w:tcW w:w="0" w:type="dxa"/>
            <w:vAlign w:val="bottom"/>
          </w:tcPr>
          <w:p>
            <w:pPr>
              <w:spacing w:after="0"/>
              <w:rPr>
                <w:sz w:val="1"/>
                <w:szCs w:val="1"/>
                <w:color w:val="auto"/>
              </w:rPr>
            </w:pPr>
          </w:p>
        </w:tc>
      </w:tr>
      <w:tr>
        <w:trPr>
          <w:trHeight w:val="270"/>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320" w:type="dxa"/>
            <w:vAlign w:val="bottom"/>
          </w:tcPr>
          <w:p>
            <w:pPr>
              <w:jc w:val="center"/>
              <w:spacing w:after="0"/>
              <w:rPr>
                <w:sz w:val="20"/>
                <w:szCs w:val="20"/>
                <w:color w:val="auto"/>
              </w:rPr>
            </w:pPr>
            <w:r>
              <w:rPr>
                <w:rFonts w:ascii="Arial" w:cs="Arial" w:eastAsia="Arial" w:hAnsi="Arial"/>
                <w:sz w:val="14"/>
                <w:szCs w:val="14"/>
                <w:color w:val="auto"/>
                <w:w w:val="93"/>
              </w:rPr>
              <w:t>6.8%</w:t>
            </w:r>
          </w:p>
        </w:tc>
        <w:tc>
          <w:tcPr>
            <w:tcW w:w="10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5"/>
              </w:rPr>
              <w:t>3.16%</w:t>
            </w:r>
          </w:p>
        </w:tc>
        <w:tc>
          <w:tcPr>
            <w:tcW w:w="18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3"/>
              </w:rPr>
              <w:t>5.7%</w:t>
            </w:r>
          </w:p>
        </w:tc>
        <w:tc>
          <w:tcPr>
            <w:tcW w:w="12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5"/>
              </w:rPr>
              <w:t>3.38%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-163195</wp:posOffset>
            </wp:positionV>
            <wp:extent cx="561721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17210" cy="1714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Derived from models that are dependent on inputs and assumptions provided by third parties and assumes a static portfolio. Actual results could differ materially from these estimates. Table excludes TBA securities.</w:t>
      </w:r>
    </w:p>
    <w:p>
      <w:pPr>
        <w:ind w:left="660" w:hanging="328"/>
        <w:spacing w:after="0"/>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Asset yield based on historical cost basis and does not include the impact of retroactive "catch-up" premium amortization adjustments due to changes in projected CPR.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Spread Risk</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Spread risk is the risk that the market spread between the yield on our assets and the yield on benchmark interest rates linked to our interest rate hedges, such as U.S. Treasury rates and interest rate swap rates, may vary. As a levered investor in mortgage-backed securities, spread risk is an inherent component of our investment strategy. Consequently, although we use hedging instruments to attempt to protect against moves in interest rates, our hedges are generally not designed to protect against spread risk, and our tangible net book value could decline if spreads widen.</w:t>
      </w:r>
    </w:p>
    <w:p>
      <w:pPr>
        <w:spacing w:after="0" w:line="117"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Fluctuations in mortgage spreads can occur independent of interest rates and may relate to other factors impacting the mortgage and fixed income markets, such as actual or anticipated monetary policy actions by U.S. and foreign central banks, liquidity, or changes in required rates of return on different assets. The table below quantifies the estimated changes in the fair value of our assets, net of hedges, and our tangible net book value per common share as of December 31, 2019 and 2018 should spreads widen or tighten by 10 and 25 basis points. The estimated impact of changes in spreads is in addition to our interest rate shock sensitivity included in the interest rate shock table above. The table below assumes a spread duration of 5.0 and 5.6 years as of December 31, 2019 and 2018, respectively, based on interest rates and prices as of such dates; however, our portfolio's sensitivity to mortgage spread changes will vary with changes in interest rates and in the size and composition of our portfolio. Therefore, actual results could differ materially from our estimates.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Spread Sensitivity </w:t>
      </w:r>
      <w:r>
        <w:rPr>
          <w:rFonts w:ascii="Arial" w:cs="Arial" w:eastAsia="Arial" w:hAnsi="Arial"/>
          <w:sz w:val="8"/>
          <w:szCs w:val="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23495</wp:posOffset>
            </wp:positionV>
            <wp:extent cx="56597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9755" cy="8890"/>
                    </a:xfrm>
                    <a:prstGeom prst="rect">
                      <a:avLst/>
                    </a:prstGeom>
                    <a:noFill/>
                  </pic:spPr>
                </pic:pic>
              </a:graphicData>
            </a:graphic>
          </wp:anchor>
        </w:drawing>
      </w:r>
    </w:p>
    <w:p>
      <w:pPr>
        <w:spacing w:after="0" w:line="103"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Pr>
          <w:p>
            <w:pPr>
              <w:spacing w:after="0"/>
              <w:rPr>
                <w:sz w:val="16"/>
                <w:szCs w:val="16"/>
                <w:color w:val="auto"/>
              </w:rPr>
            </w:pPr>
          </w:p>
        </w:tc>
        <w:tc>
          <w:tcPr>
            <w:tcW w:w="278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3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Estimated Change</w:t>
            </w:r>
          </w:p>
        </w:tc>
        <w:tc>
          <w:tcPr>
            <w:tcW w:w="152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3"/>
              </w:rPr>
              <w:t>Estimated Change</w:t>
            </w: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Estimated Change</w:t>
            </w: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Estimated Change</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in Tangible Net</w:t>
            </w:r>
          </w:p>
        </w:tc>
        <w:tc>
          <w:tcPr>
            <w:tcW w:w="1440" w:type="dxa"/>
            <w:vAlign w:val="bottom"/>
            <w:gridSpan w:val="2"/>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 Tangible Net</w:t>
            </w:r>
          </w:p>
        </w:tc>
        <w:tc>
          <w:tcPr>
            <w:tcW w:w="0" w:type="dxa"/>
            <w:vAlign w:val="bottom"/>
          </w:tcPr>
          <w:p>
            <w:pPr>
              <w:spacing w:after="0"/>
              <w:rPr>
                <w:sz w:val="1"/>
                <w:szCs w:val="1"/>
                <w:color w:val="auto"/>
              </w:rPr>
            </w:pPr>
          </w:p>
        </w:tc>
      </w:tr>
      <w:tr>
        <w:trPr>
          <w:trHeight w:val="149"/>
        </w:trPr>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MBS Spread</w:t>
            </w:r>
          </w:p>
        </w:tc>
        <w:tc>
          <w:tcPr>
            <w:tcW w:w="180" w:type="dxa"/>
            <w:vAlign w:val="bottom"/>
            <w:vMerge w:val="restart"/>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in Portfolio Market</w:t>
            </w: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Book Value Per</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in Portfolio Market</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Book Value Per</w:t>
            </w:r>
          </w:p>
        </w:tc>
        <w:tc>
          <w:tcPr>
            <w:tcW w:w="0" w:type="dxa"/>
            <w:vAlign w:val="bottom"/>
          </w:tcPr>
          <w:p>
            <w:pPr>
              <w:spacing w:after="0"/>
              <w:rPr>
                <w:sz w:val="1"/>
                <w:szCs w:val="1"/>
                <w:color w:val="auto"/>
              </w:rPr>
            </w:pPr>
          </w:p>
        </w:tc>
      </w:tr>
      <w:tr>
        <w:trPr>
          <w:trHeight w:val="192"/>
        </w:trPr>
        <w:tc>
          <w:tcPr>
            <w:tcW w:w="30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Share</w:t>
            </w:r>
          </w:p>
        </w:tc>
        <w:tc>
          <w:tcPr>
            <w:tcW w:w="1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Share</w:t>
            </w:r>
          </w:p>
        </w:tc>
        <w:tc>
          <w:tcPr>
            <w:tcW w:w="0" w:type="dxa"/>
            <w:vAlign w:val="bottom"/>
          </w:tcPr>
          <w:p>
            <w:pPr>
              <w:spacing w:after="0"/>
              <w:rPr>
                <w:sz w:val="1"/>
                <w:szCs w:val="1"/>
                <w:color w:val="auto"/>
              </w:rPr>
            </w:pPr>
          </w:p>
        </w:tc>
      </w:tr>
      <w:tr>
        <w:trPr>
          <w:trHeight w:val="25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+1.2%</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+14.0%</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+1.4%</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+14.3%</w:t>
            </w: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40" w:type="dxa"/>
            <w:vAlign w:val="bottom"/>
          </w:tcPr>
          <w:p>
            <w:pPr>
              <w:jc w:val="center"/>
              <w:spacing w:after="0"/>
              <w:rPr>
                <w:sz w:val="20"/>
                <w:szCs w:val="20"/>
                <w:color w:val="auto"/>
              </w:rPr>
            </w:pPr>
            <w:r>
              <w:rPr>
                <w:rFonts w:ascii="Arial" w:cs="Arial" w:eastAsia="Arial" w:hAnsi="Arial"/>
                <w:sz w:val="14"/>
                <w:szCs w:val="14"/>
                <w:color w:val="auto"/>
                <w:w w:val="99"/>
              </w:rPr>
              <w:t>+0.5%</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+5.6%</w:t>
            </w:r>
          </w:p>
        </w:tc>
        <w:tc>
          <w:tcPr>
            <w:tcW w:w="18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+0.6%</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+5.7%</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-0.5%</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-5.6%</w:t>
            </w: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-0.6%</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-5.7%</w:t>
            </w:r>
          </w:p>
        </w:tc>
        <w:tc>
          <w:tcPr>
            <w:tcW w:w="0" w:type="dxa"/>
            <w:vAlign w:val="bottom"/>
          </w:tcPr>
          <w:p>
            <w:pPr>
              <w:spacing w:after="0"/>
              <w:rPr>
                <w:sz w:val="1"/>
                <w:szCs w:val="1"/>
                <w:color w:val="auto"/>
              </w:rPr>
            </w:pPr>
          </w:p>
        </w:tc>
      </w:tr>
      <w:tr>
        <w:trPr>
          <w:trHeight w:val="258"/>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-1.2%</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-14.0%</w:t>
            </w:r>
          </w:p>
        </w:tc>
        <w:tc>
          <w:tcPr>
            <w:tcW w:w="18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-1.4%</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-14.3%</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Spread sensitivity is derived from models that are dependent on inputs and assumptions provided by third parties, assumes there are no changes in interest rates and assumes a static portfolio. Actual results could differ materially from these estimates.</w:t>
      </w:r>
    </w:p>
    <w:p>
      <w:pPr>
        <w:ind w:left="660" w:hanging="328"/>
        <w:spacing w:after="0"/>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liquidity risk principally arises from financing long-term fixed rate assets with shorter-term variable rate borrowings. As of December 31, 2019, we had unrestricted cash and cash equivalents of $0.8 billion and unpledged securities of approximately $4.8 billion available to meet margin calls on our funding liabilities and derivative contracts and for other corporate purposes. However, should the value of our collateral or the value of our derivative instruments suddenly decrease, margin calls relating to our funding liabilities and derivative agreements could increase, causing an adverse change in our liquidity position. Furthermore,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19" w:right="239" w:bottom="1440" w:gutter="0" w:footer="0" w:header="0"/>
        </w:sectPr>
      </w:pPr>
    </w:p>
    <w:bookmarkStart w:id="50" w:name="page51"/>
    <w:bookmarkEnd w:id="50"/>
    <w:p>
      <w:pPr>
        <w:jc w:val="both"/>
        <w:spacing w:after="0" w:line="259" w:lineRule="auto"/>
        <w:rPr>
          <w:sz w:val="20"/>
          <w:szCs w:val="20"/>
          <w:color w:val="auto"/>
        </w:rPr>
      </w:pPr>
      <w:r>
        <w:rPr>
          <w:rFonts w:ascii="Arial" w:cs="Arial" w:eastAsia="Arial" w:hAnsi="Arial"/>
          <w:sz w:val="18"/>
          <w:szCs w:val="18"/>
          <w:color w:val="auto"/>
        </w:rPr>
        <w:t>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our funding liabilities. Significantly higher haircuts can reduce our ability to leverage our portfolio or even force us to sell assets, especially if correlated with asset price declines or faster prepayment rates on our assets.</w:t>
      </w:r>
    </w:p>
    <w:p>
      <w:pPr>
        <w:spacing w:after="0" w:line="13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addition, we often utilize TBA dollar roll transactions to invest in and finance Agency RMBS. Under certain conditions it may be uneconomical to roll our TBA dollar roll transactions beyond the next settlement date and we could have to take physical delivery of the underlying securities and settle our obligations for cash, which could negatively impact our liquidity position, result in defaults or force us to sell assets under adverse conditions.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credit sensitive investments, such as CRT and non-Agency securities, expose us to the risk of nonpayment of principal, interest or other remuneration we are contractually entitled to. We are also exposed to credit risk in the event our repurchase agreement counterparties default on their obligations to resell the underlying collateral back to us at the end of the repo term or in the event our derivative counterparties do not perform under the terms of our derivative agreements.</w:t>
      </w:r>
    </w:p>
    <w:p>
      <w:pPr>
        <w:spacing w:after="0" w:line="13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accept credit exposure related to our credit sensitive assets at levels we deem to be prudent within the context of our overall investment strategy. We attempt to manage this risk through careful asset selection, pre-acquisition due diligence, post-acquisition performance monitoring, and the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major financial institutions with acceptable credit ratings or to registered central clearinghouses and monitoring concentration levels with any one counterparty. We also continuously monitor and adjust the amount of collateral pledged based on changes in market value.</w:t>
      </w:r>
    </w:p>
    <w:p>
      <w:pPr>
        <w:spacing w:after="0" w:line="1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There is no guarantee that our efforts to manage credit risk will be successful and we could suffer losses if credit performance is worse than our expectations or our counterparties default on their obligations. Excluding amounts cleared through a central clearing exchange, as of December 31, 2019, our maximum amount at risk with any counterparty related to our repurchase agreements was less than 4% of our tangible stockholders' equity and less than 1% of tangible stockholders' equity related to our interest rate swap and swaption agreements.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19"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management is responsible for the accompanying consolidated financial statements and the related financial information. The financial statements have been prepared in conformity with accounting principles generally accepted in the United States and necessarily include certain amounts that are based on estimates and informed judgments. Our management also prepared the related financial information included in this Annual Report on Form 10-K and is responsible for its accuracy and consistency with the consolidated financial statements.</w:t>
      </w:r>
    </w:p>
    <w:p>
      <w:pPr>
        <w:spacing w:after="0" w:line="7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consolidated financial statements as of December 31, 2019 and 2018 and fiscal years 2019, 2018 and 2017 have been audited by Ernst &amp; Young LLP, an independent registered public accounting firm, who conducted their audit in accordance with the standards of the Public Company Accounting Oversight Board (United States). The independent registered public accounting firm's responsibility is to express an opinion on these consolidated financial statements based on their audit. For further information refer to the Ernst &amp; Young LLP audit opinion included in this Item 8 of our Annual Report.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Securities Exchange Act of 1934. Our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Board of Directors; and (iii) provide reasonable assurance regarding prevention or timely detection of unauthorized acquisition, use, or disposition of our assets that could have a material effect on the consolidated financial statements.</w:t>
      </w:r>
    </w:p>
    <w:p>
      <w:pPr>
        <w:spacing w:after="0" w:line="4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Management assessed the effectiveness of our internal control over financial reporting as of December 31, 2019, utilizing the criteria set forth by the Committee of Sponsoring Organizations of the Treadway Commission (COSO) in its Internal Control-Integrated Framework (2013 framework). Based on this assessment and those criteria, management determined that our internal control over financial reporting was effective as of December 31, 2019. The effectiveness of our internal control over financial reporting as of December 31, 2019 has been audited by Ernst &amp; Young LLP, our independent registered public accounting firm, as stated in their attestation report included in this Form 10-K.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53" w:right="239" w:bottom="1440" w:gutter="0" w:footer="0" w:header="0"/>
        </w:sectPr>
      </w:pPr>
    </w:p>
    <w:bookmarkStart w:id="52" w:name="page53"/>
    <w:bookmarkEnd w:id="52"/>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AGNC Investment Corp.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AGNC Investment Corp.’s internal control over financial reporting as of December 31, 2019, based on criteria established in Internal Control-Integrated Framework issued by the Committee of Sponsoring Organizations of the Treadway Commission (2013 framework) (the COSO criteria). In our opinion, AGNC Investment Corp. maintained, in all material respects, effective internal control over financial reporting as of December 31, 2019, based on the COSO criteria</w:t>
      </w:r>
      <w:r>
        <w:rPr>
          <w:rFonts w:ascii="Arial" w:cs="Arial" w:eastAsia="Arial" w:hAnsi="Arial"/>
          <w:sz w:val="18"/>
          <w:szCs w:val="18"/>
          <w:b w:val="1"/>
          <w:bCs w:val="1"/>
          <w:color w:val="auto"/>
        </w:rPr>
        <w: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AGNC Investment Corp. as of December 31, 2019 and 2018, and the related consolidated statements of comprehensive income, stockholders’ equity, and cash flows for each of the three years in the period ended December 31, 2019, and the related notes, and our report dated February 25,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AGNC Investment Corp.’s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AGNC Investment Corp. in accordance with the U.S. federal securities laws and the applicable rules and regulations of the Securities and Exchange Commission and the PCAOB.</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69" w:right="239" w:bottom="1440" w:gutter="0" w:footer="0" w:header="0"/>
        </w:sectPr>
      </w:pPr>
    </w:p>
    <w:bookmarkStart w:id="53" w:name="page54"/>
    <w:bookmarkEnd w:id="53"/>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AGNC Investment Corp.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Financial Statements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the accompanying consolidated balance sheets of AGNC Investment Corp. as of December 31, 2019 and 2018, and the related consolidated statements of comprehensive income, stockholders' equity,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AGNC Investment Corp. at December 31, 2019 and 2018, and the results of its operations and its cash flows for each of the three years in the period ended December 31, 2019, in conformity with U.S. generally accepted accounting principles.</w:t>
      </w:r>
    </w:p>
    <w:p>
      <w:pPr>
        <w:spacing w:after="0" w:line="17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AGNC Investment Corp.’s internal control over financial reporting as of December 31, 2019, based on criteria established in Internal Control-Integrated Framework issued by the Committee of Sponsoring Organizations of the Treadway Commission (2013 framework) and our report dated February 25,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AGNC Investment Corp.'s management. Our responsibility is to express an opinion on these financial statements based on our audits. We are a public accounting firm registered with the PCAOB and are required to be independent with respect to AGNC Investment Corp.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69" w:right="239" w:bottom="1440" w:gutter="0" w:footer="0" w:header="0"/>
        </w:sectPr>
      </w:pPr>
    </w:p>
    <w:bookmarkStart w:id="54" w:name="page55"/>
    <w:bookmarkEnd w:id="54"/>
    <w:p>
      <w:pPr>
        <w:spacing w:after="0" w:line="2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Description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right="40"/>
        <w:spacing w:after="0" w:line="342"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Agency securities and non-agency securities of high credit quality - net premium amortization</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of December 31, 2019, the Company’s investment securities had a net unamortized premium balance of $3.0 billion, including interest and principal-only securities, and it recorded $601.8 million of net premium amortization for the year then ended. As explained in Note 2 to the financial statements, premiums or discounts associated with the purchase of Agency residential mortgage-backed securities (“Agency RMBS") and non-Agency mortgage-backed securities of high credit quality are amortized or accreted into interest income, respectively, over the projected lives of the securities, including contractual payments and estimated prepayments using the effective interest method. The effective yield on the Company’s Agency RMBS and non-Agency mortgage-backed securities of high credit quality is highly impacted by the Company’s estimate of future prepayments. The Company estimates long-term prepayment speeds of such securities using a third-party service and market data. The third-party service provider estimates long-term prepayment speeds using models that incorporate the forward yield curve, current mortgage rates, mortgage rates of the outstanding loans, age and size of the outstanding loans, loan-to-value ratios, interest rate volatility and other factors.</w:t>
      </w:r>
    </w:p>
    <w:p>
      <w:pPr>
        <w:spacing w:after="0" w:line="173"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Auditing the Company's estimation of long-term prepayment speeds used for the amortization of premiums and accretion of discounts is subjective due to the significant judgments and estimates required by management and the third-party service provider, as inputs into prepayment models are prone to fluctuation based on changing macroeconomic conditions.</w:t>
      </w:r>
    </w:p>
    <w:p>
      <w:pPr>
        <w:spacing w:after="0" w:line="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obtained an understanding, evaluated the design and tested the operating effectiveness of internal controls over the estimation of long-term prepayment speeds, including management’s review of the estimated prepayment speeds provided by the third-party service provider.</w:t>
      </w:r>
    </w:p>
    <w:p>
      <w:pPr>
        <w:spacing w:after="0" w:line="4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audit procedures included, among others, performing comparative analyses between the Company’s long-term prepayment speed estimates and long-term prepayment speed estimates data from independent third-party sources, reconciling the Company’s estimates of long-term prepayment speeds to source prepayment speeds data provided by management’s third-party service provider, evaluating the competency and objectivity of management’s third-party service provider, and identifying potential sources of contrary information, with the assistance of an internal valuation specialist.</w:t>
      </w:r>
    </w:p>
    <w:p>
      <w:pPr>
        <w:spacing w:after="0" w:line="200" w:lineRule="exact"/>
        <w:rPr>
          <w:sz w:val="20"/>
          <w:szCs w:val="20"/>
          <w:color w:val="auto"/>
        </w:rPr>
      </w:pPr>
    </w:p>
    <w:p>
      <w:pPr>
        <w:sectPr>
          <w:pgSz w:w="11900" w:h="16838" w:orient="portrait"/>
          <w:cols w:equalWidth="0" w:num="2">
            <w:col w:w="1720" w:space="720"/>
            <w:col w:w="8960"/>
          </w:cols>
          <w:pgMar w:left="240" w:top="719" w:right="259" w:bottom="1440" w:gutter="0" w:footer="0" w:header="0"/>
        </w:sectPr>
      </w:pPr>
    </w:p>
    <w:p>
      <w:pPr>
        <w:spacing w:after="0" w:line="201" w:lineRule="exact"/>
        <w:rPr>
          <w:sz w:val="20"/>
          <w:szCs w:val="20"/>
          <w:color w:val="auto"/>
        </w:rPr>
      </w:pPr>
    </w:p>
    <w:p>
      <w:pPr>
        <w:jc w:val="right"/>
        <w:ind w:right="260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AGNC Investment Corp.’s auditor since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719" w:right="259"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Agency securities, at fair value (including pledged securities of $92,608 and $78,619, respectively)</w:t>
            </w: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98,516</w:t>
            </w:r>
          </w:p>
        </w:tc>
        <w:tc>
          <w:tcPr>
            <w:tcW w:w="10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82,291</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Agency securities transferred to consolidated variable interest entities, at fair value (pledged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Credit risk transfer securities, at fair value (including pledged securities of $309 and $141, respectively)</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976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1,012</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Non-Agency securities, at fair value (including pledged securities of $0 and $45, respectively)</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U.S. Treasury securities, at fair value (including pledged securities of $97 and $0, respectively)</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921</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599</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Derivative assets, at fair value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Receivable for investment securities sold (pledged securities)</w:t>
            </w:r>
          </w:p>
        </w:tc>
        <w:tc>
          <w:tcPr>
            <w:tcW w:w="9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489</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Receivable under reverse repurchase agreements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10,181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21,813</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526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526</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r>
      <w:tr>
        <w:trPr>
          <w:trHeight w:val="284"/>
        </w:trPr>
        <w:tc>
          <w:tcPr>
            <w:tcW w:w="812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assets</w:t>
            </w:r>
          </w:p>
        </w:tc>
        <w:tc>
          <w:tcPr>
            <w:tcW w:w="960" w:type="dxa"/>
            <w:vAlign w:val="bottom"/>
            <w:tcBorders>
              <w:top w:val="single" w:sz="8" w:color="auto"/>
              <w:bottom w:val="single" w:sz="8" w:color="auto"/>
            </w:tcBorders>
          </w:tcPr>
          <w:p>
            <w:pPr>
              <w:jc w:val="right"/>
              <w:ind w:right="781"/>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113,082</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109,241</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Repurchase agreements</w:t>
            </w: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89,182</w:t>
            </w:r>
          </w:p>
        </w:tc>
        <w:tc>
          <w:tcPr>
            <w:tcW w:w="10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75,717</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of consolidated variable interest entities, at fair value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Payable for investment securities purchased</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2,554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1,204</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Derivative liabilities, at fair value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Dividends payable</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106</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Obligation to return securities borrowed under reverse repurchase agreements, at fair value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9,543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21,431</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Accounts payable and other liabilities</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518</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102,041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99,335</w:t>
            </w:r>
          </w:p>
        </w:tc>
      </w:tr>
      <w:tr>
        <w:trPr>
          <w:trHeight w:val="23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9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Preferred Stock - aggregate liquidation preference of $963 and $500, respectively</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w w:val="93"/>
              </w:rPr>
              <w:t>Common stock - $0.01 par value; 900 shares authorized; 540.9 and 536.3 shares issued and outstanding, respectively</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13,793</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Retained deficit</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(3,886)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(3,433)</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income (loss)</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(943)</w:t>
            </w:r>
          </w:p>
        </w:tc>
      </w:tr>
      <w:tr>
        <w:trPr>
          <w:trHeight w:val="217"/>
        </w:trPr>
        <w:tc>
          <w:tcPr>
            <w:tcW w:w="8120" w:type="dxa"/>
            <w:vAlign w:val="bottom"/>
          </w:tcPr>
          <w:p>
            <w:pPr>
              <w:ind w:left="600"/>
              <w:spacing w:after="0"/>
              <w:rPr>
                <w:sz w:val="20"/>
                <w:szCs w:val="20"/>
                <w:color w:val="auto"/>
              </w:rPr>
            </w:pPr>
            <w:r>
              <w:rPr>
                <w:rFonts w:ascii="Arial" w:cs="Arial" w:eastAsia="Arial" w:hAnsi="Arial"/>
                <w:sz w:val="16"/>
                <w:szCs w:val="16"/>
                <w:color w:val="auto"/>
              </w:rPr>
              <w:t>Total stockholders' equity</w:t>
            </w: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11,041</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9,906</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 and stockholders' equity</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113,082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109,241</w:t>
            </w: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53"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gridSpan w:val="7"/>
          </w:tcPr>
          <w:p>
            <w:pPr>
              <w:jc w:val="right"/>
              <w:ind w:right="250"/>
              <w:spacing w:after="0"/>
              <w:rPr>
                <w:sz w:val="20"/>
                <w:szCs w:val="20"/>
                <w:color w:val="auto"/>
              </w:rPr>
            </w:pPr>
            <w:r>
              <w:rPr>
                <w:rFonts w:ascii="Arial" w:cs="Arial" w:eastAsia="Arial" w:hAnsi="Arial"/>
                <w:sz w:val="16"/>
                <w:szCs w:val="16"/>
                <w:b w:val="1"/>
                <w:bCs w:val="1"/>
                <w:color w:val="auto"/>
                <w:w w:val="96"/>
              </w:rPr>
              <w:t>For the year ended December 31,</w:t>
            </w:r>
          </w:p>
        </w:tc>
      </w:tr>
      <w:tr>
        <w:trPr>
          <w:trHeight w:val="33"/>
        </w:trPr>
        <w:tc>
          <w:tcPr>
            <w:tcW w:w="7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7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1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1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10"/>
              <w:spacing w:after="0"/>
              <w:rPr>
                <w:sz w:val="20"/>
                <w:szCs w:val="20"/>
                <w:color w:val="auto"/>
              </w:rPr>
            </w:pPr>
            <w:r>
              <w:rPr>
                <w:rFonts w:ascii="Arial" w:cs="Arial" w:eastAsia="Arial" w:hAnsi="Arial"/>
                <w:sz w:val="16"/>
                <w:szCs w:val="16"/>
                <w:b w:val="1"/>
                <w:bCs w:val="1"/>
                <w:color w:val="auto"/>
              </w:rPr>
              <w:t>2017</w:t>
            </w:r>
          </w:p>
        </w:tc>
      </w:tr>
      <w:tr>
        <w:trPr>
          <w:trHeight w:val="33"/>
        </w:trPr>
        <w:tc>
          <w:tcPr>
            <w:tcW w:w="7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738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2,842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1,949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1,293</w:t>
            </w:r>
          </w:p>
        </w:tc>
      </w:tr>
      <w:tr>
        <w:trPr>
          <w:trHeight w:val="27"/>
        </w:trPr>
        <w:tc>
          <w:tcPr>
            <w:tcW w:w="7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37"/>
        </w:trPr>
        <w:tc>
          <w:tcPr>
            <w:tcW w:w="7380" w:type="dxa"/>
            <w:vAlign w:val="bottom"/>
          </w:tcPr>
          <w:p>
            <w:pPr>
              <w:ind w:left="700"/>
              <w:spacing w:after="0"/>
              <w:rPr>
                <w:sz w:val="20"/>
                <w:szCs w:val="20"/>
                <w:color w:val="auto"/>
              </w:rPr>
            </w:pPr>
            <w:r>
              <w:rPr>
                <w:rFonts w:ascii="Arial" w:cs="Arial" w:eastAsia="Arial" w:hAnsi="Arial"/>
                <w:sz w:val="18"/>
                <w:szCs w:val="18"/>
                <w:color w:val="auto"/>
              </w:rPr>
              <w:t>Net interest income</w:t>
            </w: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w:t>
            </w:r>
          </w:p>
        </w:tc>
      </w:tr>
      <w:tr>
        <w:trPr>
          <w:trHeight w:val="27"/>
        </w:trPr>
        <w:tc>
          <w:tcPr>
            <w:tcW w:w="7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gain (loss), net: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7380" w:type="dxa"/>
            <w:vAlign w:val="bottom"/>
          </w:tcPr>
          <w:p>
            <w:pPr>
              <w:ind w:left="380"/>
              <w:spacing w:after="0"/>
              <w:rPr>
                <w:sz w:val="20"/>
                <w:szCs w:val="20"/>
                <w:color w:val="auto"/>
              </w:rPr>
            </w:pPr>
            <w:r>
              <w:rPr>
                <w:rFonts w:ascii="Arial" w:cs="Arial" w:eastAsia="Arial" w:hAnsi="Arial"/>
                <w:sz w:val="18"/>
                <w:szCs w:val="18"/>
                <w:color w:val="auto"/>
              </w:rPr>
              <w:t>Gain (loss) on sale of investment securities, net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7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Unrealized gain (loss) on investment securities measured at fair value through net income, net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7380" w:type="dxa"/>
            <w:vAlign w:val="bottom"/>
          </w:tcPr>
          <w:p>
            <w:pPr>
              <w:ind w:left="380"/>
              <w:spacing w:after="0"/>
              <w:rPr>
                <w:sz w:val="20"/>
                <w:szCs w:val="20"/>
                <w:color w:val="auto"/>
              </w:rPr>
            </w:pPr>
            <w:r>
              <w:rPr>
                <w:rFonts w:ascii="Arial" w:cs="Arial" w:eastAsia="Arial" w:hAnsi="Arial"/>
                <w:sz w:val="18"/>
                <w:szCs w:val="18"/>
                <w:color w:val="auto"/>
              </w:rPr>
              <w:t>Gain (loss) on derivative instruments and other securities, net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7"/>
        </w:trPr>
        <w:tc>
          <w:tcPr>
            <w:tcW w:w="7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fee income</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7380" w:type="dxa"/>
            <w:vAlign w:val="bottom"/>
          </w:tcPr>
          <w:p>
            <w:pPr>
              <w:ind w:left="700"/>
              <w:spacing w:after="0"/>
              <w:rPr>
                <w:sz w:val="20"/>
                <w:szCs w:val="20"/>
                <w:color w:val="auto"/>
              </w:rPr>
            </w:pPr>
            <w:r>
              <w:rPr>
                <w:rFonts w:ascii="Arial" w:cs="Arial" w:eastAsia="Arial" w:hAnsi="Arial"/>
                <w:sz w:val="18"/>
                <w:szCs w:val="18"/>
                <w:color w:val="auto"/>
              </w:rPr>
              <w:t>Total other gain (loss), net:</w:t>
            </w: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7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7380" w:type="dxa"/>
            <w:vAlign w:val="bottom"/>
          </w:tcPr>
          <w:p>
            <w:pPr>
              <w:ind w:left="380"/>
              <w:spacing w:after="0"/>
              <w:rPr>
                <w:sz w:val="20"/>
                <w:szCs w:val="20"/>
                <w:color w:val="auto"/>
              </w:rPr>
            </w:pPr>
            <w:r>
              <w:rPr>
                <w:rFonts w:ascii="Arial" w:cs="Arial" w:eastAsia="Arial" w:hAnsi="Arial"/>
                <w:sz w:val="18"/>
                <w:szCs w:val="18"/>
                <w:color w:val="auto"/>
              </w:rPr>
              <w:t>Compensation and benefits</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7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expense</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7"/>
        </w:trPr>
        <w:tc>
          <w:tcPr>
            <w:tcW w:w="7380" w:type="dxa"/>
            <w:vAlign w:val="bottom"/>
          </w:tcPr>
          <w:p>
            <w:pPr>
              <w:ind w:left="700"/>
              <w:spacing w:after="0"/>
              <w:rPr>
                <w:sz w:val="20"/>
                <w:szCs w:val="20"/>
                <w:color w:val="auto"/>
              </w:rPr>
            </w:pPr>
            <w:r>
              <w:rPr>
                <w:rFonts w:ascii="Arial" w:cs="Arial" w:eastAsia="Arial" w:hAnsi="Arial"/>
                <w:sz w:val="18"/>
                <w:szCs w:val="18"/>
                <w:color w:val="auto"/>
              </w:rPr>
              <w:t>Total operating expense</w:t>
            </w: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7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r>
      <w:tr>
        <w:trPr>
          <w:trHeight w:val="243"/>
        </w:trPr>
        <w:tc>
          <w:tcPr>
            <w:tcW w:w="7380" w:type="dxa"/>
            <w:vAlign w:val="bottom"/>
          </w:tcPr>
          <w:p>
            <w:pPr>
              <w:ind w:left="380"/>
              <w:spacing w:after="0"/>
              <w:rPr>
                <w:sz w:val="20"/>
                <w:szCs w:val="20"/>
                <w:color w:val="auto"/>
              </w:rPr>
            </w:pPr>
            <w:r>
              <w:rPr>
                <w:rFonts w:ascii="Arial" w:cs="Arial" w:eastAsia="Arial" w:hAnsi="Arial"/>
                <w:sz w:val="18"/>
                <w:szCs w:val="18"/>
                <w:color w:val="auto"/>
              </w:rPr>
              <w:t>Dividends on preferred stock</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7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costs of redeemed preferred stock</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97"/>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 available to common stockholders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w:t>
            </w:r>
          </w:p>
        </w:tc>
      </w:tr>
      <w:tr>
        <w:trPr>
          <w:trHeight w:val="311"/>
        </w:trPr>
        <w:tc>
          <w:tcPr>
            <w:tcW w:w="73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43"/>
        </w:trPr>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771</w:t>
            </w:r>
          </w:p>
        </w:tc>
      </w:tr>
      <w:tr>
        <w:trPr>
          <w:trHeight w:val="27"/>
        </w:trPr>
        <w:tc>
          <w:tcPr>
            <w:tcW w:w="7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9"/>
        </w:trPr>
        <w:tc>
          <w:tcPr>
            <w:tcW w:w="7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gain (loss) on investment securities measured at fair value through other</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57"/>
        </w:trPr>
        <w:tc>
          <w:tcPr>
            <w:tcW w:w="7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 (loss), net</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7"/>
        </w:trPr>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w:t>
            </w:r>
          </w:p>
        </w:tc>
      </w:tr>
      <w:tr>
        <w:trPr>
          <w:trHeight w:val="27"/>
        </w:trPr>
        <w:tc>
          <w:tcPr>
            <w:tcW w:w="7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on preferred stock</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7380" w:type="dxa"/>
            <w:vAlign w:val="bottom"/>
          </w:tcPr>
          <w:p>
            <w:pPr>
              <w:ind w:left="380"/>
              <w:spacing w:after="0"/>
              <w:rPr>
                <w:sz w:val="20"/>
                <w:szCs w:val="20"/>
                <w:color w:val="auto"/>
              </w:rPr>
            </w:pPr>
            <w:r>
              <w:rPr>
                <w:rFonts w:ascii="Arial" w:cs="Arial" w:eastAsia="Arial" w:hAnsi="Arial"/>
                <w:sz w:val="18"/>
                <w:szCs w:val="18"/>
                <w:color w:val="auto"/>
              </w:rPr>
              <w:t>Issuance cost of redeemed preferred stock</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7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 available (attributable) to common stockholders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r>
      <w:tr>
        <w:trPr>
          <w:trHeight w:val="20"/>
        </w:trPr>
        <w:tc>
          <w:tcPr>
            <w:tcW w:w="7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11"/>
        </w:trPr>
        <w:tc>
          <w:tcPr>
            <w:tcW w:w="7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64"/>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 - basic</w:t>
            </w: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358.6</w:t>
            </w:r>
          </w:p>
        </w:tc>
      </w:tr>
      <w:tr>
        <w:trPr>
          <w:trHeight w:val="20"/>
        </w:trPr>
        <w:tc>
          <w:tcPr>
            <w:tcW w:w="7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91"/>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 - diluted</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358.7</w:t>
            </w:r>
          </w:p>
        </w:tc>
      </w:tr>
      <w:tr>
        <w:trPr>
          <w:trHeight w:val="251"/>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common share - basic</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0"/>
        </w:trPr>
        <w:tc>
          <w:tcPr>
            <w:tcW w:w="7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51"/>
        </w:trPr>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Net income per common share - diluted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0"/>
        </w:trPr>
        <w:tc>
          <w:tcPr>
            <w:tcW w:w="7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380"/>
          </w:cols>
          <w:pgMar w:left="760" w:top="553" w:right="75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4"/>
            <w:vMerge w:val="restart"/>
          </w:tcPr>
          <w:p>
            <w:pPr>
              <w:jc w:val="right"/>
              <w:ind w:right="42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Preferred</w:t>
            </w: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9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0"/>
                <w:szCs w:val="10"/>
                <w:color w:val="auto"/>
              </w:rPr>
            </w:pPr>
          </w:p>
        </w:tc>
        <w:tc>
          <w:tcPr>
            <w:tcW w:w="8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Retained</w:t>
            </w:r>
          </w:p>
        </w:tc>
        <w:tc>
          <w:tcPr>
            <w:tcW w:w="120" w:type="dxa"/>
            <w:vAlign w:val="bottom"/>
          </w:tcPr>
          <w:p>
            <w:pPr>
              <w:spacing w:after="0"/>
              <w:rPr>
                <w:sz w:val="10"/>
                <w:szCs w:val="10"/>
                <w:color w:val="auto"/>
              </w:rPr>
            </w:pPr>
          </w:p>
        </w:tc>
        <w:tc>
          <w:tcPr>
            <w:tcW w:w="12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80" w:type="dxa"/>
            <w:vAlign w:val="bottom"/>
          </w:tcPr>
          <w:p>
            <w:pPr>
              <w:spacing w:after="0"/>
              <w:rPr>
                <w:sz w:val="10"/>
                <w:szCs w:val="10"/>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2016</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336</w:t>
            </w: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331.0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9,932</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7,356</w:t>
            </w:r>
          </w:p>
        </w:tc>
        <w:tc>
          <w:tcPr>
            <w:tcW w:w="0" w:type="dxa"/>
            <w:vAlign w:val="bottom"/>
          </w:tcPr>
          <w:p>
            <w:pPr>
              <w:spacing w:after="0"/>
              <w:rPr>
                <w:sz w:val="1"/>
                <w:szCs w:val="1"/>
                <w:color w:val="auto"/>
              </w:rPr>
            </w:pPr>
          </w:p>
        </w:tc>
      </w:tr>
      <w:tr>
        <w:trPr>
          <w:trHeight w:val="264"/>
        </w:trPr>
        <w:tc>
          <w:tcPr>
            <w:tcW w:w="400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771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771</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Pr>
          <w:p>
            <w:pPr>
              <w:ind w:left="380"/>
              <w:spacing w:after="0"/>
              <w:rPr>
                <w:sz w:val="20"/>
                <w:szCs w:val="20"/>
                <w:color w:val="auto"/>
              </w:rPr>
            </w:pPr>
            <w:r>
              <w:rPr>
                <w:rFonts w:ascii="Arial" w:cs="Arial" w:eastAsia="Arial" w:hAnsi="Arial"/>
                <w:sz w:val="14"/>
                <w:szCs w:val="14"/>
                <w:color w:val="auto"/>
              </w:rPr>
              <w:t>Unrealized gain on available-for-sale securities, net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4000" w:type="dxa"/>
            <w:vAlign w:val="bottom"/>
          </w:tcPr>
          <w:p>
            <w:pPr>
              <w:ind w:left="540"/>
              <w:spacing w:after="0"/>
              <w:rPr>
                <w:sz w:val="20"/>
                <w:szCs w:val="20"/>
                <w:color w:val="auto"/>
              </w:rPr>
            </w:pPr>
            <w:r>
              <w:rPr>
                <w:rFonts w:ascii="Arial" w:cs="Arial" w:eastAsia="Arial" w:hAnsi="Arial"/>
                <w:sz w:val="14"/>
                <w:szCs w:val="14"/>
                <w:color w:val="auto"/>
              </w:rPr>
              <w:t>Issuance of preferred stock, net of offering cost</w:t>
            </w: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22"/>
                <w:szCs w:val="22"/>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Redemption of preferred stock</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64"/>
        </w:trPr>
        <w:tc>
          <w:tcPr>
            <w:tcW w:w="4000" w:type="dxa"/>
            <w:vAlign w:val="bottom"/>
          </w:tcPr>
          <w:p>
            <w:pPr>
              <w:ind w:left="540"/>
              <w:spacing w:after="0"/>
              <w:rPr>
                <w:sz w:val="20"/>
                <w:szCs w:val="20"/>
                <w:color w:val="auto"/>
              </w:rPr>
            </w:pPr>
            <w:r>
              <w:rPr>
                <w:rFonts w:ascii="Arial" w:cs="Arial" w:eastAsia="Arial" w:hAnsi="Arial"/>
                <w:sz w:val="14"/>
                <w:szCs w:val="14"/>
                <w:color w:val="auto"/>
              </w:rPr>
              <w:t>Issuance of common stock, net of offering cost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60.3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1,238</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Preferred dividends declared</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64"/>
        </w:trPr>
        <w:tc>
          <w:tcPr>
            <w:tcW w:w="4000" w:type="dxa"/>
            <w:vAlign w:val="bottom"/>
          </w:tcPr>
          <w:p>
            <w:pPr>
              <w:ind w:left="540"/>
              <w:spacing w:after="0"/>
              <w:rPr>
                <w:sz w:val="20"/>
                <w:szCs w:val="20"/>
                <w:color w:val="auto"/>
              </w:rPr>
            </w:pPr>
            <w:r>
              <w:rPr>
                <w:rFonts w:ascii="Arial" w:cs="Arial" w:eastAsia="Arial" w:hAnsi="Arial"/>
                <w:sz w:val="14"/>
                <w:szCs w:val="14"/>
                <w:color w:val="auto"/>
              </w:rPr>
              <w:t>Common dividends declared</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r>
        <w:trPr>
          <w:trHeight w:val="256"/>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484</w:t>
            </w: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391.3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11,173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(2,562)</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8,754</w:t>
            </w:r>
          </w:p>
        </w:tc>
        <w:tc>
          <w:tcPr>
            <w:tcW w:w="0" w:type="dxa"/>
            <w:vAlign w:val="bottom"/>
          </w:tcPr>
          <w:p>
            <w:pPr>
              <w:spacing w:after="0"/>
              <w:rPr>
                <w:sz w:val="1"/>
                <w:szCs w:val="1"/>
                <w:color w:val="auto"/>
              </w:rPr>
            </w:pPr>
          </w:p>
        </w:tc>
      </w:tr>
      <w:tr>
        <w:trPr>
          <w:trHeight w:val="264"/>
        </w:trPr>
        <w:tc>
          <w:tcPr>
            <w:tcW w:w="400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loss:</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Pr>
          <w:p>
            <w:pPr>
              <w:ind w:left="380"/>
              <w:spacing w:after="0"/>
              <w:rPr>
                <w:sz w:val="20"/>
                <w:szCs w:val="20"/>
                <w:color w:val="auto"/>
              </w:rPr>
            </w:pPr>
            <w:r>
              <w:rPr>
                <w:rFonts w:ascii="Arial" w:cs="Arial" w:eastAsia="Arial" w:hAnsi="Arial"/>
                <w:sz w:val="14"/>
                <w:szCs w:val="14"/>
                <w:color w:val="auto"/>
              </w:rPr>
              <w:t>Unrealized loss on available-for-sale securities, net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(598)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4000" w:type="dxa"/>
            <w:vAlign w:val="bottom"/>
          </w:tcPr>
          <w:p>
            <w:pPr>
              <w:ind w:left="540"/>
              <w:spacing w:after="0"/>
              <w:rPr>
                <w:sz w:val="20"/>
                <w:szCs w:val="20"/>
                <w:color w:val="auto"/>
              </w:rPr>
            </w:pPr>
            <w:r>
              <w:rPr>
                <w:rFonts w:ascii="Arial" w:cs="Arial" w:eastAsia="Arial" w:hAnsi="Arial"/>
                <w:sz w:val="14"/>
                <w:szCs w:val="14"/>
                <w:color w:val="auto"/>
              </w:rPr>
              <w:t>Issuance of common stock, net of offering cost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145.0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2,610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2,611</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Preferred dividends declared</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64"/>
        </w:trPr>
        <w:tc>
          <w:tcPr>
            <w:tcW w:w="4000" w:type="dxa"/>
            <w:vAlign w:val="bottom"/>
          </w:tcPr>
          <w:p>
            <w:pPr>
              <w:ind w:left="540"/>
              <w:spacing w:after="0"/>
              <w:rPr>
                <w:sz w:val="20"/>
                <w:szCs w:val="20"/>
                <w:color w:val="auto"/>
              </w:rPr>
            </w:pPr>
            <w:r>
              <w:rPr>
                <w:rFonts w:ascii="Arial" w:cs="Arial" w:eastAsia="Arial" w:hAnsi="Arial"/>
                <w:sz w:val="14"/>
                <w:szCs w:val="14"/>
                <w:color w:val="auto"/>
              </w:rPr>
              <w:t>Common dividends declared</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(964)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(964)</w:t>
            </w:r>
          </w:p>
        </w:tc>
        <w:tc>
          <w:tcPr>
            <w:tcW w:w="0" w:type="dxa"/>
            <w:vAlign w:val="bottom"/>
          </w:tcPr>
          <w:p>
            <w:pPr>
              <w:spacing w:after="0"/>
              <w:rPr>
                <w:sz w:val="1"/>
                <w:szCs w:val="1"/>
                <w:color w:val="auto"/>
              </w:rPr>
            </w:pPr>
          </w:p>
        </w:tc>
      </w:tr>
      <w:tr>
        <w:trPr>
          <w:trHeight w:val="256"/>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484</w:t>
            </w: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536.3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13,793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9,906</w:t>
            </w:r>
          </w:p>
        </w:tc>
        <w:tc>
          <w:tcPr>
            <w:tcW w:w="0" w:type="dxa"/>
            <w:vAlign w:val="bottom"/>
          </w:tcPr>
          <w:p>
            <w:pPr>
              <w:spacing w:after="0"/>
              <w:rPr>
                <w:sz w:val="1"/>
                <w:szCs w:val="1"/>
                <w:color w:val="auto"/>
              </w:rPr>
            </w:pPr>
          </w:p>
        </w:tc>
      </w:tr>
      <w:tr>
        <w:trPr>
          <w:trHeight w:val="264"/>
        </w:trPr>
        <w:tc>
          <w:tcPr>
            <w:tcW w:w="400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688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Pr>
          <w:p>
            <w:pPr>
              <w:ind w:left="380"/>
              <w:spacing w:after="0"/>
              <w:rPr>
                <w:sz w:val="20"/>
                <w:szCs w:val="20"/>
                <w:color w:val="auto"/>
              </w:rPr>
            </w:pPr>
            <w:r>
              <w:rPr>
                <w:rFonts w:ascii="Arial" w:cs="Arial" w:eastAsia="Arial" w:hAnsi="Arial"/>
                <w:sz w:val="14"/>
                <w:szCs w:val="14"/>
                <w:color w:val="auto"/>
              </w:rPr>
              <w:t>Unrealized gain on available-for-sale securities, net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1,040</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64"/>
        </w:trPr>
        <w:tc>
          <w:tcPr>
            <w:tcW w:w="4000" w:type="dxa"/>
            <w:vAlign w:val="bottom"/>
          </w:tcPr>
          <w:p>
            <w:pPr>
              <w:ind w:left="540"/>
              <w:spacing w:after="0"/>
              <w:rPr>
                <w:sz w:val="20"/>
                <w:szCs w:val="20"/>
                <w:color w:val="auto"/>
              </w:rPr>
            </w:pPr>
            <w:r>
              <w:rPr>
                <w:rFonts w:ascii="Arial" w:cs="Arial" w:eastAsia="Arial" w:hAnsi="Arial"/>
                <w:sz w:val="14"/>
                <w:szCs w:val="14"/>
                <w:color w:val="auto"/>
              </w:rPr>
              <w:t>Issuance of preferred stock, net of offering cost</w:t>
            </w: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617</w:t>
            </w:r>
          </w:p>
        </w:tc>
        <w:tc>
          <w:tcPr>
            <w:tcW w:w="120" w:type="dxa"/>
            <w:vAlign w:val="bottom"/>
          </w:tcPr>
          <w:p>
            <w:pPr>
              <w:spacing w:after="0"/>
              <w:rPr>
                <w:sz w:val="22"/>
                <w:szCs w:val="22"/>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Redemption of preferred stock</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64"/>
        </w:trPr>
        <w:tc>
          <w:tcPr>
            <w:tcW w:w="4000" w:type="dxa"/>
            <w:vAlign w:val="bottom"/>
          </w:tcPr>
          <w:p>
            <w:pPr>
              <w:ind w:left="540"/>
              <w:spacing w:after="0"/>
              <w:rPr>
                <w:sz w:val="20"/>
                <w:szCs w:val="20"/>
                <w:color w:val="auto"/>
              </w:rPr>
            </w:pPr>
            <w:r>
              <w:rPr>
                <w:rFonts w:ascii="Arial" w:cs="Arial" w:eastAsia="Arial" w:hAnsi="Arial"/>
                <w:sz w:val="14"/>
                <w:szCs w:val="14"/>
                <w:color w:val="auto"/>
              </w:rPr>
              <w:t>Issuance of common stock, net of offering cost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Repurchase of common stock</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64"/>
        </w:trPr>
        <w:tc>
          <w:tcPr>
            <w:tcW w:w="4000" w:type="dxa"/>
            <w:vAlign w:val="bottom"/>
          </w:tcPr>
          <w:p>
            <w:pPr>
              <w:ind w:left="540"/>
              <w:spacing w:after="0"/>
              <w:rPr>
                <w:sz w:val="20"/>
                <w:szCs w:val="20"/>
                <w:color w:val="auto"/>
              </w:rPr>
            </w:pPr>
            <w:r>
              <w:rPr>
                <w:rFonts w:ascii="Arial" w:cs="Arial" w:eastAsia="Arial" w:hAnsi="Arial"/>
                <w:sz w:val="14"/>
                <w:szCs w:val="14"/>
                <w:color w:val="auto"/>
              </w:rPr>
              <w:t>Preferred dividends declared</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Common dividends declared</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Balance, December 31,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932</w:t>
            </w:r>
          </w:p>
        </w:tc>
        <w:tc>
          <w:tcPr>
            <w:tcW w:w="12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540.9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13,893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(3,886)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11,041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337" w:right="25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74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688</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771</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Amortization of premiums and discounts on mortgage-backed securities, net</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378</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 loss on sale of investment securities, net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Unrealized (gain) loss on investment securities measured at fair value through net income, net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71</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 loss on derivative instruments and other securities, net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(Increase) decrease in other assets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82</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accounts payable and other accrued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1,180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1,113</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1,260</w:t>
            </w:r>
          </w:p>
        </w:tc>
      </w:tr>
      <w:tr>
        <w:trPr>
          <w:trHeight w:val="33"/>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Purchases of Agency mortgage-backed securities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(47,548)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(42,586)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(35,920)</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credit risk transfer and non-Agency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(1,074)</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Proceeds from sale of Agency mortgage-backed securities</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23,212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8,132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18,701</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credit risk transfer and non-Agency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Principal collections on Agency mortgage-backed securities</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12,810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7,170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6,869</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 collections on credit risk transfer and non-Agency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Payments on U.S. Treasury securities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(26,823)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(10,829)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(11,756)</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U.S. Treasury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14,557</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Net proceeds from (payments on) reverse repurchase agreements</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11,962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(10,571)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(3,162)</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proceeds from (payments on) derivative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Net proceeds from other investing activity</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(11,061)</w:t>
            </w:r>
          </w:p>
        </w:tc>
      </w:tr>
      <w:tr>
        <w:trPr>
          <w:trHeight w:val="23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repurchase arrangements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4,234,972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2,031,463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483,516</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Payments on repurchase agreements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(4,221,507)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(2,006,042)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6"/>
              </w:rPr>
              <w:t>(471,078)</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on debt of consolidated variable interest entities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Payments on Federal Home Loan Bank advances</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(3,037)</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proceeds from preferred stock issuances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Payments for preferred stock redemptions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proceeds from common stock issuances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1,238</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Payments for common stock repurchases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dividends paid</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12,800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26,980</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9,882</w:t>
            </w:r>
          </w:p>
        </w:tc>
      </w:tr>
      <w:tr>
        <w:trPr>
          <w:trHeight w:val="33"/>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cash equivalents and restricted cash</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1,363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1,282</w:t>
            </w:r>
          </w:p>
        </w:tc>
      </w:tr>
      <w:tr>
        <w:trPr>
          <w:trHeight w:val="33"/>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1,363</w:t>
            </w: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84"/>
        </w:trPr>
        <w:tc>
          <w:tcPr>
            <w:tcW w:w="7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 to cash flow information:</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Interest paid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2,097</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1,090</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12700</wp:posOffset>
            </wp:positionV>
            <wp:extent cx="23152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-130175</wp:posOffset>
            </wp:positionV>
            <wp:extent cx="23152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553" w:right="239"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were organized in Delaware on January 7, 2008 and commenced operations on May 20, 2008 following the completion of our initial public offering. Our common stock is traded on The Nasdaq Global Select Market under the symbol "AGNC."</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are internally managed, and our principal objective is to provide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operate to qualify to be taxed as a real estate investment trust ("REIT") under the Internal Revenue Code of 1986, as amended (the "Internal Revenue Code"). As a REIT, we are required to distribute annually 90% of our taxable income. As a REIT, we will generally not be subject to U.S. federal or state corporate taxes on our taxable income to the extent that we distribute our annual taxable income to our stockholders on a timely basis. It is our intention to distribute 100% of our taxable income, after application of available tax attributes, within the limits prescribed by the Internal Revenue Code, which may extend into the subsequent tax year.</w:t>
      </w:r>
    </w:p>
    <w:p>
      <w:pPr>
        <w:spacing w:after="0" w:line="13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invest primarily in Agency residential mortgage-backed securities ("Agency RMBS") for which the principal and interest payments are guaranteed by a U.S. Government-sponsored enterprise ("GSE") or a U.S. Government agency. We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and in other investments in, or related to, the housing, mortgage or real estate markets. We fund our investments primarily through borrowings structured as repurchase agreements.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consolidated financial statements are prepared in accordance with accounting principles generally accepted in the United States ("GAAP"). Our consolidated financial statements include the accounts of all subsidiaries and variable interest entities for which we are the primary beneficiary. Significant intercompany accounts and transactions have been eliminated.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revenues and expenses during the period reported. Actual results could differ from those estimates.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CRT securities are risk sharing instruments issued by the GSEs, and similarly structured transactions issued by third-party market participants, that synthetically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related pool of loans exceed certain thresholds. By reducing the amount that they are obligated to repay to holders of CRT securities, the GSEs and/or other third parties offset credit losses on the related loans.</w:t>
      </w:r>
    </w:p>
    <w:p>
      <w:pPr>
        <w:spacing w:after="0" w:line="13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All of our securities are reported at fair value on our consolidated balance sheet. Accounting Standards Codification ("ASC") Topic 320, </w:t>
      </w:r>
      <w:r>
        <w:rPr>
          <w:rFonts w:ascii="Arial" w:cs="Arial" w:eastAsia="Arial" w:hAnsi="Arial"/>
          <w:sz w:val="18"/>
          <w:szCs w:val="18"/>
          <w:i w:val="1"/>
          <w:iCs w:val="1"/>
          <w:color w:val="auto"/>
        </w:rPr>
        <w:t>Investments—</w:t>
      </w:r>
      <w:r>
        <w:rPr>
          <w:rFonts w:ascii="Arial" w:cs="Arial" w:eastAsia="Arial" w:hAnsi="Arial"/>
          <w:sz w:val="18"/>
          <w:szCs w:val="18"/>
          <w:color w:val="auto"/>
        </w:rPr>
        <w:t xml:space="preserve"> </w:t>
      </w:r>
      <w:r>
        <w:rPr>
          <w:rFonts w:ascii="Arial" w:cs="Arial" w:eastAsia="Arial" w:hAnsi="Arial"/>
          <w:sz w:val="18"/>
          <w:szCs w:val="18"/>
          <w:i w:val="1"/>
          <w:iCs w:val="1"/>
          <w:color w:val="auto"/>
        </w:rPr>
        <w:t>Debt and Equity Securities</w:t>
      </w:r>
      <w:r>
        <w:rPr>
          <w:rFonts w:ascii="Arial" w:cs="Arial" w:eastAsia="Arial" w:hAnsi="Arial"/>
          <w:sz w:val="18"/>
          <w:szCs w:val="18"/>
          <w:color w:val="auto"/>
        </w:rPr>
        <w:t>, requires that at the time of purchase, we designate a security as held-to-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53" w:right="239" w:bottom="1440" w:gutter="0" w:footer="0" w:header="0"/>
        </w:sectPr>
      </w:pPr>
    </w:p>
    <w:bookmarkStart w:id="60" w:name="page61"/>
    <w:bookmarkEnd w:id="60"/>
    <w:p>
      <w:pPr>
        <w:jc w:val="both"/>
        <w:spacing w:after="0" w:line="289" w:lineRule="auto"/>
        <w:rPr>
          <w:sz w:val="20"/>
          <w:szCs w:val="20"/>
          <w:color w:val="auto"/>
        </w:rPr>
      </w:pPr>
      <w:r>
        <w:rPr>
          <w:rFonts w:ascii="Arial" w:cs="Arial" w:eastAsia="Arial" w:hAnsi="Arial"/>
          <w:sz w:val="16"/>
          <w:szCs w:val="16"/>
          <w:color w:val="auto"/>
        </w:rPr>
        <w:t xml:space="preserve">maturity, available-for-sale or trading, depending on our ability and intent to hold such security to maturity. Alternatively, we may elect the fair value option of accounting for securities pursuant to ASC Topic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Prior to fiscal year 2017, we primarily designated our investment securities as available-for-sale. On January 1, 2017, we began electing the fair value option of accounting for all investment securities newly acquired after such date. Unrealized gains and losses on securities classified as available-for-sale are reported in accumulated other comprehensive income ("OCI"), whereas unrealized gains and losses on securities for which we elected the fair value option, or are classified as trading, are reported in net income through other gain (loss). Upon the sale of a security designated as available-for-sale, we determine the cost of the security and the amount of unrealized gains or losses to reclassify out of accumulated OCI into earnings based on the specific identification method. In our view, the election of the fair value option simplifies the accounting for investment securities and more appropriately reflects the results of our operations for a reporting period, as the fair value changes for these assets are presented in a manner consistent with the presentation and timing of the fair value changes of our derivative instruments.</w:t>
      </w:r>
    </w:p>
    <w:p>
      <w:pPr>
        <w:spacing w:after="0" w:line="113"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estimate the fair value of our investment securities based on prices provided by multiple third-party pricing services and non-binding dealer quotes (collectively "pricing sources"). These pricing sources use various valuation approaches, including market and income approaches, using "Level 2" inputs. The pricing sources primarily utilize a matrix pricing technique that interpolates the estimated fair value of our Agency RMBS based on observed quoted prices for forward contracts in the Agency RMBS "to-be-announced" market ("TBA securities") of the same coupon, maturity and issuer, adjusted to reflect the specific characteristics of the pool of mortgages underlying the Agency security, which may include maximum loan balance, loan vintage, loan-to-value ratio, geography and other characteristics as may be appropriate. The pricing sources may also utilize discounted cash flow model-derived pricing techniques to estimate the fair value of investment securities. Such models incorporate market-based discount rate assumptions based on observable inputs such as recent trading activity, credit data, volatility statistics, benchmark interest rate curves and other market data that are current as of the measurement date and may include certain unobservable inputs, such as assumptions of future levels of prepayment, defaults and loss severities. We review the pricing estimates obtained from the pricing sources and perform procedures to validate their reasonableness. Refer to Note 7 for further discussion of fair value measurements.</w:t>
      </w:r>
    </w:p>
    <w:p>
      <w:pPr>
        <w:spacing w:after="0" w:line="115"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We evaluate our investments designated as available-for-sale, on a quarterly basis, to assess whether a decline in the fair value of the security below its amortized cost basis is an other-than-temporary impairment ("OTTI"). The determination of whether a security is other-than-temporarily impaired may involve judgments and assumptions based on subjective and objective factors. When a security is impaired, an OTTI is considered to have occurred if any one of the following three conditions exists as of the financial reporting date: (i) we intend to sell the security (that is, a decision has been made to sell the security), (ii) it is more likely than not that we will be required to sell the security before recovery of its amortized cost basis or (iii) we do not expect to recover the security's amortized cost basis, even if we do not intend to sell the security and it is not more likely than not that we will be required to sell the security. A general allowance for unidentified impairments in a portfolio of securities is not permitted. If either of the first two conditions exists as of the financial reporting date, the entire amount of the impairment loss, if any, is recognized in earnings as a realized loss and the cost basis of the security is adjusted to its fair value. If the third condition exists, the OTTI is separated into (i) the amount relating to credit loss (the "credit component") and (ii) the amount relating to all other factors (the "non-credit components"). Only the credit component is recognized in earnings, with the non-credit components recognized in OCI. We did not recognize OTTI charges on our investment securities for fiscal years 2019, 2018 or 2017.</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Arial" w:cs="Arial" w:eastAsia="Arial" w:hAnsi="Arial"/>
          <w:sz w:val="18"/>
          <w:szCs w:val="18"/>
          <w:i w:val="1"/>
          <w:iCs w:val="1"/>
          <w:color w:val="auto"/>
        </w:rPr>
        <w:t>Receivables—Nonrefundable Fees and Other Costs</w:t>
      </w:r>
      <w:r>
        <w:rPr>
          <w:rFonts w:ascii="Arial" w:cs="Arial" w:eastAsia="Arial" w:hAnsi="Arial"/>
          <w:sz w:val="18"/>
          <w:szCs w:val="18"/>
          <w:color w:val="auto"/>
        </w:rPr>
        <w:t>.</w:t>
      </w:r>
    </w:p>
    <w:p>
      <w:pPr>
        <w:spacing w:after="0" w:line="13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estimate long-term prepayment speeds of our mortgage securities using a third-party service and market data. The third-party service provider estimates prepayment speeds using models that incorporate the forward yield curve, current mortgage rates, mortgage rates of the outstanding loans, age and size of the outstanding loans, loan-to-value ratios, interest rate volatility and other factors. We review the prepayment speeds estimated by the third-party service and compare the results to market consensus prepayment speeds, if available. We also consider historical prepayment speeds and current market conditions to validate the reasonableness of the third-party estimates. We review our actual and anticipated prepayment experience on at least a quarterly basis and effective yields are recalculated when differences arise between (i) our previous estimate of future prepayments and (ii) actual prepayments to date and our current estimate of future prepayments. We are required to record an adjustment in the current period to premium amortization / discount accretion for the cumulative effect of the difference in the effective yields as if the recalculated yield had been in place as of the security's acquisition date through the reporting date.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719" w:right="239" w:bottom="1440" w:gutter="0" w:footer="0" w:header="0"/>
        </w:sectPr>
      </w:pPr>
    </w:p>
    <w:bookmarkStart w:id="61" w:name="page62"/>
    <w:bookmarkEnd w:id="61"/>
    <w:p>
      <w:pPr>
        <w:jc w:val="both"/>
        <w:ind w:firstLine="432"/>
        <w:spacing w:after="0" w:line="293" w:lineRule="auto"/>
        <w:rPr>
          <w:sz w:val="20"/>
          <w:szCs w:val="20"/>
          <w:color w:val="auto"/>
        </w:rPr>
      </w:pPr>
      <w:r>
        <w:rPr>
          <w:rFonts w:ascii="Arial" w:cs="Arial" w:eastAsia="Arial" w:hAnsi="Arial"/>
          <w:sz w:val="16"/>
          <w:szCs w:val="16"/>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adjusted for credit impairments, if any.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8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 xml:space="preserve">We finance the acquisition of securities for our investment portfolio primarily through repurchase transactions under master repurchase agreements. Pursuant to ASC Topic 860, </w:t>
      </w:r>
      <w:r>
        <w:rPr>
          <w:rFonts w:ascii="Arial" w:cs="Arial" w:eastAsia="Arial" w:hAnsi="Arial"/>
          <w:sz w:val="17"/>
          <w:szCs w:val="17"/>
          <w:i w:val="1"/>
          <w:iCs w:val="1"/>
          <w:color w:val="auto"/>
        </w:rPr>
        <w:t>Transfers and Servicing</w:t>
      </w:r>
      <w:r>
        <w:rPr>
          <w:rFonts w:ascii="Arial" w:cs="Arial" w:eastAsia="Arial" w:hAnsi="Arial"/>
          <w:sz w:val="17"/>
          <w:szCs w:val="17"/>
          <w:color w:val="auto"/>
        </w:rPr>
        <w:t>, we account for repurchase transactions as collateralized financing transactions, which are carried at their contractual amounts (cost), plus accrued interest. Our repurchase agreements typically have maturities of less than one year but may extend up to five years or more. Interest rates on our repurchase agreements generally correspond to short-term benchmark rates plus or minus a fixed spread. The fair value of our repurchase agreements is assumed to equal cost as the interest rates are considered to be at market.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Agreements and Obligation to Return Securities Borrowed under Reverse Repurchase Agreements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We borrow securities to cover short sales of U.S. Treasury securities through reverse repurchase transactions under our master repurchase agreements (see </w:t>
      </w:r>
      <w:r>
        <w:rPr>
          <w:rFonts w:ascii="Arial" w:cs="Arial" w:eastAsia="Arial" w:hAnsi="Arial"/>
          <w:sz w:val="17"/>
          <w:szCs w:val="17"/>
          <w:i w:val="1"/>
          <w:iCs w:val="1"/>
          <w:color w:val="auto"/>
        </w:rPr>
        <w:t>Derivative Instruments</w:t>
      </w:r>
      <w:r>
        <w:rPr>
          <w:rFonts w:ascii="Arial" w:cs="Arial" w:eastAsia="Arial" w:hAnsi="Arial"/>
          <w:sz w:val="17"/>
          <w:szCs w:val="17"/>
          <w:color w:val="auto"/>
        </w:rPr>
        <w:t xml:space="preserve"> below). We account for these as securities borrowing transactions and recognize an obligation to return the borrowed securities at fair value on the balance sheet based on the value of the underlying borrowed securities as of the reporting date. We may also enter into reverse repurchase agreements to earn a yield on excess cash balances. The securities received as collateral in connection with our reverse repurchase agreements mitigate our credit risk exposure to counterparties. Our reverse repurchase agreements typically have maturities of 30 days or less. The fair value of our reverse repurchase agreements is assumed to equal cost as the interest rates are considered to be at market.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and to periodically reduce our exposure to Agency RMBS.</w:t>
      </w:r>
    </w:p>
    <w:p>
      <w:pPr>
        <w:spacing w:after="0" w:line="13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We account for derivative instruments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spacing w:after="0" w:line="13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3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use of derivative instruments creates exposure to credit risk relating to potential losses that could be recognized if the counterparties to these instruments fail to perform their obligations under the contracts. Our derivative agreements require that we post or receive collateral to mitigate such risk. We also attempt to minimize our risk of loss by limiting our counterparties to registered central clearing exchanges and major financial institutions with acceptable credit ratings, monitoring positions with individual counterparties and adjusting posted collateral as required.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719" w:right="239" w:bottom="1440" w:gutter="0" w:footer="0" w:header="0"/>
        </w:sectPr>
      </w:pPr>
    </w:p>
    <w:bookmarkStart w:id="62" w:name="page63"/>
    <w:bookmarkEnd w:id="62"/>
    <w:p>
      <w:pPr>
        <w:ind w:left="420"/>
        <w:spacing w:after="0"/>
        <w:rPr>
          <w:sz w:val="20"/>
          <w:szCs w:val="20"/>
          <w:color w:val="auto"/>
        </w:rPr>
      </w:pPr>
      <w:r>
        <w:rPr>
          <w:rFonts w:ascii="Arial" w:cs="Arial" w:eastAsia="Arial" w:hAnsi="Arial"/>
          <w:sz w:val="18"/>
          <w:szCs w:val="18"/>
          <w:i w:val="1"/>
          <w:iCs w:val="1"/>
          <w:color w:val="auto"/>
        </w:rPr>
        <w:t>Interest rate swap agreements</w:t>
      </w:r>
    </w:p>
    <w:p>
      <w:pPr>
        <w:spacing w:after="0" w:line="171"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use interest rate swaps to economically hedge the variable cash flows associated with our borrowings made under repurchase agreements. Under our interest rate swap agreements, we typically pay a fixed rate and receive a floating rate ("payer swaps") based on a short-term benchmark rate, such as the three-month London Interbank Offered Rate ("LIBOR"), Overnight Index Swap Rate ("OIS") or Secured Overnight Financing Rate ("SOFR"). Our interest rate swaps typically have terms from one to 10 years but may extend up to 20 years or more. The majority of our interest rate swaps are centrally cleared through a registered commodities exchange. We value centrally cleared interest rate swaps using the daily settlement price, or fair value, determined by the clearing exchange based on a pricing model that references observable market inputs, including current benchmark rates and the forward yield curve. Our centrally cleared swaps require that we post an "initial margin" amount determined by the clearing exchange, which is generally intended to be set at a level sufficient to protect the exchange from the interest rate swap's maximum estimated single-day price movement.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w:t>
      </w:r>
    </w:p>
    <w:p>
      <w:pPr>
        <w:spacing w:after="0" w:line="11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value non-centrally cleared swaps using a combination of third-party valuations obtained from pricing services and the swap counterparty. The third-party valuations are model-driven using observable inputs, including short-term benchmark rates, swap rates and the forward yield curve. We also consider both our own and our counterparties' nonperformance risk in estimating the fair value of our interest rate swaps. In considering the effect of nonperformance risk, we assess the impact of netting and credit enhancements, such as collateral postings and guarantees, and have concluded that our own and our counterparty risk is not significant to the overall valuation of these agreements.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swaptions</w:t>
      </w:r>
    </w:p>
    <w:p>
      <w:pPr>
        <w:spacing w:after="0" w:line="171"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premium paid for interest rate swaptions is reported as an asset in our consolidated balance sheets. We estimate the fair value of interest rate swaptions using a combination of inputs from counterparty and third-party pricing models based on the fair value of the future interest rate swap that we have the option to enter into as well as the remaining length of time that we have to exercise the option, adjusted for non-performance risk, if any.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and the premium paid.</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TBA securities</w:t>
      </w:r>
    </w:p>
    <w:p>
      <w:pPr>
        <w:spacing w:after="0" w:line="17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w:t>
      </w:r>
    </w:p>
    <w:p>
      <w:pPr>
        <w:spacing w:after="0" w:line="13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 We estimate the fair value of TBA securities based on similar methods used to value our Agency RMBS securities.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U.S. Treasury securities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use U.S. Treasury securities and U.S. Treasury futures contracts to mitigate the potential impact of changes in interest rates on the performance of our portfolio. We borrow U.S. Treasury securities under reverse repurchase agreements to cover short sales of U.S. Treasury securities. We account for these as securities borrowing transactions and recognize an obligation to return the borrowed securities at fair value on our accompanying consolidated balance sheets based on the value of the underlying U.S. Treasury security as of the reporting date. Gains and losses associated with U.S. Treasury securities and U.S. Treasury futures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719" w:right="239" w:bottom="1440" w:gutter="0" w:footer="0" w:header="0"/>
        </w:sectPr>
      </w:pPr>
    </w:p>
    <w:bookmarkStart w:id="63" w:name="page64"/>
    <w:bookmarkEnd w:id="63"/>
    <w:p>
      <w:pPr>
        <w:ind w:right="880"/>
        <w:spacing w:after="0" w:line="438" w:lineRule="auto"/>
        <w:rPr>
          <w:sz w:val="20"/>
          <w:szCs w:val="20"/>
          <w:color w:val="auto"/>
        </w:rPr>
      </w:pPr>
      <w:r>
        <w:rPr>
          <w:rFonts w:ascii="Arial" w:cs="Arial" w:eastAsia="Arial" w:hAnsi="Arial"/>
          <w:sz w:val="18"/>
          <w:szCs w:val="18"/>
          <w:color w:val="auto"/>
        </w:rPr>
        <w:t xml:space="preserve">contracts are recognized in gain (loss) on derivative instruments and other securities, net in our consolidated statements of comprehensive income. </w:t>
      </w:r>
      <w:r>
        <w:rPr>
          <w:rFonts w:ascii="Arial" w:cs="Arial" w:eastAsia="Arial" w:hAnsi="Arial"/>
          <w:sz w:val="18"/>
          <w:szCs w:val="18"/>
          <w:b w:val="1"/>
          <w:bCs w:val="1"/>
          <w:i w:val="1"/>
          <w:iCs w:val="1"/>
          <w:color w:val="auto"/>
        </w:rPr>
        <w:t>Consolidated Variable Interest Entities</w:t>
      </w:r>
    </w:p>
    <w:p>
      <w:pPr>
        <w:spacing w:after="0" w:line="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ASC Topic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("ASC 810"), requires an enterprise to consolidate a variable interest entity ("VIE") if it is deemed the primary beneficiary of the VIE. As of December 31, 2019 and 2018, our consolidated financial statements reflect the consolidation of certain VIEs for which we have determined we are the primary beneficiary. The consolidated VIEs consist of CMO trusts backed by fixed or adjustable-rate Agency RMBS. Fannie Mae or Freddie Mac guarantees the payment of interest and principal and acts as the trustee and administrator of their respective securitization trusts. Accordingly, we are not required to provide the beneficial interest holders of the CMO securities any financial or other support. Our maximum exposure to loss related to our involvement with the CMO trusts is the fair value of the CMO securities and interest and principal-only securities held by us, less principal amounts guaranteed by Fannie Mae and Freddie Mac.</w:t>
      </w:r>
    </w:p>
    <w:p>
      <w:pPr>
        <w:spacing w:after="0" w:line="13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elected the option to account for the debt of consolidated VIEs at fair value, with changes in fair value reflected in earnings during the period in which they occur. We believe this election more appropriately reflects our financial position as both the consolidated assets and consolidated debt are presented in a consistent manner on our consolidated balance sheets. We estimate the fair value of the consolidated debt based on the fair value of the Agency RMBS held by the CMO trusts, less the fair value of our retained interests in the trusts, which are measured on a market approach using "Level 2" inputs from third-party pricing services and dealer quotes, because such inputs are more observable than inputs to otherwise independently determine the value of our consolidated debt.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Cash and cash equivalents include cash held in bank accounts and cash held in money market funds on an overnight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Restricted cash includes cash pledged as collateral for clearing and executing trades, repurchase agreements and other borrowings, and interest rate swaps and other derivative instruments.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Goodwill is the cost of an acquisition in excess of the fair value of identified assets acquired and liabilities assumed and is recognized as an asset on our consolidated balance sheets. As of December 31, 2019 and 2018, we had $526 million of goodwill related to our acquisition of AGNC Management, LLC, our former manager, on July 1, 2016. Goodwill is not subject to amortization but must be tested for impairment at least annually and at interim periods when events or circumstances may make it more likely than not that an impairment has occurred. If a qualitative analysis indicates that there may be an impairment, a quantitative analysis is performed. The quantitative analysis requires that we compare the carrying value of the identified reporting unit comprising the goodwill to the reporting unit's fair value. If the reporting units' carrying value is greater than its fair value, an impairment charge is recognized to the extent the carrying amount of the reporting unit exceeds its fair value. During fiscal years 2019, 2018, and 2017, we did not recognize a goodwill impairment charge.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Under our 2016 AGNC Investment Corp. Equity and Incentive Compensation Plan (the "2016 Equity Plan" or "the Plan"), we may grant equity-based compensation to our officers and other employees and non-employee directors for the purpose of providing incentives and rewards for service or performance. Stock-based awards issued under the Plan include time-based and performance-based restricted stock unit awards ("RSU" and "PSU" awards, respectively), but may include other forms of equity-based compensation. RSU and PSU awards are an agreement to issue an equivalent number of shares of our common stock, plus any equivalent shares for dividends declared on our common stock, at the time the award vests, or later if distribution of such shares has been deferred beyond the vesting date. RSU awards vest over a specified service period. PSU awards vest over a specified service period subject to achieving long-term performance criteria.</w:t>
      </w:r>
    </w:p>
    <w:p>
      <w:pPr>
        <w:spacing w:after="0" w:line="13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measure and recognize compensation expense for all stock-based payment awards made to employees and non-employee directors based on their fair values. We value RSU and PSU awards based on the fair value of our common stock on the date of grant. Compensation expense is recognized over each award’s respective service period. In the case of PSU awards, we estimate the probability that the performance criteria will be achieved and recognize expense only for those awards expected to vest. We reevaluate our estimates each reporting period and recognize a cumulative effect adjustment to expense if our estimates change from the prior period. We do not estimate forfeiture rates; rather, we adjust for forfeitures in the periods in which they occur.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719" w:right="239" w:bottom="1440" w:gutter="0" w:footer="0" w:header="0"/>
        </w:sectPr>
      </w:pPr>
    </w:p>
    <w:bookmarkStart w:id="64" w:name="page65"/>
    <w:bookmarkEnd w:id="64"/>
    <w:p>
      <w:pPr>
        <w:jc w:val="both"/>
        <w:ind w:firstLine="432"/>
        <w:spacing w:after="0" w:line="259" w:lineRule="auto"/>
        <w:rPr>
          <w:sz w:val="20"/>
          <w:szCs w:val="20"/>
          <w:color w:val="auto"/>
        </w:rPr>
      </w:pPr>
      <w:r>
        <w:rPr>
          <w:rFonts w:ascii="Arial" w:cs="Arial" w:eastAsia="Arial" w:hAnsi="Arial"/>
          <w:sz w:val="18"/>
          <w:szCs w:val="18"/>
          <w:color w:val="auto"/>
        </w:rPr>
        <w:t>Shares underlying RSU and PSU awards are issued on the vesting dates, or later if distribution of such shares has been deferred beyond the vesting date, net of shares withheld for minimum statutory tax withholdings to be paid by us on behalf of our employees. As a result, the actual number of shares issued will be fewer than the actual number of awards outstanding. When shares are withheld for statutory tax withholdings, we record a liability for tax withholding amounts to be paid by us as a reduction to additional paid-in capital.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consider the applicability and impact of all Accounting Standards Updates ("ASUs") issued by the Financial Accounting Standards Board. ASUs not listed below were determined to be either not applicable, are not expected to have a significant impact on our consolidated financial statements when adopted or did not have a significant impact on our consolidated financial statements upon adoption.</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ASU 2016-13, Financial Instruments - Credit Losses (Topic 326): </w:t>
      </w:r>
      <w:r>
        <w:rPr>
          <w:rFonts w:ascii="Arial" w:cs="Arial" w:eastAsia="Arial" w:hAnsi="Arial"/>
          <w:sz w:val="18"/>
          <w:szCs w:val="18"/>
          <w:color w:val="auto"/>
        </w:rPr>
        <w:t>ASU 2016-13 changes the impairment model for most financial assets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other instruments. Under ASU 2016-13, credit losses on available-for-sale investment securities are recorded as an allowance rather than as a direct reduction of amortized cost. Remaining losses unrelated to credit loss, such as due to changing interest rates, continue to be recorded through OCI. The new model also requires the estimation of lifetime expected credit losses and corresponding recognition of allowance for losses on trade and other receivables, held-to-maturity debt securities, loans, and other instruments held at amortized cost. The ASU requires certain recurring disclosures and is effective for annual periods, and interim periods within those annual periods, beginning on or after December 15, 2019. ASU 2016-13 is not expected to have a significant impact on our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Securities</w:t>
      </w:r>
    </w:p>
    <w:p>
      <w:pPr>
        <w:spacing w:after="0" w:line="17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of December 31, 2019 and 2018, our investment portfolio consisted of $100.4 billion and $84.3 billion of investment securities, at fair value, respectively, and $7.4 billion and $7.3 billion of net TBA securities, at fair value, respectively. Our net TBA position is reported at its net carrying value of $25 million and $70 million as of December 31, 2019 and 2018, respectively, in derivative assets / (liabilities) on our accompanying consolidated balance sheets. The net carrying value of our TBA position represents the difference between the fair value of the underlying Agency security in the TBA contract and the cost basis or the forward price to be paid or received for the underlying Agency security.</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December 31, 2019 and 2018, our investment securities had a net unamortized premium balance of $3.1 billion and $2.9 billion, respectively.</w:t>
      </w:r>
    </w:p>
    <w:p>
      <w:pPr>
        <w:spacing w:after="0" w:line="19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tables summarize our investment securities as of December 31, 2019 and 2018, excluding TBA securities, (dollars in millions). Details of our TBA securities as of each of the respective dates are included in Note 5.</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3"/>
                <w:szCs w:val="13"/>
                <w:color w:val="auto"/>
              </w:rPr>
            </w:pPr>
          </w:p>
        </w:tc>
        <w:tc>
          <w:tcPr>
            <w:tcW w:w="11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3"/>
                <w:szCs w:val="13"/>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20" w:type="dxa"/>
            <w:vAlign w:val="bottom"/>
            <w:gridSpan w:val="2"/>
          </w:tcPr>
          <w:p>
            <w:pPr>
              <w:ind w:left="180"/>
              <w:spacing w:after="0"/>
              <w:rPr>
                <w:sz w:val="20"/>
                <w:szCs w:val="20"/>
                <w:color w:val="auto"/>
              </w:rPr>
            </w:pPr>
            <w:r>
              <w:rPr>
                <w:rFonts w:ascii="Arial" w:cs="Arial" w:eastAsia="Arial" w:hAnsi="Arial"/>
                <w:sz w:val="14"/>
                <w:szCs w:val="14"/>
                <w:color w:val="auto"/>
              </w:rPr>
              <w:t>Fixed rate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96,375</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98,074</w:t>
            </w:r>
          </w:p>
        </w:tc>
        <w:tc>
          <w:tcPr>
            <w:tcW w:w="120" w:type="dxa"/>
            <w:vAlign w:val="bottom"/>
          </w:tcPr>
          <w:p>
            <w:pPr>
              <w:spacing w:after="0"/>
              <w:rPr>
                <w:sz w:val="22"/>
                <w:szCs w:val="22"/>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83,047</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81,753</w:t>
            </w:r>
          </w:p>
        </w:tc>
        <w:tc>
          <w:tcPr>
            <w:tcW w:w="0" w:type="dxa"/>
            <w:vAlign w:val="bottom"/>
          </w:tcPr>
          <w:p>
            <w:pPr>
              <w:spacing w:after="0"/>
              <w:rPr>
                <w:sz w:val="1"/>
                <w:szCs w:val="1"/>
                <w:color w:val="auto"/>
              </w:rPr>
            </w:pPr>
          </w:p>
        </w:tc>
      </w:tr>
      <w:tr>
        <w:trPr>
          <w:trHeight w:val="276"/>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Adjustable rate</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64"/>
        </w:trPr>
        <w:tc>
          <w:tcPr>
            <w:tcW w:w="5620" w:type="dxa"/>
            <w:vAlign w:val="bottom"/>
            <w:gridSpan w:val="2"/>
          </w:tcPr>
          <w:p>
            <w:pPr>
              <w:ind w:left="180"/>
              <w:spacing w:after="0"/>
              <w:rPr>
                <w:sz w:val="20"/>
                <w:szCs w:val="20"/>
                <w:color w:val="auto"/>
              </w:rPr>
            </w:pPr>
            <w:r>
              <w:rPr>
                <w:rFonts w:ascii="Arial" w:cs="Arial" w:eastAsia="Arial" w:hAnsi="Arial"/>
                <w:sz w:val="14"/>
                <w:szCs w:val="14"/>
                <w:color w:val="auto"/>
              </w:rPr>
              <w:t>CMO</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441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447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588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276"/>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Interest-only and principal-only strips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64"/>
        </w:trPr>
        <w:tc>
          <w:tcPr>
            <w:tcW w:w="5620" w:type="dxa"/>
            <w:vAlign w:val="bottom"/>
            <w:gridSpan w:val="2"/>
          </w:tcPr>
          <w:p>
            <w:pPr>
              <w:ind w:left="180"/>
              <w:spacing w:after="0"/>
              <w:rPr>
                <w:sz w:val="20"/>
                <w:szCs w:val="20"/>
                <w:color w:val="auto"/>
              </w:rPr>
            </w:pPr>
            <w:r>
              <w:rPr>
                <w:rFonts w:ascii="Arial" w:cs="Arial" w:eastAsia="Arial" w:hAnsi="Arial"/>
                <w:sz w:val="14"/>
                <w:szCs w:val="14"/>
                <w:color w:val="auto"/>
              </w:rPr>
              <w:t>Multifamily</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56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Agency RMBS</w:t>
            </w:r>
          </w:p>
        </w:tc>
        <w:tc>
          <w:tcPr>
            <w:tcW w:w="2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97,159</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98,887</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84,019</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82,727</w:t>
            </w:r>
          </w:p>
        </w:tc>
        <w:tc>
          <w:tcPr>
            <w:tcW w:w="0" w:type="dxa"/>
            <w:vAlign w:val="bottom"/>
          </w:tcPr>
          <w:p>
            <w:pPr>
              <w:spacing w:after="0"/>
              <w:rPr>
                <w:sz w:val="1"/>
                <w:szCs w:val="1"/>
                <w:color w:val="auto"/>
              </w:rPr>
            </w:pP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4"/>
                <w:szCs w:val="14"/>
                <w:color w:val="auto"/>
              </w:rPr>
              <w:t>Non-Agency RMBS</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276"/>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CMBS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CRT securities</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1,012</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investment securities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98,670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100,442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85,569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84,287</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719"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0"/>
              </w:rPr>
              <w:t>December 31, 2019</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Agency RMBS</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5"/>
          </w:tcPr>
          <w:p>
            <w:pPr>
              <w:jc w:val="right"/>
              <w:ind w:right="516"/>
              <w:spacing w:after="0"/>
              <w:rPr>
                <w:sz w:val="20"/>
                <w:szCs w:val="20"/>
                <w:color w:val="auto"/>
              </w:rPr>
            </w:pPr>
            <w:r>
              <w:rPr>
                <w:rFonts w:ascii="Arial" w:cs="Arial" w:eastAsia="Arial" w:hAnsi="Arial"/>
                <w:sz w:val="14"/>
                <w:szCs w:val="14"/>
                <w:b w:val="1"/>
                <w:bCs w:val="1"/>
                <w:color w:val="auto"/>
              </w:rPr>
              <w:t>Non-Agency</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4"/>
              </w:rPr>
              <w:t>Fannie Mae</w:t>
            </w:r>
          </w:p>
        </w:tc>
        <w:tc>
          <w:tcPr>
            <w:tcW w:w="120" w:type="dxa"/>
            <w:vAlign w:val="bottom"/>
            <w:vMerge w:val="restart"/>
          </w:tcPr>
          <w:p>
            <w:pPr>
              <w:spacing w:after="0"/>
              <w:rPr>
                <w:sz w:val="13"/>
                <w:szCs w:val="13"/>
                <w:color w:val="auto"/>
              </w:rPr>
            </w:pP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4"/>
                <w:szCs w:val="14"/>
                <w:b w:val="1"/>
                <w:bCs w:val="1"/>
                <w:color w:val="auto"/>
              </w:rPr>
              <w:t>Freddie Mac</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Ginnie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RMBS</w:t>
            </w:r>
          </w:p>
        </w:tc>
        <w:tc>
          <w:tcPr>
            <w:tcW w:w="1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CMBS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CRT</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Mae</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Par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14,301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4,762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18</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19,081</w:t>
            </w: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Unamortized discount</w:t>
            </w:r>
          </w:p>
        </w:tc>
        <w:tc>
          <w:tcPr>
            <w:tcW w:w="10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Unamortized premium</w:t>
            </w: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711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276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987</w:t>
            </w:r>
          </w:p>
        </w:tc>
        <w:tc>
          <w:tcPr>
            <w:tcW w:w="0" w:type="dxa"/>
            <w:vAlign w:val="bottom"/>
          </w:tcPr>
          <w:p>
            <w:pPr>
              <w:spacing w:after="0"/>
              <w:rPr>
                <w:sz w:val="1"/>
                <w:szCs w:val="1"/>
                <w:color w:val="auto"/>
              </w:rPr>
            </w:pPr>
          </w:p>
        </w:tc>
      </w:tr>
      <w:tr>
        <w:trPr>
          <w:trHeight w:val="249"/>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Amortized cost</w:t>
            </w:r>
          </w:p>
        </w:tc>
        <w:tc>
          <w:tcPr>
            <w:tcW w:w="100" w:type="dxa"/>
            <w:vAlign w:val="bottom"/>
          </w:tcPr>
          <w:p>
            <w:pPr>
              <w:spacing w:after="0"/>
              <w:rPr>
                <w:sz w:val="21"/>
                <w:szCs w:val="21"/>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15,002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5,036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20,056</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Gross unrealized gains</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3"/>
                <w:szCs w:val="13"/>
                <w:color w:val="auto"/>
              </w:rPr>
              <w:t>Gross unrealized losses</w:t>
            </w: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257"/>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 available-for-sale securities, at fair value</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15,094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5,040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20,153</w:t>
            </w:r>
          </w:p>
        </w:tc>
        <w:tc>
          <w:tcPr>
            <w:tcW w:w="0" w:type="dxa"/>
            <w:vAlign w:val="bottom"/>
          </w:tcPr>
          <w:p>
            <w:pPr>
              <w:spacing w:after="0"/>
              <w:rPr>
                <w:sz w:val="1"/>
                <w:szCs w:val="1"/>
                <w:color w:val="auto"/>
              </w:rPr>
            </w:pPr>
          </w:p>
        </w:tc>
      </w:tr>
      <w:tr>
        <w:trPr>
          <w:trHeight w:val="256"/>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Securities remeasured at fair value through earnings:</w:t>
            </w: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Par value</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45,106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29,881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208</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348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937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76,480</w:t>
            </w: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Unamortized discount</w:t>
            </w:r>
          </w:p>
        </w:tc>
        <w:tc>
          <w:tcPr>
            <w:tcW w:w="10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(68)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Unamortized premium</w:t>
            </w: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1,218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967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2,219</w:t>
            </w:r>
          </w:p>
        </w:tc>
        <w:tc>
          <w:tcPr>
            <w:tcW w:w="0" w:type="dxa"/>
            <w:vAlign w:val="bottom"/>
          </w:tcPr>
          <w:p>
            <w:pPr>
              <w:spacing w:after="0"/>
              <w:rPr>
                <w:sz w:val="1"/>
                <w:szCs w:val="1"/>
                <w:color w:val="auto"/>
              </w:rPr>
            </w:pPr>
          </w:p>
        </w:tc>
      </w:tr>
      <w:tr>
        <w:trPr>
          <w:trHeight w:val="249"/>
        </w:trPr>
        <w:tc>
          <w:tcPr>
            <w:tcW w:w="4280" w:type="dxa"/>
            <w:vAlign w:val="bottom"/>
            <w:gridSpan w:val="2"/>
          </w:tcPr>
          <w:p>
            <w:pPr>
              <w:ind w:left="200"/>
              <w:spacing w:after="0"/>
              <w:rPr>
                <w:sz w:val="20"/>
                <w:szCs w:val="20"/>
                <w:color w:val="auto"/>
              </w:rPr>
            </w:pPr>
            <w:r>
              <w:rPr>
                <w:rFonts w:ascii="Arial" w:cs="Arial" w:eastAsia="Arial" w:hAnsi="Arial"/>
                <w:sz w:val="13"/>
                <w:szCs w:val="13"/>
                <w:color w:val="auto"/>
              </w:rPr>
              <w:t>Amortized cost</w:t>
            </w:r>
          </w:p>
        </w:tc>
        <w:tc>
          <w:tcPr>
            <w:tcW w:w="100" w:type="dxa"/>
            <w:vAlign w:val="bottom"/>
          </w:tcPr>
          <w:p>
            <w:pPr>
              <w:spacing w:after="0"/>
              <w:rPr>
                <w:sz w:val="21"/>
                <w:szCs w:val="21"/>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46,256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30,846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199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352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961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78,614</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Gross unrealized gains</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991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691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1,729</w:t>
            </w:r>
          </w:p>
        </w:tc>
        <w:tc>
          <w:tcPr>
            <w:tcW w:w="0" w:type="dxa"/>
            <w:vAlign w:val="bottom"/>
          </w:tcPr>
          <w:p>
            <w:pPr>
              <w:spacing w:after="0"/>
              <w:rPr>
                <w:sz w:val="1"/>
                <w:szCs w:val="1"/>
                <w:color w:val="auto"/>
              </w:rPr>
            </w:pPr>
          </w:p>
        </w:tc>
      </w:tr>
      <w:tr>
        <w:trPr>
          <w:trHeight w:val="264"/>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Gross unrealized losses</w:t>
            </w:r>
          </w:p>
        </w:tc>
        <w:tc>
          <w:tcPr>
            <w:tcW w:w="10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250"/>
        </w:trPr>
        <w:tc>
          <w:tcPr>
            <w:tcW w:w="42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Total securities remeasured at fair value through earnings</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47,215</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31,519</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209</w:t>
            </w: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370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976</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80,289</w:t>
            </w:r>
          </w:p>
        </w:tc>
        <w:tc>
          <w:tcPr>
            <w:tcW w:w="0" w:type="dxa"/>
            <w:vAlign w:val="bottom"/>
          </w:tcPr>
          <w:p>
            <w:pPr>
              <w:spacing w:after="0"/>
              <w:rPr>
                <w:sz w:val="1"/>
                <w:szCs w:val="1"/>
                <w:color w:val="auto"/>
              </w:rPr>
            </w:pPr>
          </w:p>
        </w:tc>
      </w:tr>
      <w:tr>
        <w:trPr>
          <w:trHeight w:val="282"/>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Total securities, at fair value</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62,309</w:t>
            </w:r>
          </w:p>
        </w:tc>
        <w:tc>
          <w:tcPr>
            <w:tcW w:w="12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36,559</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19</w:t>
            </w:r>
          </w:p>
        </w:tc>
        <w:tc>
          <w:tcPr>
            <w:tcW w:w="3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209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370</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976</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100,442</w:t>
            </w: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Weighted average coupon as of December 31, 2019</w:t>
            </w:r>
          </w:p>
        </w:tc>
        <w:tc>
          <w:tcPr>
            <w:tcW w:w="1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4.05%</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3.68%</w:t>
            </w:r>
          </w:p>
        </w:tc>
        <w:tc>
          <w:tcPr>
            <w:tcW w:w="0" w:type="dxa"/>
            <w:vAlign w:val="bottom"/>
          </w:tcPr>
          <w:p>
            <w:pPr>
              <w:spacing w:after="0"/>
              <w:rPr>
                <w:sz w:val="1"/>
                <w:szCs w:val="1"/>
                <w:color w:val="auto"/>
              </w:rPr>
            </w:pPr>
          </w:p>
        </w:tc>
      </w:tr>
      <w:tr>
        <w:trPr>
          <w:trHeight w:val="254"/>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 xml:space="preserve">Weighted average yield as of December 31, 2019 </w:t>
            </w:r>
            <w:r>
              <w:rPr>
                <w:rFonts w:ascii="Arial" w:cs="Arial" w:eastAsia="Arial" w:hAnsi="Arial"/>
                <w:sz w:val="8"/>
                <w:szCs w:val="8"/>
                <w:color w:val="auto"/>
              </w:rPr>
              <w:t>1</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3.03%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3.09%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4.39%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4.05%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3.07%</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10.8% based on forward rates as of December 31, 2019.</w:t>
      </w: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0"/>
              </w:rPr>
              <w:t>December 31, 2018</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Agency RMBS</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5"/>
          </w:tcPr>
          <w:p>
            <w:pPr>
              <w:jc w:val="right"/>
              <w:ind w:right="516"/>
              <w:spacing w:after="0"/>
              <w:rPr>
                <w:sz w:val="20"/>
                <w:szCs w:val="20"/>
                <w:color w:val="auto"/>
              </w:rPr>
            </w:pPr>
            <w:r>
              <w:rPr>
                <w:rFonts w:ascii="Arial" w:cs="Arial" w:eastAsia="Arial" w:hAnsi="Arial"/>
                <w:sz w:val="14"/>
                <w:szCs w:val="14"/>
                <w:b w:val="1"/>
                <w:bCs w:val="1"/>
                <w:color w:val="auto"/>
              </w:rPr>
              <w:t>Non-Agency</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Fannie</w:t>
            </w: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4"/>
                <w:szCs w:val="14"/>
                <w:b w:val="1"/>
                <w:bCs w:val="1"/>
                <w:color w:val="auto"/>
              </w:rPr>
              <w:t>Freddie Mac</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Ginnie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RMBS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CMBS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CRT</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Mae</w:t>
            </w:r>
          </w:p>
        </w:tc>
        <w:tc>
          <w:tcPr>
            <w:tcW w:w="100" w:type="dxa"/>
            <w:vAlign w:val="bottom"/>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Mae</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Available-for-sale securities:</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Par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17,591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5,673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25</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23,295</w:t>
            </w: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Unamortized discount</w:t>
            </w:r>
          </w:p>
        </w:tc>
        <w:tc>
          <w:tcPr>
            <w:tcW w:w="14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Unamortized premium</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912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343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1,255</w:t>
            </w:r>
          </w:p>
        </w:tc>
        <w:tc>
          <w:tcPr>
            <w:tcW w:w="0" w:type="dxa"/>
            <w:vAlign w:val="bottom"/>
          </w:tcPr>
          <w:p>
            <w:pPr>
              <w:spacing w:after="0"/>
              <w:rPr>
                <w:sz w:val="1"/>
                <w:szCs w:val="1"/>
                <w:color w:val="auto"/>
              </w:rPr>
            </w:pPr>
          </w:p>
        </w:tc>
      </w:tr>
      <w:tr>
        <w:trPr>
          <w:trHeight w:val="249"/>
        </w:trPr>
        <w:tc>
          <w:tcPr>
            <w:tcW w:w="4280" w:type="dxa"/>
            <w:vAlign w:val="bottom"/>
            <w:gridSpan w:val="2"/>
          </w:tcPr>
          <w:p>
            <w:pPr>
              <w:ind w:left="240"/>
              <w:spacing w:after="0"/>
              <w:rPr>
                <w:sz w:val="20"/>
                <w:szCs w:val="20"/>
                <w:color w:val="auto"/>
              </w:rPr>
            </w:pPr>
            <w:r>
              <w:rPr>
                <w:rFonts w:ascii="Arial" w:cs="Arial" w:eastAsia="Arial" w:hAnsi="Arial"/>
                <w:sz w:val="13"/>
                <w:szCs w:val="13"/>
                <w:color w:val="auto"/>
              </w:rPr>
              <w:t>Amortized cost</w:t>
            </w:r>
          </w:p>
        </w:tc>
        <w:tc>
          <w:tcPr>
            <w:tcW w:w="14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18,493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6,014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25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24,538</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Gross unrealized gains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3"/>
                <w:szCs w:val="13"/>
                <w:color w:val="auto"/>
              </w:rPr>
              <w:t>Gross unrealized losses</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(686)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(264)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(950)</w:t>
            </w:r>
          </w:p>
        </w:tc>
        <w:tc>
          <w:tcPr>
            <w:tcW w:w="0" w:type="dxa"/>
            <w:vAlign w:val="bottom"/>
          </w:tcPr>
          <w:p>
            <w:pPr>
              <w:spacing w:after="0"/>
              <w:rPr>
                <w:sz w:val="1"/>
                <w:szCs w:val="1"/>
                <w:color w:val="auto"/>
              </w:rPr>
            </w:pPr>
          </w:p>
        </w:tc>
      </w:tr>
      <w:tr>
        <w:trPr>
          <w:trHeight w:val="257"/>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available-for-sale securities, at fair value</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17,811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5,752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26</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23,595</w:t>
            </w:r>
          </w:p>
        </w:tc>
        <w:tc>
          <w:tcPr>
            <w:tcW w:w="0" w:type="dxa"/>
            <w:vAlign w:val="bottom"/>
          </w:tcPr>
          <w:p>
            <w:pPr>
              <w:spacing w:after="0"/>
              <w:rPr>
                <w:sz w:val="1"/>
                <w:szCs w:val="1"/>
                <w:color w:val="auto"/>
              </w:rPr>
            </w:pPr>
          </w:p>
        </w:tc>
      </w:tr>
      <w:tr>
        <w:trPr>
          <w:trHeight w:val="256"/>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Securities remeasured at fair value through earnings:</w:t>
            </w:r>
          </w:p>
        </w:tc>
        <w:tc>
          <w:tcPr>
            <w:tcW w:w="1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Par value</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39,453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18,428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268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281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59,398</w:t>
            </w:r>
          </w:p>
        </w:tc>
        <w:tc>
          <w:tcPr>
            <w:tcW w:w="0" w:type="dxa"/>
            <w:vAlign w:val="bottom"/>
          </w:tcPr>
          <w:p>
            <w:pPr>
              <w:spacing w:after="0"/>
              <w:rPr>
                <w:sz w:val="1"/>
                <w:szCs w:val="1"/>
                <w:color w:val="auto"/>
              </w:rPr>
            </w:pPr>
          </w:p>
        </w:tc>
      </w:tr>
      <w:tr>
        <w:trPr>
          <w:trHeight w:val="262"/>
        </w:trPr>
        <w:tc>
          <w:tcPr>
            <w:tcW w:w="4280" w:type="dxa"/>
            <w:vAlign w:val="bottom"/>
            <w:gridSpan w:val="2"/>
          </w:tcPr>
          <w:p>
            <w:pPr>
              <w:ind w:left="240"/>
              <w:spacing w:after="0"/>
              <w:rPr>
                <w:sz w:val="20"/>
                <w:szCs w:val="20"/>
                <w:color w:val="auto"/>
              </w:rPr>
            </w:pPr>
            <w:r>
              <w:rPr>
                <w:rFonts w:ascii="Arial" w:cs="Arial" w:eastAsia="Arial" w:hAnsi="Arial"/>
                <w:sz w:val="13"/>
                <w:szCs w:val="13"/>
                <w:color w:val="auto"/>
              </w:rPr>
              <w:t>Unamortized discount</w:t>
            </w:r>
          </w:p>
        </w:tc>
        <w:tc>
          <w:tcPr>
            <w:tcW w:w="14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Unamortized premium</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1,055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638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1,736</w:t>
            </w:r>
          </w:p>
        </w:tc>
        <w:tc>
          <w:tcPr>
            <w:tcW w:w="0" w:type="dxa"/>
            <w:vAlign w:val="bottom"/>
          </w:tcPr>
          <w:p>
            <w:pPr>
              <w:spacing w:after="0"/>
              <w:rPr>
                <w:sz w:val="1"/>
                <w:szCs w:val="1"/>
                <w:color w:val="auto"/>
              </w:rPr>
            </w:pPr>
          </w:p>
        </w:tc>
      </w:tr>
      <w:tr>
        <w:trPr>
          <w:trHeight w:val="249"/>
        </w:trPr>
        <w:tc>
          <w:tcPr>
            <w:tcW w:w="4280" w:type="dxa"/>
            <w:vAlign w:val="bottom"/>
            <w:gridSpan w:val="2"/>
          </w:tcPr>
          <w:p>
            <w:pPr>
              <w:ind w:left="240"/>
              <w:spacing w:after="0"/>
              <w:rPr>
                <w:sz w:val="20"/>
                <w:szCs w:val="20"/>
                <w:color w:val="auto"/>
              </w:rPr>
            </w:pPr>
            <w:r>
              <w:rPr>
                <w:rFonts w:ascii="Arial" w:cs="Arial" w:eastAsia="Arial" w:hAnsi="Arial"/>
                <w:sz w:val="13"/>
                <w:szCs w:val="13"/>
                <w:color w:val="auto"/>
              </w:rPr>
              <w:t>Amortized cost</w:t>
            </w: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40,430</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19,057</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258</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280</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1,006</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61,031</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Gross unrealized gains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223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303</w:t>
            </w:r>
          </w:p>
        </w:tc>
        <w:tc>
          <w:tcPr>
            <w:tcW w:w="0" w:type="dxa"/>
            <w:vAlign w:val="bottom"/>
          </w:tcPr>
          <w:p>
            <w:pPr>
              <w:spacing w:after="0"/>
              <w:rPr>
                <w:sz w:val="1"/>
                <w:szCs w:val="1"/>
                <w:color w:val="auto"/>
              </w:rPr>
            </w:pPr>
          </w:p>
        </w:tc>
      </w:tr>
      <w:tr>
        <w:trPr>
          <w:trHeight w:val="264"/>
        </w:trPr>
        <w:tc>
          <w:tcPr>
            <w:tcW w:w="4280" w:type="dxa"/>
            <w:vAlign w:val="bottom"/>
            <w:gridSpan w:val="2"/>
          </w:tcPr>
          <w:p>
            <w:pPr>
              <w:ind w:left="240"/>
              <w:spacing w:after="0"/>
              <w:rPr>
                <w:sz w:val="20"/>
                <w:szCs w:val="20"/>
                <w:color w:val="auto"/>
              </w:rPr>
            </w:pPr>
            <w:r>
              <w:rPr>
                <w:rFonts w:ascii="Arial" w:cs="Arial" w:eastAsia="Arial" w:hAnsi="Arial"/>
                <w:sz w:val="13"/>
                <w:szCs w:val="13"/>
                <w:color w:val="auto"/>
              </w:rPr>
              <w:t>Gross unrealized losses</w:t>
            </w:r>
          </w:p>
        </w:tc>
        <w:tc>
          <w:tcPr>
            <w:tcW w:w="14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(386)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(243)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(642)</w:t>
            </w:r>
          </w:p>
        </w:tc>
        <w:tc>
          <w:tcPr>
            <w:tcW w:w="0" w:type="dxa"/>
            <w:vAlign w:val="bottom"/>
          </w:tcPr>
          <w:p>
            <w:pPr>
              <w:spacing w:after="0"/>
              <w:rPr>
                <w:sz w:val="1"/>
                <w:szCs w:val="1"/>
                <w:color w:val="auto"/>
              </w:rPr>
            </w:pPr>
          </w:p>
        </w:tc>
      </w:tr>
      <w:tr>
        <w:trPr>
          <w:trHeight w:val="250"/>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securities remeasured at fair value through earnings</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40,267</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18,871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260</w:t>
            </w: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282</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1,012</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60,692</w:t>
            </w:r>
          </w:p>
        </w:tc>
        <w:tc>
          <w:tcPr>
            <w:tcW w:w="0" w:type="dxa"/>
            <w:vAlign w:val="bottom"/>
          </w:tcPr>
          <w:p>
            <w:pPr>
              <w:spacing w:after="0"/>
              <w:rPr>
                <w:sz w:val="1"/>
                <w:szCs w:val="1"/>
                <w:color w:val="auto"/>
              </w:rPr>
            </w:pPr>
          </w:p>
        </w:tc>
      </w:tr>
      <w:tr>
        <w:trPr>
          <w:trHeight w:val="282"/>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Total securities, at fair value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58,078</w:t>
            </w:r>
          </w:p>
        </w:tc>
        <w:tc>
          <w:tcPr>
            <w:tcW w:w="1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24,623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26</w:t>
            </w:r>
          </w:p>
        </w:tc>
        <w:tc>
          <w:tcPr>
            <w:tcW w:w="3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266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282</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1,012</w:t>
            </w:r>
          </w:p>
        </w:tc>
        <w:tc>
          <w:tcPr>
            <w:tcW w:w="120" w:type="dxa"/>
            <w:vAlign w:val="bottom"/>
          </w:tcPr>
          <w:p>
            <w:pPr>
              <w:spacing w:after="0"/>
              <w:rPr>
                <w:sz w:val="24"/>
                <w:szCs w:val="2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84,287</w:t>
            </w: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Weighted average coupon as of December 31, 2018</w:t>
            </w: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3.37%</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3.86%</w:t>
            </w:r>
          </w:p>
        </w:tc>
        <w:tc>
          <w:tcPr>
            <w:tcW w:w="0" w:type="dxa"/>
            <w:vAlign w:val="bottom"/>
          </w:tcPr>
          <w:p>
            <w:pPr>
              <w:spacing w:after="0"/>
              <w:rPr>
                <w:sz w:val="1"/>
                <w:szCs w:val="1"/>
                <w:color w:val="auto"/>
              </w:rPr>
            </w:pPr>
          </w:p>
        </w:tc>
      </w:tr>
      <w:tr>
        <w:trPr>
          <w:trHeight w:val="254"/>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 xml:space="preserve">Weighted average yield as of December 31, 2018 </w:t>
            </w:r>
            <w:r>
              <w:rPr>
                <w:rFonts w:ascii="Arial" w:cs="Arial" w:eastAsia="Arial" w:hAnsi="Arial"/>
                <w:sz w:val="8"/>
                <w:szCs w:val="8"/>
                <w:color w:val="auto"/>
              </w:rPr>
              <w:t>1</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3.31%</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7.9% based on forward rates as of December 31, 2018.</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860" w:right="259" w:bottom="1440" w:gutter="0" w:footer="0" w:header="0"/>
        </w:sectPr>
      </w:pPr>
    </w:p>
    <w:bookmarkStart w:id="66" w:name="page67"/>
    <w:bookmarkEnd w:id="66"/>
    <w:p>
      <w:pPr>
        <w:ind w:left="440"/>
        <w:spacing w:after="0"/>
        <w:rPr>
          <w:sz w:val="20"/>
          <w:szCs w:val="20"/>
          <w:color w:val="auto"/>
        </w:rPr>
      </w:pPr>
      <w:r>
        <w:rPr>
          <w:rFonts w:ascii="Arial" w:cs="Arial" w:eastAsia="Arial" w:hAnsi="Arial"/>
          <w:sz w:val="18"/>
          <w:szCs w:val="18"/>
          <w:color w:val="auto"/>
        </w:rPr>
        <w:t>As of December 31, 2019 and 2018, our investments in CRT and non-Agency securities had the following credit ratings: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9"/>
              </w:rPr>
              <w:t>December 31, 2019</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December 31, 2018</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CRT and Non-Agency Security Credit Ratings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CMBS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CMBS</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AAA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AA</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BBB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BB</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453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 Rated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976</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1,012</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40"/>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20" w:hanging="328"/>
        <w:spacing w:after="0" w:line="255" w:lineRule="auto"/>
        <w:tabs>
          <w:tab w:leader="none" w:pos="6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the lowest of Standard and Poor's ("S&amp;P"), Moody's, Fitch, DBRS, Kroll Bond Rating Agency ("KBRA") and Morningstar credit ratings, stated in terms of the S&amp;P equivalent rating as of each date.</w:t>
      </w:r>
    </w:p>
    <w:p>
      <w:pPr>
        <w:spacing w:after="0" w:line="13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CRT securities reference the performance of loans underlying Agency RMBS issued by Fannie Mae or Freddie Mac, which were subject to their underwriting standards.</w:t>
      </w:r>
    </w:p>
    <w:p>
      <w:pPr>
        <w:spacing w:after="0" w:line="11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actual maturities of our investment securities are generally shorter than their stated contractual maturities. The actual maturities of our Agency and high credit quality non-Agency RMBS are primarily affected by principal prepayments and to a lesser degree the contractual lives of the underlying mortgages and periodic contractual principal repayments. The actual maturities of our credit-oriented investments are primarily impacted by their contractual lives and default and loss recovery rates. As of December 31, 2019 and 2018, the weighted average expected constant prepayment rate ("CPR") over the remaining life of our Agency and high credit quality non-Agency RMBS investment portfolio was 10.8% and 7.9%, respectively. Our estimates can differ materially for different securities and thus our individual holdings have a wide range of projected CPRs. The following table summarizes our investments as of December 31, 2019 and 2018 according to their estimated weighted average life classification (dollars in millions):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December 31, 2019</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December 31, 2018</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Estimated Weighted Average Life of</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1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Coupon</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Coupon</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25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3 years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2,654</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3.54%</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2.61%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3.99%</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2.64%</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&gt; 3 years and ≤ 5 years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10,822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10,563</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3.85%</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3.20%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5,518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5,586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3.35%</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2.73%</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&gt; 5 years and ≤10 years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86,492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85,002</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3.67%</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3.07%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72,503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73,588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3.92%</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3.37%</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&gt; 10 years</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451</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3.31%</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3.06%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4,576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4,679</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3.57%</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3.30%</w:t>
            </w:r>
          </w:p>
        </w:tc>
        <w:tc>
          <w:tcPr>
            <w:tcW w:w="0" w:type="dxa"/>
            <w:vAlign w:val="bottom"/>
          </w:tcPr>
          <w:p>
            <w:pPr>
              <w:spacing w:after="0"/>
              <w:rPr>
                <w:sz w:val="1"/>
                <w:szCs w:val="1"/>
                <w:color w:val="auto"/>
              </w:rPr>
            </w:pPr>
          </w:p>
        </w:tc>
      </w:tr>
      <w:tr>
        <w:trPr>
          <w:trHeight w:val="243"/>
        </w:trPr>
        <w:tc>
          <w:tcPr>
            <w:tcW w:w="28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100,442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98,670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84,287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85,569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3.31%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the gross unrealized loss and fair values of securities classified as available-for-sale by length of time that such securities have been in a continuous unrealized loss position as of December 31, 2019 and 2018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Unrealized Loss Position For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Securities Classified as Available-for-Sale</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1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3"/>
                <w:szCs w:val="13"/>
                <w:color w:val="auto"/>
              </w:rPr>
            </w:pPr>
          </w:p>
        </w:tc>
        <w:tc>
          <w:tcPr>
            <w:tcW w:w="78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w w:val="98"/>
              </w:rPr>
              <w:t>Unrealized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31, 2019</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6,984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8,637</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58"/>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December 31, 2018</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4,783</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18,231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(878)</w:t>
            </w:r>
          </w:p>
        </w:tc>
        <w:tc>
          <w:tcPr>
            <w:tcW w:w="120" w:type="dxa"/>
            <w:vAlign w:val="bottom"/>
          </w:tcPr>
          <w:p>
            <w:pPr>
              <w:spacing w:after="0"/>
              <w:rPr>
                <w:sz w:val="22"/>
                <w:szCs w:val="22"/>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23,014</w:t>
            </w:r>
          </w:p>
        </w:tc>
        <w:tc>
          <w:tcPr>
            <w:tcW w:w="3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We did not recognize OTTI charges on our investment securities classified as available-for-sale during the periods presented on our consolidated statements of operations. As of the end of each respective reporting period, a decision had not been made to sell securities in an unrealized loss position and we did not believe it was more likely than not that we would be required to sell such securities before recovery of their amortized cost basis.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Sale of Investment Securities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is a summary of our net gain (loss) from the sale of investment securities for fiscal years 2019, 2018 and 2017 by investment classification of accounting (in millions):</w:t>
      </w:r>
    </w:p>
    <w:p>
      <w:pPr>
        <w:sectPr>
          <w:pgSz w:w="11900" w:h="16838" w:orient="portrait"/>
          <w:cols w:equalWidth="0" w:num="1">
            <w:col w:w="11420"/>
          </w:cols>
          <w:pgMar w:left="240" w:top="719"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719" w:right="239" w:bottom="144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Fiscal Year 2019</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Fiscal Year 2018</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Fiscal Year 2017</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Available-for-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0"/>
              </w:rPr>
              <w:t>Fair Value</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1"/>
              </w:rPr>
              <w:t>Available-for-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0"/>
              </w:rPr>
              <w:t>Fair Value</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Available-for-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0"/>
              </w:rPr>
              <w:t>Fair Value</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0"/>
              <w:spacing w:after="0" w:line="135" w:lineRule="exact"/>
              <w:rPr>
                <w:sz w:val="20"/>
                <w:szCs w:val="20"/>
                <w:color w:val="auto"/>
              </w:rPr>
            </w:pPr>
            <w:r>
              <w:rPr>
                <w:rFonts w:ascii="Arial" w:cs="Arial" w:eastAsia="Arial" w:hAnsi="Arial"/>
                <w:sz w:val="13"/>
                <w:szCs w:val="13"/>
                <w:b w:val="1"/>
                <w:bCs w:val="1"/>
                <w:color w:val="auto"/>
                <w:w w:val="82"/>
              </w:rPr>
              <w:t>Sale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Option</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10"/>
              <w:spacing w:after="0" w:line="135" w:lineRule="exact"/>
              <w:rPr>
                <w:sz w:val="20"/>
                <w:szCs w:val="20"/>
                <w:color w:val="auto"/>
              </w:rPr>
            </w:pPr>
            <w:r>
              <w:rPr>
                <w:rFonts w:ascii="Arial" w:cs="Arial" w:eastAsia="Arial" w:hAnsi="Arial"/>
                <w:sz w:val="13"/>
                <w:szCs w:val="13"/>
                <w:b w:val="1"/>
                <w:bCs w:val="1"/>
                <w:color w:val="auto"/>
                <w:w w:val="89"/>
              </w:rPr>
              <w:t>Sale</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Option</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82"/>
              </w:rPr>
              <w:t>Sale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Option</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Investment Securities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85"/>
              </w:rPr>
              <w:t xml:space="preserve">Securities </w:t>
            </w:r>
            <w:r>
              <w:rPr>
                <w:rFonts w:ascii="Arial" w:cs="Arial" w:eastAsia="Arial" w:hAnsi="Arial"/>
                <w:sz w:val="8"/>
                <w:szCs w:val="8"/>
                <w:b w:val="1"/>
                <w:bCs w:val="1"/>
                <w:color w:val="auto"/>
                <w:w w:val="85"/>
              </w:rPr>
              <w:t>2</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83"/>
              </w:rPr>
              <w:t>Securities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Total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5"/>
              </w:rPr>
              <w:t xml:space="preserve">Securities </w:t>
            </w:r>
            <w:r>
              <w:rPr>
                <w:rFonts w:ascii="Arial" w:cs="Arial" w:eastAsia="Arial" w:hAnsi="Arial"/>
                <w:sz w:val="8"/>
                <w:szCs w:val="8"/>
                <w:b w:val="1"/>
                <w:bCs w:val="1"/>
                <w:color w:val="auto"/>
                <w:w w:val="85"/>
              </w:rPr>
              <w:t>2</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83"/>
              </w:rPr>
              <w:t>Securities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85"/>
              </w:rPr>
              <w:t xml:space="preserve">Securities </w:t>
            </w:r>
            <w:r>
              <w:rPr>
                <w:rFonts w:ascii="Arial" w:cs="Arial" w:eastAsia="Arial" w:hAnsi="Arial"/>
                <w:sz w:val="8"/>
                <w:szCs w:val="8"/>
                <w:b w:val="1"/>
                <w:bCs w:val="1"/>
                <w:color w:val="auto"/>
                <w:w w:val="85"/>
              </w:rPr>
              <w:t>2</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83"/>
              </w:rPr>
              <w:t>Securities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Investment securities sold, at cost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(23,040)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(23,772)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(4,306)</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(19,237)</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w w:val="97"/>
              </w:rPr>
              <w:t xml:space="preserve">Proceeds from investment securities sold </w:t>
            </w:r>
            <w:r>
              <w:rPr>
                <w:rFonts w:ascii="Arial" w:cs="Arial" w:eastAsia="Arial" w:hAnsi="Arial"/>
                <w:sz w:val="8"/>
                <w:szCs w:val="8"/>
                <w:color w:val="auto"/>
                <w:w w:val="97"/>
              </w:rPr>
              <w:t>1</w:t>
            </w: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723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23,437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24,160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4,227</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5,286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9,513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6,241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12,933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19,174</w:t>
            </w:r>
          </w:p>
        </w:tc>
        <w:tc>
          <w:tcPr>
            <w:tcW w:w="0" w:type="dxa"/>
            <w:vAlign w:val="bottom"/>
          </w:tcPr>
          <w:p>
            <w:pPr>
              <w:spacing w:after="0"/>
              <w:rPr>
                <w:sz w:val="1"/>
                <w:szCs w:val="1"/>
                <w:color w:val="auto"/>
              </w:rPr>
            </w:pPr>
          </w:p>
        </w:tc>
      </w:tr>
      <w:tr>
        <w:trPr>
          <w:trHeight w:val="143"/>
        </w:trPr>
        <w:tc>
          <w:tcPr>
            <w:tcW w:w="2640" w:type="dxa"/>
            <w:vAlign w:val="bottom"/>
            <w:gridSpan w:val="2"/>
            <w:shd w:val="clear" w:color="auto" w:fill="CCEEFF"/>
          </w:tcPr>
          <w:p>
            <w:pPr>
              <w:ind w:left="40"/>
              <w:spacing w:after="0" w:line="143" w:lineRule="exact"/>
              <w:rPr>
                <w:sz w:val="20"/>
                <w:szCs w:val="20"/>
                <w:color w:val="auto"/>
              </w:rPr>
            </w:pPr>
            <w:r>
              <w:rPr>
                <w:rFonts w:ascii="Arial" w:cs="Arial" w:eastAsia="Arial" w:hAnsi="Arial"/>
                <w:sz w:val="14"/>
                <w:szCs w:val="14"/>
                <w:color w:val="auto"/>
              </w:rPr>
              <w:t>Net gain (loss) on sale of investment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(9)</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397</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388</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3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1"/>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securities</w:t>
            </w:r>
          </w:p>
        </w:tc>
        <w:tc>
          <w:tcPr>
            <w:tcW w:w="14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300" w:type="dxa"/>
            <w:vAlign w:val="bottom"/>
            <w:gridSpan w:val="3"/>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264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Gross gain on sale of investment</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401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w w:val="97"/>
              </w:rPr>
              <w:t>Gross loss on sale of investment securities</w:t>
            </w: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43"/>
        </w:trPr>
        <w:tc>
          <w:tcPr>
            <w:tcW w:w="2640" w:type="dxa"/>
            <w:vAlign w:val="bottom"/>
            <w:gridSpan w:val="2"/>
            <w:shd w:val="clear" w:color="auto" w:fill="CCEEFF"/>
          </w:tcPr>
          <w:p>
            <w:pPr>
              <w:ind w:left="40"/>
              <w:spacing w:after="0" w:line="143" w:lineRule="exact"/>
              <w:rPr>
                <w:sz w:val="20"/>
                <w:szCs w:val="20"/>
                <w:color w:val="auto"/>
              </w:rPr>
            </w:pPr>
            <w:r>
              <w:rPr>
                <w:rFonts w:ascii="Arial" w:cs="Arial" w:eastAsia="Arial" w:hAnsi="Arial"/>
                <w:sz w:val="14"/>
                <w:szCs w:val="14"/>
                <w:color w:val="auto"/>
              </w:rPr>
              <w:t>Net gain (loss) on sale of investment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(9)</w:t>
            </w:r>
          </w:p>
        </w:tc>
        <w:tc>
          <w:tcPr>
            <w:tcW w:w="120" w:type="dxa"/>
            <w:vAlign w:val="bottom"/>
            <w:vMerge w:val="restart"/>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397</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388</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40" w:type="dxa"/>
            <w:vAlign w:val="bottom"/>
            <w:vMerge w:val="restart"/>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20" w:type="dxa"/>
            <w:vAlign w:val="bottom"/>
            <w:vMerge w:val="restart"/>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1"/>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securities</w:t>
            </w: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8890</wp:posOffset>
            </wp:positionV>
            <wp:extent cx="55740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investment securities sold during the period as of period end.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See Note 9 for a summary of changes in accumulated OCI.</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Repurchase Agreements and Reverse Repurchase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7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pledge our securities as collateral under our borrowings structured as repurchase agreements with financial institutions.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December 31, 2019, we had met all margin call requirements. For additional information regarding our pledged assets, please refer to Note 6.</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December 31, 2019 and 2018, we had $89.2 billion and $75.7 billion, respectively, of repurchase agreements outstanding used to fund our investment portfolio and temporary holdings of U.S. Treasury securities. The terms and conditions of our repurchase agreements are typically negotiated on a transaction-by-transaction basis. Our repurchase agreements with original maturities greater than one year have floating interest rates based on an index plus or minus a fixed spread. The following table summarizes our borrowings under repurchase agreements by their remaining maturities as of December 31, 2019 and 2018 (dollars in millions):</w:t>
      </w:r>
    </w:p>
    <w:p>
      <w:pPr>
        <w:spacing w:after="0" w:line="355"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2019</w:t>
            </w:r>
          </w:p>
        </w:tc>
        <w:tc>
          <w:tcPr>
            <w:tcW w:w="124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2018</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6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Remaining Maturity</w:t>
            </w:r>
          </w:p>
        </w:tc>
        <w:tc>
          <w:tcPr>
            <w:tcW w:w="46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Interest</w:t>
            </w: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Agency repo:</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160"/>
              <w:spacing w:after="0"/>
              <w:rPr>
                <w:sz w:val="20"/>
                <w:szCs w:val="20"/>
                <w:color w:val="auto"/>
              </w:rPr>
            </w:pPr>
            <w:r>
              <w:rPr>
                <w:rFonts w:ascii="Arial" w:cs="Arial" w:eastAsia="Arial" w:hAnsi="Arial"/>
                <w:sz w:val="16"/>
                <w:szCs w:val="16"/>
                <w:color w:val="auto"/>
              </w:rPr>
              <w:t>≤ 1 month</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56,664</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4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48,533</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&gt; 1 to ≤ 3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20,761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53</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20,991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60"/>
              <w:spacing w:after="0"/>
              <w:rPr>
                <w:sz w:val="20"/>
                <w:szCs w:val="20"/>
                <w:color w:val="auto"/>
              </w:rPr>
            </w:pPr>
            <w:r>
              <w:rPr>
                <w:rFonts w:ascii="Arial" w:cs="Arial" w:eastAsia="Arial" w:hAnsi="Arial"/>
                <w:sz w:val="16"/>
                <w:szCs w:val="16"/>
                <w:color w:val="auto"/>
              </w:rPr>
              <w:t>&gt; 3 to ≤ 6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5,683</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2,218</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&gt; 6 to ≤ 9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182</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60"/>
              <w:spacing w:after="0"/>
              <w:rPr>
                <w:sz w:val="20"/>
                <w:szCs w:val="20"/>
                <w:color w:val="auto"/>
              </w:rPr>
            </w:pPr>
            <w:r>
              <w:rPr>
                <w:rFonts w:ascii="Arial" w:cs="Arial" w:eastAsia="Arial" w:hAnsi="Arial"/>
                <w:sz w:val="16"/>
                <w:szCs w:val="16"/>
                <w:color w:val="auto"/>
              </w:rPr>
              <w:t>&gt; 9 to ≤ 12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2,152</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351</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&gt; 12 to ≤ 24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411</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60"/>
              <w:spacing w:after="0"/>
              <w:rPr>
                <w:sz w:val="20"/>
                <w:szCs w:val="20"/>
                <w:color w:val="auto"/>
              </w:rPr>
            </w:pPr>
            <w:r>
              <w:rPr>
                <w:rFonts w:ascii="Arial" w:cs="Arial" w:eastAsia="Arial" w:hAnsi="Arial"/>
                <w:sz w:val="16"/>
                <w:szCs w:val="16"/>
                <w:color w:val="auto"/>
              </w:rPr>
              <w:t>&gt; 24 to ≤ 36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1,700</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833</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Agency repo</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89,085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75,717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1"/>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U.S. Treasury repo:</w:t>
            </w: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&gt; 1 day to ≤ 1 month</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4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89,182</w:t>
            </w:r>
          </w:p>
        </w:tc>
        <w:tc>
          <w:tcPr>
            <w:tcW w:w="12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55</w:t>
            </w:r>
          </w:p>
        </w:tc>
        <w:tc>
          <w:tcPr>
            <w:tcW w:w="4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75,717</w:t>
            </w:r>
          </w:p>
        </w:tc>
        <w:tc>
          <w:tcPr>
            <w:tcW w:w="10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779" w:right="239" w:bottom="1440" w:gutter="0" w:footer="0" w:header="0"/>
        </w:sectPr>
      </w:pPr>
    </w:p>
    <w:bookmarkStart w:id="68" w:name="page69"/>
    <w:bookmarkEnd w:id="68"/>
    <w:p>
      <w:pPr>
        <w:jc w:val="both"/>
        <w:ind w:firstLine="405"/>
        <w:spacing w:after="0" w:line="271" w:lineRule="auto"/>
        <w:rPr>
          <w:sz w:val="20"/>
          <w:szCs w:val="20"/>
          <w:color w:val="auto"/>
        </w:rPr>
      </w:pPr>
      <w:r>
        <w:rPr>
          <w:rFonts w:ascii="Arial" w:cs="Arial" w:eastAsia="Arial" w:hAnsi="Arial"/>
          <w:sz w:val="17"/>
          <w:szCs w:val="17"/>
          <w:color w:val="auto"/>
        </w:rPr>
        <w:t>As of December 31, 2019 and 2018, $17.0 billion and $19.5 billion, respectively, of our repurchase agreements had a remaining maturity of one business day and none of our repurchase agreements were due on demand. As of December 31, 2019, we had $4.5 billion of forward commitments to enter into repurchase agreements, with a weighted average forward start date of 12 days and a weighted average interest rate of 1.60%. As of 2018 we had $10.7 billion of forward commitments to enter into repurchase agreements, with a weighted average forward start date of 9 days and a weighted average interest rate of 2.90%. As of December 31, 2019 and 2018, 40% and 35%,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38% and 33% of our repurchase agreement funding outstanding as of December 31, 2019 and 2018,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December 31, 2019 and 2018, we had $10.2 billion and $21.8 billion, respectively, of reverse repurchase agreements outstanding used primarily to borrow securities to cover short sales of U.S. Treasury securities, for which we had associated obligations to return borrowed securities at fair value of $9.5 billion and $21.4 billion, respectively. As of December 31, 2019 and 2018, $5.4 billion and $4.5 billion, respectively, of our reverse repurchase agreements were with the FICC sourced through BES.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Derivative and Other Hedging Instruments</w:t>
      </w:r>
    </w:p>
    <w:p>
      <w:pPr>
        <w:spacing w:after="0" w:line="17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hedge a portion of our interest rate risk primarily utilizing interest rate swaps, interest rate swaptions, U.S. Treasury securities and U.S. Treasury futures contracts. We utilize TBA securities primarily as a means of investing in the Agency securities market. For additional information regarding our derivative instruments and our overall risk management strategy, please refer to the discussion of derivative and other hedging instruments in Note 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and Other Hedging Instrument Assets (Liabilities), at Fair Value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table below summarizes fair value information about our derivative and other hedging instrument assets/(liabilities) as of December 31,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tcBorders>
              <w:bottom w:val="single" w:sz="8" w:color="CCEEFF"/>
            </w:tcBorders>
          </w:tcPr>
          <w:p>
            <w:pPr>
              <w:spacing w:after="0"/>
              <w:rPr>
                <w:sz w:val="22"/>
                <w:szCs w:val="22"/>
                <w:color w:val="auto"/>
              </w:rPr>
            </w:pPr>
          </w:p>
        </w:tc>
        <w:tc>
          <w:tcPr>
            <w:tcW w:w="422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r>
      <w:tr>
        <w:trPr>
          <w:trHeight w:val="236"/>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rate swaps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126</w:t>
            </w: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Swaptions</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37</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securities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w:t>
            </w: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U.S. Treasury futures - short</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derivative assets, at fair value</w:t>
            </w:r>
          </w:p>
        </w:tc>
        <w:tc>
          <w:tcPr>
            <w:tcW w:w="4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273</w:t>
            </w: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84"/>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rate swaps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 at fair value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TBA securities</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Derivative liabilities, at fair value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futures - short</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 at fair value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84"/>
        </w:trPr>
        <w:tc>
          <w:tcPr>
            <w:tcW w:w="44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Total derivative liabilities, at fair value</w:t>
            </w:r>
          </w:p>
        </w:tc>
        <w:tc>
          <w:tcPr>
            <w:tcW w:w="4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w:t>
            </w:r>
          </w:p>
        </w:tc>
      </w:tr>
      <w:tr>
        <w:trPr>
          <w:trHeight w:val="284"/>
        </w:trPr>
        <w:tc>
          <w:tcPr>
            <w:tcW w:w="4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long</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at fair value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46</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0"/>
        </w:trPr>
        <w:tc>
          <w:tcPr>
            <w:tcW w:w="4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Obligation to return securities borrowed under reverse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9"/>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short</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repurchase agreements, at fair value</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(9,543)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(21,431)</w:t>
            </w:r>
          </w:p>
        </w:tc>
      </w:tr>
      <w:tr>
        <w:trPr>
          <w:trHeight w:val="244"/>
        </w:trPr>
        <w:tc>
          <w:tcPr>
            <w:tcW w:w="4480" w:type="dxa"/>
            <w:vAlign w:val="bottom"/>
            <w:gridSpan w:val="2"/>
          </w:tcPr>
          <w:p>
            <w:pPr>
              <w:ind w:left="200"/>
              <w:spacing w:after="0"/>
              <w:rPr>
                <w:sz w:val="20"/>
                <w:szCs w:val="20"/>
                <w:color w:val="auto"/>
              </w:rPr>
            </w:pPr>
            <w:r>
              <w:rPr>
                <w:rFonts w:ascii="Arial" w:cs="Arial" w:eastAsia="Arial" w:hAnsi="Arial"/>
                <w:sz w:val="16"/>
                <w:szCs w:val="16"/>
                <w:color w:val="auto"/>
              </w:rPr>
              <w:t>Total U.S. Treasury securities, net at fair value</w:t>
            </w:r>
          </w:p>
        </w:tc>
        <w:tc>
          <w:tcPr>
            <w:tcW w:w="4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(9,446)</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(21,385)</w:t>
            </w: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719" w:right="239" w:bottom="1440" w:gutter="0" w:footer="0" w:header="0"/>
        </w:sectPr>
      </w:pPr>
    </w:p>
    <w:bookmarkStart w:id="69" w:name="page70"/>
    <w:bookmarkEnd w:id="69"/>
    <w:p>
      <w:pPr>
        <w:ind w:left="60" w:firstLine="405"/>
        <w:spacing w:after="0" w:line="277" w:lineRule="auto"/>
        <w:rPr>
          <w:sz w:val="20"/>
          <w:szCs w:val="20"/>
          <w:color w:val="auto"/>
        </w:rPr>
      </w:pPr>
      <w:r>
        <w:rPr>
          <w:rFonts w:ascii="Arial" w:cs="Arial" w:eastAsia="Arial" w:hAnsi="Arial"/>
          <w:sz w:val="18"/>
          <w:szCs w:val="18"/>
          <w:color w:val="auto"/>
        </w:rPr>
        <w:t>The following tables summarize certain characteristics of our derivative and other hedging instruments outstanding as of December 31, 2019 and 2018 (dollars in millions):</w:t>
      </w:r>
    </w:p>
    <w:p>
      <w:pPr>
        <w:spacing w:after="0" w:line="257"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December 31, 2019</w:t>
            </w:r>
          </w:p>
        </w:tc>
        <w:tc>
          <w:tcPr>
            <w:tcW w:w="10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December 31, 2018</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Pay Fixed / Receive Variable</w:t>
            </w:r>
          </w:p>
        </w:tc>
        <w:tc>
          <w:tcPr>
            <w:tcW w:w="18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Fixed Pay</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Receive</w:t>
            </w: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Fixed Pay</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Receive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Interest Rate Swaps</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7"/>
              </w:rPr>
              <w:t xml:space="preserve">Amount </w:t>
            </w:r>
            <w:r>
              <w:rPr>
                <w:rFonts w:ascii="Arial" w:cs="Arial" w:eastAsia="Arial" w:hAnsi="Arial"/>
                <w:sz w:val="8"/>
                <w:szCs w:val="8"/>
                <w:b w:val="1"/>
                <w:bCs w:val="1"/>
                <w:color w:val="auto"/>
                <w:w w:val="97"/>
              </w:rPr>
              <w:t>1</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Rate </w:t>
            </w:r>
            <w:r>
              <w:rPr>
                <w:rFonts w:ascii="Arial" w:cs="Arial" w:eastAsia="Arial" w:hAnsi="Arial"/>
                <w:sz w:val="8"/>
                <w:szCs w:val="8"/>
                <w:b w:val="1"/>
                <w:bCs w:val="1"/>
                <w:color w:val="auto"/>
                <w:w w:val="98"/>
              </w:rPr>
              <w:t>2</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36"/>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59,700</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1.30%</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1.58%</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19,900</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2.62%</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w:t>
            </w:r>
          </w:p>
        </w:tc>
        <w:tc>
          <w:tcPr>
            <w:tcW w:w="0" w:type="dxa"/>
            <w:vAlign w:val="bottom"/>
          </w:tcPr>
          <w:p>
            <w:pPr>
              <w:spacing w:after="0"/>
              <w:rPr>
                <w:sz w:val="1"/>
                <w:szCs w:val="1"/>
                <w:color w:val="auto"/>
              </w:rPr>
            </w:pPr>
          </w:p>
        </w:tc>
      </w:tr>
      <w:tr>
        <w:trPr>
          <w:trHeight w:val="237"/>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18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9,850</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1.17%</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1.55%</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3.8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8,425</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2.06%</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2.61%</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4.0</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5,650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6.4</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7,875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6.1</w:t>
            </w:r>
          </w:p>
        </w:tc>
        <w:tc>
          <w:tcPr>
            <w:tcW w:w="0" w:type="dxa"/>
            <w:vAlign w:val="bottom"/>
          </w:tcPr>
          <w:p>
            <w:pPr>
              <w:spacing w:after="0"/>
              <w:rPr>
                <w:sz w:val="1"/>
                <w:szCs w:val="1"/>
                <w:color w:val="auto"/>
              </w:rPr>
            </w:pPr>
          </w:p>
        </w:tc>
      </w:tr>
      <w:tr>
        <w:trPr>
          <w:trHeight w:val="237"/>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18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2,850</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1.36%</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1.58%</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10,550</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2.36%</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2.64%</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8.8</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1,025</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1.64%</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15.4</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4,875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2.63%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11.6</w:t>
            </w:r>
          </w:p>
        </w:tc>
        <w:tc>
          <w:tcPr>
            <w:tcW w:w="0" w:type="dxa"/>
            <w:vAlign w:val="bottom"/>
          </w:tcPr>
          <w:p>
            <w:pPr>
              <w:spacing w:after="0"/>
              <w:rPr>
                <w:sz w:val="1"/>
                <w:szCs w:val="1"/>
                <w:color w:val="auto"/>
              </w:rPr>
            </w:pPr>
          </w:p>
        </w:tc>
      </w:tr>
      <w:tr>
        <w:trPr>
          <w:trHeight w:val="244"/>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79,075</w:t>
            </w:r>
          </w:p>
        </w:tc>
        <w:tc>
          <w:tcPr>
            <w:tcW w:w="12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1.29%</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1.59%</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2.7</w:t>
            </w:r>
          </w:p>
        </w:tc>
        <w:tc>
          <w:tcPr>
            <w:tcW w:w="2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51,625</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2.11%</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2.63%</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5.0</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Notional amount as of December 31, 2018 includes forward starting swaps of $5.7 billion with an average forward start date of 0.5 years. There were no forward starting swaps outstanding as of December 31, 2019.</w:t>
      </w:r>
    </w:p>
    <w:p>
      <w:pPr>
        <w:ind w:left="660" w:hanging="328"/>
        <w:spacing w:after="0"/>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Average fixed pay rate as of December 31, 2018 includes forward starting swaps. Excluding forward starting swaps, the average fixed pay rate was 1.98% as of 2018.</w:t>
      </w:r>
    </w:p>
    <w:p>
      <w:pPr>
        <w:spacing w:after="0" w:line="216" w:lineRule="exact"/>
        <w:rPr>
          <w:sz w:val="20"/>
          <w:szCs w:val="20"/>
          <w:color w:val="auto"/>
        </w:rPr>
      </w:pPr>
    </w:p>
    <w:tbl>
      <w:tblPr>
        <w:tblLayout w:type="fixed"/>
        <w:tblInd w:w="2120" w:type="dxa"/>
        <w:tblCellMar>
          <w:top w:w="0" w:type="dxa"/>
          <w:left w:w="0" w:type="dxa"/>
          <w:bottom w:w="0" w:type="dxa"/>
          <w:right w:w="0" w:type="dxa"/>
        </w:tblCellMar>
      </w:tblPr>
      <w:tr>
        <w:trPr>
          <w:trHeight w:val="161"/>
        </w:trPr>
        <w:tc>
          <w:tcPr>
            <w:tcW w:w="39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Pay Fixed / Receive Variable Interest Rate Swaps by Receive</w:t>
            </w:r>
          </w:p>
        </w:tc>
        <w:tc>
          <w:tcPr>
            <w:tcW w:w="16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vMerge w:val="restart"/>
          </w:tcPr>
          <w:p>
            <w:pPr>
              <w:spacing w:after="0"/>
              <w:rPr>
                <w:sz w:val="14"/>
                <w:szCs w:val="14"/>
                <w:color w:val="auto"/>
              </w:rPr>
            </w:pPr>
          </w:p>
        </w:tc>
        <w:tc>
          <w:tcPr>
            <w:tcW w:w="15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Index (% of Notional Amount)</w:t>
            </w:r>
          </w:p>
        </w:tc>
        <w:tc>
          <w:tcPr>
            <w:tcW w:w="14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OIS</w:t>
            </w:r>
          </w:p>
        </w:tc>
        <w:tc>
          <w:tcPr>
            <w:tcW w:w="1600" w:type="dxa"/>
            <w:vAlign w:val="bottom"/>
          </w:tcPr>
          <w:p>
            <w:pPr>
              <w:jc w:val="right"/>
              <w:spacing w:after="0"/>
              <w:rPr>
                <w:sz w:val="20"/>
                <w:szCs w:val="20"/>
                <w:color w:val="auto"/>
              </w:rPr>
            </w:pPr>
            <w:r>
              <w:rPr>
                <w:rFonts w:ascii="Arial" w:cs="Arial" w:eastAsia="Arial" w:hAnsi="Arial"/>
                <w:sz w:val="16"/>
                <w:szCs w:val="16"/>
                <w:color w:val="auto"/>
              </w:rPr>
              <w:t>86%</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3M LIBOR</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37"/>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SOFR</w:t>
            </w:r>
          </w:p>
        </w:tc>
        <w:tc>
          <w:tcPr>
            <w:tcW w:w="160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Swaptions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Option</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Underlying Payer Swap</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Months to</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Average Fixed</w:t>
            </w:r>
          </w:p>
        </w:tc>
        <w:tc>
          <w:tcPr>
            <w:tcW w:w="1140" w:type="dxa"/>
            <w:vAlign w:val="bottom"/>
            <w:gridSpan w:val="2"/>
            <w:vMerge w:val="continue"/>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Current Option</w:t>
            </w: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140" w:type="dxa"/>
            <w:vAlign w:val="bottom"/>
            <w:gridSpan w:val="2"/>
            <w:vMerge w:val="continue"/>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Receive</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Current Option Expiration Date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1"/>
              </w:rPr>
              <w:t>Cost Basis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Pay</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Rate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Date </w:t>
            </w:r>
            <w:r>
              <w:rPr>
                <w:rFonts w:ascii="Arial" w:cs="Arial" w:eastAsia="Arial" w:hAnsi="Arial"/>
                <w:sz w:val="8"/>
                <w:szCs w:val="8"/>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(LIBOR)</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2019</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 1 year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5,650</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2.26%</w:t>
            </w:r>
          </w:p>
        </w:tc>
        <w:tc>
          <w:tcPr>
            <w:tcW w:w="10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9.3</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&gt; 1 year ≤ 2 years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3,200</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84"/>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11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8,850</w:t>
            </w:r>
          </w:p>
        </w:tc>
        <w:tc>
          <w:tcPr>
            <w:tcW w:w="10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2.34%</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8"/>
              </w:rPr>
              <w:t>3M</w:t>
            </w:r>
          </w:p>
        </w:tc>
        <w:tc>
          <w:tcPr>
            <w:tcW w:w="12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9.5</w:t>
            </w:r>
          </w:p>
        </w:tc>
        <w:tc>
          <w:tcPr>
            <w:tcW w:w="0" w:type="dxa"/>
            <w:vAlign w:val="bottom"/>
          </w:tcPr>
          <w:p>
            <w:pPr>
              <w:spacing w:after="0"/>
              <w:rPr>
                <w:sz w:val="1"/>
                <w:szCs w:val="1"/>
                <w:color w:val="auto"/>
              </w:rPr>
            </w:pPr>
          </w:p>
        </w:tc>
      </w:tr>
      <w:tr>
        <w:trPr>
          <w:trHeight w:val="284"/>
        </w:trPr>
        <w:tc>
          <w:tcPr>
            <w:tcW w:w="3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2018</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1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7.0</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&gt; 1 year ≤ 2 years</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2.78%</w:t>
            </w:r>
          </w:p>
        </w:tc>
        <w:tc>
          <w:tcPr>
            <w:tcW w:w="10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3,500</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2.93%</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7.4</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As of December 31, 2019 and 2018, ≤ 1 year notional amount includes $700 million of Bermudan swaptions where the options may be exercised on predetermined dates up to their final exercise date, which is six months prior to the underlying swaps' maturity date.</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 Treasury Securities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14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Face Amount</w:t>
            </w:r>
          </w:p>
        </w:tc>
        <w:tc>
          <w:tcPr>
            <w:tcW w:w="200" w:type="dxa"/>
            <w:vAlign w:val="bottom"/>
          </w:tcPr>
          <w:p>
            <w:pPr>
              <w:spacing w:after="0"/>
              <w:rPr>
                <w:sz w:val="13"/>
                <w:szCs w:val="13"/>
                <w:color w:val="auto"/>
              </w:rPr>
            </w:pPr>
          </w:p>
        </w:tc>
        <w:tc>
          <w:tcPr>
            <w:tcW w:w="108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6"/>
              </w:rPr>
              <w:t xml:space="preserve">Cost Basis </w:t>
            </w:r>
            <w:r>
              <w:rPr>
                <w:rFonts w:ascii="Arial" w:cs="Arial" w:eastAsia="Arial" w:hAnsi="Arial"/>
                <w:sz w:val="8"/>
                <w:szCs w:val="8"/>
                <w:b w:val="1"/>
                <w:bCs w:val="1"/>
                <w:color w:val="auto"/>
                <w:w w:val="96"/>
              </w:rPr>
              <w:t>1</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Face Amount</w:t>
            </w:r>
          </w:p>
        </w:tc>
        <w:tc>
          <w:tcPr>
            <w:tcW w:w="200" w:type="dxa"/>
            <w:vAlign w:val="bottom"/>
          </w:tcPr>
          <w:p>
            <w:pPr>
              <w:spacing w:after="0"/>
              <w:rPr>
                <w:sz w:val="13"/>
                <w:szCs w:val="13"/>
                <w:color w:val="auto"/>
              </w:rPr>
            </w:pPr>
          </w:p>
        </w:tc>
        <w:tc>
          <w:tcPr>
            <w:tcW w:w="10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w w:val="94"/>
              </w:rPr>
              <w:t xml:space="preserve">Cost Basis </w:t>
            </w:r>
            <w:r>
              <w:rPr>
                <w:rFonts w:ascii="Arial" w:cs="Arial" w:eastAsia="Arial" w:hAnsi="Arial"/>
                <w:sz w:val="8"/>
                <w:szCs w:val="8"/>
                <w:b w:val="1"/>
                <w:bCs w:val="1"/>
                <w:color w:val="auto"/>
                <w:w w:val="94"/>
              </w:rPr>
              <w:t>1</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Long/(Short)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9"/>
              </w:rPr>
              <w:t>Long/(Short)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5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7 years</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(14,357)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(14,410)</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10 years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(9,224)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(6,262)</w:t>
            </w:r>
          </w:p>
        </w:tc>
        <w:tc>
          <w:tcPr>
            <w:tcW w:w="0" w:type="dxa"/>
            <w:vAlign w:val="bottom"/>
          </w:tcPr>
          <w:p>
            <w:pPr>
              <w:spacing w:after="0"/>
              <w:rPr>
                <w:sz w:val="1"/>
                <w:szCs w:val="1"/>
                <w:color w:val="auto"/>
              </w:rPr>
            </w:pPr>
          </w:p>
        </w:tc>
      </w:tr>
      <w:tr>
        <w:trPr>
          <w:trHeight w:val="244"/>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Total U.S. Treasury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(9,129)</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(9,234)</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(9,446)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(21,300)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(21,255)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(21,385)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As of December 31, 2019 and 2018, short U.S. Treasury securities had a weighted average yield of 2.19% and 2.66%, respectively, and long U.S. Treasury securities had a weighted average yield of 2.21% and 2.98%, respectively.</w:t>
      </w:r>
    </w:p>
    <w:p>
      <w:pPr>
        <w:sectPr>
          <w:pgSz w:w="11900" w:h="16838" w:orient="portrait"/>
          <w:cols w:equalWidth="0" w:num="1">
            <w:col w:w="11420"/>
          </w:cols>
          <w:pgMar w:left="240" w:top="557" w:right="239"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557" w:right="239"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192"/>
        </w:trPr>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U.S. Treasury Futures</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5"/>
          </w:tcPr>
          <w:p>
            <w:pPr>
              <w:ind w:left="10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ind w:left="8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43"/>
        </w:trPr>
        <w:tc>
          <w:tcPr>
            <w:tcW w:w="2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Cost</w:t>
            </w:r>
          </w:p>
        </w:tc>
        <w:tc>
          <w:tcPr>
            <w:tcW w:w="220" w:type="dxa"/>
            <w:vAlign w:val="bottom"/>
          </w:tcPr>
          <w:p>
            <w:pPr>
              <w:spacing w:after="0"/>
              <w:rPr>
                <w:sz w:val="11"/>
                <w:szCs w:val="11"/>
                <w:color w:val="auto"/>
              </w:rPr>
            </w:pPr>
          </w:p>
        </w:tc>
        <w:tc>
          <w:tcPr>
            <w:tcW w:w="84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Net Carrying</w:t>
            </w: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rPr>
              <w:t>Fair</w:t>
            </w:r>
          </w:p>
        </w:tc>
        <w:tc>
          <w:tcPr>
            <w:tcW w:w="9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2"/>
              </w:rPr>
              <w:t>Net Carrying</w:t>
            </w:r>
          </w:p>
        </w:tc>
      </w:tr>
      <w:tr>
        <w:trPr>
          <w:trHeight w:val="17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Maturity</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15"/>
              <w:spacing w:after="0"/>
              <w:rPr>
                <w:sz w:val="20"/>
                <w:szCs w:val="20"/>
                <w:color w:val="auto"/>
              </w:rPr>
            </w:pPr>
            <w:r>
              <w:rPr>
                <w:rFonts w:ascii="Arial" w:cs="Arial" w:eastAsia="Arial" w:hAnsi="Arial"/>
                <w:sz w:val="13"/>
                <w:szCs w:val="13"/>
                <w:b w:val="1"/>
                <w:bCs w:val="1"/>
                <w:color w:val="auto"/>
                <w:w w:val="89"/>
              </w:rPr>
              <w:t>Long (Short)</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Basis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54"/>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8"/>
              </w:rPr>
              <w:t xml:space="preserve">Value </w:t>
            </w:r>
            <w:r>
              <w:rPr>
                <w:rFonts w:ascii="Arial" w:cs="Arial" w:eastAsia="Arial" w:hAnsi="Arial"/>
                <w:sz w:val="8"/>
                <w:szCs w:val="8"/>
                <w:b w:val="1"/>
                <w:bCs w:val="1"/>
                <w:color w:val="auto"/>
                <w:w w:val="88"/>
              </w:rPr>
              <w:t>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3"/>
                <w:szCs w:val="13"/>
                <w:b w:val="1"/>
                <w:bCs w:val="1"/>
                <w:color w:val="auto"/>
                <w:w w:val="87"/>
              </w:rPr>
              <w:t>Long (Short)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Basis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34"/>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w w:val="88"/>
              </w:rPr>
              <w:t xml:space="preserve">Value </w:t>
            </w:r>
            <w:r>
              <w:rPr>
                <w:rFonts w:ascii="Arial" w:cs="Arial" w:eastAsia="Arial" w:hAnsi="Arial"/>
                <w:sz w:val="8"/>
                <w:szCs w:val="8"/>
                <w:b w:val="1"/>
                <w:bCs w:val="1"/>
                <w:color w:val="auto"/>
                <w:w w:val="88"/>
              </w:rPr>
              <w:t>1</w:t>
            </w:r>
          </w:p>
        </w:tc>
      </w:tr>
      <w:tr>
        <w:trPr>
          <w:trHeight w:val="243"/>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10 years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(1,284)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43"/>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Cost</w:t>
            </w:r>
          </w:p>
        </w:tc>
        <w:tc>
          <w:tcPr>
            <w:tcW w:w="22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Net Carrying</w:t>
            </w: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Fair</w:t>
            </w:r>
          </w:p>
        </w:tc>
        <w:tc>
          <w:tcPr>
            <w:tcW w:w="900" w:type="dxa"/>
            <w:vAlign w:val="bottom"/>
            <w:gridSpan w:val="2"/>
          </w:tcPr>
          <w:p>
            <w:pPr>
              <w:jc w:val="right"/>
              <w:ind w:right="9"/>
              <w:spacing w:after="0" w:line="135" w:lineRule="exact"/>
              <w:rPr>
                <w:sz w:val="20"/>
                <w:szCs w:val="20"/>
                <w:color w:val="auto"/>
              </w:rPr>
            </w:pPr>
            <w:r>
              <w:rPr>
                <w:rFonts w:ascii="Arial" w:cs="Arial" w:eastAsia="Arial" w:hAnsi="Arial"/>
                <w:sz w:val="13"/>
                <w:szCs w:val="13"/>
                <w:b w:val="1"/>
                <w:bCs w:val="1"/>
                <w:color w:val="auto"/>
              </w:rPr>
              <w:t>Net Carrying</w:t>
            </w:r>
          </w:p>
        </w:tc>
      </w:tr>
      <w:tr>
        <w:trPr>
          <w:trHeight w:val="17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TBA Securities by Coupon</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89"/>
              </w:rPr>
              <w:t>Long (Short)</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Basis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Value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87"/>
              </w:rPr>
              <w:t>Long (Short)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Basis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Value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1</w:t>
            </w:r>
          </w:p>
        </w:tc>
      </w:tr>
      <w:tr>
        <w:trPr>
          <w:trHeight w:val="27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15-Year TBA securities: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4"/>
        </w:trPr>
        <w:tc>
          <w:tcPr>
            <w:tcW w:w="2740" w:type="dxa"/>
            <w:vAlign w:val="bottom"/>
          </w:tcPr>
          <w:p>
            <w:pPr>
              <w:ind w:left="200"/>
              <w:spacing w:after="0"/>
              <w:rPr>
                <w:sz w:val="20"/>
                <w:szCs w:val="20"/>
                <w:color w:val="auto"/>
              </w:rPr>
            </w:pPr>
            <w:r>
              <w:rPr>
                <w:rFonts w:ascii="Arial" w:cs="Arial" w:eastAsia="Arial" w:hAnsi="Arial"/>
                <w:sz w:val="14"/>
                <w:szCs w:val="14"/>
                <w:color w:val="auto"/>
              </w:rPr>
              <w:t>2.5%</w:t>
            </w:r>
          </w:p>
        </w:tc>
        <w:tc>
          <w:tcPr>
            <w:tcW w:w="1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805</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811</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812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2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1,059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1,083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1,086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567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557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w:t>
            </w:r>
          </w:p>
        </w:tc>
      </w:tr>
      <w:tr>
        <w:trPr>
          <w:trHeight w:val="264"/>
        </w:trPr>
        <w:tc>
          <w:tcPr>
            <w:tcW w:w="2740" w:type="dxa"/>
            <w:vAlign w:val="bottom"/>
          </w:tcPr>
          <w:p>
            <w:pPr>
              <w:ind w:left="200"/>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1,706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1,708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1,726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18</w:t>
            </w:r>
          </w:p>
        </w:tc>
      </w:tr>
      <w:tr>
        <w:trPr>
          <w:trHeight w:val="270"/>
        </w:trPr>
        <w:tc>
          <w:tcPr>
            <w:tcW w:w="2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4.0%</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1,350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1,370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1,381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w:t>
            </w:r>
          </w:p>
        </w:tc>
      </w:tr>
      <w:tr>
        <w:trPr>
          <w:trHeight w:val="250"/>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15-Year TBA securities</w:t>
            </w: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2,180</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2,222</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2,226</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3,623</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3,635</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3,673</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38</w:t>
            </w:r>
          </w:p>
        </w:tc>
      </w:tr>
      <w:tr>
        <w:trPr>
          <w:trHeight w:val="27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30-Year TBA securities: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4"/>
        </w:trPr>
        <w:tc>
          <w:tcPr>
            <w:tcW w:w="2880" w:type="dxa"/>
            <w:vAlign w:val="bottom"/>
            <w:gridSpan w:val="2"/>
          </w:tcPr>
          <w:p>
            <w:pPr>
              <w:ind w:left="200"/>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5,008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5,052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5,073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1,028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981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1,003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22</w:t>
            </w:r>
          </w:p>
        </w:tc>
      </w:tr>
      <w:tr>
        <w:trPr>
          <w:trHeight w:val="276"/>
        </w:trPr>
        <w:tc>
          <w:tcPr>
            <w:tcW w:w="2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3.5%</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1,226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1,259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1,261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264"/>
        </w:trPr>
        <w:tc>
          <w:tcPr>
            <w:tcW w:w="2740" w:type="dxa"/>
            <w:vAlign w:val="bottom"/>
          </w:tcPr>
          <w:p>
            <w:pPr>
              <w:ind w:left="200"/>
              <w:spacing w:after="0"/>
              <w:rPr>
                <w:sz w:val="20"/>
                <w:szCs w:val="20"/>
                <w:color w:val="auto"/>
              </w:rPr>
            </w:pPr>
            <w:r>
              <w:rPr>
                <w:rFonts w:ascii="Arial" w:cs="Arial" w:eastAsia="Arial" w:hAnsi="Arial"/>
                <w:sz w:val="14"/>
                <w:szCs w:val="14"/>
                <w:color w:val="auto"/>
              </w:rPr>
              <w:t>4.0%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(1,507)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(1,565)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(1,568)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3,030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3,073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3,089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16</w:t>
            </w:r>
          </w:p>
        </w:tc>
      </w:tr>
      <w:tr>
        <w:trPr>
          <w:trHeight w:val="270"/>
        </w:trPr>
        <w:tc>
          <w:tcPr>
            <w:tcW w:w="2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 4.5%</w:t>
            </w: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415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436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437</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2,450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2,506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2,534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28</w:t>
            </w:r>
          </w:p>
        </w:tc>
      </w:tr>
      <w:tr>
        <w:trPr>
          <w:trHeight w:val="250"/>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30-Year TBA securities, net</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5,142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5,182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5,203</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3,529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3,617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3,649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32</w:t>
            </w:r>
          </w:p>
        </w:tc>
      </w:tr>
      <w:tr>
        <w:trPr>
          <w:trHeight w:val="243"/>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TBA securities,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7,322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7,404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7,429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7,152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7,252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7,322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70</w:t>
            </w: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941" w:right="239" w:bottom="1440" w:gutter="0" w:footer="0" w:header="0"/>
        </w:sectPr>
      </w:pPr>
    </w:p>
    <w:bookmarkStart w:id="71" w:name="page72"/>
    <w:bookmarkEnd w:id="71"/>
    <w:p>
      <w:pPr>
        <w:ind w:left="60"/>
        <w:spacing w:after="0"/>
        <w:rPr>
          <w:sz w:val="20"/>
          <w:szCs w:val="20"/>
          <w:color w:val="auto"/>
        </w:rPr>
      </w:pPr>
      <w:r>
        <w:rPr>
          <w:rFonts w:ascii="Arial" w:cs="Arial" w:eastAsia="Arial" w:hAnsi="Arial"/>
          <w:sz w:val="18"/>
          <w:szCs w:val="18"/>
          <w:b w:val="1"/>
          <w:bCs w:val="1"/>
          <w:i w:val="1"/>
          <w:iCs w:val="1"/>
          <w:color w:val="auto"/>
        </w:rPr>
        <w:t>Gain (Loss) From Derivative Instruments and Other Securities, Net</w:t>
      </w:r>
    </w:p>
    <w:p>
      <w:pPr>
        <w:spacing w:after="0" w:line="171" w:lineRule="exact"/>
        <w:rPr>
          <w:sz w:val="20"/>
          <w:szCs w:val="20"/>
          <w:color w:val="auto"/>
        </w:rPr>
      </w:pPr>
    </w:p>
    <w:p>
      <w:pPr>
        <w:ind w:left="60" w:firstLine="648"/>
        <w:spacing w:after="0" w:line="277" w:lineRule="auto"/>
        <w:rPr>
          <w:sz w:val="20"/>
          <w:szCs w:val="20"/>
          <w:color w:val="auto"/>
        </w:rPr>
      </w:pPr>
      <w:r>
        <w:rPr>
          <w:rFonts w:ascii="Arial" w:cs="Arial" w:eastAsia="Arial" w:hAnsi="Arial"/>
          <w:sz w:val="18"/>
          <w:szCs w:val="18"/>
          <w:color w:val="auto"/>
        </w:rPr>
        <w:t>The following table summarizes changes in our derivative and other hedge portfolio and their effect on our consolidated statements of comprehensive income for fiscal years 2019, 2018 and 2017 (in millions):</w:t>
      </w:r>
    </w:p>
    <w:p>
      <w:pPr>
        <w:spacing w:after="0" w:line="9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Settlement,</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61"/>
              <w:spacing w:after="0"/>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41"/>
              <w:spacing w:after="0" w:line="145" w:lineRule="exact"/>
              <w:rPr>
                <w:sz w:val="20"/>
                <w:szCs w:val="20"/>
                <w:color w:val="auto"/>
              </w:rPr>
            </w:pPr>
            <w:r>
              <w:rPr>
                <w:rFonts w:ascii="Arial" w:cs="Arial" w:eastAsia="Arial" w:hAnsi="Arial"/>
                <w:sz w:val="14"/>
                <w:szCs w:val="14"/>
                <w:b w:val="1"/>
                <w:bCs w:val="1"/>
                <w:color w:val="auto"/>
                <w:w w:val="93"/>
              </w:rPr>
              <w:t>on Derivative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Beginning</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240" w:type="dxa"/>
            <w:vAlign w:val="bottom"/>
          </w:tcPr>
          <w:p>
            <w:pPr>
              <w:spacing w:after="0"/>
              <w:rPr>
                <w:sz w:val="12"/>
                <w:szCs w:val="12"/>
                <w:color w:val="auto"/>
              </w:rPr>
            </w:pPr>
          </w:p>
        </w:tc>
        <w:tc>
          <w:tcPr>
            <w:tcW w:w="120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2"/>
              </w:rPr>
              <w:t>Ending</w:t>
            </w:r>
          </w:p>
        </w:tc>
        <w:tc>
          <w:tcPr>
            <w:tcW w:w="140" w:type="dxa"/>
            <w:vAlign w:val="bottom"/>
          </w:tcPr>
          <w:p>
            <w:pPr>
              <w:spacing w:after="0"/>
              <w:rPr>
                <w:sz w:val="12"/>
                <w:szCs w:val="12"/>
                <w:color w:val="auto"/>
              </w:rPr>
            </w:pPr>
          </w:p>
        </w:tc>
        <w:tc>
          <w:tcPr>
            <w:tcW w:w="12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3"/>
              </w:rPr>
              <w:t>Instruments and</w:t>
            </w:r>
          </w:p>
        </w:tc>
        <w:tc>
          <w:tcPr>
            <w:tcW w:w="0" w:type="dxa"/>
            <w:vAlign w:val="bottom"/>
          </w:tcPr>
          <w:p>
            <w:pPr>
              <w:spacing w:after="0"/>
              <w:rPr>
                <w:sz w:val="1"/>
                <w:szCs w:val="1"/>
                <w:color w:val="auto"/>
              </w:rPr>
            </w:pPr>
          </w:p>
        </w:tc>
      </w:tr>
      <w:tr>
        <w:trPr>
          <w:trHeight w:val="149"/>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6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Additions</w:t>
            </w:r>
          </w:p>
        </w:tc>
        <w:tc>
          <w:tcPr>
            <w:tcW w:w="100" w:type="dxa"/>
            <w:vAlign w:val="bottom"/>
            <w:vMerge w:val="restart"/>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2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3"/>
              </w:rPr>
              <w:t>Other Securities, Net</w:t>
            </w:r>
          </w:p>
        </w:tc>
        <w:tc>
          <w:tcPr>
            <w:tcW w:w="0" w:type="dxa"/>
            <w:vAlign w:val="bottom"/>
          </w:tcPr>
          <w:p>
            <w:pPr>
              <w:spacing w:after="0"/>
              <w:rPr>
                <w:sz w:val="1"/>
                <w:szCs w:val="1"/>
                <w:color w:val="auto"/>
              </w:rPr>
            </w:pPr>
          </w:p>
        </w:tc>
      </w:tr>
      <w:tr>
        <w:trPr>
          <w:trHeight w:val="162"/>
        </w:trPr>
        <w:tc>
          <w:tcPr>
            <w:tcW w:w="43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Notional Amount</w:t>
            </w:r>
          </w:p>
        </w:tc>
        <w:tc>
          <w:tcPr>
            <w:tcW w:w="1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Notional Amount</w:t>
            </w:r>
          </w:p>
        </w:tc>
        <w:tc>
          <w:tcPr>
            <w:tcW w:w="220" w:type="dxa"/>
            <w:vAlign w:val="bottom"/>
            <w:tcBorders>
              <w:bottom w:val="single" w:sz="8" w:color="CCEEFF"/>
            </w:tcBorders>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61"/>
              <w:spacing w:after="0"/>
              <w:rPr>
                <w:sz w:val="20"/>
                <w:szCs w:val="20"/>
                <w:color w:val="auto"/>
              </w:rPr>
            </w:pPr>
            <w:r>
              <w:rPr>
                <w:rFonts w:ascii="Arial" w:cs="Arial" w:eastAsia="Arial" w:hAnsi="Arial"/>
                <w:sz w:val="9"/>
                <w:szCs w:val="9"/>
                <w:b w:val="1"/>
                <w:bCs w:val="1"/>
                <w:color w:val="auto"/>
                <w:w w:val="78"/>
              </w:rPr>
              <w:t>1</w:t>
            </w: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Fiscal Year 2019:</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TBA securities, net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7,152</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95,169</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(94,999)</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7,322</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 - payer</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51,625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166,975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(139,525)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79,075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(1,645)</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Interest rate swaps - receiver</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7,650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short position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(21,345)</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(12,601)</w:t>
            </w:r>
          </w:p>
        </w:tc>
        <w:tc>
          <w:tcPr>
            <w:tcW w:w="10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24,722</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(9,224)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(967)</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long position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(1,650)</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(5,300)</w:t>
            </w:r>
          </w:p>
        </w:tc>
        <w:tc>
          <w:tcPr>
            <w:tcW w:w="10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5,950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33"/>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(2,325)</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Fiscal Year 2018:</w:t>
            </w: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4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TBA securities, net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15,474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194,534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(202,856)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7,152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43,700</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14,350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(6,425)</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51,625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6,650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short position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(10,699)</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(19,278)</w:t>
            </w:r>
          </w:p>
        </w:tc>
        <w:tc>
          <w:tcPr>
            <w:tcW w:w="10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8,632</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(21,345)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long position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(2,910)</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(7,859)</w:t>
            </w:r>
          </w:p>
        </w:tc>
        <w:tc>
          <w:tcPr>
            <w:tcW w:w="10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9,119</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(1,650)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3"/>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Fiscal Year 2017:</w:t>
            </w: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4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TBA securities, net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10,916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237,601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(233,043)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15,474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37,175</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14,825</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(8,300)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43,700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6,450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short position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(8,061)</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(14,030)</w:t>
            </w:r>
          </w:p>
        </w:tc>
        <w:tc>
          <w:tcPr>
            <w:tcW w:w="10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11,392</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(10,699)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long position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(1,810)</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(11,340)</w:t>
            </w:r>
          </w:p>
        </w:tc>
        <w:tc>
          <w:tcPr>
            <w:tcW w:w="10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10,240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(2,910)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60"/>
        <w:spacing w:after="0"/>
        <w:rPr>
          <w:sz w:val="20"/>
          <w:szCs w:val="20"/>
          <w:color w:val="auto"/>
        </w:rPr>
      </w:pPr>
      <w:r>
        <w:rPr>
          <w:rFonts w:ascii="Arial" w:cs="Arial" w:eastAsia="Arial" w:hAnsi="Arial"/>
          <w:sz w:val="11"/>
          <w:szCs w:val="11"/>
          <w:color w:val="auto"/>
        </w:rPr>
        <w:t>________________________________</w:t>
      </w:r>
    </w:p>
    <w:p>
      <w:pPr>
        <w:spacing w:after="0" w:line="40" w:lineRule="exact"/>
        <w:rPr>
          <w:sz w:val="20"/>
          <w:szCs w:val="20"/>
          <w:color w:val="auto"/>
        </w:rPr>
      </w:pPr>
    </w:p>
    <w:p>
      <w:pPr>
        <w:ind w:left="660" w:right="20" w:hanging="328"/>
        <w:spacing w:after="0" w:line="273" w:lineRule="auto"/>
        <w:tabs>
          <w:tab w:leader="none" w:pos="6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Amounts exclude other miscellaneous gains and losses recognized in gain (loss) on derivative instruments and other securities, net in our consolidated statements of comprehensive income.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Pledged Assets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margin upon execution of derivative transactions, such as under our interest rate swap agreements and TBA contracts, and subsequently post or receive variation margin based on daily fluctuations in fair value. Our brokerage and custody agreements and the clearing organizations utilized by our wholly-owned captive broker-dealer subsidiary, Bethesda Securities, LLC, also require that we post minimum daily clearing deposits. If we breach our collateral requirements, we will be required to fully settle our obligations under the agreements, which could include a forced liquidation of our pledged collateral.</w:t>
      </w:r>
    </w:p>
    <w:p>
      <w:pPr>
        <w:spacing w:after="0" w:line="128"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if our counterparties fail to perform their obligations under such agreements. We minimize this risk by limiting our counterparties to major financial institutions with acceptable credit ratings or</w:t>
      </w:r>
    </w:p>
    <w:p>
      <w:pPr>
        <w:sectPr>
          <w:pgSz w:w="11900" w:h="16838" w:orient="portrait"/>
          <w:cols w:equalWidth="0" w:num="1">
            <w:col w:w="11420"/>
          </w:cols>
          <w:pgMar w:left="240" w:top="557"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557" w:right="239" w:bottom="1440" w:gutter="0" w:footer="0" w:header="0"/>
          <w:type w:val="continuous"/>
        </w:sectPr>
      </w:pPr>
    </w:p>
    <w:bookmarkStart w:id="72" w:name="page73"/>
    <w:bookmarkEnd w:id="72"/>
    <w:p>
      <w:pPr>
        <w:jc w:val="both"/>
        <w:spacing w:after="0" w:line="255" w:lineRule="auto"/>
        <w:rPr>
          <w:sz w:val="20"/>
          <w:szCs w:val="20"/>
          <w:color w:val="auto"/>
        </w:rPr>
      </w:pPr>
      <w:r>
        <w:rPr>
          <w:rFonts w:ascii="Arial" w:cs="Arial" w:eastAsia="Arial" w:hAnsi="Arial"/>
          <w:sz w:val="18"/>
          <w:szCs w:val="18"/>
          <w:color w:val="auto"/>
        </w:rPr>
        <w:t>to registered clearinghouses and U.S. government agencies, and we monitor our positions with individual counterparties. In the event of a default by a counterparty, we may have difficulty obtaining our assets pledged as collateral to such counterparty and may not receive payments as and when due to us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mark-to-market margin requirements, clearinghouse guarantee funds and other resources that are available in the event of a clearing member default.</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December 31, 2019, our maximum amount at risk with any counterparty related to our repurchase agreements, excluding the Fixed Income Clearing Corporation, was less than 4% of our tangible stockholders' equity (measured as the excess of the value of collateral pledged over the amount of our repurchase liabilities). As of December 31, 2019, approximately 10% of our tangible stockholder's equity was at risk with the Fixed Income Clearing Corporation.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to Counterparties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summarize our assets pledged as collateral under our funding, derivative and brokerage and clearing agreements by type, including securities pledged related to securities sold but not yet settled, as of December 31, 2019 and 2018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Brokerage and</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Assets Pledged to Counterparties </w:t>
            </w:r>
            <w:r>
              <w:rPr>
                <w:rFonts w:ascii="Arial" w:cs="Arial" w:eastAsia="Arial" w:hAnsi="Arial"/>
                <w:sz w:val="8"/>
                <w:szCs w:val="8"/>
                <w:b w:val="1"/>
                <w:bCs w:val="1"/>
                <w:color w:val="auto"/>
              </w:rPr>
              <w:t>1</w:t>
            </w:r>
          </w:p>
        </w:tc>
        <w:tc>
          <w:tcPr>
            <w:tcW w:w="120" w:type="dxa"/>
            <w:vAlign w:val="bottom"/>
            <w:vMerge w:val="restart"/>
          </w:tcPr>
          <w:p>
            <w:pPr>
              <w:spacing w:after="0"/>
              <w:rPr>
                <w:sz w:val="16"/>
                <w:szCs w:val="16"/>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Repurchase Agreements</w:t>
            </w: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Debt of Consolidated</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Clearing</w:t>
            </w:r>
          </w:p>
        </w:tc>
        <w:tc>
          <w:tcPr>
            <w:tcW w:w="260" w:type="dxa"/>
            <w:vAlign w:val="bottom"/>
          </w:tcPr>
          <w:p>
            <w:pPr>
              <w:spacing w:after="0"/>
              <w:rPr>
                <w:sz w:val="16"/>
                <w:szCs w:val="16"/>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2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392"/>
              <w:spacing w:after="0"/>
              <w:rPr>
                <w:sz w:val="20"/>
                <w:szCs w:val="20"/>
                <w:color w:val="auto"/>
              </w:rPr>
            </w:pPr>
            <w:r>
              <w:rPr>
                <w:rFonts w:ascii="Arial" w:cs="Arial" w:eastAsia="Arial" w:hAnsi="Arial"/>
                <w:sz w:val="9"/>
                <w:szCs w:val="9"/>
                <w:b w:val="1"/>
                <w:bCs w:val="1"/>
                <w:color w:val="auto"/>
                <w:w w:val="78"/>
              </w:rPr>
              <w:t>2</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VIEs</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8"/>
              </w:rPr>
              <w:t>Agreements</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 xml:space="preserve">Agreements </w:t>
            </w:r>
            <w:r>
              <w:rPr>
                <w:rFonts w:ascii="Arial" w:cs="Arial" w:eastAsia="Arial" w:hAnsi="Arial"/>
                <w:sz w:val="8"/>
                <w:szCs w:val="8"/>
                <w:b w:val="1"/>
                <w:bCs w:val="1"/>
                <w:color w:val="auto"/>
                <w:w w:val="91"/>
              </w:rPr>
              <w:t>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 - fair value</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92,142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93,123</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CRT - fair value</w:t>
            </w:r>
          </w:p>
        </w:tc>
        <w:tc>
          <w:tcPr>
            <w:tcW w:w="44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 Treasury securities - fair value</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453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Accrued interest on pledged securities</w:t>
            </w:r>
          </w:p>
        </w:tc>
        <w:tc>
          <w:tcPr>
            <w:tcW w:w="44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Restricted cash and cash equivalents</w:t>
            </w:r>
          </w:p>
        </w:tc>
        <w:tc>
          <w:tcPr>
            <w:tcW w:w="4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243"/>
        </w:trPr>
        <w:tc>
          <w:tcPr>
            <w:tcW w:w="436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93,282</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745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94,634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Brokerage and</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Assets Pledged to Counterparties </w:t>
            </w:r>
            <w:r>
              <w:rPr>
                <w:rFonts w:ascii="Arial" w:cs="Arial" w:eastAsia="Arial" w:hAnsi="Arial"/>
                <w:sz w:val="8"/>
                <w:szCs w:val="8"/>
                <w:b w:val="1"/>
                <w:bCs w:val="1"/>
                <w:color w:val="auto"/>
              </w:rPr>
              <w:t>1</w:t>
            </w:r>
          </w:p>
        </w:tc>
        <w:tc>
          <w:tcPr>
            <w:tcW w:w="120" w:type="dxa"/>
            <w:vAlign w:val="bottom"/>
            <w:vMerge w:val="restart"/>
          </w:tcPr>
          <w:p>
            <w:pPr>
              <w:spacing w:after="0"/>
              <w:rPr>
                <w:sz w:val="16"/>
                <w:szCs w:val="16"/>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Repurchase Agreements</w:t>
            </w: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Debt of Consolidated</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Clearing</w:t>
            </w:r>
          </w:p>
        </w:tc>
        <w:tc>
          <w:tcPr>
            <w:tcW w:w="260" w:type="dxa"/>
            <w:vAlign w:val="bottom"/>
          </w:tcPr>
          <w:p>
            <w:pPr>
              <w:spacing w:after="0"/>
              <w:rPr>
                <w:sz w:val="16"/>
                <w:szCs w:val="16"/>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2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392"/>
              <w:spacing w:after="0"/>
              <w:rPr>
                <w:sz w:val="20"/>
                <w:szCs w:val="20"/>
                <w:color w:val="auto"/>
              </w:rPr>
            </w:pPr>
            <w:r>
              <w:rPr>
                <w:rFonts w:ascii="Arial" w:cs="Arial" w:eastAsia="Arial" w:hAnsi="Arial"/>
                <w:sz w:val="9"/>
                <w:szCs w:val="9"/>
                <w:b w:val="1"/>
                <w:bCs w:val="1"/>
                <w:color w:val="auto"/>
                <w:w w:val="78"/>
              </w:rPr>
              <w:t>2</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VIEs</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8"/>
              </w:rPr>
              <w:t>Agreements</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 xml:space="preserve">Agreements </w:t>
            </w:r>
            <w:r>
              <w:rPr>
                <w:rFonts w:ascii="Arial" w:cs="Arial" w:eastAsia="Arial" w:hAnsi="Arial"/>
                <w:sz w:val="8"/>
                <w:szCs w:val="8"/>
                <w:b w:val="1"/>
                <w:bCs w:val="1"/>
                <w:color w:val="auto"/>
                <w:w w:val="91"/>
              </w:rPr>
              <w:t>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 - fair value</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78,997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79,740</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CRT - fair value</w:t>
            </w:r>
          </w:p>
        </w:tc>
        <w:tc>
          <w:tcPr>
            <w:tcW w:w="44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Non-Agency - fair value</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U.S. Treasury securities - fair value</w:t>
            </w:r>
          </w:p>
        </w:tc>
        <w:tc>
          <w:tcPr>
            <w:tcW w:w="44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437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interest on pledged securities</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246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Restricted cash and cash equivalents</w:t>
            </w:r>
          </w:p>
        </w:tc>
        <w:tc>
          <w:tcPr>
            <w:tcW w:w="44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243"/>
        </w:trPr>
        <w:tc>
          <w:tcPr>
            <w:tcW w:w="43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79,943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81,210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Includes repledged assets received as collateral from counterparties.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Includes $144 million and $163 million of retained interests in our consolidated VIEs pledged as collateral under repurchase agreements as of December 31, 2019 and 2018, respectively.</w:t>
      </w:r>
    </w:p>
    <w:p>
      <w:pPr>
        <w:spacing w:after="0" w:line="12" w:lineRule="exact"/>
        <w:rPr>
          <w:rFonts w:ascii="Arial" w:cs="Arial" w:eastAsia="Arial" w:hAnsi="Arial"/>
          <w:sz w:val="13"/>
          <w:szCs w:val="13"/>
          <w:color w:val="auto"/>
        </w:rPr>
      </w:pPr>
    </w:p>
    <w:p>
      <w:pPr>
        <w:ind w:left="660" w:hanging="328"/>
        <w:spacing w:after="0"/>
        <w:tabs>
          <w:tab w:leader="none" w:pos="6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Includes margin for TBAs cleared through prime brokers and other clearing deposits.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719" w:right="239" w:bottom="1440" w:gutter="0" w:footer="0" w:header="0"/>
        </w:sectPr>
      </w:pPr>
    </w:p>
    <w:bookmarkStart w:id="73" w:name="page74"/>
    <w:bookmarkEnd w:id="73"/>
    <w:p>
      <w:pPr>
        <w:jc w:val="both"/>
        <w:ind w:firstLine="432"/>
        <w:spacing w:after="0" w:line="264" w:lineRule="auto"/>
        <w:rPr>
          <w:sz w:val="20"/>
          <w:szCs w:val="20"/>
          <w:color w:val="auto"/>
        </w:rPr>
      </w:pPr>
      <w:r>
        <w:rPr>
          <w:rFonts w:ascii="Arial" w:cs="Arial" w:eastAsia="Arial" w:hAnsi="Arial"/>
          <w:sz w:val="18"/>
          <w:szCs w:val="18"/>
          <w:color w:val="auto"/>
        </w:rPr>
        <w:t>The following table summarizes our securities pledged as collateral under our repurchase agreements by the remaining maturity of our borrowings, including securities pledged related to sold but not yet settled securities, as of December 31, 2019 and 2018 (in millions). For the corresponding borrowings associated with the following amounts and the interest rates thereon, refer to Note 4</w:t>
      </w:r>
      <w:r>
        <w:rPr>
          <w:rFonts w:ascii="Arial" w:cs="Arial" w:eastAsia="Arial" w:hAnsi="Arial"/>
          <w:sz w:val="18"/>
          <w:szCs w:val="18"/>
          <w:i w:val="1"/>
          <w:iCs w:val="1"/>
          <w:color w:val="auto"/>
        </w:rPr>
        <w: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Accrued</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88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Securities Pledged by Remaining Maturity of Repurchase</w:t>
            </w:r>
          </w:p>
        </w:tc>
        <w:tc>
          <w:tcPr>
            <w:tcW w:w="160" w:type="dxa"/>
            <w:vAlign w:val="bottom"/>
          </w:tcPr>
          <w:p>
            <w:pPr>
              <w:spacing w:after="0"/>
              <w:rPr>
                <w:sz w:val="12"/>
                <w:szCs w:val="12"/>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Fair Value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Interest on</w:t>
            </w:r>
          </w:p>
        </w:tc>
        <w:tc>
          <w:tcPr>
            <w:tcW w:w="160" w:type="dxa"/>
            <w:vAlign w:val="bottom"/>
          </w:tcPr>
          <w:p>
            <w:pPr>
              <w:spacing w:after="0"/>
              <w:rPr>
                <w:sz w:val="12"/>
                <w:szCs w:val="12"/>
                <w:color w:val="auto"/>
              </w:rPr>
            </w:pP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9"/>
              </w:rPr>
              <w:t>Fair Value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Interest on</w:t>
            </w:r>
          </w:p>
        </w:tc>
        <w:tc>
          <w:tcPr>
            <w:tcW w:w="0" w:type="dxa"/>
            <w:vAlign w:val="bottom"/>
          </w:tcPr>
          <w:p>
            <w:pPr>
              <w:spacing w:after="0"/>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Pledged</w:t>
            </w: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8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Pledged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Agreements </w:t>
            </w:r>
            <w:r>
              <w:rPr>
                <w:rFonts w:ascii="Arial" w:cs="Arial" w:eastAsia="Arial" w:hAnsi="Arial"/>
                <w:sz w:val="8"/>
                <w:szCs w:val="8"/>
                <w:b w:val="1"/>
                <w:bCs w:val="1"/>
                <w:color w:val="auto"/>
              </w:rPr>
              <w:t>1,2</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w w:val="94"/>
              </w:rPr>
              <w:t>Pledged Securities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30 days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56,990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55,951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49,944</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50,654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64"/>
        </w:trPr>
        <w:tc>
          <w:tcPr>
            <w:tcW w:w="4020" w:type="dxa"/>
            <w:vAlign w:val="bottom"/>
            <w:gridSpan w:val="2"/>
          </w:tcPr>
          <w:p>
            <w:pPr>
              <w:ind w:left="100"/>
              <w:spacing w:after="0"/>
              <w:rPr>
                <w:sz w:val="20"/>
                <w:szCs w:val="20"/>
                <w:color w:val="auto"/>
              </w:rPr>
            </w:pPr>
            <w:r>
              <w:rPr>
                <w:rFonts w:ascii="Arial" w:cs="Arial" w:eastAsia="Arial" w:hAnsi="Arial"/>
                <w:sz w:val="14"/>
                <w:szCs w:val="14"/>
                <w:color w:val="auto"/>
              </w:rPr>
              <w:t>&gt; 30 and ≤ 60 days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14,410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14,114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14,586</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14,810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&gt; 60 and ≤ 90 days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7,637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7,536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7,770</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7,843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&gt; 90 days</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13,510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13,286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6,882</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7,079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43"/>
        </w:trPr>
        <w:tc>
          <w:tcPr>
            <w:tcW w:w="40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92,547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90,887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79,182</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80,386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Includes $144 million and $163 million of retained interests in our consolidated VIEs pledged as collateral under repurchase agreements as of December 31, 2019 and 2018, respectively.</w:t>
      </w:r>
    </w:p>
    <w:p>
      <w:pPr>
        <w:spacing w:after="0" w:line="24" w:lineRule="exact"/>
        <w:rPr>
          <w:rFonts w:ascii="Arial" w:cs="Arial" w:eastAsia="Arial" w:hAnsi="Arial"/>
          <w:sz w:val="13"/>
          <w:szCs w:val="13"/>
          <w:color w:val="auto"/>
        </w:rPr>
      </w:pPr>
    </w:p>
    <w:p>
      <w:pPr>
        <w:ind w:left="660" w:hanging="328"/>
        <w:spacing w:after="0"/>
        <w:tabs>
          <w:tab w:leader="none" w:pos="6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Excludes $357 million and $437 million of repledged U.S. Treasury securities received as collateral from counterparties as of December 31, 2019 and 2018,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from Counterparties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December 31, 2019 and 2018, we had assets pledged to us from counterparties as collateral under our reverse repurchase and derivative agreements summarized in the tables below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Reverse</w:t>
            </w:r>
          </w:p>
        </w:tc>
        <w:tc>
          <w:tcPr>
            <w:tcW w:w="140" w:type="dxa"/>
            <w:vAlign w:val="bottom"/>
          </w:tcPr>
          <w:p>
            <w:pPr>
              <w:spacing w:after="0"/>
              <w:rPr>
                <w:sz w:val="13"/>
                <w:szCs w:val="13"/>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120" w:type="dxa"/>
            <w:vAlign w:val="bottom"/>
          </w:tcPr>
          <w:p>
            <w:pPr>
              <w:spacing w:after="0"/>
              <w:rPr>
                <w:sz w:val="13"/>
                <w:szCs w:val="13"/>
                <w:color w:val="auto"/>
              </w:rPr>
            </w:pP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2"/>
              </w:rPr>
              <w:t>Repurchase</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Reverse</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3"/>
                <w:szCs w:val="13"/>
                <w:color w:val="auto"/>
              </w:rPr>
            </w:pP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2"/>
              </w:rPr>
              <w:t>Repurchase</w:t>
            </w: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AGNC</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Repurchase</w:t>
            </w: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Repurchase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1"/>
              </w:rPr>
              <w:t>Agreements</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1"/>
              </w:rPr>
              <w:t>Agreements</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U.S. Treasury securities - fair value </w:t>
            </w:r>
            <w:r>
              <w:rPr>
                <w:rFonts w:ascii="Arial" w:cs="Arial" w:eastAsia="Arial" w:hAnsi="Arial"/>
                <w:sz w:val="8"/>
                <w:szCs w:val="8"/>
                <w:b w:val="1"/>
                <w:bCs w:val="1"/>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10,099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21,876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21,948</w:t>
            </w:r>
          </w:p>
        </w:tc>
        <w:tc>
          <w:tcPr>
            <w:tcW w:w="0" w:type="dxa"/>
            <w:vAlign w:val="bottom"/>
          </w:tcPr>
          <w:p>
            <w:pPr>
              <w:spacing w:after="0"/>
              <w:rPr>
                <w:sz w:val="1"/>
                <w:szCs w:val="1"/>
                <w:color w:val="auto"/>
              </w:rPr>
            </w:pPr>
          </w:p>
        </w:tc>
      </w:tr>
      <w:tr>
        <w:trPr>
          <w:trHeight w:val="264"/>
        </w:trPr>
        <w:tc>
          <w:tcPr>
            <w:tcW w:w="2420" w:type="dxa"/>
            <w:vAlign w:val="bottom"/>
            <w:gridSpan w:val="2"/>
          </w:tcPr>
          <w:p>
            <w:pPr>
              <w:ind w:left="40"/>
              <w:spacing w:after="0"/>
              <w:rPr>
                <w:sz w:val="20"/>
                <w:szCs w:val="20"/>
                <w:color w:val="auto"/>
              </w:rPr>
            </w:pPr>
            <w:r>
              <w:rPr>
                <w:rFonts w:ascii="Arial" w:cs="Arial" w:eastAsia="Arial" w:hAnsi="Arial"/>
                <w:sz w:val="14"/>
                <w:szCs w:val="14"/>
                <w:color w:val="auto"/>
              </w:rPr>
              <w:t>Cash</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64"/>
        </w:trPr>
        <w:tc>
          <w:tcPr>
            <w:tcW w:w="242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10,099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3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10,216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21,876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3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22,077</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660" w:right="20" w:hanging="328"/>
        <w:spacing w:after="0" w:line="273" w:lineRule="auto"/>
        <w:tabs>
          <w:tab w:leader="none" w:pos="6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As of December 31, 2019 and 2018, $357 million and $437 million, respectively, of U.S. Treasury securities received from counterparties were repledged as collateral and $9.5 billion and $21.4 billion, respectively, were used to cover short sales of U.S. Treasury securities.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Offsetting Assets and Liabilities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December 31, 2019 and 2018 (in millions):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719"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11"/>
          </w:tcPr>
          <w:p>
            <w:pPr>
              <w:jc w:val="right"/>
              <w:ind w:right="28"/>
              <w:spacing w:after="0"/>
              <w:rPr>
                <w:sz w:val="20"/>
                <w:szCs w:val="20"/>
                <w:color w:val="auto"/>
              </w:rPr>
            </w:pPr>
            <w:r>
              <w:rPr>
                <w:rFonts w:ascii="Arial" w:cs="Arial" w:eastAsia="Arial" w:hAnsi="Arial"/>
                <w:sz w:val="14"/>
                <w:szCs w:val="14"/>
                <w:b w:val="1"/>
                <w:bCs w:val="1"/>
                <w:color w:val="auto"/>
                <w:w w:val="92"/>
              </w:rPr>
              <w:t>Offsetting of Financial and Derivative Assets</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88"/>
              <w:spacing w:after="0" w:line="149" w:lineRule="exact"/>
              <w:rPr>
                <w:sz w:val="20"/>
                <w:szCs w:val="20"/>
                <w:color w:val="auto"/>
              </w:rPr>
            </w:pPr>
            <w:r>
              <w:rPr>
                <w:rFonts w:ascii="Arial" w:cs="Arial" w:eastAsia="Arial" w:hAnsi="Arial"/>
                <w:sz w:val="14"/>
                <w:szCs w:val="14"/>
                <w:b w:val="1"/>
                <w:bCs w:val="1"/>
                <w:color w:val="auto"/>
                <w:w w:val="90"/>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Assets Presented</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tcPr>
          <w:p>
            <w:pPr>
              <w:jc w:val="center"/>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6"/>
              </w:rPr>
              <w:t>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Financial</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Collateral</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Assets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Balance Sheets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Balance Sheets</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Instruments</w:t>
            </w: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 xml:space="preserve">Received </w:t>
            </w:r>
            <w:r>
              <w:rPr>
                <w:rFonts w:ascii="Arial" w:cs="Arial" w:eastAsia="Arial" w:hAnsi="Arial"/>
                <w:sz w:val="8"/>
                <w:szCs w:val="8"/>
                <w:b w:val="1"/>
                <w:bCs w:val="1"/>
                <w:color w:val="auto"/>
                <w:w w:val="88"/>
              </w:rPr>
              <w:t>2</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2019</w:t>
            </w: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10,181</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10,181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(9,852)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3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10,357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21,813</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21,813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(17,236)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43"/>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22,086</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22,086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7"/>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2"/>
          </w:tcPr>
          <w:p>
            <w:pPr>
              <w:ind w:left="840"/>
              <w:spacing w:after="0"/>
              <w:rPr>
                <w:sz w:val="20"/>
                <w:szCs w:val="20"/>
                <w:color w:val="auto"/>
              </w:rPr>
            </w:pPr>
            <w:r>
              <w:rPr>
                <w:rFonts w:ascii="Arial" w:cs="Arial" w:eastAsia="Arial" w:hAnsi="Arial"/>
                <w:sz w:val="14"/>
                <w:szCs w:val="14"/>
                <w:b w:val="1"/>
                <w:bCs w:val="1"/>
                <w:color w:val="auto"/>
                <w:w w:val="94"/>
              </w:rPr>
              <w:t>Offsetting of Financial and Derivative Liabilities</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88"/>
              <w:spacing w:after="0" w:line="149" w:lineRule="exact"/>
              <w:rPr>
                <w:sz w:val="20"/>
                <w:szCs w:val="20"/>
                <w:color w:val="auto"/>
              </w:rPr>
            </w:pPr>
            <w:r>
              <w:rPr>
                <w:rFonts w:ascii="Arial" w:cs="Arial" w:eastAsia="Arial" w:hAnsi="Arial"/>
                <w:sz w:val="14"/>
                <w:szCs w:val="14"/>
                <w:b w:val="1"/>
                <w:bCs w:val="1"/>
                <w:color w:val="auto"/>
                <w:w w:val="90"/>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4"/>
          </w:tcPr>
          <w:p>
            <w:pPr>
              <w:jc w:val="center"/>
              <w:ind w:right="120"/>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28"/>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89"/>
              </w:rPr>
              <w:t>Presented 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Financial</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Collateral</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5"/>
              </w:rPr>
              <w:t>Liabilities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Balance Sheets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2"/>
              </w:rPr>
              <w:t xml:space="preserve">Pledged </w:t>
            </w:r>
            <w:r>
              <w:rPr>
                <w:rFonts w:ascii="Arial" w:cs="Arial" w:eastAsia="Arial" w:hAnsi="Arial"/>
                <w:sz w:val="8"/>
                <w:szCs w:val="8"/>
                <w:b w:val="1"/>
                <w:bCs w:val="1"/>
                <w:color w:val="auto"/>
                <w:w w:val="92"/>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Repurchase agreements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89,182</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89,182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(9,852)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(79,330)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89,188</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89,188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(79,330)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Repurchase agreements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75,717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75,717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(17,236)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(58,481)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75,757</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75,757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(17,276)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(58,481)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320" w:hanging="328"/>
        <w:spacing w:after="0" w:line="241" w:lineRule="auto"/>
        <w:tabs>
          <w:tab w:leader="none" w:pos="6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Reported under derivative assets / liabilities, at fair value in the accompanying consolidated balance sheets. Refer to Note 5 for a reconciliation of derivative assets / liabilities, at fair value to their sub-components.</w:t>
      </w:r>
    </w:p>
    <w:p>
      <w:pPr>
        <w:ind w:left="660" w:right="160" w:hanging="328"/>
        <w:spacing w:after="0" w:line="255" w:lineRule="auto"/>
        <w:tabs>
          <w:tab w:leader="none" w:pos="6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cash and securities pledged / received as collateral, at fair value. Amounts include repledged collateral. Amounts presented are limited to collateral pledged sufficient to reduce the net amount to zero for individual counterparties, as applicable.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17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determine the fair value of our financial instruments based on our estimate of the price that would be received to sell the asset or paid to transfer the liability in an orderly transaction between market participants at the measurement date. We typically obtain price estimates from multiple third-party pricing services and dealers or, if applicable, the clearing exchange (see Note 2 for further details.) We utilize a three-level valuation hierarchy for disclosure of fair value measurements. The valuation hierarchy is based upon the transparency of inputs to the valuation of an asset or liability as of the measurement date. A financial instrument's categorization within the hierarchy is based upon the lowest level of input that is significant to the fair value measurement.</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three levels of valuation hierarchy are defined as follows:</w:t>
      </w:r>
    </w:p>
    <w:p>
      <w:pPr>
        <w:spacing w:after="0" w:line="171" w:lineRule="exact"/>
        <w:rPr>
          <w:sz w:val="20"/>
          <w:szCs w:val="20"/>
          <w:color w:val="auto"/>
        </w:rPr>
      </w:pPr>
    </w:p>
    <w:p>
      <w:pPr>
        <w:ind w:left="6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unrestricted assets and liabilities in active markets that are accessible at the measurement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941" w:right="239" w:bottom="1440" w:gutter="0" w:footer="0" w:header="0"/>
        </w:sectPr>
      </w:pPr>
    </w:p>
    <w:bookmarkStart w:id="75" w:name="page76"/>
    <w:bookmarkEnd w:id="75"/>
    <w:p>
      <w:pPr>
        <w:ind w:left="660" w:hanging="328"/>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3 Inputs —Instruments with primarily unobservable market data that cannot be corroborated.</w:t>
      </w:r>
    </w:p>
    <w:p>
      <w:pPr>
        <w:spacing w:after="0" w:line="171" w:lineRule="exact"/>
        <w:rPr>
          <w:sz w:val="20"/>
          <w:szCs w:val="20"/>
          <w:color w:val="auto"/>
        </w:rPr>
      </w:pPr>
    </w:p>
    <w:p>
      <w:pPr>
        <w:jc w:val="both"/>
        <w:ind w:left="60" w:firstLine="432"/>
        <w:spacing w:after="0" w:line="259" w:lineRule="auto"/>
        <w:rPr>
          <w:sz w:val="20"/>
          <w:szCs w:val="20"/>
          <w:color w:val="auto"/>
        </w:rPr>
      </w:pPr>
      <w:r>
        <w:rPr>
          <w:rFonts w:ascii="Arial" w:cs="Arial" w:eastAsia="Arial" w:hAnsi="Arial"/>
          <w:sz w:val="18"/>
          <w:szCs w:val="18"/>
          <w:color w:val="auto"/>
        </w:rPr>
        <w:t>The availability of observable inputs can vary by instrument and is affected by a wide variety of factors, including the type of instrument, whether the instrument is new and not yet established in the marketplace and other characteristics particular to the instrument. Third-party pricing sources may also use certain unobservable inputs, such as assumptions of future levels of prepayment, defaults and loss severities, especially when estimating fair values for securities with lower levels of recent trading activity.</w:t>
      </w:r>
    </w:p>
    <w:p>
      <w:pPr>
        <w:spacing w:after="0" w:line="13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make inquiries of third-party pricing sources to understand the significant inputs and assumptions they used to determine their prices.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 would indicate and we cannot obtain an understanding from the third-party source as to the significant inputs used to determine the price.</w:t>
      </w:r>
    </w:p>
    <w:p>
      <w:pPr>
        <w:spacing w:after="0" w:line="12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validation procedures described above also influence our determination of the appropriate fair value measurement categorization. The following table provides a summary of our assets and liabilities that are measured at fair value on a recurring basis, as of December 31, 2019 and 2018, based on their categorization within the valuation hierarchy (in millions). There were no transfers between valuation hierarchy levels during the periods presented.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2019</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228"/>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2"/>
                <w:szCs w:val="22"/>
                <w:color w:val="auto"/>
              </w:rPr>
            </w:pPr>
          </w:p>
        </w:tc>
        <w:tc>
          <w:tcPr>
            <w:tcW w:w="820" w:type="dxa"/>
            <w:vAlign w:val="bottom"/>
          </w:tcPr>
          <w:p>
            <w:pPr>
              <w:jc w:val="right"/>
              <w:ind w:right="20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70"/>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Agency securities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98,516</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82,291</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Agency securities transferred to consolidated VIEs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Credit risk transfer securities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976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Non-Agency securities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U.S. Treasury securities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Swaptions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U.S. Treasury futures</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100,618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84,560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5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Debt of consolidated VIEs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4580" w:type="dxa"/>
            <w:vAlign w:val="bottom"/>
          </w:tcPr>
          <w:p>
            <w:pPr>
              <w:ind w:left="200"/>
              <w:spacing w:after="0" w:line="157" w:lineRule="exact"/>
              <w:rPr>
                <w:sz w:val="20"/>
                <w:szCs w:val="20"/>
                <w:color w:val="auto"/>
              </w:rPr>
            </w:pPr>
            <w:r>
              <w:rPr>
                <w:rFonts w:ascii="Arial" w:cs="Arial" w:eastAsia="Arial" w:hAnsi="Arial"/>
                <w:sz w:val="14"/>
                <w:szCs w:val="14"/>
                <w:color w:val="auto"/>
              </w:rPr>
              <w:t>Obligation to return U.S. Treasury securities borrowed under reverse</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580" w:type="dxa"/>
            <w:vAlign w:val="bottom"/>
          </w:tcPr>
          <w:p>
            <w:pPr>
              <w:ind w:left="200"/>
              <w:spacing w:after="0"/>
              <w:rPr>
                <w:sz w:val="20"/>
                <w:szCs w:val="20"/>
                <w:color w:val="auto"/>
              </w:rPr>
            </w:pPr>
            <w:r>
              <w:rPr>
                <w:rFonts w:ascii="Arial" w:cs="Arial" w:eastAsia="Arial" w:hAnsi="Arial"/>
                <w:sz w:val="14"/>
                <w:szCs w:val="14"/>
                <w:color w:val="auto"/>
              </w:rPr>
              <w:t>repurchase agreements</w:t>
            </w:r>
          </w:p>
        </w:tc>
        <w:tc>
          <w:tcPr>
            <w:tcW w:w="20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9,543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21,431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 Treasury futures</w:t>
            </w: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4"/>
                <w:szCs w:val="14"/>
                <w:color w:val="auto"/>
              </w:rPr>
              <w:t>Total</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9,543</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21,475</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Excluded from the table above are financial instruments, including cash and cash equivalents, restricted cash and cash equivalents, receivables, payables and borrowings under repurchase agreements, which are presented in our consolidated financial statements at cost. The cost basis of these instruments is determined to approximate fair value due to their short duration or, in the case of longer-term repo, due to floating rates of interest corresponding on an index plus or minus a fixed spread which is consistent with fixed spreads demanded in the market. We estimate the fair value of these instruments using "Level 1" or "Level 2" inputs.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719"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Note 8. Net Income Per Common Share</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Basic net income per common share is computed by dividing (i) net income available to common stockholders by (ii) the sum of our weighted-average number of common shares outstanding and the weighted-average number of vested but not yet issued time and performance-based RSUs outstanding for the period granted under our long-term incentive program to employees and non-employee Board of Directors. Diluted net income per common share assumes the issuance of all potential common stock equivalents unless the effect is to reduce a loss or increase the income per common share. Our potential common stock equivalents consist of unvested time and performance-based RSUs. The following table presents the computations of basic and diluted net income (loss) per common share for the periods indicated (shares and dollars in millions):</w:t>
      </w:r>
    </w:p>
    <w:p>
      <w:pPr>
        <w:spacing w:after="0" w:line="265" w:lineRule="exact"/>
        <w:rPr>
          <w:sz w:val="20"/>
          <w:szCs w:val="20"/>
          <w:color w:val="auto"/>
        </w:rPr>
      </w:pPr>
    </w:p>
    <w:tbl>
      <w:tblPr>
        <w:tblLayout w:type="fixed"/>
        <w:tblInd w:w="106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64"/>
        </w:trPr>
        <w:tc>
          <w:tcPr>
            <w:tcW w:w="63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r>
      <w:tr>
        <w:trPr>
          <w:trHeight w:val="256"/>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issued and outstanding</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540.2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440.9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358.6</w:t>
            </w:r>
          </w:p>
        </w:tc>
      </w:tr>
      <w:tr>
        <w:trPr>
          <w:trHeight w:val="264"/>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fully vested restricted stock units outstanding</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56"/>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540.6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441.1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358.6</w:t>
            </w:r>
          </w:p>
        </w:tc>
      </w:tr>
      <w:tr>
        <w:trPr>
          <w:trHeight w:val="264"/>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dilutive unvested restricted stock units outstanding</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r>
      <w:tr>
        <w:trPr>
          <w:trHeight w:val="243"/>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358.7</w:t>
            </w:r>
          </w:p>
        </w:tc>
      </w:tr>
      <w:tr>
        <w:trPr>
          <w:trHeight w:val="20"/>
        </w:trPr>
        <w:tc>
          <w:tcPr>
            <w:tcW w:w="6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5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available to common stockholders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733</w:t>
            </w:r>
          </w:p>
        </w:tc>
      </w:tr>
      <w:tr>
        <w:trPr>
          <w:trHeight w:val="21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per common share - basic</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0.21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2.04</w:t>
            </w:r>
          </w:p>
        </w:tc>
      </w:tr>
      <w:tr>
        <w:trPr>
          <w:trHeight w:val="20"/>
        </w:trPr>
        <w:tc>
          <w:tcPr>
            <w:tcW w:w="6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0"/>
        </w:trPr>
        <w:tc>
          <w:tcPr>
            <w:tcW w:w="6300" w:type="dxa"/>
            <w:vAlign w:val="bottom"/>
          </w:tcPr>
          <w:p>
            <w:pPr>
              <w:ind w:left="20"/>
              <w:spacing w:after="0"/>
              <w:rPr>
                <w:sz w:val="20"/>
                <w:szCs w:val="20"/>
                <w:color w:val="auto"/>
              </w:rPr>
            </w:pPr>
            <w:r>
              <w:rPr>
                <w:rFonts w:ascii="Arial" w:cs="Arial" w:eastAsia="Arial" w:hAnsi="Arial"/>
                <w:sz w:val="14"/>
                <w:szCs w:val="14"/>
                <w:color w:val="auto"/>
              </w:rPr>
              <w:t>Net income per common share - diluted</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0.21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2.04</w:t>
            </w:r>
          </w:p>
        </w:tc>
      </w:tr>
      <w:tr>
        <w:trPr>
          <w:trHeight w:val="20"/>
        </w:trPr>
        <w:tc>
          <w:tcPr>
            <w:tcW w:w="6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are authorized to designate and issue up to 10.0 million shares of preferred stock in one or more classes or series. As of December 31, 2019, 13,800, 10,350 and 16,100 shares were designated as 7.00% Series C, 6.875% Series D and 6.50% Series E Fixed-to-Floating Rate Cumulative Redeemable Preferred Stock, respectively, (referred to as Series C, D and E Preferred Stock, respectively). As of December 31, 2019, 13,000, 9,400 and 16,100 shares of Series C, D and E Preferred Stock, respectively, were issued and outstanding, with an aggregate carrying value of $932 million and aggregate liquidation preference of $963 million. As of December 31, 2018, 8,050 and 13,800 shares of 7.750% Series B Cumulative Redeemable Preferred Stock ("Series B Preferred Stock") and Series C Preferred Stock, respectively, were designated and 7,000 and 13,000 shares, respectively, were issued and outstanding with an aggregate carrying value of $484 million and an aggregate liquidation preference of $500 million. Each share of Series B, C, D and E Preferred Stock represents 1,000 Series B, C, D and E Preferred Stock depositary shares, respectively.</w:t>
      </w:r>
    </w:p>
    <w:p>
      <w:pPr>
        <w:spacing w:after="0" w:line="1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each series of preferred stock ranks on parity with one another. Under certain circumstances upon a change of control, our preferred stock is convertible to shares of our common stock. Holders of our preferred stock and depositary shares underlying our preferred stock have no voting rights, except under limited conditions. Beginning on each series' optional redemption date, we may redeem such shares at $25.00 per depositary share, plus accumulated and unpaid dividends (whether or not declared), exclusively at our option.</w:t>
      </w:r>
    </w:p>
    <w:p>
      <w:pPr>
        <w:spacing w:after="0" w:line="12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November 2019, we redeemed all of the outstanding shares (and corresponding depositary shares) of our Series B Preferred Stock for $175 million (or $25.00 per depositary share), plus accrued and unpaid dividends to, but not including, the redemption date. In December, 2019, we filed a Certificate of Elimination of our Series B Preferred Stock with the Secretary of State of the State of Delaware, which eliminated the designation of Series B Preferred Stock from our amended and restated certificate of incorporation. Prior to the redemption date, holders of Series B Preferred Stock were entitled to receive cumulative cash dividends at a fixed rate of 7.750% per annum of their $25.00 per depositary share liquidation preference.</w:t>
      </w:r>
    </w:p>
    <w:p>
      <w:pPr>
        <w:spacing w:after="0" w:line="1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September 2017, we redeemed all of the outstanding shares of our 8.000% Series A Cumulative Redeemable Preferred Stock for their aggregate liquidation preference of $173 million, plus accrued and unpaid dividends, and, in October 2017, we eliminated the designation of Series A Preferred Stock from our amended and restated certificate of incorporation. Prior to the redemption date, holders of Series A Preferred Stock were entitled to receive cumulative cash dividends at a fixed rate of 8.000% per annum of their $25.00 per share liquidation preference.</w:t>
      </w:r>
    </w:p>
    <w:p>
      <w:pPr>
        <w:spacing w:after="0" w:line="13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table includes a summary of preferred stock depositary shares issued and outstanding as of December 31, 2019 (dollars and shares in millions):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553"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Depositary</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Fixed-to-Floating</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Fixed-to-Floating Rate</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Issued</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0"/>
              <w:spacing w:after="0" w:line="149" w:lineRule="exact"/>
              <w:rPr>
                <w:sz w:val="20"/>
                <w:szCs w:val="20"/>
                <w:color w:val="auto"/>
              </w:rPr>
            </w:pPr>
            <w:r>
              <w:rPr>
                <w:rFonts w:ascii="Arial" w:cs="Arial" w:eastAsia="Arial" w:hAnsi="Arial"/>
                <w:sz w:val="14"/>
                <w:szCs w:val="14"/>
                <w:b w:val="1"/>
                <w:bCs w:val="1"/>
                <w:color w:val="auto"/>
                <w:w w:val="86"/>
              </w:rPr>
              <w:t>Aggregate</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Optional</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Rate</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Cumulative Redeemable</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Issuance</w:t>
            </w: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and</w:t>
            </w:r>
          </w:p>
        </w:tc>
        <w:tc>
          <w:tcPr>
            <w:tcW w:w="180" w:type="dxa"/>
            <w:vAlign w:val="bottom"/>
          </w:tcPr>
          <w:p>
            <w:pPr>
              <w:spacing w:after="0"/>
              <w:rPr>
                <w:sz w:val="12"/>
                <w:szCs w:val="12"/>
                <w:color w:val="auto"/>
              </w:rPr>
            </w:pP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900" w:type="dxa"/>
            <w:vAlign w:val="bottom"/>
          </w:tcPr>
          <w:p>
            <w:pPr>
              <w:jc w:val="center"/>
              <w:ind w:right="50"/>
              <w:spacing w:after="0" w:line="149" w:lineRule="exact"/>
              <w:rPr>
                <w:sz w:val="20"/>
                <w:szCs w:val="20"/>
                <w:color w:val="auto"/>
              </w:rPr>
            </w:pPr>
            <w:r>
              <w:rPr>
                <w:rFonts w:ascii="Arial" w:cs="Arial" w:eastAsia="Arial" w:hAnsi="Arial"/>
                <w:sz w:val="14"/>
                <w:szCs w:val="14"/>
                <w:b w:val="1"/>
                <w:bCs w:val="1"/>
                <w:color w:val="auto"/>
                <w:w w:val="92"/>
              </w:rPr>
              <w:t>Liquidation</w:t>
            </w:r>
          </w:p>
        </w:tc>
        <w:tc>
          <w:tcPr>
            <w:tcW w:w="1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Fixed</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Redemption</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Conversion</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Floating</w:t>
            </w:r>
          </w:p>
        </w:tc>
        <w:tc>
          <w:tcPr>
            <w:tcW w:w="0" w:type="dxa"/>
            <w:vAlign w:val="bottom"/>
          </w:tcPr>
          <w:p>
            <w:pPr>
              <w:spacing w:after="0"/>
              <w:rPr>
                <w:sz w:val="1"/>
                <w:szCs w:val="1"/>
                <w:color w:val="auto"/>
              </w:rPr>
            </w:pPr>
          </w:p>
        </w:tc>
      </w:tr>
      <w:tr>
        <w:trPr>
          <w:trHeight w:val="188"/>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Preferred Stock </w:t>
            </w:r>
            <w:r>
              <w:rPr>
                <w:rFonts w:ascii="Arial" w:cs="Arial" w:eastAsia="Arial" w:hAnsi="Arial"/>
                <w:sz w:val="11"/>
                <w:szCs w:val="11"/>
                <w:b w:val="1"/>
                <w:bCs w:val="1"/>
                <w:color w:val="auto"/>
              </w:rPr>
              <w:t>1</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b w:val="1"/>
                <w:bCs w:val="1"/>
                <w:color w:val="auto"/>
                <w:w w:val="88"/>
              </w:rPr>
              <w:t>Preference</w:t>
            </w:r>
          </w:p>
        </w:tc>
        <w:tc>
          <w:tcPr>
            <w:tcW w:w="1000" w:type="dxa"/>
            <w:vAlign w:val="bottom"/>
            <w:tcBorders>
              <w:bottom w:val="single" w:sz="8" w:color="auto"/>
            </w:tcBorders>
          </w:tcPr>
          <w:p>
            <w:pPr>
              <w:jc w:val="center"/>
              <w:ind w:left="50"/>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xml:space="preserve">Date </w:t>
            </w:r>
            <w:r>
              <w:rPr>
                <w:rFonts w:ascii="Arial" w:cs="Arial" w:eastAsia="Arial" w:hAnsi="Arial"/>
                <w:sz w:val="11"/>
                <w:szCs w:val="11"/>
                <w:b w:val="1"/>
                <w:bCs w:val="1"/>
                <w:color w:val="auto"/>
                <w:w w:val="89"/>
              </w:rPr>
              <w:t>2</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Annual Rate</w:t>
            </w:r>
          </w:p>
        </w:tc>
        <w:tc>
          <w:tcPr>
            <w:tcW w:w="0" w:type="dxa"/>
            <w:vAlign w:val="bottom"/>
          </w:tcPr>
          <w:p>
            <w:pPr>
              <w:spacing w:after="0"/>
              <w:rPr>
                <w:sz w:val="1"/>
                <w:szCs w:val="1"/>
                <w:color w:val="auto"/>
              </w:rPr>
            </w:pPr>
          </w:p>
        </w:tc>
      </w:tr>
      <w:tr>
        <w:trPr>
          <w:trHeight w:val="160"/>
        </w:trPr>
        <w:tc>
          <w:tcPr>
            <w:tcW w:w="196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color w:val="auto"/>
              </w:rPr>
              <w:t>Series C</w:t>
            </w:r>
          </w:p>
        </w:tc>
        <w:tc>
          <w:tcPr>
            <w:tcW w:w="12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0"/>
              </w:rPr>
              <w:t>August 22, 2017</w:t>
            </w:r>
          </w:p>
        </w:tc>
        <w:tc>
          <w:tcPr>
            <w:tcW w:w="10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325</w:t>
            </w:r>
          </w:p>
        </w:tc>
        <w:tc>
          <w:tcPr>
            <w:tcW w:w="1000" w:type="dxa"/>
            <w:vAlign w:val="bottom"/>
            <w:vMerge w:val="restart"/>
            <w:shd w:val="clear" w:color="auto" w:fill="CCEEFF"/>
          </w:tcPr>
          <w:p>
            <w:pPr>
              <w:jc w:val="center"/>
              <w:ind w:left="30"/>
              <w:spacing w:after="0"/>
              <w:rPr>
                <w:sz w:val="20"/>
                <w:szCs w:val="20"/>
                <w:color w:val="auto"/>
              </w:rPr>
            </w:pPr>
            <w:r>
              <w:rPr>
                <w:rFonts w:ascii="Arial" w:cs="Arial" w:eastAsia="Arial" w:hAnsi="Arial"/>
                <w:sz w:val="14"/>
                <w:szCs w:val="14"/>
                <w:color w:val="auto"/>
                <w:w w:val="88"/>
              </w:rPr>
              <w:t>7.000%</w:t>
            </w:r>
          </w:p>
        </w:tc>
        <w:tc>
          <w:tcPr>
            <w:tcW w:w="12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88"/>
              </w:rPr>
              <w:t>October 15, 2022</w:t>
            </w:r>
          </w:p>
        </w:tc>
        <w:tc>
          <w:tcPr>
            <w:tcW w:w="12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88"/>
              </w:rPr>
              <w:t>October 15, 2022</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97"/>
        </w:trPr>
        <w:tc>
          <w:tcPr>
            <w:tcW w:w="1960" w:type="dxa"/>
            <w:vAlign w:val="bottom"/>
            <w:gridSpan w:val="2"/>
            <w:vMerge w:val="continue"/>
            <w:shd w:val="clear" w:color="auto" w:fill="CCEEFF"/>
          </w:tcPr>
          <w:p>
            <w:pPr>
              <w:spacing w:after="0"/>
              <w:rPr>
                <w:sz w:val="8"/>
                <w:szCs w:val="8"/>
                <w:color w:val="auto"/>
              </w:rPr>
            </w:pPr>
          </w:p>
        </w:tc>
        <w:tc>
          <w:tcPr>
            <w:tcW w:w="1280" w:type="dxa"/>
            <w:vAlign w:val="bottom"/>
            <w:gridSpan w:val="2"/>
            <w:vMerge w:val="continue"/>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5.111%</w:t>
            </w:r>
          </w:p>
        </w:tc>
        <w:tc>
          <w:tcPr>
            <w:tcW w:w="0" w:type="dxa"/>
            <w:vAlign w:val="bottom"/>
          </w:tcPr>
          <w:p>
            <w:pPr>
              <w:spacing w:after="0"/>
              <w:rPr>
                <w:sz w:val="1"/>
                <w:szCs w:val="1"/>
                <w:color w:val="auto"/>
              </w:rPr>
            </w:pPr>
          </w:p>
        </w:tc>
      </w:tr>
      <w:tr>
        <w:trPr>
          <w:trHeight w:val="93"/>
        </w:trPr>
        <w:tc>
          <w:tcPr>
            <w:tcW w:w="18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960" w:type="dxa"/>
            <w:vAlign w:val="bottom"/>
            <w:gridSpan w:val="2"/>
            <w:vMerge w:val="restart"/>
          </w:tcPr>
          <w:p>
            <w:pPr>
              <w:ind w:left="180"/>
              <w:spacing w:after="0"/>
              <w:rPr>
                <w:sz w:val="20"/>
                <w:szCs w:val="20"/>
                <w:color w:val="auto"/>
              </w:rPr>
            </w:pPr>
            <w:r>
              <w:rPr>
                <w:rFonts w:ascii="Arial" w:cs="Arial" w:eastAsia="Arial" w:hAnsi="Arial"/>
                <w:sz w:val="14"/>
                <w:szCs w:val="14"/>
                <w:color w:val="auto"/>
              </w:rPr>
              <w:t>Series D</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9"/>
              </w:rPr>
              <w:t>March 6, 2019</w:t>
            </w:r>
          </w:p>
        </w:tc>
        <w:tc>
          <w:tcPr>
            <w:tcW w:w="1040" w:type="dxa"/>
            <w:vAlign w:val="bottom"/>
            <w:vMerge w:val="restart"/>
          </w:tcPr>
          <w:p>
            <w:pPr>
              <w:jc w:val="right"/>
              <w:ind w:right="50"/>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right"/>
              <w:ind w:right="70"/>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4"/>
                <w:szCs w:val="14"/>
                <w:color w:val="auto"/>
              </w:rPr>
              <w:t>235</w:t>
            </w:r>
          </w:p>
        </w:tc>
        <w:tc>
          <w:tcPr>
            <w:tcW w:w="1000" w:type="dxa"/>
            <w:vAlign w:val="bottom"/>
            <w:vMerge w:val="restart"/>
          </w:tcPr>
          <w:p>
            <w:pPr>
              <w:jc w:val="center"/>
              <w:ind w:left="30"/>
              <w:spacing w:after="0"/>
              <w:rPr>
                <w:sz w:val="20"/>
                <w:szCs w:val="20"/>
                <w:color w:val="auto"/>
              </w:rPr>
            </w:pPr>
            <w:r>
              <w:rPr>
                <w:rFonts w:ascii="Arial" w:cs="Arial" w:eastAsia="Arial" w:hAnsi="Arial"/>
                <w:sz w:val="14"/>
                <w:szCs w:val="14"/>
                <w:color w:val="auto"/>
                <w:w w:val="88"/>
              </w:rPr>
              <w:t>6.875%</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2"/>
              </w:rPr>
              <w:t>April 15, 2024</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April 15, 2024</w:t>
            </w:r>
          </w:p>
        </w:tc>
        <w:tc>
          <w:tcPr>
            <w:tcW w:w="1240" w:type="dxa"/>
            <w:vAlign w:val="bottom"/>
          </w:tcPr>
          <w:p>
            <w:pPr>
              <w:jc w:val="center"/>
              <w:spacing w:after="0"/>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97"/>
        </w:trPr>
        <w:tc>
          <w:tcPr>
            <w:tcW w:w="1960" w:type="dxa"/>
            <w:vAlign w:val="bottom"/>
            <w:gridSpan w:val="2"/>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2"/>
              </w:rPr>
              <w:t>4.332%</w:t>
            </w:r>
          </w:p>
        </w:tc>
        <w:tc>
          <w:tcPr>
            <w:tcW w:w="0" w:type="dxa"/>
            <w:vAlign w:val="bottom"/>
          </w:tcPr>
          <w:p>
            <w:pPr>
              <w:spacing w:after="0"/>
              <w:rPr>
                <w:sz w:val="1"/>
                <w:szCs w:val="1"/>
                <w:color w:val="auto"/>
              </w:rPr>
            </w:pPr>
          </w:p>
        </w:tc>
      </w:tr>
      <w:tr>
        <w:trPr>
          <w:trHeight w:val="87"/>
        </w:trPr>
        <w:tc>
          <w:tcPr>
            <w:tcW w:w="1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196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color w:val="auto"/>
              </w:rPr>
              <w:t>Series E</w:t>
            </w:r>
          </w:p>
        </w:tc>
        <w:tc>
          <w:tcPr>
            <w:tcW w:w="12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1"/>
              </w:rPr>
              <w:t>October 3, 2019</w:t>
            </w:r>
          </w:p>
        </w:tc>
        <w:tc>
          <w:tcPr>
            <w:tcW w:w="10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390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403</w:t>
            </w:r>
          </w:p>
        </w:tc>
        <w:tc>
          <w:tcPr>
            <w:tcW w:w="1000" w:type="dxa"/>
            <w:vAlign w:val="bottom"/>
            <w:vMerge w:val="restart"/>
            <w:shd w:val="clear" w:color="auto" w:fill="CCEEFF"/>
          </w:tcPr>
          <w:p>
            <w:pPr>
              <w:jc w:val="center"/>
              <w:ind w:left="30"/>
              <w:spacing w:after="0"/>
              <w:rPr>
                <w:sz w:val="20"/>
                <w:szCs w:val="20"/>
                <w:color w:val="auto"/>
              </w:rPr>
            </w:pPr>
            <w:r>
              <w:rPr>
                <w:rFonts w:ascii="Arial" w:cs="Arial" w:eastAsia="Arial" w:hAnsi="Arial"/>
                <w:sz w:val="14"/>
                <w:szCs w:val="14"/>
                <w:color w:val="auto"/>
                <w:w w:val="88"/>
              </w:rPr>
              <w:t>6.500%</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88"/>
              </w:rPr>
              <w:t>October 15, 2024</w:t>
            </w:r>
          </w:p>
        </w:tc>
        <w:tc>
          <w:tcPr>
            <w:tcW w:w="12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88"/>
              </w:rPr>
              <w:t>October 15, 2024</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97"/>
        </w:trPr>
        <w:tc>
          <w:tcPr>
            <w:tcW w:w="1960" w:type="dxa"/>
            <w:vAlign w:val="bottom"/>
            <w:gridSpan w:val="2"/>
            <w:vMerge w:val="continue"/>
            <w:shd w:val="clear" w:color="auto" w:fill="CCEEFF"/>
          </w:tcPr>
          <w:p>
            <w:pPr>
              <w:spacing w:after="0"/>
              <w:rPr>
                <w:sz w:val="8"/>
                <w:szCs w:val="8"/>
                <w:color w:val="auto"/>
              </w:rPr>
            </w:pPr>
          </w:p>
        </w:tc>
        <w:tc>
          <w:tcPr>
            <w:tcW w:w="1280" w:type="dxa"/>
            <w:vAlign w:val="bottom"/>
            <w:gridSpan w:val="2"/>
            <w:vMerge w:val="continue"/>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4.993%</w:t>
            </w:r>
          </w:p>
        </w:tc>
        <w:tc>
          <w:tcPr>
            <w:tcW w:w="0" w:type="dxa"/>
            <w:vAlign w:val="bottom"/>
          </w:tcPr>
          <w:p>
            <w:pPr>
              <w:spacing w:after="0"/>
              <w:rPr>
                <w:sz w:val="1"/>
                <w:szCs w:val="1"/>
                <w:color w:val="auto"/>
              </w:rPr>
            </w:pPr>
          </w:p>
        </w:tc>
      </w:tr>
      <w:tr>
        <w:trPr>
          <w:trHeight w:val="87"/>
        </w:trPr>
        <w:tc>
          <w:tcPr>
            <w:tcW w:w="1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8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1960" w:type="dxa"/>
            <w:vAlign w:val="bottom"/>
            <w:gridSpan w:val="2"/>
          </w:tcPr>
          <w:p>
            <w:pPr>
              <w:ind w:left="180"/>
              <w:spacing w:after="0"/>
              <w:rPr>
                <w:sz w:val="20"/>
                <w:szCs w:val="20"/>
                <w:color w:val="auto"/>
              </w:rPr>
            </w:pPr>
            <w:r>
              <w:rPr>
                <w:rFonts w:ascii="Arial" w:cs="Arial" w:eastAsia="Arial" w:hAnsi="Arial"/>
                <w:sz w:val="14"/>
                <w:szCs w:val="14"/>
                <w:color w:val="auto"/>
              </w:rPr>
              <w:t>Total</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17"/>
                <w:szCs w:val="17"/>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0"/>
              <w:spacing w:after="0"/>
              <w:rPr>
                <w:sz w:val="20"/>
                <w:szCs w:val="20"/>
                <w:color w:val="auto"/>
              </w:rPr>
            </w:pPr>
            <w:r>
              <w:rPr>
                <w:rFonts w:ascii="Arial" w:cs="Arial" w:eastAsia="Arial" w:hAnsi="Arial"/>
                <w:sz w:val="14"/>
                <w:szCs w:val="14"/>
                <w:color w:val="auto"/>
              </w:rPr>
              <w:t>932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963</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24765</wp:posOffset>
            </wp:positionV>
            <wp:extent cx="211836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18360" cy="26035"/>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Fixed-to-floating rate redeemable preferred stock accrue dividends at an annual fixed rate of the $25.00 liquidation preference per depositary share from the issuance date up to, but not including, the fixed-to-floating rate conversion date; thereafter, dividends will accrue on a floating rate basis equal to 3-month LIBOR plus a fixed spread.</w:t>
      </w:r>
    </w:p>
    <w:p>
      <w:pPr>
        <w:ind w:left="660" w:hanging="328"/>
        <w:spacing w:after="0"/>
        <w:tabs>
          <w:tab w:leader="none" w:pos="660" w:val="left"/>
        </w:tabs>
        <w:numPr>
          <w:ilvl w:val="0"/>
          <w:numId w:val="55"/>
        </w:numPr>
        <w:rPr>
          <w:rFonts w:ascii="Arial" w:cs="Arial" w:eastAsia="Arial" w:hAnsi="Arial"/>
          <w:sz w:val="13"/>
          <w:szCs w:val="13"/>
          <w:color w:val="auto"/>
        </w:rPr>
      </w:pPr>
      <w:r>
        <w:rPr>
          <w:rFonts w:ascii="Arial" w:cs="Arial" w:eastAsia="Arial" w:hAnsi="Arial"/>
          <w:sz w:val="13"/>
          <w:szCs w:val="13"/>
          <w:color w:val="auto"/>
        </w:rPr>
        <w:t>Shares may be redeemed prior to our optional redemption date under certain circumstances intended to preserve our qualification as a REIT for U.S federal income tax purposes.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Offerings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fiscal year 2019, we did not complete a follow-on public offering of our common stock. During fiscal years 2018 and 2017, we completed follow-on public offerings of our common stock summarized in the table below (in millions, except for per share data).</w:t>
      </w:r>
    </w:p>
    <w:p>
      <w:pPr>
        <w:spacing w:after="0" w:line="25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Follow-On Public Offering</w:t>
            </w:r>
          </w:p>
        </w:tc>
        <w:tc>
          <w:tcPr>
            <w:tcW w:w="120" w:type="dxa"/>
            <w:vAlign w:val="bottom"/>
            <w:vMerge w:val="restart"/>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Price Received Per</w:t>
            </w:r>
          </w:p>
        </w:tc>
        <w:tc>
          <w:tcPr>
            <w:tcW w:w="15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Net Proceeds</w:t>
            </w:r>
          </w:p>
        </w:tc>
        <w:tc>
          <w:tcPr>
            <w:tcW w:w="0" w:type="dxa"/>
            <w:vAlign w:val="bottom"/>
          </w:tcPr>
          <w:p>
            <w:pPr>
              <w:spacing w:after="0"/>
              <w:rPr>
                <w:sz w:val="1"/>
                <w:szCs w:val="1"/>
                <w:color w:val="auto"/>
              </w:rPr>
            </w:pPr>
          </w:p>
        </w:tc>
      </w:tr>
      <w:tr>
        <w:trPr>
          <w:trHeight w:val="192"/>
        </w:trPr>
        <w:tc>
          <w:tcPr>
            <w:tcW w:w="2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Share, Net</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Fiscal Year 2018:</w:t>
            </w: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900" w:type="dxa"/>
            <w:vAlign w:val="bottom"/>
            <w:gridSpan w:val="2"/>
          </w:tcPr>
          <w:p>
            <w:pPr>
              <w:ind w:left="40"/>
              <w:spacing w:after="0"/>
              <w:rPr>
                <w:sz w:val="20"/>
                <w:szCs w:val="20"/>
                <w:color w:val="auto"/>
              </w:rPr>
            </w:pPr>
            <w:r>
              <w:rPr>
                <w:rFonts w:ascii="Arial" w:cs="Arial" w:eastAsia="Arial" w:hAnsi="Arial"/>
                <w:sz w:val="14"/>
                <w:szCs w:val="14"/>
                <w:color w:val="auto"/>
              </w:rPr>
              <w:t>May 2018</w:t>
            </w:r>
          </w:p>
        </w:tc>
        <w:tc>
          <w:tcPr>
            <w:tcW w:w="1500" w:type="dxa"/>
            <w:vAlign w:val="bottom"/>
          </w:tcPr>
          <w:p>
            <w:pPr>
              <w:jc w:val="center"/>
              <w:spacing w:after="0"/>
              <w:rPr>
                <w:sz w:val="20"/>
                <w:szCs w:val="20"/>
                <w:color w:val="auto"/>
              </w:rPr>
            </w:pPr>
            <w:r>
              <w:rPr>
                <w:rFonts w:ascii="Arial" w:cs="Arial" w:eastAsia="Arial" w:hAnsi="Arial"/>
                <w:sz w:val="14"/>
                <w:szCs w:val="14"/>
                <w:color w:val="auto"/>
                <w:w w:val="88"/>
              </w:rPr>
              <w:t>$18.35</w:t>
            </w:r>
          </w:p>
        </w:tc>
        <w:tc>
          <w:tcPr>
            <w:tcW w:w="120" w:type="dxa"/>
            <w:vAlign w:val="bottom"/>
          </w:tcPr>
          <w:p>
            <w:pPr>
              <w:spacing w:after="0"/>
              <w:rPr>
                <w:sz w:val="22"/>
                <w:szCs w:val="22"/>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633</w:t>
            </w:r>
          </w:p>
        </w:tc>
        <w:tc>
          <w:tcPr>
            <w:tcW w:w="0" w:type="dxa"/>
            <w:vAlign w:val="bottom"/>
          </w:tcPr>
          <w:p>
            <w:pPr>
              <w:spacing w:after="0"/>
              <w:rPr>
                <w:sz w:val="1"/>
                <w:szCs w:val="1"/>
                <w:color w:val="auto"/>
              </w:rPr>
            </w:pPr>
          </w:p>
        </w:tc>
      </w:tr>
      <w:tr>
        <w:trPr>
          <w:trHeight w:val="276"/>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August 2018</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$18.68</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w:t>
            </w:r>
          </w:p>
        </w:tc>
        <w:tc>
          <w:tcPr>
            <w:tcW w:w="0" w:type="dxa"/>
            <w:vAlign w:val="bottom"/>
          </w:tcPr>
          <w:p>
            <w:pPr>
              <w:spacing w:after="0"/>
              <w:rPr>
                <w:sz w:val="1"/>
                <w:szCs w:val="1"/>
                <w:color w:val="auto"/>
              </w:rPr>
            </w:pPr>
          </w:p>
        </w:tc>
      </w:tr>
      <w:tr>
        <w:trPr>
          <w:trHeight w:val="264"/>
        </w:trPr>
        <w:tc>
          <w:tcPr>
            <w:tcW w:w="29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November 2018</w:t>
            </w:r>
          </w:p>
        </w:tc>
        <w:tc>
          <w:tcPr>
            <w:tcW w:w="15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8"/>
              </w:rPr>
              <w:t>$17.09</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243"/>
        </w:trPr>
        <w:tc>
          <w:tcPr>
            <w:tcW w:w="29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Total fiscal year 2018</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2,236</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Fiscal Year 2017:</w:t>
            </w: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900" w:type="dxa"/>
            <w:vAlign w:val="bottom"/>
            <w:gridSpan w:val="2"/>
          </w:tcPr>
          <w:p>
            <w:pPr>
              <w:ind w:left="40"/>
              <w:spacing w:after="0"/>
              <w:rPr>
                <w:sz w:val="20"/>
                <w:szCs w:val="20"/>
                <w:color w:val="auto"/>
              </w:rPr>
            </w:pPr>
            <w:r>
              <w:rPr>
                <w:rFonts w:ascii="Arial" w:cs="Arial" w:eastAsia="Arial" w:hAnsi="Arial"/>
                <w:sz w:val="14"/>
                <w:szCs w:val="14"/>
                <w:color w:val="auto"/>
              </w:rPr>
              <w:t>May 2017</w:t>
            </w:r>
          </w:p>
        </w:tc>
        <w:tc>
          <w:tcPr>
            <w:tcW w:w="1500" w:type="dxa"/>
            <w:vAlign w:val="bottom"/>
          </w:tcPr>
          <w:p>
            <w:pPr>
              <w:jc w:val="center"/>
              <w:spacing w:after="0"/>
              <w:rPr>
                <w:sz w:val="20"/>
                <w:szCs w:val="20"/>
                <w:color w:val="auto"/>
              </w:rPr>
            </w:pPr>
            <w:r>
              <w:rPr>
                <w:rFonts w:ascii="Arial" w:cs="Arial" w:eastAsia="Arial" w:hAnsi="Arial"/>
                <w:sz w:val="14"/>
                <w:szCs w:val="14"/>
                <w:color w:val="auto"/>
                <w:w w:val="88"/>
              </w:rPr>
              <w:t>$20.51</w:t>
            </w:r>
          </w:p>
        </w:tc>
        <w:tc>
          <w:tcPr>
            <w:tcW w:w="120" w:type="dxa"/>
            <w:vAlign w:val="bottom"/>
          </w:tcPr>
          <w:p>
            <w:pPr>
              <w:spacing w:after="0"/>
              <w:rPr>
                <w:sz w:val="22"/>
                <w:szCs w:val="22"/>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270"/>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September 2017</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$20.47</w:t>
            </w:r>
          </w:p>
        </w:tc>
        <w:tc>
          <w:tcPr>
            <w:tcW w:w="12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243"/>
        </w:trPr>
        <w:tc>
          <w:tcPr>
            <w:tcW w:w="2900" w:type="dxa"/>
            <w:vAlign w:val="bottom"/>
            <w:gridSpan w:val="2"/>
          </w:tcPr>
          <w:p>
            <w:pPr>
              <w:ind w:left="160"/>
              <w:spacing w:after="0"/>
              <w:rPr>
                <w:sz w:val="20"/>
                <w:szCs w:val="20"/>
                <w:color w:val="auto"/>
              </w:rPr>
            </w:pPr>
            <w:r>
              <w:rPr>
                <w:rFonts w:ascii="Arial" w:cs="Arial" w:eastAsia="Arial" w:hAnsi="Arial"/>
                <w:sz w:val="14"/>
                <w:szCs w:val="14"/>
                <w:color w:val="auto"/>
              </w:rPr>
              <w:t>Total fiscal year 2017</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authorized by our Board of Directors to enter into agreements with sales agents to publicly offer and sell shares of our common stock in privately negotiated and/or at-the-market transactions from time-to-time up to a maximum aggregate offering price of our common stock. The table below summarizes sales our common stock under the sales agreements during fiscal years 2019, 2018 and 2017 (in millions, except for per share data). As of December 31, 2019, shares of our common stock with an aggregate offering price of $466 million remained authorized for issuance under this program through June 14, 2021.</w:t>
      </w:r>
    </w:p>
    <w:p>
      <w:pPr>
        <w:spacing w:after="0" w:line="27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ATM Offerings</w:t>
            </w:r>
          </w:p>
        </w:tc>
        <w:tc>
          <w:tcPr>
            <w:tcW w:w="120" w:type="dxa"/>
            <w:vAlign w:val="bottom"/>
            <w:vMerge w:val="restart"/>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Average Price Received</w:t>
            </w:r>
          </w:p>
        </w:tc>
        <w:tc>
          <w:tcPr>
            <w:tcW w:w="15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Net Proceeds</w:t>
            </w:r>
          </w:p>
        </w:tc>
        <w:tc>
          <w:tcPr>
            <w:tcW w:w="0" w:type="dxa"/>
            <w:vAlign w:val="bottom"/>
          </w:tcPr>
          <w:p>
            <w:pPr>
              <w:spacing w:after="0"/>
              <w:rPr>
                <w:sz w:val="1"/>
                <w:szCs w:val="1"/>
                <w:color w:val="auto"/>
              </w:rPr>
            </w:pPr>
          </w:p>
        </w:tc>
      </w:tr>
      <w:tr>
        <w:trPr>
          <w:trHeight w:val="192"/>
        </w:trPr>
        <w:tc>
          <w:tcPr>
            <w:tcW w:w="2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 Share, Net</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Fiscal Year 2019</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$16.67</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64"/>
        </w:trPr>
        <w:tc>
          <w:tcPr>
            <w:tcW w:w="2900" w:type="dxa"/>
            <w:vAlign w:val="bottom"/>
            <w:gridSpan w:val="2"/>
          </w:tcPr>
          <w:p>
            <w:pPr>
              <w:ind w:left="40"/>
              <w:spacing w:after="0"/>
              <w:rPr>
                <w:sz w:val="20"/>
                <w:szCs w:val="20"/>
                <w:color w:val="auto"/>
              </w:rPr>
            </w:pPr>
            <w:r>
              <w:rPr>
                <w:rFonts w:ascii="Arial" w:cs="Arial" w:eastAsia="Arial" w:hAnsi="Arial"/>
                <w:sz w:val="14"/>
                <w:szCs w:val="14"/>
                <w:color w:val="auto"/>
              </w:rPr>
              <w:t>Fiscal Year 2018</w:t>
            </w:r>
          </w:p>
        </w:tc>
        <w:tc>
          <w:tcPr>
            <w:tcW w:w="1500" w:type="dxa"/>
            <w:vAlign w:val="bottom"/>
          </w:tcPr>
          <w:p>
            <w:pPr>
              <w:jc w:val="center"/>
              <w:spacing w:after="0"/>
              <w:rPr>
                <w:sz w:val="20"/>
                <w:szCs w:val="20"/>
                <w:color w:val="auto"/>
              </w:rPr>
            </w:pPr>
            <w:r>
              <w:rPr>
                <w:rFonts w:ascii="Arial" w:cs="Arial" w:eastAsia="Arial" w:hAnsi="Arial"/>
                <w:sz w:val="14"/>
                <w:szCs w:val="14"/>
                <w:color w:val="auto"/>
                <w:w w:val="88"/>
              </w:rPr>
              <w:t>$18.03</w:t>
            </w:r>
          </w:p>
        </w:tc>
        <w:tc>
          <w:tcPr>
            <w:tcW w:w="120" w:type="dxa"/>
            <w:vAlign w:val="bottom"/>
          </w:tcPr>
          <w:p>
            <w:pPr>
              <w:spacing w:after="0"/>
              <w:rPr>
                <w:sz w:val="22"/>
                <w:szCs w:val="22"/>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276"/>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Fiscal Year 2017</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$20.96</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From time-to-time we are authorized by our Board of Directors to repurchase shares of our common stock under certain conditions. In July 2019, our Board of Directors authorized the repurchase of up to $1 billion of our outstanding shares of common stock through December 31, 2020. During fiscal year 2019, we repurchased 6.9 million shares, or $103 million, of our common stock for an average repurchase price of $14.90 per common share, inclusive of transaction costs. As of December 31, 2019, we had $0.9 billion of common stock remaining available for repurchase.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865"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Distributions to Stockholders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cash dividends declared during fiscal years 2019, 2018 and 2017 (in millions, except per share amounts):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auto"/>
                <w:w w:val="88"/>
              </w:rPr>
              <w:t>Dividends Declared</w:t>
            </w:r>
          </w:p>
        </w:tc>
      </w:tr>
      <w:tr>
        <w:trPr>
          <w:trHeight w:val="210"/>
        </w:trPr>
        <w:tc>
          <w:tcPr>
            <w:tcW w:w="7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Dividends Declared</w:t>
            </w:r>
          </w:p>
        </w:tc>
        <w:tc>
          <w:tcPr>
            <w:tcW w:w="220" w:type="dxa"/>
            <w:vAlign w:val="bottom"/>
          </w:tcPr>
          <w:p>
            <w:pPr>
              <w:spacing w:after="0"/>
              <w:rPr>
                <w:sz w:val="18"/>
                <w:szCs w:val="18"/>
                <w:color w:val="auto"/>
              </w:rPr>
            </w:pPr>
          </w:p>
        </w:tc>
        <w:tc>
          <w:tcPr>
            <w:tcW w:w="1460" w:type="dxa"/>
            <w:vAlign w:val="bottom"/>
          </w:tcPr>
          <w:p>
            <w:pPr>
              <w:jc w:val="right"/>
              <w:ind w:right="359"/>
              <w:spacing w:after="0"/>
              <w:rPr>
                <w:sz w:val="20"/>
                <w:szCs w:val="20"/>
                <w:color w:val="auto"/>
              </w:rPr>
            </w:pPr>
            <w:r>
              <w:rPr>
                <w:rFonts w:ascii="Arial" w:cs="Arial" w:eastAsia="Arial" w:hAnsi="Arial"/>
                <w:sz w:val="16"/>
                <w:szCs w:val="16"/>
                <w:b w:val="1"/>
                <w:bCs w:val="1"/>
                <w:color w:val="auto"/>
              </w:rPr>
              <w:t>Per Share</w:t>
            </w:r>
          </w:p>
        </w:tc>
      </w:tr>
      <w:tr>
        <w:trPr>
          <w:trHeight w:val="33"/>
        </w:trPr>
        <w:tc>
          <w:tcPr>
            <w:tcW w:w="7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75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8.000 % Series A Cumulative Redeemable Preferred Stock</w:t>
            </w:r>
          </w:p>
        </w:tc>
        <w:tc>
          <w:tcPr>
            <w:tcW w:w="6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7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Fiscal year 2017</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1.333000</w:t>
            </w:r>
          </w:p>
        </w:tc>
      </w:tr>
      <w:tr>
        <w:trPr>
          <w:trHeight w:val="237"/>
        </w:trPr>
        <w:tc>
          <w:tcPr>
            <w:tcW w:w="75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7.750% Series B Cumulative Redeemable Preferred Stock (Per Depositary Share)</w:t>
            </w:r>
          </w:p>
        </w:tc>
        <w:tc>
          <w:tcPr>
            <w:tcW w:w="6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7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Fiscal year 2019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1.673785</w:t>
            </w:r>
          </w:p>
        </w:tc>
      </w:tr>
      <w:tr>
        <w:trPr>
          <w:trHeight w:val="237"/>
        </w:trPr>
        <w:tc>
          <w:tcPr>
            <w:tcW w:w="7560" w:type="dxa"/>
            <w:vAlign w:val="bottom"/>
          </w:tcPr>
          <w:p>
            <w:pPr>
              <w:ind w:left="200"/>
              <w:spacing w:after="0"/>
              <w:rPr>
                <w:sz w:val="20"/>
                <w:szCs w:val="20"/>
                <w:color w:val="auto"/>
              </w:rPr>
            </w:pPr>
            <w:r>
              <w:rPr>
                <w:rFonts w:ascii="Arial" w:cs="Arial" w:eastAsia="Arial" w:hAnsi="Arial"/>
                <w:sz w:val="16"/>
                <w:szCs w:val="16"/>
                <w:color w:val="auto"/>
              </w:rPr>
              <w:t>Fiscal year 2018</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1.937500</w:t>
            </w:r>
          </w:p>
        </w:tc>
      </w:tr>
      <w:tr>
        <w:trPr>
          <w:trHeight w:val="33"/>
        </w:trPr>
        <w:tc>
          <w:tcPr>
            <w:tcW w:w="7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Fiscal year 2017</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1.937500</w:t>
            </w:r>
          </w:p>
        </w:tc>
      </w:tr>
      <w:tr>
        <w:trPr>
          <w:trHeight w:val="237"/>
        </w:trPr>
        <w:tc>
          <w:tcPr>
            <w:tcW w:w="7560" w:type="dxa"/>
            <w:vAlign w:val="bottom"/>
          </w:tcPr>
          <w:p>
            <w:pPr>
              <w:ind w:left="40"/>
              <w:spacing w:after="0"/>
              <w:rPr>
                <w:sz w:val="20"/>
                <w:szCs w:val="20"/>
                <w:color w:val="auto"/>
              </w:rPr>
            </w:pPr>
            <w:r>
              <w:rPr>
                <w:rFonts w:ascii="Arial" w:cs="Arial" w:eastAsia="Arial" w:hAnsi="Arial"/>
                <w:sz w:val="16"/>
                <w:szCs w:val="16"/>
                <w:b w:val="1"/>
                <w:bCs w:val="1"/>
                <w:i w:val="1"/>
                <w:iCs w:val="1"/>
                <w:color w:val="auto"/>
                <w:w w:val="96"/>
              </w:rPr>
              <w:t>7.00% Series C Fixed-to-Floating Rate Cumulative Redeemable Preferred Stock (Per Depositary Share)</w:t>
            </w:r>
          </w:p>
        </w:tc>
        <w:tc>
          <w:tcPr>
            <w:tcW w:w="6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7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Fiscal year 2019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1.750000</w:t>
            </w:r>
          </w:p>
        </w:tc>
      </w:tr>
      <w:tr>
        <w:trPr>
          <w:trHeight w:val="237"/>
        </w:trPr>
        <w:tc>
          <w:tcPr>
            <w:tcW w:w="7560" w:type="dxa"/>
            <w:vAlign w:val="bottom"/>
          </w:tcPr>
          <w:p>
            <w:pPr>
              <w:ind w:left="200"/>
              <w:spacing w:after="0"/>
              <w:rPr>
                <w:sz w:val="20"/>
                <w:szCs w:val="20"/>
                <w:color w:val="auto"/>
              </w:rPr>
            </w:pPr>
            <w:r>
              <w:rPr>
                <w:rFonts w:ascii="Arial" w:cs="Arial" w:eastAsia="Arial" w:hAnsi="Arial"/>
                <w:sz w:val="16"/>
                <w:szCs w:val="16"/>
                <w:color w:val="auto"/>
              </w:rPr>
              <w:t>Fiscal year 2018</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1.750000</w:t>
            </w:r>
          </w:p>
        </w:tc>
      </w:tr>
      <w:tr>
        <w:trPr>
          <w:trHeight w:val="33"/>
        </w:trPr>
        <w:tc>
          <w:tcPr>
            <w:tcW w:w="7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Fiscal year 2017</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0.695140</w:t>
            </w:r>
          </w:p>
        </w:tc>
      </w:tr>
      <w:tr>
        <w:trPr>
          <w:trHeight w:val="237"/>
        </w:trPr>
        <w:tc>
          <w:tcPr>
            <w:tcW w:w="7560" w:type="dxa"/>
            <w:vAlign w:val="bottom"/>
          </w:tcPr>
          <w:p>
            <w:pPr>
              <w:ind w:left="40"/>
              <w:spacing w:after="0"/>
              <w:rPr>
                <w:sz w:val="20"/>
                <w:szCs w:val="20"/>
                <w:color w:val="auto"/>
              </w:rPr>
            </w:pPr>
            <w:r>
              <w:rPr>
                <w:rFonts w:ascii="Arial" w:cs="Arial" w:eastAsia="Arial" w:hAnsi="Arial"/>
                <w:sz w:val="16"/>
                <w:szCs w:val="16"/>
                <w:b w:val="1"/>
                <w:bCs w:val="1"/>
                <w:i w:val="1"/>
                <w:iCs w:val="1"/>
                <w:color w:val="auto"/>
                <w:w w:val="96"/>
              </w:rPr>
              <w:t>7.00% Series D Fixed-to-Floating Rate Cumulative Redeemable Preferred Stock (Per Depositary Share)</w:t>
            </w:r>
          </w:p>
        </w:tc>
        <w:tc>
          <w:tcPr>
            <w:tcW w:w="6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7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Fiscal year 2019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1.475263</w:t>
            </w:r>
          </w:p>
        </w:tc>
      </w:tr>
      <w:tr>
        <w:trPr>
          <w:trHeight w:val="237"/>
        </w:trPr>
        <w:tc>
          <w:tcPr>
            <w:tcW w:w="7560" w:type="dxa"/>
            <w:vAlign w:val="bottom"/>
          </w:tcPr>
          <w:p>
            <w:pPr>
              <w:ind w:left="40"/>
              <w:spacing w:after="0"/>
              <w:rPr>
                <w:sz w:val="20"/>
                <w:szCs w:val="20"/>
                <w:color w:val="auto"/>
              </w:rPr>
            </w:pPr>
            <w:r>
              <w:rPr>
                <w:rFonts w:ascii="Arial" w:cs="Arial" w:eastAsia="Arial" w:hAnsi="Arial"/>
                <w:sz w:val="16"/>
                <w:szCs w:val="16"/>
                <w:b w:val="1"/>
                <w:bCs w:val="1"/>
                <w:i w:val="1"/>
                <w:iCs w:val="1"/>
                <w:color w:val="auto"/>
                <w:w w:val="96"/>
              </w:rPr>
              <w:t>7.00% Series E Fixed-to-Floating Rate Cumulative Redeemable Preferred Stock (Per Depositary Share)</w:t>
            </w:r>
          </w:p>
        </w:tc>
        <w:tc>
          <w:tcPr>
            <w:tcW w:w="6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7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Fiscal year 2019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0.460420</w:t>
            </w:r>
          </w:p>
        </w:tc>
      </w:tr>
      <w:tr>
        <w:trPr>
          <w:trHeight w:val="237"/>
        </w:trPr>
        <w:tc>
          <w:tcPr>
            <w:tcW w:w="75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Common Stock</w:t>
            </w:r>
          </w:p>
        </w:tc>
        <w:tc>
          <w:tcPr>
            <w:tcW w:w="6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7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Fiscal year 2019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2.000000</w:t>
            </w:r>
          </w:p>
        </w:tc>
      </w:tr>
      <w:tr>
        <w:trPr>
          <w:trHeight w:val="237"/>
        </w:trPr>
        <w:tc>
          <w:tcPr>
            <w:tcW w:w="7560" w:type="dxa"/>
            <w:vAlign w:val="bottom"/>
          </w:tcPr>
          <w:p>
            <w:pPr>
              <w:ind w:left="200"/>
              <w:spacing w:after="0"/>
              <w:rPr>
                <w:sz w:val="20"/>
                <w:szCs w:val="20"/>
                <w:color w:val="auto"/>
              </w:rPr>
            </w:pPr>
            <w:r>
              <w:rPr>
                <w:rFonts w:ascii="Arial" w:cs="Arial" w:eastAsia="Arial" w:hAnsi="Arial"/>
                <w:sz w:val="16"/>
                <w:szCs w:val="16"/>
                <w:color w:val="auto"/>
              </w:rPr>
              <w:t>Fiscal year 2018</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964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2.160000</w:t>
            </w:r>
          </w:p>
        </w:tc>
      </w:tr>
      <w:tr>
        <w:trPr>
          <w:trHeight w:val="33"/>
        </w:trPr>
        <w:tc>
          <w:tcPr>
            <w:tcW w:w="7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7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Fiscal year 2017</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2.160000</w:t>
            </w:r>
          </w:p>
        </w:tc>
      </w:tr>
      <w:tr>
        <w:trPr>
          <w:trHeight w:val="33"/>
        </w:trPr>
        <w:tc>
          <w:tcPr>
            <w:tcW w:w="75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changes to accumulated OCI for fiscal years 2019, 2018 and 2017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Accumulated Other Comprehensive Income (Loss)</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r>
      <w:tr>
        <w:trPr>
          <w:trHeight w:val="250"/>
        </w:trPr>
        <w:tc>
          <w:tcPr>
            <w:tcW w:w="7780" w:type="dxa"/>
            <w:vAlign w:val="bottom"/>
            <w:gridSpan w:val="2"/>
          </w:tcPr>
          <w:p>
            <w:pPr>
              <w:ind w:left="40"/>
              <w:spacing w:after="0"/>
              <w:rPr>
                <w:sz w:val="20"/>
                <w:szCs w:val="20"/>
                <w:color w:val="auto"/>
              </w:rPr>
            </w:pPr>
            <w:r>
              <w:rPr>
                <w:rFonts w:ascii="Arial" w:cs="Arial" w:eastAsia="Arial" w:hAnsi="Arial"/>
                <w:sz w:val="14"/>
                <w:szCs w:val="14"/>
                <w:b w:val="1"/>
                <w:bCs w:val="1"/>
                <w:color w:val="auto"/>
              </w:rPr>
              <w:t>Beginning Balance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(943)</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(397)</w:t>
            </w:r>
          </w:p>
        </w:tc>
      </w:tr>
      <w:tr>
        <w:trPr>
          <w:trHeight w:val="276"/>
        </w:trPr>
        <w:tc>
          <w:tcPr>
            <w:tcW w:w="77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OCI before reclassifications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1,031</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157"/>
        </w:trPr>
        <w:tc>
          <w:tcPr>
            <w:tcW w:w="7780" w:type="dxa"/>
            <w:vAlign w:val="bottom"/>
            <w:gridSpan w:val="2"/>
          </w:tcPr>
          <w:p>
            <w:pPr>
              <w:ind w:left="200"/>
              <w:spacing w:after="0" w:line="157" w:lineRule="exact"/>
              <w:rPr>
                <w:sz w:val="20"/>
                <w:szCs w:val="20"/>
                <w:color w:val="auto"/>
              </w:rPr>
            </w:pPr>
            <w:r>
              <w:rPr>
                <w:rFonts w:ascii="Arial" w:cs="Arial" w:eastAsia="Arial" w:hAnsi="Arial"/>
                <w:sz w:val="14"/>
                <w:szCs w:val="14"/>
                <w:color w:val="auto"/>
                <w:w w:val="95"/>
              </w:rPr>
              <w:t>Net loss amounts for available-for-sale securities reclassified from accumulated OCI to realized gain (loss) on sale of investment</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8"/>
        </w:trPr>
        <w:tc>
          <w:tcPr>
            <w:tcW w:w="778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securities, net</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w:t>
            </w:r>
          </w:p>
        </w:tc>
      </w:tr>
      <w:tr>
        <w:trPr>
          <w:trHeight w:val="243"/>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Ending Balance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w:t>
            </w:r>
          </w:p>
        </w:tc>
      </w:tr>
      <w:tr>
        <w:trPr>
          <w:trHeight w:val="20"/>
        </w:trPr>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Long-Term Incentive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Incentive Plans</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The 2016 Equity Plan authorizes a total of 10 million shares our common stock that may be used to satisfy awards under the Plan, subject to the share counting rules set forth within the Plan. During fiscal years 2019, 2018 and 2017, we granted RSU awards to employees with a grant date fair value of $7 million, $4 million and $4 million, respectively, which vest annually over a three-year period. Additionally, during fiscal year 2018, we granted fully vested RSU awards to employees with a grant date fair value of $4 million in exchange for satisfaction and conversion of AGNC's obligations of an equivalent value under outstanding long-term incentive compensation awards granted to employees under the MTGE Incentive Plan ("RSU Exchange Awards") (see </w:t>
      </w:r>
      <w:r>
        <w:rPr>
          <w:rFonts w:ascii="Arial" w:cs="Arial" w:eastAsia="Arial" w:hAnsi="Arial"/>
          <w:sz w:val="17"/>
          <w:szCs w:val="17"/>
          <w:i w:val="1"/>
          <w:iCs w:val="1"/>
          <w:color w:val="auto"/>
        </w:rPr>
        <w:t>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Long-Term Incentive Compensation </w:t>
      </w:r>
      <w:r>
        <w:rPr>
          <w:rFonts w:ascii="Arial" w:cs="Arial" w:eastAsia="Arial" w:hAnsi="Arial"/>
          <w:sz w:val="17"/>
          <w:szCs w:val="17"/>
          <w:color w:val="auto"/>
        </w:rPr>
        <w:t>below). During fiscal years 2019, 2018 and 2017, we granted RSU awards to independent directors of $0.5 million, $0.5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and $0.5 million, respectively, which vest over a 12 to 13 month period.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719" w:right="239" w:bottom="1440" w:gutter="0" w:footer="0" w:header="0"/>
        </w:sectPr>
      </w:pPr>
    </w:p>
    <w:bookmarkStart w:id="79" w:name="page80"/>
    <w:bookmarkEnd w:id="79"/>
    <w:p>
      <w:pPr>
        <w:ind w:left="420"/>
        <w:spacing w:after="0"/>
        <w:rPr>
          <w:sz w:val="20"/>
          <w:szCs w:val="20"/>
          <w:color w:val="auto"/>
        </w:rPr>
      </w:pPr>
      <w:r>
        <w:rPr>
          <w:rFonts w:ascii="Arial" w:cs="Arial" w:eastAsia="Arial" w:hAnsi="Arial"/>
          <w:sz w:val="18"/>
          <w:szCs w:val="18"/>
          <w:color w:val="auto"/>
        </w:rPr>
        <w:t>The following table summarizes RSU awards under our 2016 Equity Plan for fiscal years 2019, 2018 and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6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2016 Equity Incentive Plan</w:t>
            </w:r>
          </w:p>
        </w:tc>
        <w:tc>
          <w:tcPr>
            <w:tcW w:w="120" w:type="dxa"/>
            <w:vAlign w:val="bottom"/>
            <w:vMerge w:val="restart"/>
          </w:tcPr>
          <w:p>
            <w:pPr>
              <w:spacing w:after="0"/>
              <w:rPr>
                <w:sz w:val="12"/>
                <w:szCs w:val="12"/>
                <w:color w:val="auto"/>
              </w:rPr>
            </w:pPr>
          </w:p>
        </w:tc>
        <w:tc>
          <w:tcPr>
            <w:tcW w:w="138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RSU Awards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 xml:space="preserve">Value </w:t>
            </w:r>
            <w:r>
              <w:rPr>
                <w:rFonts w:ascii="Arial" w:cs="Arial" w:eastAsia="Arial" w:hAnsi="Arial"/>
                <w:sz w:val="8"/>
                <w:szCs w:val="8"/>
                <w:b w:val="1"/>
                <w:bCs w:val="1"/>
                <w:color w:val="auto"/>
                <w:w w:val="96"/>
              </w:rPr>
              <w:t>1</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Vest Date Fair Value</w:t>
            </w:r>
          </w:p>
        </w:tc>
        <w:tc>
          <w:tcPr>
            <w:tcW w:w="0" w:type="dxa"/>
            <w:vAlign w:val="bottom"/>
          </w:tcPr>
          <w:p>
            <w:pPr>
              <w:spacing w:after="0"/>
              <w:rPr>
                <w:sz w:val="1"/>
                <w:szCs w:val="1"/>
                <w:color w:val="auto"/>
              </w:rPr>
            </w:pPr>
          </w:p>
        </w:tc>
      </w:tr>
      <w:tr>
        <w:trPr>
          <w:trHeight w:val="236"/>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Unvested balance as of December 31, 2016</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102,375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17.72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100" w:type="dxa"/>
            <w:vAlign w:val="bottom"/>
            <w:gridSpan w:val="2"/>
          </w:tcPr>
          <w:p>
            <w:pPr>
              <w:ind w:left="20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238,203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19.52</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Accrued RSU dividend equivalents</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32,498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100" w:type="dxa"/>
            <w:vAlign w:val="bottom"/>
            <w:gridSpan w:val="2"/>
          </w:tcPr>
          <w:p>
            <w:pPr>
              <w:ind w:left="200"/>
              <w:spacing w:after="0"/>
              <w:rPr>
                <w:sz w:val="20"/>
                <w:szCs w:val="20"/>
                <w:color w:val="auto"/>
              </w:rPr>
            </w:pPr>
            <w:r>
              <w:rPr>
                <w:rFonts w:ascii="Arial" w:cs="Arial" w:eastAsia="Arial" w:hAnsi="Arial"/>
                <w:sz w:val="16"/>
                <w:szCs w:val="16"/>
                <w:color w:val="auto"/>
              </w:rPr>
              <w:t>Vested</w:t>
            </w:r>
          </w:p>
        </w:tc>
        <w:tc>
          <w:tcPr>
            <w:tcW w:w="1380" w:type="dxa"/>
            <w:vAlign w:val="bottom"/>
          </w:tcPr>
          <w:p>
            <w:pPr>
              <w:jc w:val="right"/>
              <w:spacing w:after="0"/>
              <w:rPr>
                <w:sz w:val="20"/>
                <w:szCs w:val="20"/>
                <w:color w:val="auto"/>
              </w:rPr>
            </w:pPr>
            <w:r>
              <w:rPr>
                <w:rFonts w:ascii="Arial" w:cs="Arial" w:eastAsia="Arial" w:hAnsi="Arial"/>
                <w:sz w:val="16"/>
                <w:szCs w:val="16"/>
                <w:color w:val="auto"/>
              </w:rPr>
              <w:t>(37,602)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16.08</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Forfeitures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Unvested balance as of December 31, 2017</w:t>
            </w: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335,228</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17.46</w:t>
            </w:r>
          </w:p>
        </w:tc>
        <w:tc>
          <w:tcPr>
            <w:tcW w:w="100" w:type="dxa"/>
            <w:vAlign w:val="bottom"/>
          </w:tcPr>
          <w:p>
            <w:pPr>
              <w:spacing w:after="0"/>
              <w:rPr>
                <w:sz w:val="18"/>
                <w:szCs w:val="18"/>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2</w:t>
            </w: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261,036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18.05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100" w:type="dxa"/>
            <w:vAlign w:val="bottom"/>
            <w:gridSpan w:val="2"/>
          </w:tcPr>
          <w:p>
            <w:pPr>
              <w:ind w:left="200"/>
              <w:spacing w:after="0"/>
              <w:rPr>
                <w:sz w:val="20"/>
                <w:szCs w:val="20"/>
                <w:color w:val="auto"/>
              </w:rPr>
            </w:pPr>
            <w:r>
              <w:rPr>
                <w:rFonts w:ascii="Arial" w:cs="Arial" w:eastAsia="Arial" w:hAnsi="Arial"/>
                <w:sz w:val="16"/>
                <w:szCs w:val="16"/>
                <w:color w:val="auto"/>
              </w:rPr>
              <w:t>Accrued RSU dividend equivalents</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56,618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2</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(150,423)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16.52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18.60</w:t>
            </w:r>
          </w:p>
        </w:tc>
        <w:tc>
          <w:tcPr>
            <w:tcW w:w="0" w:type="dxa"/>
            <w:vAlign w:val="bottom"/>
          </w:tcPr>
          <w:p>
            <w:pPr>
              <w:spacing w:after="0"/>
              <w:rPr>
                <w:sz w:val="1"/>
                <w:szCs w:val="1"/>
                <w:color w:val="auto"/>
              </w:rPr>
            </w:pPr>
          </w:p>
        </w:tc>
      </w:tr>
      <w:tr>
        <w:trPr>
          <w:trHeight w:val="237"/>
        </w:trPr>
        <w:tc>
          <w:tcPr>
            <w:tcW w:w="7100" w:type="dxa"/>
            <w:vAlign w:val="bottom"/>
            <w:gridSpan w:val="2"/>
          </w:tcPr>
          <w:p>
            <w:pPr>
              <w:ind w:left="200"/>
              <w:spacing w:after="0"/>
              <w:rPr>
                <w:sz w:val="20"/>
                <w:szCs w:val="20"/>
                <w:color w:val="auto"/>
              </w:rPr>
            </w:pPr>
            <w:r>
              <w:rPr>
                <w:rFonts w:ascii="Arial" w:cs="Arial" w:eastAsia="Arial" w:hAnsi="Arial"/>
                <w:sz w:val="16"/>
                <w:szCs w:val="16"/>
                <w:color w:val="auto"/>
              </w:rPr>
              <w:t>Forfeitures</w:t>
            </w:r>
          </w:p>
        </w:tc>
        <w:tc>
          <w:tcPr>
            <w:tcW w:w="1380" w:type="dxa"/>
            <w:vAlign w:val="bottom"/>
          </w:tcPr>
          <w:p>
            <w:pPr>
              <w:jc w:val="right"/>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16.98</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Unvested balance as of December 31, 2018</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501,913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100" w:type="dxa"/>
            <w:vAlign w:val="bottom"/>
            <w:gridSpan w:val="2"/>
          </w:tcPr>
          <w:p>
            <w:pPr>
              <w:ind w:left="20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432,149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17.59</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Accrued RSU dividend equivalents</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83,355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100" w:type="dxa"/>
            <w:vAlign w:val="bottom"/>
            <w:gridSpan w:val="2"/>
          </w:tcPr>
          <w:p>
            <w:pPr>
              <w:ind w:left="200"/>
              <w:spacing w:after="0"/>
              <w:rPr>
                <w:sz w:val="20"/>
                <w:szCs w:val="20"/>
                <w:color w:val="auto"/>
              </w:rPr>
            </w:pPr>
            <w:r>
              <w:rPr>
                <w:rFonts w:ascii="Arial" w:cs="Arial" w:eastAsia="Arial" w:hAnsi="Arial"/>
                <w:sz w:val="16"/>
                <w:szCs w:val="16"/>
                <w:color w:val="auto"/>
              </w:rPr>
              <w:t>Vested</w:t>
            </w:r>
          </w:p>
        </w:tc>
        <w:tc>
          <w:tcPr>
            <w:tcW w:w="1380" w:type="dxa"/>
            <w:vAlign w:val="bottom"/>
          </w:tcPr>
          <w:p>
            <w:pPr>
              <w:jc w:val="right"/>
              <w:spacing w:after="0"/>
              <w:rPr>
                <w:sz w:val="20"/>
                <w:szCs w:val="20"/>
                <w:color w:val="auto"/>
              </w:rPr>
            </w:pPr>
            <w:r>
              <w:rPr>
                <w:rFonts w:ascii="Arial" w:cs="Arial" w:eastAsia="Arial" w:hAnsi="Arial"/>
                <w:sz w:val="16"/>
                <w:szCs w:val="16"/>
                <w:color w:val="auto"/>
              </w:rPr>
              <w:t>(252,375)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15.30</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17.91</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Forfeitures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Unvested balance as of December 31, 2019</w:t>
            </w:r>
          </w:p>
        </w:tc>
        <w:tc>
          <w:tcPr>
            <w:tcW w:w="13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758,230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15.44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9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Accrued RSU award dividend equivalents have a weighted average grant date fair value of $0.</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Excludes 185,285 of RSU Exchange Awards.</w:t>
      </w:r>
    </w:p>
    <w:p>
      <w:pPr>
        <w:spacing w:after="0" w:line="1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Prior to establishing the 2016 Equity Plan, we granted equity-based awards to independent directors per the terms of our AGNC Equity Incentive Plan for Independent Directors (the "Director Plan"). The Director Plan was terminated in December of 2016 and replaced by our 2016 Equity Plan. Outstanding awards under the Director Plan continued in effect in accordance with their terms. The following table summarizes RSU and restricted stock transactions under the Director Plan for fiscal year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 of Restricted</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24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Director Plan</w:t>
            </w:r>
          </w:p>
        </w:tc>
        <w:tc>
          <w:tcPr>
            <w:tcW w:w="120" w:type="dxa"/>
            <w:vAlign w:val="bottom"/>
            <w:vMerge w:val="restart"/>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6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RSU Awards</w:t>
            </w:r>
          </w:p>
        </w:tc>
        <w:tc>
          <w:tcPr>
            <w:tcW w:w="1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1"/>
              </w:rPr>
              <w:t xml:space="preserve">Value </w:t>
            </w:r>
            <w:r>
              <w:rPr>
                <w:rFonts w:ascii="Arial" w:cs="Arial" w:eastAsia="Arial" w:hAnsi="Arial"/>
                <w:sz w:val="8"/>
                <w:szCs w:val="8"/>
                <w:b w:val="1"/>
                <w:bCs w:val="1"/>
                <w:color w:val="auto"/>
                <w:w w:val="91"/>
              </w:rPr>
              <w:t>1</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Vest Date Fair Value</w:t>
            </w:r>
          </w:p>
        </w:tc>
        <w:tc>
          <w:tcPr>
            <w:tcW w:w="0" w:type="dxa"/>
            <w:vAlign w:val="bottom"/>
          </w:tcPr>
          <w:p>
            <w:pPr>
              <w:spacing w:after="0"/>
              <w:rPr>
                <w:sz w:val="1"/>
                <w:szCs w:val="1"/>
                <w:color w:val="auto"/>
              </w:rPr>
            </w:pPr>
          </w:p>
        </w:tc>
      </w:tr>
      <w:tr>
        <w:trPr>
          <w:trHeight w:val="236"/>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Unvested balance as of December 31, 2017</w:t>
            </w:r>
          </w:p>
        </w:tc>
        <w:tc>
          <w:tcPr>
            <w:tcW w:w="150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21,435</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17.49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00"/>
              <w:spacing w:after="0"/>
              <w:rPr>
                <w:sz w:val="20"/>
                <w:szCs w:val="20"/>
                <w:color w:val="auto"/>
              </w:rPr>
            </w:pPr>
            <w:r>
              <w:rPr>
                <w:rFonts w:ascii="Arial" w:cs="Arial" w:eastAsia="Arial" w:hAnsi="Arial"/>
                <w:sz w:val="16"/>
                <w:szCs w:val="16"/>
                <w:color w:val="auto"/>
              </w:rPr>
              <w:t>Accrued RSU dividend equivalents</w:t>
            </w:r>
          </w:p>
        </w:tc>
        <w:tc>
          <w:tcPr>
            <w:tcW w:w="15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1,032</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Vested</w:t>
            </w:r>
          </w:p>
        </w:tc>
        <w:tc>
          <w:tcPr>
            <w:tcW w:w="150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(22,467)</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16.69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44"/>
        </w:trPr>
        <w:tc>
          <w:tcPr>
            <w:tcW w:w="5620" w:type="dxa"/>
            <w:vAlign w:val="bottom"/>
            <w:gridSpan w:val="2"/>
          </w:tcPr>
          <w:p>
            <w:pPr>
              <w:ind w:left="40"/>
              <w:spacing w:after="0"/>
              <w:rPr>
                <w:sz w:val="20"/>
                <w:szCs w:val="20"/>
                <w:color w:val="auto"/>
              </w:rPr>
            </w:pPr>
            <w:r>
              <w:rPr>
                <w:rFonts w:ascii="Arial" w:cs="Arial" w:eastAsia="Arial" w:hAnsi="Arial"/>
                <w:sz w:val="16"/>
                <w:szCs w:val="16"/>
                <w:b w:val="1"/>
                <w:bCs w:val="1"/>
                <w:color w:val="auto"/>
              </w:rPr>
              <w:t>Unvested balance as of December 31, 2017</w:t>
            </w:r>
          </w:p>
        </w:tc>
        <w:tc>
          <w:tcPr>
            <w:tcW w:w="138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Accrued RSU award dividend equivalents have a weighted average grant date fair value of $0.</w:t>
      </w:r>
    </w:p>
    <w:p>
      <w:pPr>
        <w:spacing w:after="0" w:line="15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During fiscal years 2019, 2018 and 2017, we granted PSU awards to employees under our 2016 Equity Plan, which vest at the end of a three-year period provided that specified performance criteria are met. The performance criteria are based on a formula tied to our achievement of long-term economic returns consisting of the change in tangible net book value and dividends paid per common share on an absolute basis and relative to a select group of our peers. The fair value of the PSU awards granted during fiscal years 2019, 2018 and 2017 as of the grant date was $9 million, $5 million and $5 million, respectively, assuming the target levels of performance are achieved, but the actual value will vary within a range of 0% to 200% of target based on actual performance achieved relative to the targets. The following table summarizes PSU awards under our 2016 Equity Plan for fiscal years 2019, 2018 and 2017.</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719" w:right="239" w:bottom="1440" w:gutter="0" w:footer="0" w:header="0"/>
        </w:sectPr>
      </w:pPr>
    </w:p>
    <w:bookmarkStart w:id="80" w:name="page81"/>
    <w:bookmarkEnd w:id="80"/>
    <w:tbl>
      <w:tblPr>
        <w:tblLayout w:type="fixed"/>
        <w:tblInd w:w="86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PSUs</w:t>
            </w:r>
          </w:p>
        </w:tc>
        <w:tc>
          <w:tcPr>
            <w:tcW w:w="120" w:type="dxa"/>
            <w:vAlign w:val="bottom"/>
          </w:tcPr>
          <w:p>
            <w:pPr>
              <w:spacing w:after="0"/>
              <w:rPr>
                <w:sz w:val="14"/>
                <w:szCs w:val="14"/>
                <w:color w:val="auto"/>
              </w:rPr>
            </w:pPr>
          </w:p>
        </w:tc>
        <w:tc>
          <w:tcPr>
            <w:tcW w:w="124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6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2016 Equity Incentive Plan</w:t>
            </w:r>
          </w:p>
        </w:tc>
        <w:tc>
          <w:tcPr>
            <w:tcW w:w="100" w:type="dxa"/>
            <w:vAlign w:val="bottom"/>
            <w:vMerge w:val="restart"/>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at Target</w:t>
            </w:r>
          </w:p>
        </w:tc>
        <w:tc>
          <w:tcPr>
            <w:tcW w:w="120" w:type="dxa"/>
            <w:vAlign w:val="bottom"/>
          </w:tcPr>
          <w:p>
            <w:pPr>
              <w:spacing w:after="0"/>
              <w:rPr>
                <w:sz w:val="12"/>
                <w:szCs w:val="12"/>
                <w:color w:val="auto"/>
              </w:rPr>
            </w:pPr>
          </w:p>
        </w:tc>
        <w:tc>
          <w:tcPr>
            <w:tcW w:w="12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2"/>
        </w:trPr>
        <w:tc>
          <w:tcPr>
            <w:tcW w:w="6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Performance Level</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1"/>
              </w:rPr>
              <w:t xml:space="preserve">Value </w:t>
            </w:r>
            <w:r>
              <w:rPr>
                <w:rFonts w:ascii="Arial" w:cs="Arial" w:eastAsia="Arial" w:hAnsi="Arial"/>
                <w:sz w:val="8"/>
                <w:szCs w:val="8"/>
                <w:b w:val="1"/>
                <w:bCs w:val="1"/>
                <w:color w:val="auto"/>
                <w:w w:val="91"/>
              </w:rPr>
              <w:t>1</w:t>
            </w:r>
          </w:p>
        </w:tc>
        <w:tc>
          <w:tcPr>
            <w:tcW w:w="0" w:type="dxa"/>
            <w:vAlign w:val="bottom"/>
          </w:tcPr>
          <w:p>
            <w:pPr>
              <w:spacing w:after="0"/>
              <w:rPr>
                <w:sz w:val="1"/>
                <w:szCs w:val="1"/>
                <w:color w:val="auto"/>
              </w:rPr>
            </w:pPr>
          </w:p>
        </w:tc>
      </w:tr>
      <w:tr>
        <w:trPr>
          <w:trHeight w:val="236"/>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Unvested balance as of December 31, 2016</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880" w:type="dxa"/>
            <w:vAlign w:val="bottom"/>
            <w:gridSpan w:val="2"/>
          </w:tcPr>
          <w:p>
            <w:pPr>
              <w:ind w:left="18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250,609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19.39</w:t>
            </w:r>
          </w:p>
        </w:tc>
        <w:tc>
          <w:tcPr>
            <w:tcW w:w="0" w:type="dxa"/>
            <w:vAlign w:val="bottom"/>
          </w:tcPr>
          <w:p>
            <w:pPr>
              <w:spacing w:after="0"/>
              <w:rPr>
                <w:sz w:val="1"/>
                <w:szCs w:val="1"/>
                <w:color w:val="auto"/>
              </w:rPr>
            </w:pPr>
          </w:p>
        </w:tc>
      </w:tr>
      <w:tr>
        <w:trPr>
          <w:trHeight w:val="33"/>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Accrued PSU dividend equivalents</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880" w:type="dxa"/>
            <w:vAlign w:val="bottom"/>
            <w:gridSpan w:val="2"/>
          </w:tcPr>
          <w:p>
            <w:pPr>
              <w:ind w:left="180"/>
              <w:spacing w:after="0"/>
              <w:rPr>
                <w:sz w:val="20"/>
                <w:szCs w:val="20"/>
                <w:color w:val="auto"/>
              </w:rPr>
            </w:pPr>
            <w:r>
              <w:rPr>
                <w:rFonts w:ascii="Arial" w:cs="Arial" w:eastAsia="Arial" w:hAnsi="Arial"/>
                <w:sz w:val="16"/>
                <w:szCs w:val="16"/>
                <w:color w:val="auto"/>
              </w:rPr>
              <w:t>Vested</w:t>
            </w: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Unvested balance as of December 31, 2017</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273,376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17.78</w:t>
            </w:r>
          </w:p>
        </w:tc>
        <w:tc>
          <w:tcPr>
            <w:tcW w:w="0" w:type="dxa"/>
            <w:vAlign w:val="bottom"/>
          </w:tcPr>
          <w:p>
            <w:pPr>
              <w:spacing w:after="0"/>
              <w:rPr>
                <w:sz w:val="1"/>
                <w:szCs w:val="1"/>
                <w:color w:val="auto"/>
              </w:rPr>
            </w:pPr>
          </w:p>
        </w:tc>
      </w:tr>
      <w:tr>
        <w:trPr>
          <w:trHeight w:val="237"/>
        </w:trPr>
        <w:tc>
          <w:tcPr>
            <w:tcW w:w="6880" w:type="dxa"/>
            <w:vAlign w:val="bottom"/>
            <w:gridSpan w:val="2"/>
          </w:tcPr>
          <w:p>
            <w:pPr>
              <w:ind w:left="18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272,228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17.98</w:t>
            </w:r>
          </w:p>
        </w:tc>
        <w:tc>
          <w:tcPr>
            <w:tcW w:w="0" w:type="dxa"/>
            <w:vAlign w:val="bottom"/>
          </w:tcPr>
          <w:p>
            <w:pPr>
              <w:spacing w:after="0"/>
              <w:rPr>
                <w:sz w:val="1"/>
                <w:szCs w:val="1"/>
                <w:color w:val="auto"/>
              </w:rPr>
            </w:pPr>
          </w:p>
        </w:tc>
      </w:tr>
      <w:tr>
        <w:trPr>
          <w:trHeight w:val="33"/>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Accrued PSU dividend equivalents</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61,171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880" w:type="dxa"/>
            <w:vAlign w:val="bottom"/>
            <w:gridSpan w:val="2"/>
          </w:tcPr>
          <w:p>
            <w:pPr>
              <w:ind w:left="180"/>
              <w:spacing w:after="0"/>
              <w:rPr>
                <w:sz w:val="20"/>
                <w:szCs w:val="20"/>
                <w:color w:val="auto"/>
              </w:rPr>
            </w:pPr>
            <w:r>
              <w:rPr>
                <w:rFonts w:ascii="Arial" w:cs="Arial" w:eastAsia="Arial" w:hAnsi="Arial"/>
                <w:sz w:val="16"/>
                <w:szCs w:val="16"/>
                <w:color w:val="auto"/>
              </w:rPr>
              <w:t>Vested</w:t>
            </w: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Unvested balance as of December 31, 2018</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606,775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0" w:type="dxa"/>
            <w:vAlign w:val="bottom"/>
          </w:tcPr>
          <w:p>
            <w:pPr>
              <w:spacing w:after="0"/>
              <w:rPr>
                <w:sz w:val="1"/>
                <w:szCs w:val="1"/>
                <w:color w:val="auto"/>
              </w:rPr>
            </w:pPr>
          </w:p>
        </w:tc>
      </w:tr>
      <w:tr>
        <w:trPr>
          <w:trHeight w:val="237"/>
        </w:trPr>
        <w:tc>
          <w:tcPr>
            <w:tcW w:w="6880" w:type="dxa"/>
            <w:vAlign w:val="bottom"/>
            <w:gridSpan w:val="2"/>
          </w:tcPr>
          <w:p>
            <w:pPr>
              <w:ind w:left="18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494,016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17.56</w:t>
            </w:r>
          </w:p>
        </w:tc>
        <w:tc>
          <w:tcPr>
            <w:tcW w:w="0" w:type="dxa"/>
            <w:vAlign w:val="bottom"/>
          </w:tcPr>
          <w:p>
            <w:pPr>
              <w:spacing w:after="0"/>
              <w:rPr>
                <w:sz w:val="1"/>
                <w:szCs w:val="1"/>
                <w:color w:val="auto"/>
              </w:rPr>
            </w:pPr>
          </w:p>
        </w:tc>
      </w:tr>
      <w:tr>
        <w:trPr>
          <w:trHeight w:val="33"/>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Accrued PSU dividend equivalents</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123,594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6880" w:type="dxa"/>
            <w:vAlign w:val="bottom"/>
            <w:gridSpan w:val="2"/>
          </w:tcPr>
          <w:p>
            <w:pPr>
              <w:ind w:left="180"/>
              <w:spacing w:after="0"/>
              <w:rPr>
                <w:sz w:val="20"/>
                <w:szCs w:val="20"/>
                <w:color w:val="auto"/>
              </w:rPr>
            </w:pPr>
            <w:r>
              <w:rPr>
                <w:rFonts w:ascii="Arial" w:cs="Arial" w:eastAsia="Arial" w:hAnsi="Arial"/>
                <w:sz w:val="16"/>
                <w:szCs w:val="16"/>
                <w:color w:val="auto"/>
              </w:rPr>
              <w:t>Performance adjustment - 2017 PSU grant</w:t>
            </w:r>
          </w:p>
        </w:tc>
        <w:tc>
          <w:tcPr>
            <w:tcW w:w="1360" w:type="dxa"/>
            <w:vAlign w:val="bottom"/>
          </w:tcPr>
          <w:p>
            <w:pPr>
              <w:jc w:val="right"/>
              <w:ind w:right="19"/>
              <w:spacing w:after="0"/>
              <w:rPr>
                <w:sz w:val="20"/>
                <w:szCs w:val="20"/>
                <w:color w:val="auto"/>
              </w:rPr>
            </w:pPr>
            <w:r>
              <w:rPr>
                <w:rFonts w:ascii="Arial" w:cs="Arial" w:eastAsia="Arial" w:hAnsi="Arial"/>
                <w:sz w:val="18"/>
                <w:szCs w:val="18"/>
                <w:color w:val="auto"/>
              </w:rPr>
              <w:t>95,427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19.39</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Performance adjustment - accrued PSU dividend equivalents</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35,825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880" w:type="dxa"/>
            <w:vAlign w:val="bottom"/>
            <w:gridSpan w:val="2"/>
          </w:tcPr>
          <w:p>
            <w:pPr>
              <w:ind w:left="180"/>
              <w:spacing w:after="0"/>
              <w:rPr>
                <w:sz w:val="20"/>
                <w:szCs w:val="20"/>
                <w:color w:val="auto"/>
              </w:rPr>
            </w:pPr>
            <w:r>
              <w:rPr>
                <w:rFonts w:ascii="Arial" w:cs="Arial" w:eastAsia="Arial" w:hAnsi="Arial"/>
                <w:sz w:val="16"/>
                <w:szCs w:val="16"/>
                <w:color w:val="auto"/>
              </w:rPr>
              <w:t>Vested</w:t>
            </w: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Forfeitures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15.84</w:t>
            </w:r>
          </w:p>
        </w:tc>
        <w:tc>
          <w:tcPr>
            <w:tcW w:w="0" w:type="dxa"/>
            <w:vAlign w:val="bottom"/>
          </w:tcPr>
          <w:p>
            <w:pPr>
              <w:spacing w:after="0"/>
              <w:rPr>
                <w:sz w:val="1"/>
                <w:szCs w:val="1"/>
                <w:color w:val="auto"/>
              </w:rPr>
            </w:pPr>
          </w:p>
        </w:tc>
      </w:tr>
      <w:tr>
        <w:trPr>
          <w:trHeight w:val="231"/>
        </w:trPr>
        <w:tc>
          <w:tcPr>
            <w:tcW w:w="6880" w:type="dxa"/>
            <w:vAlign w:val="bottom"/>
            <w:gridSpan w:val="2"/>
          </w:tcPr>
          <w:p>
            <w:pPr>
              <w:ind w:left="20"/>
              <w:spacing w:after="0"/>
              <w:rPr>
                <w:sz w:val="20"/>
                <w:szCs w:val="20"/>
                <w:color w:val="auto"/>
              </w:rPr>
            </w:pPr>
            <w:r>
              <w:rPr>
                <w:rFonts w:ascii="Arial" w:cs="Arial" w:eastAsia="Arial" w:hAnsi="Arial"/>
                <w:sz w:val="16"/>
                <w:szCs w:val="16"/>
                <w:b w:val="1"/>
                <w:bCs w:val="1"/>
                <w:color w:val="auto"/>
              </w:rPr>
              <w:t>Unvested balance as of December 31, 2019</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1,351,413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12700</wp:posOffset>
            </wp:positionV>
            <wp:extent cx="17926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-130175</wp:posOffset>
            </wp:positionV>
            <wp:extent cx="17926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ind w:left="660" w:hanging="328"/>
        <w:spacing w:after="0"/>
        <w:tabs>
          <w:tab w:leader="none" w:pos="6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Accrued PSU award dividend equivalents have a weighted average grant date fair value of $0.</w:t>
      </w:r>
    </w:p>
    <w:p>
      <w:pPr>
        <w:spacing w:after="0" w:line="15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 of December 31, 2019, 6.4 million shares remained available for awards under the 2016 Equity Plan. For purposes of determining the total number of shares available for awards under the 2016 Equity Plan, available shares are reduced by (i) shares issued for vested RSU awards, net of units withheld to cover minimum statutory tax withholding requirements paid by us in cash on behalf of the employee and (ii) outstanding unvested awards, (iii) outstanding previously vested awards, if distribution of such awards has been deferred beyond the vesting date ("deferred awards"), and (iv) accrued dividend equivalent units on outstanding awards through December 31, 2019. Unvested performance-based awards assume the maximum potential payout under the terms of the award. As of December 31, 2019, 0.4 million of deferred awards, including accrued DEUs, were outstanding.</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fiscal years 2019, 2018 and 2017, we recognized compensation expense of $13.7 million, $6.1 million and $3.1 million, respectively, for stock-based awards to employees and we recognized other operating expense of $0.5 million, $0.5 million and $0.5 million, respectively, for stock-based awards to independent directors. As of December 31, 2019, we had unrecognized expense related to stock-based awards of approximately $15 million, which is expected to be recognized over a weighted average period of 1.5 years.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Long-Term Incentive Compensation</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During fiscal years 2018 and 2017, we granted long-term incentive compensation awards to employees under our MTGE Incentive Plan (the "Incentive Plan"), with original grant date fair values of $2 million and $2 million, respectively. During 2018, all outstanding awards under the Incentive Plan became fully vested and the Incentive Plan was terminated. Awards for which distribution of vested amounts had been deferred beyond the vesting date were exchanged for RSU awards granted under the 2016 Equity Plan of equal value. During fiscal years 2018 and 2017, we recognized long-term incentive compensation expense associated with awards under the Incentive Plan of $5 million and $1 million,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2019, we have distributed all of our estimated taxable income for fiscal year 2019. Accordingly, we do not expect to incur an income tax liability on our 2019 taxable income. For fiscal years 2018 and 2017, we distributed all of our taxable income within the time limits prescribed by the Internal Revenue Code. Accordingly, we did not incur an income tax liability on our taxable income for such periods.</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Based on our analysis of any potential uncertain income tax positions, we concluded that we do not have any uncertain tax positions that meet the recognition or measurement criteria of ASC 740 as of December 31, 2019 or prior periods. Our tax returns for tax years 2016 and forward are open to examination by the IRS. If we incur income tax related interest and penalties, our policy is to classify them as a component of provision for income taxes.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861"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Note 12. Quarterly Results (Unaudited)</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is a presentation of the quarterly results of operations and comprehensive income (loss) for fiscal years 2019 and 2018 (in millions,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Quarter Ended</w:t>
            </w: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1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705</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676</w:t>
            </w:r>
          </w:p>
        </w:tc>
        <w:tc>
          <w:tcPr>
            <w:tcW w:w="120" w:type="dxa"/>
            <w:vAlign w:val="bottom"/>
          </w:tcPr>
          <w:p>
            <w:pPr>
              <w:spacing w:after="0"/>
              <w:rPr>
                <w:sz w:val="20"/>
                <w:szCs w:val="20"/>
                <w:color w:val="auto"/>
              </w:rPr>
            </w:pP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768</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17"/>
        </w:trPr>
        <w:tc>
          <w:tcPr>
            <w:tcW w:w="6060" w:type="dxa"/>
            <w:vAlign w:val="bottom"/>
          </w:tcPr>
          <w:p>
            <w:pPr>
              <w:ind w:left="600"/>
              <w:spacing w:after="0"/>
              <w:rPr>
                <w:sz w:val="20"/>
                <w:szCs w:val="20"/>
                <w:color w:val="auto"/>
              </w:rPr>
            </w:pPr>
            <w:r>
              <w:rPr>
                <w:rFonts w:ascii="Arial" w:cs="Arial" w:eastAsia="Arial" w:hAnsi="Arial"/>
                <w:sz w:val="16"/>
                <w:szCs w:val="16"/>
                <w:color w:val="auto"/>
              </w:rPr>
              <w:t>Net interest income</w:t>
            </w: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gain (loss):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Gain on sale of investment securities, net</w:t>
            </w:r>
          </w:p>
        </w:tc>
        <w:tc>
          <w:tcPr>
            <w:tcW w:w="2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9"/>
              </w:rPr>
              <w:t>Unrealized gain (loss) on investment securities measured at fair value through net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net</w:t>
            </w: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355</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Gain (loss) on derivative instruments and other securities, net</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other gain (loss), net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Compensation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Other operating expenses</w:t>
            </w:r>
          </w:p>
        </w:tc>
        <w:tc>
          <w:tcPr>
            <w:tcW w:w="2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 (loss)</w:t>
            </w: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Dividends on preferred stock</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Issuance cost of redeemed preferred stock</w:t>
            </w: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available (attributable) to common shareholders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871</w:t>
            </w:r>
          </w:p>
        </w:tc>
        <w:tc>
          <w:tcPr>
            <w:tcW w:w="0" w:type="dxa"/>
            <w:vAlign w:val="bottom"/>
          </w:tcPr>
          <w:p>
            <w:pPr>
              <w:spacing w:after="0"/>
              <w:rPr>
                <w:sz w:val="1"/>
                <w:szCs w:val="1"/>
                <w:color w:val="auto"/>
              </w:rPr>
            </w:pPr>
          </w:p>
        </w:tc>
      </w:tr>
      <w:tr>
        <w:trPr>
          <w:trHeight w:val="220"/>
        </w:trPr>
        <w:tc>
          <w:tcPr>
            <w:tcW w:w="6060" w:type="dxa"/>
            <w:vAlign w:val="bottom"/>
          </w:tcPr>
          <w:p>
            <w:pPr>
              <w:ind w:left="280"/>
              <w:spacing w:after="0"/>
              <w:rPr>
                <w:sz w:val="20"/>
                <w:szCs w:val="20"/>
                <w:color w:val="auto"/>
              </w:rPr>
            </w:pPr>
            <w:r>
              <w:rPr>
                <w:rFonts w:ascii="Arial" w:cs="Arial" w:eastAsia="Arial" w:hAnsi="Arial"/>
                <w:sz w:val="16"/>
                <w:szCs w:val="16"/>
                <w:color w:val="auto"/>
              </w:rPr>
              <w:t>Unrealized gain on investment securities measured at fair value through other</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060" w:type="dxa"/>
            <w:vAlign w:val="bottom"/>
          </w:tcPr>
          <w:p>
            <w:pPr>
              <w:ind w:left="280"/>
              <w:spacing w:after="0"/>
              <w:rPr>
                <w:sz w:val="20"/>
                <w:szCs w:val="20"/>
                <w:color w:val="auto"/>
              </w:rPr>
            </w:pPr>
            <w:r>
              <w:rPr>
                <w:rFonts w:ascii="Arial" w:cs="Arial" w:eastAsia="Arial" w:hAnsi="Arial"/>
                <w:sz w:val="16"/>
                <w:szCs w:val="16"/>
                <w:color w:val="auto"/>
              </w:rPr>
              <w:t>comprehensive income (loss), net</w:t>
            </w:r>
          </w:p>
        </w:tc>
        <w:tc>
          <w:tcPr>
            <w:tcW w:w="220" w:type="dxa"/>
            <w:vAlign w:val="bottom"/>
          </w:tcPr>
          <w:p>
            <w:pPr>
              <w:spacing w:after="0"/>
              <w:rPr>
                <w:sz w:val="17"/>
                <w:szCs w:val="17"/>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income (loss)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Dividends on preferred stock</w:t>
            </w:r>
          </w:p>
        </w:tc>
        <w:tc>
          <w:tcPr>
            <w:tcW w:w="2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Issuance cost of redeemed preferred stock</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8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Comprehensive income (loss) available (attributable) to common shareholders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655</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284"/>
        </w:trPr>
        <w:tc>
          <w:tcPr>
            <w:tcW w:w="6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Weighted average number of common shares outstanding - basic</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536.7</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537.8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546.4</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541.4</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Weighted average number of common shares outstanding - diluted</w:t>
            </w:r>
          </w:p>
        </w:tc>
        <w:tc>
          <w:tcPr>
            <w:tcW w:w="2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537.2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537.8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546.4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542.6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income (loss) per common share - basic</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0.48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per common share - diluted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0.47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Comprehensive income (loss) per common share - basic</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0.42</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income (loss) per common share - diluted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0.42</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Dividends declared per common share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0.54</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0.48</w:t>
            </w:r>
          </w:p>
        </w:tc>
        <w:tc>
          <w:tcPr>
            <w:tcW w:w="120" w:type="dxa"/>
            <w:vAlign w:val="bottom"/>
          </w:tcPr>
          <w:p>
            <w:pPr>
              <w:spacing w:after="0"/>
              <w:rPr>
                <w:sz w:val="20"/>
                <w:szCs w:val="20"/>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769"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Quarter Ended</w:t>
            </w: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1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17"/>
        </w:trPr>
        <w:tc>
          <w:tcPr>
            <w:tcW w:w="6060" w:type="dxa"/>
            <w:vAlign w:val="bottom"/>
          </w:tcPr>
          <w:p>
            <w:pPr>
              <w:ind w:left="600"/>
              <w:spacing w:after="0"/>
              <w:rPr>
                <w:sz w:val="20"/>
                <w:szCs w:val="20"/>
                <w:color w:val="auto"/>
              </w:rPr>
            </w:pPr>
            <w:r>
              <w:rPr>
                <w:rFonts w:ascii="Arial" w:cs="Arial" w:eastAsia="Arial" w:hAnsi="Arial"/>
                <w:sz w:val="16"/>
                <w:szCs w:val="16"/>
                <w:color w:val="auto"/>
              </w:rPr>
              <w:t>Net interest income</w:t>
            </w: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gain (loss):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Loss on sale of investment securities, net</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9"/>
              </w:rPr>
              <w:t>Unrealized gain (loss) on investment securities measured at fair value through net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net</w:t>
            </w: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Gain (loss) on derivative instruments and other securities, net</w:t>
            </w:r>
          </w:p>
        </w:tc>
        <w:tc>
          <w:tcPr>
            <w:tcW w:w="2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430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(1,633)</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Management fee income</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060" w:type="dxa"/>
            <w:vAlign w:val="bottom"/>
          </w:tcPr>
          <w:p>
            <w:pPr>
              <w:ind w:left="600"/>
              <w:spacing w:after="0"/>
              <w:rPr>
                <w:sz w:val="20"/>
                <w:szCs w:val="20"/>
                <w:color w:val="auto"/>
              </w:rPr>
            </w:pPr>
            <w:r>
              <w:rPr>
                <w:rFonts w:ascii="Arial" w:cs="Arial" w:eastAsia="Arial" w:hAnsi="Arial"/>
                <w:sz w:val="16"/>
                <w:szCs w:val="16"/>
                <w:color w:val="auto"/>
              </w:rPr>
              <w:t>Total other gain (loss), net</w:t>
            </w: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(971)</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Compensation and benefits</w:t>
            </w:r>
          </w:p>
        </w:tc>
        <w:tc>
          <w:tcPr>
            <w:tcW w:w="2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operating expenses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6060" w:type="dxa"/>
            <w:vAlign w:val="bottom"/>
          </w:tcPr>
          <w:p>
            <w:pPr>
              <w:ind w:left="600"/>
              <w:spacing w:after="0"/>
              <w:rPr>
                <w:sz w:val="20"/>
                <w:szCs w:val="20"/>
                <w:color w:val="auto"/>
              </w:rPr>
            </w:pPr>
            <w:r>
              <w:rPr>
                <w:rFonts w:ascii="Arial" w:cs="Arial" w:eastAsia="Arial" w:hAnsi="Arial"/>
                <w:sz w:val="16"/>
                <w:szCs w:val="16"/>
                <w:color w:val="auto"/>
              </w:rPr>
              <w:t>Total expenses</w:t>
            </w: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Dividends on preferred stock</w:t>
            </w:r>
          </w:p>
        </w:tc>
        <w:tc>
          <w:tcPr>
            <w:tcW w:w="2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available (attributable) to common shareholders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220"/>
        </w:trPr>
        <w:tc>
          <w:tcPr>
            <w:tcW w:w="6060" w:type="dxa"/>
            <w:vAlign w:val="bottom"/>
          </w:tcPr>
          <w:p>
            <w:pPr>
              <w:ind w:left="280"/>
              <w:spacing w:after="0"/>
              <w:rPr>
                <w:sz w:val="20"/>
                <w:szCs w:val="20"/>
                <w:color w:val="auto"/>
              </w:rPr>
            </w:pPr>
            <w:r>
              <w:rPr>
                <w:rFonts w:ascii="Arial" w:cs="Arial" w:eastAsia="Arial" w:hAnsi="Arial"/>
                <w:sz w:val="16"/>
                <w:szCs w:val="16"/>
                <w:color w:val="auto"/>
                <w:w w:val="97"/>
              </w:rPr>
              <w:t>Unrealized gain (loss) on investment securities measured at fair value through other</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060" w:type="dxa"/>
            <w:vAlign w:val="bottom"/>
          </w:tcPr>
          <w:p>
            <w:pPr>
              <w:ind w:left="280"/>
              <w:spacing w:after="0"/>
              <w:rPr>
                <w:sz w:val="20"/>
                <w:szCs w:val="20"/>
                <w:color w:val="auto"/>
              </w:rPr>
            </w:pPr>
            <w:r>
              <w:rPr>
                <w:rFonts w:ascii="Arial" w:cs="Arial" w:eastAsia="Arial" w:hAnsi="Arial"/>
                <w:sz w:val="16"/>
                <w:szCs w:val="16"/>
                <w:color w:val="auto"/>
              </w:rPr>
              <w:t>comprehensive income (loss), net</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income (loss)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Dividends on preferred stock</w:t>
            </w:r>
          </w:p>
        </w:tc>
        <w:tc>
          <w:tcPr>
            <w:tcW w:w="2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income (loss) available (attributable) to common shareholders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Weighted average number of common shares outstanding - basic</w:t>
            </w: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391.3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462.3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504.2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Weighted average number of common shares outstanding - diluted</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391.5</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405.2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462.7</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504.2</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per common share - basic and diluted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0.45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Comprehensive income (loss) per common share - basic and diluted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(0.53)</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0.34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(0.90)</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Dividends declared per common share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0.54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0.54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Offering</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February 11, 2020, we issued $575 million, or 23 million depositary shares, of 6.125% Series F Fixed-to-Floating Rate Cumulative Redeemable Preferred Stock ("Series F Preferred Stock"), for net proceeds of $557 million. Each depositary share represents a 1/1,000th interest in a share of Series F Preferred Stock. At the conclusion of the Series F fixed rate period on April 15, 2025, the Series F Preferred Stock dividend will accrue at a floating rate equal to three-month LIBOR plus a spread of 4.697% per annum, and commencing on such date, the Series F Preferred Stock is redeemable at our option at the liquidation preference of $25.00 per depositary share, plus any accrued and unpaid dividends.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Dividend Declaration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January 9, 2020 and February 13, 2020, our Board of Directors declared a monthly dividend of $0.16 per common share payable on February 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and March 10, 2020, respectively, to common stockholders of record as of January 31, 2020 and February 28, 2020, respectively.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941"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3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including our Chief Executive Officer and Chief Financial Officer, evaluated the effectiveness of the design and operation of our disclosure controls and procedures as of December 31, 2019. Based on the foregoing, our Chief Executive Officer and Chief Financial Officer concluded that our disclosure controls and procedures were effective.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Management Report on Internal Control over Financial Reporting is included in "Item 8. 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Attestation Report of Registered Public Accounting Firm</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attestation report of our registered public accounting firm is included in "Item 8. 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53"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6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Information in response to this Item is incorporated herein by reference to the information provided in our Proxy Statement for our 2019 Annual Meeting of Stockholders (the "2019 Proxy Statement") under the headings "PROPOSAL 1: ELECTION OF DIRECTORS", "EXECUTIVE OFFICERS", "BOARD AND GOVERNANCE MATTERS", and "SECTION 16(a) BENEFICIAL OWNERSHIP REPORTING COMPLIANCE."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Information in response to this Item is incorporated herein by reference to the information provided in the 2019 Proxy Statement under the headings "PROPOSAL 1: ELECTION OF DIRECTORS", "EXECUTIVE COMPENSATION", "COMPENSATION DISCUSSION AND ANALYSIS", "REPORT OF THE COMPENSATION AND CORPORATE GOVERNANCE COMMITTEE", and "COMPENSATION AND CORPORATE GOVERNANCE COMMITTEE INTERLOCKS AND INSIDER PARTICIPATION."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in response to this Item is incorporated herein by reference to the information provided in the 2019 Proxy Statement under the heading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"SECURITY OWNERSHIP OF MANAGEMENT AND CERTAIN BENEFICIAL OWNERS."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Information in response to this Item is incorporated herein by reference to the information provided in the 2019 Proxy Statement under the headings "CERTAIN TRANSACTIONS WITH RELATED PERSONS" and "PROPOSAL 1: ELECTION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in response to this Item is incorporated herein by reference to the information provided in the 2019 Proxy Statement under the heading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"PROPOSAL 4: RATIFICATION OF APPOINTMENT OF INDEPENDENT PUBLIC ACCOUNTANT."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553"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75" w:lineRule="exact"/>
        <w:rPr>
          <w:sz w:val="20"/>
          <w:szCs w:val="20"/>
          <w:color w:val="auto"/>
        </w:rPr>
      </w:pPr>
    </w:p>
    <w:p>
      <w:pPr>
        <w:ind w:left="380" w:hanging="372"/>
        <w:spacing w:after="0"/>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157" w:lineRule="exact"/>
        <w:rPr>
          <w:rFonts w:ascii="Arial" w:cs="Arial" w:eastAsia="Arial" w:hAnsi="Arial"/>
          <w:sz w:val="18"/>
          <w:szCs w:val="18"/>
          <w:color w:val="auto"/>
        </w:rPr>
      </w:pPr>
    </w:p>
    <w:p>
      <w:pPr>
        <w:ind w:left="1420" w:hanging="440"/>
        <w:spacing w:after="0"/>
        <w:tabs>
          <w:tab w:leader="none" w:pos="14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following financial statements are filed herewith:</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Consolidated Balance Sheets as of December 31, 2019 and 2018</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Consolidated Statements of Comprehensive Income for fiscal years 2019, 2018 and 2017</w:t>
      </w:r>
    </w:p>
    <w:p>
      <w:pPr>
        <w:spacing w:after="0" w:line="23" w:lineRule="exact"/>
        <w:rPr>
          <w:sz w:val="20"/>
          <w:szCs w:val="20"/>
          <w:color w:val="auto"/>
        </w:rPr>
      </w:pPr>
    </w:p>
    <w:p>
      <w:pPr>
        <w:ind w:left="1760" w:right="2820" w:firstLine="648"/>
        <w:spacing w:after="0" w:line="290" w:lineRule="auto"/>
        <w:rPr>
          <w:sz w:val="20"/>
          <w:szCs w:val="20"/>
          <w:color w:val="auto"/>
        </w:rPr>
      </w:pPr>
      <w:r>
        <w:rPr>
          <w:rFonts w:ascii="Arial" w:cs="Arial" w:eastAsia="Arial" w:hAnsi="Arial"/>
          <w:sz w:val="17"/>
          <w:szCs w:val="17"/>
          <w:color w:val="auto"/>
        </w:rPr>
        <w:t>Consolidated Statements of Stockholders' Equity for fiscal years 2019, 2018 and 2017 Consolidated Statements of Cash Flows for fiscal years 2019, 2018 and 2017</w:t>
      </w:r>
    </w:p>
    <w:p>
      <w:pPr>
        <w:spacing w:after="0" w:line="121" w:lineRule="exact"/>
        <w:rPr>
          <w:sz w:val="20"/>
          <w:szCs w:val="20"/>
          <w:color w:val="auto"/>
        </w:rPr>
      </w:pPr>
    </w:p>
    <w:p>
      <w:pPr>
        <w:ind w:left="1420" w:hanging="440"/>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following exhibits are filed herewith or incorporated herein by reference</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jc w:val="right"/>
              <w:ind w:right="410"/>
              <w:spacing w:after="0"/>
              <w:rPr>
                <w:rFonts w:ascii="Arial" w:cs="Arial" w:eastAsia="Arial" w:hAnsi="Arial"/>
                <w:sz w:val="18"/>
                <w:szCs w:val="18"/>
                <w:color w:val="auto"/>
                <w:w w:val="93"/>
              </w:rPr>
            </w:pPr>
            <w:hyperlink r:id="rId37">
              <w:r>
                <w:rPr>
                  <w:rFonts w:ascii="Arial" w:cs="Arial" w:eastAsia="Arial" w:hAnsi="Arial"/>
                  <w:sz w:val="18"/>
                  <w:szCs w:val="18"/>
                  <w:color w:val="auto"/>
                  <w:w w:val="93"/>
                </w:rPr>
                <w:t>*3.1</w:t>
              </w:r>
            </w:hyperlink>
          </w:p>
        </w:tc>
        <w:tc>
          <w:tcPr>
            <w:tcW w:w="10600" w:type="dxa"/>
            <w:vAlign w:val="bottom"/>
          </w:tcPr>
          <w:p>
            <w:pPr>
              <w:ind w:left="480"/>
              <w:spacing w:after="0"/>
              <w:rPr>
                <w:rFonts w:ascii="Arial" w:cs="Arial" w:eastAsia="Arial" w:hAnsi="Arial"/>
                <w:sz w:val="18"/>
                <w:szCs w:val="18"/>
                <w:color w:val="auto"/>
                <w:w w:val="92"/>
              </w:rPr>
            </w:pPr>
            <w:hyperlink r:id="rId37">
              <w:r>
                <w:rPr>
                  <w:rFonts w:ascii="Arial" w:cs="Arial" w:eastAsia="Arial" w:hAnsi="Arial"/>
                  <w:sz w:val="18"/>
                  <w:szCs w:val="18"/>
                  <w:color w:val="auto"/>
                  <w:w w:val="92"/>
                </w:rPr>
                <w:t>AGNC Investment Corp. Amended and Restated Certificate of Incorporation, as amended, incorporated herein by reference to Exhibit 3.1</w:t>
              </w:r>
            </w:hyperlink>
          </w:p>
        </w:tc>
      </w:tr>
      <w:tr>
        <w:trPr>
          <w:trHeight w:val="230"/>
        </w:trPr>
        <w:tc>
          <w:tcPr>
            <w:tcW w:w="820" w:type="dxa"/>
            <w:vAlign w:val="bottom"/>
          </w:tcPr>
          <w:p>
            <w:pPr>
              <w:spacing w:after="0"/>
              <w:rPr>
                <w:sz w:val="20"/>
                <w:szCs w:val="20"/>
                <w:color w:val="auto"/>
              </w:rPr>
            </w:pPr>
          </w:p>
        </w:tc>
        <w:tc>
          <w:tcPr>
            <w:tcW w:w="10600" w:type="dxa"/>
            <w:vAlign w:val="bottom"/>
          </w:tcPr>
          <w:p>
            <w:pPr>
              <w:ind w:left="480"/>
              <w:spacing w:after="0"/>
              <w:rPr>
                <w:rFonts w:ascii="Arial" w:cs="Arial" w:eastAsia="Arial" w:hAnsi="Arial"/>
                <w:sz w:val="18"/>
                <w:szCs w:val="18"/>
                <w:color w:val="auto"/>
              </w:rPr>
            </w:pPr>
            <w:hyperlink r:id="rId37">
              <w:r>
                <w:rPr>
                  <w:rFonts w:ascii="Arial" w:cs="Arial" w:eastAsia="Arial" w:hAnsi="Arial"/>
                  <w:sz w:val="18"/>
                  <w:szCs w:val="18"/>
                  <w:color w:val="auto"/>
                </w:rPr>
                <w:t>of Form 10-Q for the quarter ended March 31, 2018 (File No. 001-34057), filed May 7, 2018.</w:t>
              </w:r>
            </w:hyperlink>
          </w:p>
        </w:tc>
      </w:tr>
      <w:tr>
        <w:trPr>
          <w:trHeight w:val="364"/>
        </w:trPr>
        <w:tc>
          <w:tcPr>
            <w:tcW w:w="820" w:type="dxa"/>
            <w:vAlign w:val="bottom"/>
          </w:tcPr>
          <w:p>
            <w:pPr>
              <w:jc w:val="right"/>
              <w:ind w:right="410"/>
              <w:spacing w:after="0"/>
              <w:rPr>
                <w:rFonts w:ascii="Arial" w:cs="Arial" w:eastAsia="Arial" w:hAnsi="Arial"/>
                <w:sz w:val="18"/>
                <w:szCs w:val="18"/>
                <w:color w:val="auto"/>
                <w:w w:val="93"/>
              </w:rPr>
            </w:pPr>
            <w:hyperlink r:id="rId38">
              <w:r>
                <w:rPr>
                  <w:rFonts w:ascii="Arial" w:cs="Arial" w:eastAsia="Arial" w:hAnsi="Arial"/>
                  <w:sz w:val="18"/>
                  <w:szCs w:val="18"/>
                  <w:color w:val="auto"/>
                  <w:w w:val="93"/>
                </w:rPr>
                <w:t>*3.2</w:t>
              </w:r>
            </w:hyperlink>
          </w:p>
        </w:tc>
        <w:tc>
          <w:tcPr>
            <w:tcW w:w="10600" w:type="dxa"/>
            <w:vAlign w:val="bottom"/>
          </w:tcPr>
          <w:p>
            <w:pPr>
              <w:ind w:left="480"/>
              <w:spacing w:after="0"/>
              <w:rPr>
                <w:rFonts w:ascii="Arial" w:cs="Arial" w:eastAsia="Arial" w:hAnsi="Arial"/>
                <w:sz w:val="18"/>
                <w:szCs w:val="18"/>
                <w:color w:val="auto"/>
                <w:w w:val="92"/>
              </w:rPr>
            </w:pPr>
            <w:hyperlink r:id="rId38">
              <w:r>
                <w:rPr>
                  <w:rFonts w:ascii="Arial" w:cs="Arial" w:eastAsia="Arial" w:hAnsi="Arial"/>
                  <w:sz w:val="18"/>
                  <w:szCs w:val="18"/>
                  <w:color w:val="auto"/>
                  <w:w w:val="92"/>
                </w:rPr>
                <w:t>AGNC Investment Corp. Third Amended and Restated Bylaws, as amended, incorporated herein by reference to Exhibit 3.2 of Form 10-Q</w:t>
              </w:r>
            </w:hyperlink>
          </w:p>
        </w:tc>
      </w:tr>
      <w:tr>
        <w:trPr>
          <w:trHeight w:val="230"/>
        </w:trPr>
        <w:tc>
          <w:tcPr>
            <w:tcW w:w="820" w:type="dxa"/>
            <w:vAlign w:val="bottom"/>
          </w:tcPr>
          <w:p>
            <w:pPr>
              <w:spacing w:after="0"/>
              <w:rPr>
                <w:sz w:val="20"/>
                <w:szCs w:val="20"/>
                <w:color w:val="auto"/>
              </w:rPr>
            </w:pPr>
          </w:p>
        </w:tc>
        <w:tc>
          <w:tcPr>
            <w:tcW w:w="10600" w:type="dxa"/>
            <w:vAlign w:val="bottom"/>
          </w:tcPr>
          <w:p>
            <w:pPr>
              <w:ind w:left="480"/>
              <w:spacing w:after="0"/>
              <w:rPr>
                <w:rFonts w:ascii="Arial" w:cs="Arial" w:eastAsia="Arial" w:hAnsi="Arial"/>
                <w:sz w:val="18"/>
                <w:szCs w:val="18"/>
                <w:color w:val="auto"/>
              </w:rPr>
            </w:pPr>
            <w:hyperlink r:id="rId38">
              <w:r>
                <w:rPr>
                  <w:rFonts w:ascii="Arial" w:cs="Arial" w:eastAsia="Arial" w:hAnsi="Arial"/>
                  <w:sz w:val="18"/>
                  <w:szCs w:val="18"/>
                  <w:color w:val="auto"/>
                </w:rPr>
                <w:t>for the quarter ended September 30, 2016 (File No. 001-34057), filed November 7, 2016.</w:t>
              </w:r>
            </w:hyperlink>
          </w:p>
        </w:tc>
      </w:tr>
      <w:tr>
        <w:trPr>
          <w:trHeight w:val="364"/>
        </w:trPr>
        <w:tc>
          <w:tcPr>
            <w:tcW w:w="820" w:type="dxa"/>
            <w:vAlign w:val="bottom"/>
          </w:tcPr>
          <w:p>
            <w:pPr>
              <w:jc w:val="right"/>
              <w:ind w:right="410"/>
              <w:spacing w:after="0"/>
              <w:rPr>
                <w:rFonts w:ascii="Arial" w:cs="Arial" w:eastAsia="Arial" w:hAnsi="Arial"/>
                <w:sz w:val="18"/>
                <w:szCs w:val="18"/>
                <w:color w:val="auto"/>
                <w:w w:val="93"/>
              </w:rPr>
            </w:pPr>
            <w:hyperlink r:id="rId39">
              <w:r>
                <w:rPr>
                  <w:rFonts w:ascii="Arial" w:cs="Arial" w:eastAsia="Arial" w:hAnsi="Arial"/>
                  <w:sz w:val="18"/>
                  <w:szCs w:val="18"/>
                  <w:color w:val="auto"/>
                  <w:w w:val="93"/>
                </w:rPr>
                <w:t>*3.3</w:t>
              </w:r>
            </w:hyperlink>
          </w:p>
        </w:tc>
        <w:tc>
          <w:tcPr>
            <w:tcW w:w="10600" w:type="dxa"/>
            <w:vAlign w:val="bottom"/>
          </w:tcPr>
          <w:p>
            <w:pPr>
              <w:ind w:left="480"/>
              <w:spacing w:after="0"/>
              <w:rPr>
                <w:rFonts w:ascii="Arial" w:cs="Arial" w:eastAsia="Arial" w:hAnsi="Arial"/>
                <w:sz w:val="18"/>
                <w:szCs w:val="18"/>
                <w:color w:val="auto"/>
                <w:w w:val="94"/>
              </w:rPr>
            </w:pPr>
            <w:hyperlink r:id="rId39">
              <w:r>
                <w:rPr>
                  <w:rFonts w:ascii="Arial" w:cs="Arial" w:eastAsia="Arial" w:hAnsi="Arial"/>
                  <w:sz w:val="18"/>
                  <w:szCs w:val="18"/>
                  <w:color w:val="auto"/>
                  <w:w w:val="94"/>
                </w:rPr>
                <w:t>Certificate of Designations of 7.00% Series C Fixed-to-Floating Rate Cumulative Redeemable Preferred Stock, incorporated herein by</w:t>
              </w:r>
            </w:hyperlink>
          </w:p>
        </w:tc>
      </w:tr>
      <w:tr>
        <w:trPr>
          <w:trHeight w:val="230"/>
        </w:trPr>
        <w:tc>
          <w:tcPr>
            <w:tcW w:w="820" w:type="dxa"/>
            <w:vAlign w:val="bottom"/>
          </w:tcPr>
          <w:p>
            <w:pPr>
              <w:spacing w:after="0"/>
              <w:rPr>
                <w:sz w:val="20"/>
                <w:szCs w:val="20"/>
                <w:color w:val="auto"/>
              </w:rPr>
            </w:pPr>
          </w:p>
        </w:tc>
        <w:tc>
          <w:tcPr>
            <w:tcW w:w="10600" w:type="dxa"/>
            <w:vAlign w:val="bottom"/>
          </w:tcPr>
          <w:p>
            <w:pPr>
              <w:ind w:left="480"/>
              <w:spacing w:after="0"/>
              <w:rPr>
                <w:rFonts w:ascii="Arial" w:cs="Arial" w:eastAsia="Arial" w:hAnsi="Arial"/>
                <w:sz w:val="18"/>
                <w:szCs w:val="18"/>
                <w:color w:val="auto"/>
              </w:rPr>
            </w:pPr>
            <w:hyperlink r:id="rId39">
              <w:r>
                <w:rPr>
                  <w:rFonts w:ascii="Arial" w:cs="Arial" w:eastAsia="Arial" w:hAnsi="Arial"/>
                  <w:sz w:val="18"/>
                  <w:szCs w:val="18"/>
                  <w:color w:val="auto"/>
                </w:rPr>
                <w:t>reference to Exhibit 3.5 of Form 8-A (File No. 001-34057), filed August 18, 2017.</w:t>
              </w:r>
            </w:hyperlink>
          </w:p>
        </w:tc>
      </w:tr>
      <w:tr>
        <w:trPr>
          <w:trHeight w:val="364"/>
        </w:trPr>
        <w:tc>
          <w:tcPr>
            <w:tcW w:w="820" w:type="dxa"/>
            <w:vAlign w:val="bottom"/>
          </w:tcPr>
          <w:p>
            <w:pPr>
              <w:jc w:val="right"/>
              <w:ind w:right="410"/>
              <w:spacing w:after="0"/>
              <w:rPr>
                <w:rFonts w:ascii="Arial" w:cs="Arial" w:eastAsia="Arial" w:hAnsi="Arial"/>
                <w:sz w:val="18"/>
                <w:szCs w:val="18"/>
                <w:color w:val="auto"/>
                <w:w w:val="93"/>
              </w:rPr>
            </w:pPr>
            <w:hyperlink r:id="rId40">
              <w:r>
                <w:rPr>
                  <w:rFonts w:ascii="Arial" w:cs="Arial" w:eastAsia="Arial" w:hAnsi="Arial"/>
                  <w:sz w:val="18"/>
                  <w:szCs w:val="18"/>
                  <w:color w:val="auto"/>
                  <w:w w:val="93"/>
                </w:rPr>
                <w:t>*3.4</w:t>
              </w:r>
            </w:hyperlink>
          </w:p>
        </w:tc>
        <w:tc>
          <w:tcPr>
            <w:tcW w:w="10600" w:type="dxa"/>
            <w:vAlign w:val="bottom"/>
          </w:tcPr>
          <w:p>
            <w:pPr>
              <w:ind w:left="480"/>
              <w:spacing w:after="0"/>
              <w:rPr>
                <w:rFonts w:ascii="Arial" w:cs="Arial" w:eastAsia="Arial" w:hAnsi="Arial"/>
                <w:sz w:val="18"/>
                <w:szCs w:val="18"/>
                <w:color w:val="auto"/>
                <w:w w:val="93"/>
              </w:rPr>
            </w:pPr>
            <w:hyperlink r:id="rId40">
              <w:r>
                <w:rPr>
                  <w:rFonts w:ascii="Arial" w:cs="Arial" w:eastAsia="Arial" w:hAnsi="Arial"/>
                  <w:sz w:val="18"/>
                  <w:szCs w:val="18"/>
                  <w:color w:val="auto"/>
                  <w:w w:val="93"/>
                </w:rPr>
                <w:t>Certificate of Elimination of 8.000% Series A Cumulative Redeemable Preferred Stock, incorporated herein by reference to Exhibit 3.1 of</w:t>
              </w:r>
            </w:hyperlink>
          </w:p>
        </w:tc>
      </w:tr>
      <w:tr>
        <w:trPr>
          <w:trHeight w:val="230"/>
        </w:trPr>
        <w:tc>
          <w:tcPr>
            <w:tcW w:w="820" w:type="dxa"/>
            <w:vAlign w:val="bottom"/>
          </w:tcPr>
          <w:p>
            <w:pPr>
              <w:spacing w:after="0"/>
              <w:rPr>
                <w:sz w:val="20"/>
                <w:szCs w:val="20"/>
                <w:color w:val="auto"/>
              </w:rPr>
            </w:pPr>
          </w:p>
        </w:tc>
        <w:tc>
          <w:tcPr>
            <w:tcW w:w="10600" w:type="dxa"/>
            <w:vAlign w:val="bottom"/>
          </w:tcPr>
          <w:p>
            <w:pPr>
              <w:ind w:left="480"/>
              <w:spacing w:after="0"/>
              <w:rPr>
                <w:rFonts w:ascii="Arial" w:cs="Arial" w:eastAsia="Arial" w:hAnsi="Arial"/>
                <w:sz w:val="18"/>
                <w:szCs w:val="18"/>
                <w:color w:val="auto"/>
              </w:rPr>
            </w:pPr>
            <w:hyperlink r:id="rId40">
              <w:r>
                <w:rPr>
                  <w:rFonts w:ascii="Arial" w:cs="Arial" w:eastAsia="Arial" w:hAnsi="Arial"/>
                  <w:sz w:val="18"/>
                  <w:szCs w:val="18"/>
                  <w:color w:val="auto"/>
                </w:rPr>
                <w:t>Form 8-K (File No 001-34057), filed October 26, 2017.</w:t>
              </w:r>
            </w:hyperlink>
          </w:p>
        </w:tc>
      </w:tr>
      <w:tr>
        <w:trPr>
          <w:trHeight w:val="364"/>
        </w:trPr>
        <w:tc>
          <w:tcPr>
            <w:tcW w:w="820" w:type="dxa"/>
            <w:vAlign w:val="bottom"/>
          </w:tcPr>
          <w:p>
            <w:pPr>
              <w:jc w:val="right"/>
              <w:ind w:right="410"/>
              <w:spacing w:after="0"/>
              <w:rPr>
                <w:rFonts w:ascii="Arial" w:cs="Arial" w:eastAsia="Arial" w:hAnsi="Arial"/>
                <w:sz w:val="18"/>
                <w:szCs w:val="18"/>
                <w:color w:val="auto"/>
                <w:w w:val="93"/>
              </w:rPr>
            </w:pPr>
            <w:hyperlink r:id="rId41">
              <w:r>
                <w:rPr>
                  <w:rFonts w:ascii="Arial" w:cs="Arial" w:eastAsia="Arial" w:hAnsi="Arial"/>
                  <w:sz w:val="18"/>
                  <w:szCs w:val="18"/>
                  <w:color w:val="auto"/>
                  <w:w w:val="93"/>
                </w:rPr>
                <w:t>*3.5</w:t>
              </w:r>
            </w:hyperlink>
          </w:p>
        </w:tc>
        <w:tc>
          <w:tcPr>
            <w:tcW w:w="10600" w:type="dxa"/>
            <w:vAlign w:val="bottom"/>
          </w:tcPr>
          <w:p>
            <w:pPr>
              <w:ind w:left="480"/>
              <w:spacing w:after="0"/>
              <w:rPr>
                <w:rFonts w:ascii="Arial" w:cs="Arial" w:eastAsia="Arial" w:hAnsi="Arial"/>
                <w:sz w:val="18"/>
                <w:szCs w:val="18"/>
                <w:color w:val="auto"/>
                <w:w w:val="93"/>
              </w:rPr>
            </w:pPr>
            <w:hyperlink r:id="rId41">
              <w:r>
                <w:rPr>
                  <w:rFonts w:ascii="Arial" w:cs="Arial" w:eastAsia="Arial" w:hAnsi="Arial"/>
                  <w:sz w:val="18"/>
                  <w:szCs w:val="18"/>
                  <w:color w:val="auto"/>
                  <w:w w:val="93"/>
                </w:rPr>
                <w:t>Certificate of Designations of 6.875% Series D Fixed-to-Floating Rate Cumulative Redeemable Preferred Stock, incorporated herein by</w:t>
              </w:r>
            </w:hyperlink>
          </w:p>
        </w:tc>
      </w:tr>
      <w:tr>
        <w:trPr>
          <w:trHeight w:val="230"/>
        </w:trPr>
        <w:tc>
          <w:tcPr>
            <w:tcW w:w="820" w:type="dxa"/>
            <w:vAlign w:val="bottom"/>
          </w:tcPr>
          <w:p>
            <w:pPr>
              <w:spacing w:after="0"/>
              <w:rPr>
                <w:sz w:val="20"/>
                <w:szCs w:val="20"/>
                <w:color w:val="auto"/>
              </w:rPr>
            </w:pPr>
          </w:p>
        </w:tc>
        <w:tc>
          <w:tcPr>
            <w:tcW w:w="10600" w:type="dxa"/>
            <w:vAlign w:val="bottom"/>
          </w:tcPr>
          <w:p>
            <w:pPr>
              <w:ind w:left="480"/>
              <w:spacing w:after="0"/>
              <w:rPr>
                <w:rFonts w:ascii="Arial" w:cs="Arial" w:eastAsia="Arial" w:hAnsi="Arial"/>
                <w:sz w:val="18"/>
                <w:szCs w:val="18"/>
                <w:color w:val="auto"/>
              </w:rPr>
            </w:pPr>
            <w:hyperlink r:id="rId41">
              <w:r>
                <w:rPr>
                  <w:rFonts w:ascii="Arial" w:cs="Arial" w:eastAsia="Arial" w:hAnsi="Arial"/>
                  <w:sz w:val="18"/>
                  <w:szCs w:val="18"/>
                  <w:color w:val="auto"/>
                </w:rPr>
                <w:t>reference to Exhibit 3.5 of Form 8-A (File No 001-34057), filed March 6, 2019.</w:t>
              </w:r>
            </w:hyperlink>
          </w:p>
        </w:tc>
      </w:tr>
      <w:tr>
        <w:trPr>
          <w:trHeight w:val="364"/>
        </w:trPr>
        <w:tc>
          <w:tcPr>
            <w:tcW w:w="820" w:type="dxa"/>
            <w:vAlign w:val="bottom"/>
          </w:tcPr>
          <w:p>
            <w:pPr>
              <w:jc w:val="right"/>
              <w:ind w:right="410"/>
              <w:spacing w:after="0"/>
              <w:rPr>
                <w:rFonts w:ascii="Arial" w:cs="Arial" w:eastAsia="Arial" w:hAnsi="Arial"/>
                <w:sz w:val="18"/>
                <w:szCs w:val="18"/>
                <w:color w:val="auto"/>
                <w:w w:val="93"/>
              </w:rPr>
            </w:pPr>
            <w:hyperlink r:id="rId42">
              <w:r>
                <w:rPr>
                  <w:rFonts w:ascii="Arial" w:cs="Arial" w:eastAsia="Arial" w:hAnsi="Arial"/>
                  <w:sz w:val="18"/>
                  <w:szCs w:val="18"/>
                  <w:color w:val="auto"/>
                  <w:w w:val="93"/>
                </w:rPr>
                <w:t>*3.6</w:t>
              </w:r>
            </w:hyperlink>
          </w:p>
        </w:tc>
        <w:tc>
          <w:tcPr>
            <w:tcW w:w="10600" w:type="dxa"/>
            <w:vAlign w:val="bottom"/>
          </w:tcPr>
          <w:p>
            <w:pPr>
              <w:ind w:left="480"/>
              <w:spacing w:after="0"/>
              <w:rPr>
                <w:rFonts w:ascii="Arial" w:cs="Arial" w:eastAsia="Arial" w:hAnsi="Arial"/>
                <w:sz w:val="18"/>
                <w:szCs w:val="18"/>
                <w:color w:val="auto"/>
                <w:w w:val="94"/>
              </w:rPr>
            </w:pPr>
            <w:hyperlink r:id="rId42">
              <w:r>
                <w:rPr>
                  <w:rFonts w:ascii="Arial" w:cs="Arial" w:eastAsia="Arial" w:hAnsi="Arial"/>
                  <w:sz w:val="18"/>
                  <w:szCs w:val="18"/>
                  <w:color w:val="auto"/>
                  <w:w w:val="94"/>
                </w:rPr>
                <w:t>Certificate of Designations of 6.50% Series E Fixed-to-Floating Rate Cumulative Redeemable Preferred Stock, incorporated herein by</w:t>
              </w:r>
            </w:hyperlink>
          </w:p>
        </w:tc>
      </w:tr>
      <w:tr>
        <w:trPr>
          <w:trHeight w:val="230"/>
        </w:trPr>
        <w:tc>
          <w:tcPr>
            <w:tcW w:w="820" w:type="dxa"/>
            <w:vAlign w:val="bottom"/>
          </w:tcPr>
          <w:p>
            <w:pPr>
              <w:spacing w:after="0"/>
              <w:rPr>
                <w:sz w:val="20"/>
                <w:szCs w:val="20"/>
                <w:color w:val="auto"/>
              </w:rPr>
            </w:pPr>
          </w:p>
        </w:tc>
        <w:tc>
          <w:tcPr>
            <w:tcW w:w="10600" w:type="dxa"/>
            <w:vAlign w:val="bottom"/>
          </w:tcPr>
          <w:p>
            <w:pPr>
              <w:ind w:left="480"/>
              <w:spacing w:after="0"/>
              <w:rPr>
                <w:rFonts w:ascii="Arial" w:cs="Arial" w:eastAsia="Arial" w:hAnsi="Arial"/>
                <w:sz w:val="18"/>
                <w:szCs w:val="18"/>
                <w:color w:val="auto"/>
              </w:rPr>
            </w:pPr>
            <w:hyperlink r:id="rId42">
              <w:r>
                <w:rPr>
                  <w:rFonts w:ascii="Arial" w:cs="Arial" w:eastAsia="Arial" w:hAnsi="Arial"/>
                  <w:sz w:val="18"/>
                  <w:szCs w:val="18"/>
                  <w:color w:val="auto"/>
                </w:rPr>
                <w:t>reference to Exhibit 3.6 of Form 8-A (File No 001-34057), filed October 3, 2019.</w:t>
              </w:r>
            </w:hyperlink>
          </w:p>
        </w:tc>
      </w:tr>
      <w:tr>
        <w:trPr>
          <w:trHeight w:val="364"/>
        </w:trPr>
        <w:tc>
          <w:tcPr>
            <w:tcW w:w="820" w:type="dxa"/>
            <w:vAlign w:val="bottom"/>
          </w:tcPr>
          <w:p>
            <w:pPr>
              <w:jc w:val="right"/>
              <w:ind w:right="410"/>
              <w:spacing w:after="0"/>
              <w:rPr>
                <w:rFonts w:ascii="Arial" w:cs="Arial" w:eastAsia="Arial" w:hAnsi="Arial"/>
                <w:sz w:val="18"/>
                <w:szCs w:val="18"/>
                <w:color w:val="auto"/>
                <w:w w:val="93"/>
              </w:rPr>
            </w:pPr>
            <w:hyperlink r:id="rId43">
              <w:r>
                <w:rPr>
                  <w:rFonts w:ascii="Arial" w:cs="Arial" w:eastAsia="Arial" w:hAnsi="Arial"/>
                  <w:sz w:val="18"/>
                  <w:szCs w:val="18"/>
                  <w:color w:val="auto"/>
                  <w:w w:val="93"/>
                </w:rPr>
                <w:t>*3.7</w:t>
              </w:r>
            </w:hyperlink>
          </w:p>
        </w:tc>
        <w:tc>
          <w:tcPr>
            <w:tcW w:w="10600" w:type="dxa"/>
            <w:vAlign w:val="bottom"/>
          </w:tcPr>
          <w:p>
            <w:pPr>
              <w:ind w:left="480"/>
              <w:spacing w:after="0"/>
              <w:rPr>
                <w:rFonts w:ascii="Arial" w:cs="Arial" w:eastAsia="Arial" w:hAnsi="Arial"/>
                <w:sz w:val="18"/>
                <w:szCs w:val="18"/>
                <w:color w:val="auto"/>
                <w:w w:val="93"/>
              </w:rPr>
            </w:pPr>
            <w:hyperlink r:id="rId43">
              <w:r>
                <w:rPr>
                  <w:rFonts w:ascii="Arial" w:cs="Arial" w:eastAsia="Arial" w:hAnsi="Arial"/>
                  <w:sz w:val="18"/>
                  <w:szCs w:val="18"/>
                  <w:color w:val="auto"/>
                  <w:w w:val="93"/>
                </w:rPr>
                <w:t>Certificate of Elimination of 7.750% Series B Cumulative Redeemable Preferred Stock, incorporated herein by reference to Exhibit 3.1 of</w:t>
              </w:r>
            </w:hyperlink>
          </w:p>
        </w:tc>
      </w:tr>
      <w:tr>
        <w:trPr>
          <w:trHeight w:val="230"/>
        </w:trPr>
        <w:tc>
          <w:tcPr>
            <w:tcW w:w="820" w:type="dxa"/>
            <w:vAlign w:val="bottom"/>
          </w:tcPr>
          <w:p>
            <w:pPr>
              <w:spacing w:after="0"/>
              <w:rPr>
                <w:sz w:val="20"/>
                <w:szCs w:val="20"/>
                <w:color w:val="auto"/>
              </w:rPr>
            </w:pPr>
          </w:p>
        </w:tc>
        <w:tc>
          <w:tcPr>
            <w:tcW w:w="10600" w:type="dxa"/>
            <w:vAlign w:val="bottom"/>
          </w:tcPr>
          <w:p>
            <w:pPr>
              <w:ind w:left="480"/>
              <w:spacing w:after="0"/>
              <w:rPr>
                <w:rFonts w:ascii="Arial" w:cs="Arial" w:eastAsia="Arial" w:hAnsi="Arial"/>
                <w:sz w:val="18"/>
                <w:szCs w:val="18"/>
                <w:color w:val="auto"/>
              </w:rPr>
            </w:pPr>
            <w:hyperlink r:id="rId43">
              <w:r>
                <w:rPr>
                  <w:rFonts w:ascii="Arial" w:cs="Arial" w:eastAsia="Arial" w:hAnsi="Arial"/>
                  <w:sz w:val="18"/>
                  <w:szCs w:val="18"/>
                  <w:color w:val="auto"/>
                </w:rPr>
                <w:t>Form 8-K (File No 001-34057), filed December 13, 2019.</w:t>
              </w:r>
            </w:hyperlink>
          </w:p>
        </w:tc>
      </w:tr>
      <w:tr>
        <w:trPr>
          <w:trHeight w:val="364"/>
        </w:trPr>
        <w:tc>
          <w:tcPr>
            <w:tcW w:w="820" w:type="dxa"/>
            <w:vAlign w:val="bottom"/>
          </w:tcPr>
          <w:p>
            <w:pPr>
              <w:jc w:val="right"/>
              <w:ind w:right="410"/>
              <w:spacing w:after="0"/>
              <w:rPr>
                <w:rFonts w:ascii="Arial" w:cs="Arial" w:eastAsia="Arial" w:hAnsi="Arial"/>
                <w:sz w:val="18"/>
                <w:szCs w:val="18"/>
                <w:color w:val="auto"/>
                <w:w w:val="93"/>
              </w:rPr>
            </w:pPr>
            <w:hyperlink r:id="rId44">
              <w:r>
                <w:rPr>
                  <w:rFonts w:ascii="Arial" w:cs="Arial" w:eastAsia="Arial" w:hAnsi="Arial"/>
                  <w:sz w:val="18"/>
                  <w:szCs w:val="18"/>
                  <w:color w:val="auto"/>
                  <w:w w:val="93"/>
                </w:rPr>
                <w:t>*3.8</w:t>
              </w:r>
            </w:hyperlink>
          </w:p>
        </w:tc>
        <w:tc>
          <w:tcPr>
            <w:tcW w:w="10600" w:type="dxa"/>
            <w:vAlign w:val="bottom"/>
          </w:tcPr>
          <w:p>
            <w:pPr>
              <w:ind w:left="480"/>
              <w:spacing w:after="0"/>
              <w:rPr>
                <w:rFonts w:ascii="Arial" w:cs="Arial" w:eastAsia="Arial" w:hAnsi="Arial"/>
                <w:sz w:val="18"/>
                <w:szCs w:val="18"/>
                <w:color w:val="auto"/>
                <w:w w:val="94"/>
              </w:rPr>
            </w:pPr>
            <w:hyperlink r:id="rId44">
              <w:r>
                <w:rPr>
                  <w:rFonts w:ascii="Arial" w:cs="Arial" w:eastAsia="Arial" w:hAnsi="Arial"/>
                  <w:sz w:val="18"/>
                  <w:szCs w:val="18"/>
                  <w:color w:val="auto"/>
                  <w:w w:val="94"/>
                </w:rPr>
                <w:t>Certificate of Designations of 6.125% Series F Fixed-to-Floating Rate Cumulative Redeemable Preferred Stock, incorporated herein by</w:t>
              </w:r>
            </w:hyperlink>
          </w:p>
        </w:tc>
      </w:tr>
      <w:tr>
        <w:trPr>
          <w:trHeight w:val="230"/>
        </w:trPr>
        <w:tc>
          <w:tcPr>
            <w:tcW w:w="820" w:type="dxa"/>
            <w:vAlign w:val="bottom"/>
          </w:tcPr>
          <w:p>
            <w:pPr>
              <w:spacing w:after="0"/>
              <w:rPr>
                <w:sz w:val="20"/>
                <w:szCs w:val="20"/>
                <w:color w:val="auto"/>
              </w:rPr>
            </w:pPr>
          </w:p>
        </w:tc>
        <w:tc>
          <w:tcPr>
            <w:tcW w:w="10600" w:type="dxa"/>
            <w:vAlign w:val="bottom"/>
          </w:tcPr>
          <w:p>
            <w:pPr>
              <w:ind w:left="480"/>
              <w:spacing w:after="0"/>
              <w:rPr>
                <w:rFonts w:ascii="Arial" w:cs="Arial" w:eastAsia="Arial" w:hAnsi="Arial"/>
                <w:sz w:val="18"/>
                <w:szCs w:val="18"/>
                <w:color w:val="auto"/>
              </w:rPr>
            </w:pPr>
            <w:hyperlink r:id="rId44">
              <w:r>
                <w:rPr>
                  <w:rFonts w:ascii="Arial" w:cs="Arial" w:eastAsia="Arial" w:hAnsi="Arial"/>
                  <w:sz w:val="18"/>
                  <w:szCs w:val="18"/>
                  <w:color w:val="auto"/>
                </w:rPr>
                <w:t>reference to Exhibit 3.6 of Form 8-A (File No 001-34057), filed February 11, 2020.</w:t>
              </w:r>
            </w:hyperlink>
          </w:p>
        </w:tc>
      </w:tr>
      <w:tr>
        <w:trPr>
          <w:trHeight w:val="364"/>
        </w:trPr>
        <w:tc>
          <w:tcPr>
            <w:tcW w:w="820" w:type="dxa"/>
            <w:vAlign w:val="bottom"/>
          </w:tcPr>
          <w:p>
            <w:pPr>
              <w:jc w:val="right"/>
              <w:ind w:right="410"/>
              <w:spacing w:after="0"/>
              <w:rPr>
                <w:rFonts w:ascii="Arial" w:cs="Arial" w:eastAsia="Arial" w:hAnsi="Arial"/>
                <w:sz w:val="18"/>
                <w:szCs w:val="18"/>
                <w:color w:val="auto"/>
                <w:w w:val="93"/>
              </w:rPr>
            </w:pPr>
            <w:hyperlink r:id="rId37">
              <w:r>
                <w:rPr>
                  <w:rFonts w:ascii="Arial" w:cs="Arial" w:eastAsia="Arial" w:hAnsi="Arial"/>
                  <w:sz w:val="18"/>
                  <w:szCs w:val="18"/>
                  <w:color w:val="auto"/>
                  <w:w w:val="93"/>
                </w:rPr>
                <w:t>*4.1</w:t>
              </w:r>
            </w:hyperlink>
          </w:p>
        </w:tc>
        <w:tc>
          <w:tcPr>
            <w:tcW w:w="10600" w:type="dxa"/>
            <w:vAlign w:val="bottom"/>
          </w:tcPr>
          <w:p>
            <w:pPr>
              <w:ind w:left="480"/>
              <w:spacing w:after="0"/>
              <w:rPr>
                <w:rFonts w:ascii="Arial" w:cs="Arial" w:eastAsia="Arial" w:hAnsi="Arial"/>
                <w:sz w:val="18"/>
                <w:szCs w:val="18"/>
                <w:color w:val="auto"/>
                <w:w w:val="97"/>
              </w:rPr>
            </w:pPr>
            <w:hyperlink r:id="rId37">
              <w:r>
                <w:rPr>
                  <w:rFonts w:ascii="Arial" w:cs="Arial" w:eastAsia="Arial" w:hAnsi="Arial"/>
                  <w:sz w:val="18"/>
                  <w:szCs w:val="18"/>
                  <w:color w:val="auto"/>
                  <w:w w:val="97"/>
                </w:rPr>
                <w:t>Instruments defining the rights of holders of securities: See Article IV of our Amended and Restated Certificate of Incorporation, as</w:t>
              </w:r>
            </w:hyperlink>
          </w:p>
        </w:tc>
      </w:tr>
      <w:tr>
        <w:trPr>
          <w:trHeight w:val="216"/>
        </w:trPr>
        <w:tc>
          <w:tcPr>
            <w:tcW w:w="820" w:type="dxa"/>
            <w:vAlign w:val="bottom"/>
          </w:tcPr>
          <w:p>
            <w:pPr>
              <w:spacing w:after="0"/>
              <w:rPr>
                <w:sz w:val="18"/>
                <w:szCs w:val="18"/>
                <w:color w:val="auto"/>
              </w:rPr>
            </w:pPr>
          </w:p>
        </w:tc>
        <w:tc>
          <w:tcPr>
            <w:tcW w:w="10600" w:type="dxa"/>
            <w:vAlign w:val="bottom"/>
          </w:tcPr>
          <w:p>
            <w:pPr>
              <w:ind w:left="480"/>
              <w:spacing w:after="0"/>
              <w:rPr>
                <w:rFonts w:ascii="Arial" w:cs="Arial" w:eastAsia="Arial" w:hAnsi="Arial"/>
                <w:sz w:val="18"/>
                <w:szCs w:val="18"/>
                <w:color w:val="auto"/>
                <w:w w:val="93"/>
              </w:rPr>
            </w:pPr>
            <w:hyperlink r:id="rId37">
              <w:r>
                <w:rPr>
                  <w:rFonts w:ascii="Arial" w:cs="Arial" w:eastAsia="Arial" w:hAnsi="Arial"/>
                  <w:sz w:val="18"/>
                  <w:szCs w:val="18"/>
                  <w:color w:val="auto"/>
                  <w:w w:val="93"/>
                </w:rPr>
                <w:t>amended, incorporated herein by reference to Exhibit 3.1 of Form 10-Q for the quarter ended March 31, 2018 (File No. 001-34057) filed</w:t>
              </w:r>
            </w:hyperlink>
          </w:p>
        </w:tc>
      </w:tr>
      <w:tr>
        <w:trPr>
          <w:trHeight w:val="230"/>
        </w:trPr>
        <w:tc>
          <w:tcPr>
            <w:tcW w:w="820" w:type="dxa"/>
            <w:vAlign w:val="bottom"/>
          </w:tcPr>
          <w:p>
            <w:pPr>
              <w:spacing w:after="0"/>
              <w:rPr>
                <w:sz w:val="20"/>
                <w:szCs w:val="20"/>
                <w:color w:val="auto"/>
              </w:rPr>
            </w:pPr>
          </w:p>
        </w:tc>
        <w:tc>
          <w:tcPr>
            <w:tcW w:w="10600" w:type="dxa"/>
            <w:vAlign w:val="bottom"/>
          </w:tcPr>
          <w:p>
            <w:pPr>
              <w:ind w:left="480"/>
              <w:spacing w:after="0"/>
              <w:rPr>
                <w:rFonts w:ascii="Arial" w:cs="Arial" w:eastAsia="Arial" w:hAnsi="Arial"/>
                <w:sz w:val="18"/>
                <w:szCs w:val="18"/>
                <w:color w:val="auto"/>
              </w:rPr>
            </w:pPr>
            <w:hyperlink r:id="rId37">
              <w:r>
                <w:rPr>
                  <w:rFonts w:ascii="Arial" w:cs="Arial" w:eastAsia="Arial" w:hAnsi="Arial"/>
                  <w:sz w:val="18"/>
                  <w:szCs w:val="18"/>
                  <w:color w:val="auto"/>
                </w:rPr>
                <w:t>May 7, 2018.</w:t>
              </w:r>
            </w:hyperlink>
          </w:p>
        </w:tc>
      </w:tr>
      <w:tr>
        <w:trPr>
          <w:trHeight w:val="364"/>
        </w:trPr>
        <w:tc>
          <w:tcPr>
            <w:tcW w:w="820" w:type="dxa"/>
            <w:vAlign w:val="bottom"/>
          </w:tcPr>
          <w:p>
            <w:pPr>
              <w:jc w:val="right"/>
              <w:ind w:right="410"/>
              <w:spacing w:after="0"/>
              <w:rPr>
                <w:rFonts w:ascii="Arial" w:cs="Arial" w:eastAsia="Arial" w:hAnsi="Arial"/>
                <w:sz w:val="18"/>
                <w:szCs w:val="18"/>
                <w:color w:val="auto"/>
                <w:w w:val="93"/>
              </w:rPr>
            </w:pPr>
            <w:hyperlink r:id="rId38">
              <w:r>
                <w:rPr>
                  <w:rFonts w:ascii="Arial" w:cs="Arial" w:eastAsia="Arial" w:hAnsi="Arial"/>
                  <w:sz w:val="18"/>
                  <w:szCs w:val="18"/>
                  <w:color w:val="auto"/>
                  <w:w w:val="93"/>
                </w:rPr>
                <w:t>*4.2</w:t>
              </w:r>
            </w:hyperlink>
          </w:p>
        </w:tc>
        <w:tc>
          <w:tcPr>
            <w:tcW w:w="10600" w:type="dxa"/>
            <w:vAlign w:val="bottom"/>
          </w:tcPr>
          <w:p>
            <w:pPr>
              <w:ind w:left="480"/>
              <w:spacing w:after="0"/>
              <w:rPr>
                <w:rFonts w:ascii="Arial" w:cs="Arial" w:eastAsia="Arial" w:hAnsi="Arial"/>
                <w:sz w:val="18"/>
                <w:szCs w:val="18"/>
                <w:color w:val="auto"/>
                <w:w w:val="99"/>
              </w:rPr>
            </w:pPr>
            <w:hyperlink r:id="rId38">
              <w:r>
                <w:rPr>
                  <w:rFonts w:ascii="Arial" w:cs="Arial" w:eastAsia="Arial" w:hAnsi="Arial"/>
                  <w:sz w:val="18"/>
                  <w:szCs w:val="18"/>
                  <w:color w:val="auto"/>
                  <w:w w:val="99"/>
                </w:rPr>
                <w:t>Instruments defining the rights of holders of securities: See Article VI of our Third Amended and Restated Bylaws, as amended,</w:t>
              </w:r>
            </w:hyperlink>
          </w:p>
        </w:tc>
      </w:tr>
      <w:tr>
        <w:trPr>
          <w:trHeight w:val="216"/>
        </w:trPr>
        <w:tc>
          <w:tcPr>
            <w:tcW w:w="820" w:type="dxa"/>
            <w:vAlign w:val="bottom"/>
          </w:tcPr>
          <w:p>
            <w:pPr>
              <w:spacing w:after="0"/>
              <w:rPr>
                <w:sz w:val="18"/>
                <w:szCs w:val="18"/>
                <w:color w:val="auto"/>
              </w:rPr>
            </w:pPr>
          </w:p>
        </w:tc>
        <w:tc>
          <w:tcPr>
            <w:tcW w:w="10600" w:type="dxa"/>
            <w:vAlign w:val="bottom"/>
          </w:tcPr>
          <w:p>
            <w:pPr>
              <w:ind w:left="480"/>
              <w:spacing w:after="0"/>
              <w:rPr>
                <w:rFonts w:ascii="Arial" w:cs="Arial" w:eastAsia="Arial" w:hAnsi="Arial"/>
                <w:sz w:val="18"/>
                <w:szCs w:val="18"/>
                <w:color w:val="auto"/>
                <w:w w:val="98"/>
              </w:rPr>
            </w:pPr>
            <w:hyperlink r:id="rId38">
              <w:r>
                <w:rPr>
                  <w:rFonts w:ascii="Arial" w:cs="Arial" w:eastAsia="Arial" w:hAnsi="Arial"/>
                  <w:sz w:val="18"/>
                  <w:szCs w:val="18"/>
                  <w:color w:val="auto"/>
                  <w:w w:val="98"/>
                </w:rPr>
                <w:t>incorporated herein by reference to Exhibit 3.2 of Form 10-Q for the quarter ended September 30, 2016 (File No. 001-34057) filed</w:t>
              </w:r>
            </w:hyperlink>
          </w:p>
        </w:tc>
      </w:tr>
      <w:tr>
        <w:trPr>
          <w:trHeight w:val="230"/>
        </w:trPr>
        <w:tc>
          <w:tcPr>
            <w:tcW w:w="820" w:type="dxa"/>
            <w:vAlign w:val="bottom"/>
          </w:tcPr>
          <w:p>
            <w:pPr>
              <w:spacing w:after="0"/>
              <w:rPr>
                <w:sz w:val="20"/>
                <w:szCs w:val="20"/>
                <w:color w:val="auto"/>
              </w:rPr>
            </w:pPr>
          </w:p>
        </w:tc>
        <w:tc>
          <w:tcPr>
            <w:tcW w:w="10600" w:type="dxa"/>
            <w:vAlign w:val="bottom"/>
          </w:tcPr>
          <w:p>
            <w:pPr>
              <w:ind w:left="480"/>
              <w:spacing w:after="0"/>
              <w:rPr>
                <w:rFonts w:ascii="Arial" w:cs="Arial" w:eastAsia="Arial" w:hAnsi="Arial"/>
                <w:sz w:val="18"/>
                <w:szCs w:val="18"/>
                <w:color w:val="auto"/>
              </w:rPr>
            </w:pPr>
            <w:hyperlink r:id="rId38">
              <w:r>
                <w:rPr>
                  <w:rFonts w:ascii="Arial" w:cs="Arial" w:eastAsia="Arial" w:hAnsi="Arial"/>
                  <w:sz w:val="18"/>
                  <w:szCs w:val="18"/>
                  <w:color w:val="auto"/>
                </w:rPr>
                <w:t>November 7, 2016.</w:t>
              </w:r>
            </w:hyperlink>
          </w:p>
        </w:tc>
      </w:tr>
      <w:tr>
        <w:trPr>
          <w:trHeight w:val="364"/>
        </w:trPr>
        <w:tc>
          <w:tcPr>
            <w:tcW w:w="820" w:type="dxa"/>
            <w:vAlign w:val="bottom"/>
          </w:tcPr>
          <w:p>
            <w:pPr>
              <w:jc w:val="right"/>
              <w:ind w:right="410"/>
              <w:spacing w:after="0"/>
              <w:rPr>
                <w:rFonts w:ascii="Arial" w:cs="Arial" w:eastAsia="Arial" w:hAnsi="Arial"/>
                <w:sz w:val="18"/>
                <w:szCs w:val="18"/>
                <w:color w:val="auto"/>
                <w:w w:val="93"/>
              </w:rPr>
            </w:pPr>
            <w:hyperlink r:id="rId45">
              <w:r>
                <w:rPr>
                  <w:rFonts w:ascii="Arial" w:cs="Arial" w:eastAsia="Arial" w:hAnsi="Arial"/>
                  <w:sz w:val="18"/>
                  <w:szCs w:val="18"/>
                  <w:color w:val="auto"/>
                  <w:w w:val="93"/>
                </w:rPr>
                <w:t>*4.3</w:t>
              </w:r>
            </w:hyperlink>
          </w:p>
        </w:tc>
        <w:tc>
          <w:tcPr>
            <w:tcW w:w="10600" w:type="dxa"/>
            <w:vAlign w:val="bottom"/>
          </w:tcPr>
          <w:p>
            <w:pPr>
              <w:ind w:left="480"/>
              <w:spacing w:after="0"/>
              <w:rPr>
                <w:rFonts w:ascii="Arial" w:cs="Arial" w:eastAsia="Arial" w:hAnsi="Arial"/>
                <w:sz w:val="18"/>
                <w:szCs w:val="18"/>
                <w:color w:val="auto"/>
                <w:w w:val="92"/>
              </w:rPr>
            </w:pPr>
            <w:hyperlink r:id="rId45">
              <w:r>
                <w:rPr>
                  <w:rFonts w:ascii="Arial" w:cs="Arial" w:eastAsia="Arial" w:hAnsi="Arial"/>
                  <w:sz w:val="18"/>
                  <w:szCs w:val="18"/>
                  <w:color w:val="auto"/>
                  <w:w w:val="92"/>
                </w:rPr>
                <w:t>Form of Certificate for Common Stock, incorporated herein by reference to Exhibit 4.3 of Form 10-Q for the quarter ended September 30,</w:t>
              </w:r>
            </w:hyperlink>
          </w:p>
        </w:tc>
      </w:tr>
      <w:tr>
        <w:trPr>
          <w:trHeight w:val="230"/>
        </w:trPr>
        <w:tc>
          <w:tcPr>
            <w:tcW w:w="820" w:type="dxa"/>
            <w:vAlign w:val="bottom"/>
          </w:tcPr>
          <w:p>
            <w:pPr>
              <w:spacing w:after="0"/>
              <w:rPr>
                <w:sz w:val="20"/>
                <w:szCs w:val="20"/>
                <w:color w:val="auto"/>
              </w:rPr>
            </w:pPr>
          </w:p>
        </w:tc>
        <w:tc>
          <w:tcPr>
            <w:tcW w:w="10600" w:type="dxa"/>
            <w:vAlign w:val="bottom"/>
          </w:tcPr>
          <w:p>
            <w:pPr>
              <w:ind w:left="480"/>
              <w:spacing w:after="0"/>
              <w:rPr>
                <w:rFonts w:ascii="Arial" w:cs="Arial" w:eastAsia="Arial" w:hAnsi="Arial"/>
                <w:sz w:val="18"/>
                <w:szCs w:val="18"/>
                <w:color w:val="auto"/>
              </w:rPr>
            </w:pPr>
            <w:hyperlink r:id="rId45">
              <w:r>
                <w:rPr>
                  <w:rFonts w:ascii="Arial" w:cs="Arial" w:eastAsia="Arial" w:hAnsi="Arial"/>
                  <w:sz w:val="18"/>
                  <w:szCs w:val="18"/>
                  <w:color w:val="auto"/>
                </w:rPr>
                <w:t>2016 (File No. 001-34057), filed November 7, 2016.</w:t>
              </w:r>
            </w:hyperlink>
          </w:p>
        </w:tc>
      </w:tr>
      <w:tr>
        <w:trPr>
          <w:trHeight w:val="364"/>
        </w:trPr>
        <w:tc>
          <w:tcPr>
            <w:tcW w:w="820" w:type="dxa"/>
            <w:vAlign w:val="bottom"/>
          </w:tcPr>
          <w:p>
            <w:pPr>
              <w:jc w:val="right"/>
              <w:ind w:right="410"/>
              <w:spacing w:after="0"/>
              <w:rPr>
                <w:rFonts w:ascii="Arial" w:cs="Arial" w:eastAsia="Arial" w:hAnsi="Arial"/>
                <w:sz w:val="18"/>
                <w:szCs w:val="18"/>
                <w:color w:val="auto"/>
                <w:w w:val="93"/>
              </w:rPr>
            </w:pPr>
            <w:hyperlink r:id="rId46">
              <w:r>
                <w:rPr>
                  <w:rFonts w:ascii="Arial" w:cs="Arial" w:eastAsia="Arial" w:hAnsi="Arial"/>
                  <w:sz w:val="18"/>
                  <w:szCs w:val="18"/>
                  <w:color w:val="auto"/>
                  <w:w w:val="93"/>
                </w:rPr>
                <w:t>*4.4</w:t>
              </w:r>
            </w:hyperlink>
          </w:p>
        </w:tc>
        <w:tc>
          <w:tcPr>
            <w:tcW w:w="10600" w:type="dxa"/>
            <w:vAlign w:val="bottom"/>
          </w:tcPr>
          <w:p>
            <w:pPr>
              <w:ind w:left="480"/>
              <w:spacing w:after="0"/>
              <w:rPr>
                <w:rFonts w:ascii="Arial" w:cs="Arial" w:eastAsia="Arial" w:hAnsi="Arial"/>
                <w:sz w:val="18"/>
                <w:szCs w:val="18"/>
                <w:color w:val="auto"/>
                <w:w w:val="91"/>
              </w:rPr>
            </w:pPr>
            <w:hyperlink r:id="rId46">
              <w:r>
                <w:rPr>
                  <w:rFonts w:ascii="Arial" w:cs="Arial" w:eastAsia="Arial" w:hAnsi="Arial"/>
                  <w:sz w:val="18"/>
                  <w:szCs w:val="18"/>
                  <w:color w:val="auto"/>
                  <w:w w:val="91"/>
                </w:rPr>
                <w:t>Specimen 7.00% Series C Fixed-to-Floating Rate Cumulative Redeemable Preferred Stock Certificate, incorporated herein by reference to</w:t>
              </w:r>
            </w:hyperlink>
          </w:p>
        </w:tc>
      </w:tr>
      <w:tr>
        <w:trPr>
          <w:trHeight w:val="230"/>
        </w:trPr>
        <w:tc>
          <w:tcPr>
            <w:tcW w:w="820" w:type="dxa"/>
            <w:vAlign w:val="bottom"/>
          </w:tcPr>
          <w:p>
            <w:pPr>
              <w:spacing w:after="0"/>
              <w:rPr>
                <w:sz w:val="20"/>
                <w:szCs w:val="20"/>
                <w:color w:val="auto"/>
              </w:rPr>
            </w:pPr>
          </w:p>
        </w:tc>
        <w:tc>
          <w:tcPr>
            <w:tcW w:w="10600" w:type="dxa"/>
            <w:vAlign w:val="bottom"/>
          </w:tcPr>
          <w:p>
            <w:pPr>
              <w:ind w:left="480"/>
              <w:spacing w:after="0"/>
              <w:rPr>
                <w:rFonts w:ascii="Arial" w:cs="Arial" w:eastAsia="Arial" w:hAnsi="Arial"/>
                <w:sz w:val="18"/>
                <w:szCs w:val="18"/>
                <w:color w:val="auto"/>
              </w:rPr>
            </w:pPr>
            <w:hyperlink r:id="rId46">
              <w:r>
                <w:rPr>
                  <w:rFonts w:ascii="Arial" w:cs="Arial" w:eastAsia="Arial" w:hAnsi="Arial"/>
                  <w:sz w:val="18"/>
                  <w:szCs w:val="18"/>
                  <w:color w:val="auto"/>
                </w:rPr>
                <w:t>Exhibit 4.1 of Form 8-A (File No. 001-34057), filed August 18, 2017.</w:t>
              </w:r>
            </w:hyperlink>
          </w:p>
        </w:tc>
      </w:tr>
      <w:tr>
        <w:trPr>
          <w:trHeight w:val="364"/>
        </w:trPr>
        <w:tc>
          <w:tcPr>
            <w:tcW w:w="820" w:type="dxa"/>
            <w:vAlign w:val="bottom"/>
          </w:tcPr>
          <w:p>
            <w:pPr>
              <w:jc w:val="right"/>
              <w:ind w:right="410"/>
              <w:spacing w:after="0"/>
              <w:rPr>
                <w:rFonts w:ascii="Arial" w:cs="Arial" w:eastAsia="Arial" w:hAnsi="Arial"/>
                <w:sz w:val="18"/>
                <w:szCs w:val="18"/>
                <w:color w:val="auto"/>
                <w:w w:val="93"/>
              </w:rPr>
            </w:pPr>
            <w:hyperlink r:id="rId47">
              <w:r>
                <w:rPr>
                  <w:rFonts w:ascii="Arial" w:cs="Arial" w:eastAsia="Arial" w:hAnsi="Arial"/>
                  <w:sz w:val="18"/>
                  <w:szCs w:val="18"/>
                  <w:color w:val="auto"/>
                  <w:w w:val="93"/>
                </w:rPr>
                <w:t>*4.5</w:t>
              </w:r>
            </w:hyperlink>
          </w:p>
        </w:tc>
        <w:tc>
          <w:tcPr>
            <w:tcW w:w="10600" w:type="dxa"/>
            <w:vAlign w:val="bottom"/>
          </w:tcPr>
          <w:p>
            <w:pPr>
              <w:ind w:left="480"/>
              <w:spacing w:after="0"/>
              <w:rPr>
                <w:rFonts w:ascii="Arial" w:cs="Arial" w:eastAsia="Arial" w:hAnsi="Arial"/>
                <w:sz w:val="18"/>
                <w:szCs w:val="18"/>
                <w:color w:val="auto"/>
                <w:w w:val="90"/>
              </w:rPr>
            </w:pPr>
            <w:hyperlink r:id="rId47">
              <w:r>
                <w:rPr>
                  <w:rFonts w:ascii="Arial" w:cs="Arial" w:eastAsia="Arial" w:hAnsi="Arial"/>
                  <w:sz w:val="18"/>
                  <w:szCs w:val="18"/>
                  <w:color w:val="auto"/>
                  <w:w w:val="90"/>
                </w:rPr>
                <w:t>Specimen 6.875% Series D Fixed-to-Floating Rate Cumulative Redeemable Preferred Stock Certificate, incorporated herein by reference to</w:t>
              </w:r>
            </w:hyperlink>
          </w:p>
        </w:tc>
      </w:tr>
      <w:tr>
        <w:trPr>
          <w:trHeight w:val="230"/>
        </w:trPr>
        <w:tc>
          <w:tcPr>
            <w:tcW w:w="820" w:type="dxa"/>
            <w:vAlign w:val="bottom"/>
          </w:tcPr>
          <w:p>
            <w:pPr>
              <w:spacing w:after="0"/>
              <w:rPr>
                <w:sz w:val="20"/>
                <w:szCs w:val="20"/>
                <w:color w:val="auto"/>
              </w:rPr>
            </w:pPr>
          </w:p>
        </w:tc>
        <w:tc>
          <w:tcPr>
            <w:tcW w:w="10600" w:type="dxa"/>
            <w:vAlign w:val="bottom"/>
          </w:tcPr>
          <w:p>
            <w:pPr>
              <w:ind w:left="480"/>
              <w:spacing w:after="0"/>
              <w:rPr>
                <w:rFonts w:ascii="Arial" w:cs="Arial" w:eastAsia="Arial" w:hAnsi="Arial"/>
                <w:sz w:val="18"/>
                <w:szCs w:val="18"/>
                <w:color w:val="auto"/>
              </w:rPr>
            </w:pPr>
            <w:hyperlink r:id="rId47">
              <w:r>
                <w:rPr>
                  <w:rFonts w:ascii="Arial" w:cs="Arial" w:eastAsia="Arial" w:hAnsi="Arial"/>
                  <w:sz w:val="18"/>
                  <w:szCs w:val="18"/>
                  <w:color w:val="auto"/>
                </w:rPr>
                <w:t>Exhibit 4.1 of Form 8-A (File No. 001-34057), filed March 6, 2019.</w:t>
              </w:r>
            </w:hyperlink>
          </w:p>
        </w:tc>
      </w:tr>
      <w:tr>
        <w:trPr>
          <w:trHeight w:val="364"/>
        </w:trPr>
        <w:tc>
          <w:tcPr>
            <w:tcW w:w="820" w:type="dxa"/>
            <w:vAlign w:val="bottom"/>
          </w:tcPr>
          <w:p>
            <w:pPr>
              <w:jc w:val="right"/>
              <w:ind w:right="410"/>
              <w:spacing w:after="0"/>
              <w:rPr>
                <w:rFonts w:ascii="Arial" w:cs="Arial" w:eastAsia="Arial" w:hAnsi="Arial"/>
                <w:sz w:val="18"/>
                <w:szCs w:val="18"/>
                <w:color w:val="auto"/>
                <w:w w:val="93"/>
              </w:rPr>
            </w:pPr>
            <w:hyperlink r:id="rId48">
              <w:r>
                <w:rPr>
                  <w:rFonts w:ascii="Arial" w:cs="Arial" w:eastAsia="Arial" w:hAnsi="Arial"/>
                  <w:sz w:val="18"/>
                  <w:szCs w:val="18"/>
                  <w:color w:val="auto"/>
                  <w:w w:val="93"/>
                </w:rPr>
                <w:t>*4.6</w:t>
              </w:r>
            </w:hyperlink>
          </w:p>
        </w:tc>
        <w:tc>
          <w:tcPr>
            <w:tcW w:w="10600" w:type="dxa"/>
            <w:vAlign w:val="bottom"/>
          </w:tcPr>
          <w:p>
            <w:pPr>
              <w:ind w:left="480"/>
              <w:spacing w:after="0"/>
              <w:rPr>
                <w:rFonts w:ascii="Arial" w:cs="Arial" w:eastAsia="Arial" w:hAnsi="Arial"/>
                <w:sz w:val="18"/>
                <w:szCs w:val="18"/>
                <w:color w:val="auto"/>
                <w:w w:val="91"/>
              </w:rPr>
            </w:pPr>
            <w:hyperlink r:id="rId48">
              <w:r>
                <w:rPr>
                  <w:rFonts w:ascii="Arial" w:cs="Arial" w:eastAsia="Arial" w:hAnsi="Arial"/>
                  <w:sz w:val="18"/>
                  <w:szCs w:val="18"/>
                  <w:color w:val="auto"/>
                  <w:w w:val="91"/>
                </w:rPr>
                <w:t>Specimen 6.50% Series E Fixed-to-Floating Rate Cumulative Redeemable Preferred Stock Certificate, incorporated herein by reference to</w:t>
              </w:r>
            </w:hyperlink>
          </w:p>
        </w:tc>
      </w:tr>
      <w:tr>
        <w:trPr>
          <w:trHeight w:val="230"/>
        </w:trPr>
        <w:tc>
          <w:tcPr>
            <w:tcW w:w="820" w:type="dxa"/>
            <w:vAlign w:val="bottom"/>
          </w:tcPr>
          <w:p>
            <w:pPr>
              <w:spacing w:after="0"/>
              <w:rPr>
                <w:sz w:val="20"/>
                <w:szCs w:val="20"/>
                <w:color w:val="auto"/>
              </w:rPr>
            </w:pPr>
          </w:p>
        </w:tc>
        <w:tc>
          <w:tcPr>
            <w:tcW w:w="10600" w:type="dxa"/>
            <w:vAlign w:val="bottom"/>
          </w:tcPr>
          <w:p>
            <w:pPr>
              <w:ind w:left="480"/>
              <w:spacing w:after="0"/>
              <w:rPr>
                <w:rFonts w:ascii="Arial" w:cs="Arial" w:eastAsia="Arial" w:hAnsi="Arial"/>
                <w:sz w:val="18"/>
                <w:szCs w:val="18"/>
                <w:color w:val="auto"/>
              </w:rPr>
            </w:pPr>
            <w:hyperlink r:id="rId48">
              <w:r>
                <w:rPr>
                  <w:rFonts w:ascii="Arial" w:cs="Arial" w:eastAsia="Arial" w:hAnsi="Arial"/>
                  <w:sz w:val="18"/>
                  <w:szCs w:val="18"/>
                  <w:color w:val="auto"/>
                </w:rPr>
                <w:t>Exhibit 4.1 of Form 8-A (File No. 001-34057), filed October 3, 2019.</w:t>
              </w:r>
            </w:hyperlink>
          </w:p>
        </w:tc>
      </w:tr>
      <w:tr>
        <w:trPr>
          <w:trHeight w:val="432"/>
        </w:trPr>
        <w:tc>
          <w:tcPr>
            <w:tcW w:w="820" w:type="dxa"/>
            <w:vAlign w:val="bottom"/>
          </w:tcPr>
          <w:p>
            <w:pPr>
              <w:spacing w:after="0"/>
              <w:rPr>
                <w:sz w:val="24"/>
                <w:szCs w:val="24"/>
                <w:color w:val="auto"/>
              </w:rPr>
            </w:pPr>
          </w:p>
        </w:tc>
        <w:tc>
          <w:tcPr>
            <w:tcW w:w="10600" w:type="dxa"/>
            <w:vAlign w:val="bottom"/>
          </w:tcPr>
          <w:p>
            <w:pPr>
              <w:ind w:left="4800"/>
              <w:spacing w:after="0"/>
              <w:rPr>
                <w:sz w:val="20"/>
                <w:szCs w:val="20"/>
                <w:color w:val="auto"/>
              </w:rPr>
            </w:pPr>
            <w:r>
              <w:rPr>
                <w:rFonts w:ascii="Arial" w:cs="Arial" w:eastAsia="Arial" w:hAnsi="Arial"/>
                <w:sz w:val="18"/>
                <w:szCs w:val="18"/>
                <w:color w:val="auto"/>
              </w:rPr>
              <w:t>85</w:t>
            </w:r>
          </w:p>
        </w:tc>
      </w:tr>
    </w:tbl>
    <w:p>
      <w:pPr>
        <w:sectPr>
          <w:pgSz w:w="11900" w:h="16838" w:orient="portrait"/>
          <w:cols w:equalWidth="0" w:num="1">
            <w:col w:w="11420"/>
          </w:cols>
          <w:pgMar w:left="240" w:top="553" w:right="2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rFonts w:ascii="Arial" w:cs="Arial" w:eastAsia="Arial" w:hAnsi="Arial"/>
                <w:sz w:val="18"/>
                <w:szCs w:val="18"/>
                <w:color w:val="auto"/>
              </w:rPr>
            </w:pPr>
            <w:hyperlink r:id="rId49">
              <w:r>
                <w:rPr>
                  <w:rFonts w:ascii="Arial" w:cs="Arial" w:eastAsia="Arial" w:hAnsi="Arial"/>
                  <w:sz w:val="18"/>
                  <w:szCs w:val="18"/>
                  <w:color w:val="auto"/>
                </w:rPr>
                <w:t>*4.7</w:t>
              </w:r>
            </w:hyperlink>
          </w:p>
        </w:tc>
        <w:tc>
          <w:tcPr>
            <w:tcW w:w="10500" w:type="dxa"/>
            <w:vAlign w:val="bottom"/>
          </w:tcPr>
          <w:p>
            <w:pPr>
              <w:ind w:left="380"/>
              <w:spacing w:after="0"/>
              <w:rPr>
                <w:rFonts w:ascii="Arial" w:cs="Arial" w:eastAsia="Arial" w:hAnsi="Arial"/>
                <w:sz w:val="18"/>
                <w:szCs w:val="18"/>
                <w:color w:val="auto"/>
                <w:w w:val="91"/>
              </w:rPr>
            </w:pPr>
            <w:hyperlink r:id="rId49">
              <w:r>
                <w:rPr>
                  <w:rFonts w:ascii="Arial" w:cs="Arial" w:eastAsia="Arial" w:hAnsi="Arial"/>
                  <w:sz w:val="18"/>
                  <w:szCs w:val="18"/>
                  <w:color w:val="auto"/>
                  <w:w w:val="91"/>
                </w:rPr>
                <w:t>Specimen 6.125% Series F Fixed-to-Floating Rate Cumulative Redeemable Preferred Stock Certificate, incorporated herein by reference to</w:t>
              </w:r>
            </w:hyperlink>
          </w:p>
        </w:tc>
      </w:tr>
      <w:tr>
        <w:trPr>
          <w:trHeight w:val="230"/>
        </w:trPr>
        <w:tc>
          <w:tcPr>
            <w:tcW w:w="920" w:type="dxa"/>
            <w:vAlign w:val="bottom"/>
          </w:tcPr>
          <w:p>
            <w:pPr>
              <w:spacing w:after="0"/>
              <w:rPr>
                <w:sz w:val="20"/>
                <w:szCs w:val="20"/>
                <w:color w:val="auto"/>
              </w:rPr>
            </w:pPr>
          </w:p>
        </w:tc>
        <w:tc>
          <w:tcPr>
            <w:tcW w:w="10500" w:type="dxa"/>
            <w:vAlign w:val="bottom"/>
          </w:tcPr>
          <w:p>
            <w:pPr>
              <w:ind w:left="380"/>
              <w:spacing w:after="0"/>
              <w:rPr>
                <w:rFonts w:ascii="Arial" w:cs="Arial" w:eastAsia="Arial" w:hAnsi="Arial"/>
                <w:sz w:val="18"/>
                <w:szCs w:val="18"/>
                <w:color w:val="auto"/>
              </w:rPr>
            </w:pPr>
            <w:hyperlink r:id="rId49">
              <w:r>
                <w:rPr>
                  <w:rFonts w:ascii="Arial" w:cs="Arial" w:eastAsia="Arial" w:hAnsi="Arial"/>
                  <w:sz w:val="18"/>
                  <w:szCs w:val="18"/>
                  <w:color w:val="auto"/>
                </w:rPr>
                <w:t>Exhibit 4.1 of Form 8-A (File No 001-34057), filed February 11, 2020.</w:t>
              </w:r>
            </w:hyperlink>
          </w:p>
        </w:tc>
      </w:tr>
      <w:tr>
        <w:trPr>
          <w:trHeight w:val="364"/>
        </w:trPr>
        <w:tc>
          <w:tcPr>
            <w:tcW w:w="920" w:type="dxa"/>
            <w:vAlign w:val="bottom"/>
          </w:tcPr>
          <w:p>
            <w:pPr>
              <w:spacing w:after="0"/>
              <w:rPr>
                <w:rFonts w:ascii="Arial" w:cs="Arial" w:eastAsia="Arial" w:hAnsi="Arial"/>
                <w:sz w:val="18"/>
                <w:szCs w:val="18"/>
                <w:color w:val="auto"/>
              </w:rPr>
            </w:pPr>
            <w:hyperlink r:id="rId50">
              <w:r>
                <w:rPr>
                  <w:rFonts w:ascii="Arial" w:cs="Arial" w:eastAsia="Arial" w:hAnsi="Arial"/>
                  <w:sz w:val="18"/>
                  <w:szCs w:val="18"/>
                  <w:color w:val="auto"/>
                </w:rPr>
                <w:t>*4.8</w:t>
              </w:r>
            </w:hyperlink>
          </w:p>
        </w:tc>
        <w:tc>
          <w:tcPr>
            <w:tcW w:w="10500" w:type="dxa"/>
            <w:vAlign w:val="bottom"/>
          </w:tcPr>
          <w:p>
            <w:pPr>
              <w:ind w:left="380"/>
              <w:spacing w:after="0"/>
              <w:rPr>
                <w:rFonts w:ascii="Arial" w:cs="Arial" w:eastAsia="Arial" w:hAnsi="Arial"/>
                <w:sz w:val="18"/>
                <w:szCs w:val="18"/>
                <w:color w:val="auto"/>
                <w:w w:val="93"/>
              </w:rPr>
            </w:pPr>
            <w:hyperlink r:id="rId50">
              <w:r>
                <w:rPr>
                  <w:rFonts w:ascii="Arial" w:cs="Arial" w:eastAsia="Arial" w:hAnsi="Arial"/>
                  <w:sz w:val="18"/>
                  <w:szCs w:val="18"/>
                  <w:color w:val="auto"/>
                  <w:w w:val="93"/>
                </w:rPr>
                <w:t>Deposit Agreement relating to 7.00% Series C Fixed-to-Floating Rate Cumulative Redeemable Preferred Stock, dated August 22, 2017,</w:t>
              </w:r>
            </w:hyperlink>
          </w:p>
        </w:tc>
      </w:tr>
      <w:tr>
        <w:trPr>
          <w:trHeight w:val="216"/>
        </w:trPr>
        <w:tc>
          <w:tcPr>
            <w:tcW w:w="920" w:type="dxa"/>
            <w:vAlign w:val="bottom"/>
          </w:tcPr>
          <w:p>
            <w:pPr>
              <w:spacing w:after="0"/>
              <w:rPr>
                <w:sz w:val="18"/>
                <w:szCs w:val="18"/>
                <w:color w:val="auto"/>
              </w:rPr>
            </w:pPr>
          </w:p>
        </w:tc>
        <w:tc>
          <w:tcPr>
            <w:tcW w:w="10500" w:type="dxa"/>
            <w:vAlign w:val="bottom"/>
          </w:tcPr>
          <w:p>
            <w:pPr>
              <w:ind w:left="380"/>
              <w:spacing w:after="0"/>
              <w:rPr>
                <w:rFonts w:ascii="Arial" w:cs="Arial" w:eastAsia="Arial" w:hAnsi="Arial"/>
                <w:sz w:val="18"/>
                <w:szCs w:val="18"/>
                <w:color w:val="auto"/>
                <w:w w:val="92"/>
              </w:rPr>
            </w:pPr>
            <w:hyperlink r:id="rId50">
              <w:r>
                <w:rPr>
                  <w:rFonts w:ascii="Arial" w:cs="Arial" w:eastAsia="Arial" w:hAnsi="Arial"/>
                  <w:sz w:val="18"/>
                  <w:szCs w:val="18"/>
                  <w:color w:val="auto"/>
                  <w:w w:val="92"/>
                </w:rPr>
                <w:t>among AGNC Investment Corp., Computershare Inc. and Computershare Trust Company, N.A., jointly as depositary, incorporated herein</w:t>
              </w:r>
            </w:hyperlink>
          </w:p>
        </w:tc>
      </w:tr>
      <w:tr>
        <w:trPr>
          <w:trHeight w:val="230"/>
        </w:trPr>
        <w:tc>
          <w:tcPr>
            <w:tcW w:w="920" w:type="dxa"/>
            <w:vAlign w:val="bottom"/>
          </w:tcPr>
          <w:p>
            <w:pPr>
              <w:spacing w:after="0"/>
              <w:rPr>
                <w:sz w:val="20"/>
                <w:szCs w:val="20"/>
                <w:color w:val="auto"/>
              </w:rPr>
            </w:pPr>
          </w:p>
        </w:tc>
        <w:tc>
          <w:tcPr>
            <w:tcW w:w="10500" w:type="dxa"/>
            <w:vAlign w:val="bottom"/>
          </w:tcPr>
          <w:p>
            <w:pPr>
              <w:ind w:left="380"/>
              <w:spacing w:after="0"/>
              <w:rPr>
                <w:rFonts w:ascii="Arial" w:cs="Arial" w:eastAsia="Arial" w:hAnsi="Arial"/>
                <w:sz w:val="18"/>
                <w:szCs w:val="18"/>
                <w:color w:val="auto"/>
              </w:rPr>
            </w:pPr>
            <w:hyperlink r:id="rId50">
              <w:r>
                <w:rPr>
                  <w:rFonts w:ascii="Arial" w:cs="Arial" w:eastAsia="Arial" w:hAnsi="Arial"/>
                  <w:sz w:val="18"/>
                  <w:szCs w:val="18"/>
                  <w:color w:val="auto"/>
                </w:rPr>
                <w:t>by reference to Exhibit 4.2 of Form 8-K (File No. 001-34057) filed August 22, 2017.</w:t>
              </w:r>
            </w:hyperlink>
          </w:p>
        </w:tc>
      </w:tr>
      <w:tr>
        <w:trPr>
          <w:trHeight w:val="364"/>
        </w:trPr>
        <w:tc>
          <w:tcPr>
            <w:tcW w:w="920" w:type="dxa"/>
            <w:vAlign w:val="bottom"/>
          </w:tcPr>
          <w:p>
            <w:pPr>
              <w:spacing w:after="0"/>
              <w:rPr>
                <w:rFonts w:ascii="Arial" w:cs="Arial" w:eastAsia="Arial" w:hAnsi="Arial"/>
                <w:sz w:val="18"/>
                <w:szCs w:val="18"/>
                <w:color w:val="auto"/>
              </w:rPr>
            </w:pPr>
            <w:hyperlink r:id="rId50">
              <w:r>
                <w:rPr>
                  <w:rFonts w:ascii="Arial" w:cs="Arial" w:eastAsia="Arial" w:hAnsi="Arial"/>
                  <w:sz w:val="18"/>
                  <w:szCs w:val="18"/>
                  <w:color w:val="auto"/>
                </w:rPr>
                <w:t>*4.9</w:t>
              </w:r>
            </w:hyperlink>
          </w:p>
        </w:tc>
        <w:tc>
          <w:tcPr>
            <w:tcW w:w="10500" w:type="dxa"/>
            <w:vAlign w:val="bottom"/>
          </w:tcPr>
          <w:p>
            <w:pPr>
              <w:ind w:left="380"/>
              <w:spacing w:after="0"/>
              <w:rPr>
                <w:rFonts w:ascii="Arial" w:cs="Arial" w:eastAsia="Arial" w:hAnsi="Arial"/>
                <w:sz w:val="18"/>
                <w:szCs w:val="18"/>
                <w:color w:val="auto"/>
                <w:w w:val="91"/>
              </w:rPr>
            </w:pPr>
            <w:hyperlink r:id="rId50">
              <w:r>
                <w:rPr>
                  <w:rFonts w:ascii="Arial" w:cs="Arial" w:eastAsia="Arial" w:hAnsi="Arial"/>
                  <w:sz w:val="18"/>
                  <w:szCs w:val="18"/>
                  <w:color w:val="auto"/>
                  <w:w w:val="91"/>
                </w:rPr>
                <w:t>Form of Depositary Receipt representing 1/1,000th of a share of 7.00% Series C Fixed-to-Floating Rate Cumulative Redeemable Preferred</w:t>
              </w:r>
            </w:hyperlink>
          </w:p>
        </w:tc>
      </w:tr>
      <w:tr>
        <w:trPr>
          <w:trHeight w:val="216"/>
        </w:trPr>
        <w:tc>
          <w:tcPr>
            <w:tcW w:w="920" w:type="dxa"/>
            <w:vAlign w:val="bottom"/>
          </w:tcPr>
          <w:p>
            <w:pPr>
              <w:spacing w:after="0"/>
              <w:rPr>
                <w:sz w:val="18"/>
                <w:szCs w:val="18"/>
                <w:color w:val="auto"/>
              </w:rPr>
            </w:pPr>
          </w:p>
        </w:tc>
        <w:tc>
          <w:tcPr>
            <w:tcW w:w="10500" w:type="dxa"/>
            <w:vAlign w:val="bottom"/>
          </w:tcPr>
          <w:p>
            <w:pPr>
              <w:ind w:left="380"/>
              <w:spacing w:after="0"/>
              <w:rPr>
                <w:rFonts w:ascii="Arial" w:cs="Arial" w:eastAsia="Arial" w:hAnsi="Arial"/>
                <w:sz w:val="18"/>
                <w:szCs w:val="18"/>
                <w:color w:val="auto"/>
                <w:w w:val="93"/>
              </w:rPr>
            </w:pPr>
            <w:hyperlink r:id="rId50">
              <w:r>
                <w:rPr>
                  <w:rFonts w:ascii="Arial" w:cs="Arial" w:eastAsia="Arial" w:hAnsi="Arial"/>
                  <w:sz w:val="18"/>
                  <w:szCs w:val="18"/>
                  <w:color w:val="auto"/>
                  <w:w w:val="93"/>
                </w:rPr>
                <w:t>Stock (included as part of Exhibit 4.9), incorporated herein by reference to Exhibit A of Exhibit 4.2 of Form 8-K (File No. 001-34057) filed</w:t>
              </w:r>
            </w:hyperlink>
          </w:p>
        </w:tc>
      </w:tr>
      <w:tr>
        <w:trPr>
          <w:trHeight w:val="230"/>
        </w:trPr>
        <w:tc>
          <w:tcPr>
            <w:tcW w:w="920" w:type="dxa"/>
            <w:vAlign w:val="bottom"/>
          </w:tcPr>
          <w:p>
            <w:pPr>
              <w:spacing w:after="0"/>
              <w:rPr>
                <w:sz w:val="20"/>
                <w:szCs w:val="20"/>
                <w:color w:val="auto"/>
              </w:rPr>
            </w:pPr>
          </w:p>
        </w:tc>
        <w:tc>
          <w:tcPr>
            <w:tcW w:w="10500" w:type="dxa"/>
            <w:vAlign w:val="bottom"/>
          </w:tcPr>
          <w:p>
            <w:pPr>
              <w:ind w:left="380"/>
              <w:spacing w:after="0"/>
              <w:rPr>
                <w:rFonts w:ascii="Arial" w:cs="Arial" w:eastAsia="Arial" w:hAnsi="Arial"/>
                <w:sz w:val="18"/>
                <w:szCs w:val="18"/>
                <w:color w:val="auto"/>
              </w:rPr>
            </w:pPr>
            <w:hyperlink r:id="rId50">
              <w:r>
                <w:rPr>
                  <w:rFonts w:ascii="Arial" w:cs="Arial" w:eastAsia="Arial" w:hAnsi="Arial"/>
                  <w:sz w:val="18"/>
                  <w:szCs w:val="18"/>
                  <w:color w:val="auto"/>
                </w:rPr>
                <w:t>August 22, 2017.</w:t>
              </w:r>
            </w:hyperlink>
          </w:p>
        </w:tc>
      </w:tr>
      <w:tr>
        <w:trPr>
          <w:trHeight w:val="364"/>
        </w:trPr>
        <w:tc>
          <w:tcPr>
            <w:tcW w:w="920" w:type="dxa"/>
            <w:vAlign w:val="bottom"/>
          </w:tcPr>
          <w:p>
            <w:pPr>
              <w:spacing w:after="0"/>
              <w:rPr>
                <w:rFonts w:ascii="Arial" w:cs="Arial" w:eastAsia="Arial" w:hAnsi="Arial"/>
                <w:sz w:val="18"/>
                <w:szCs w:val="18"/>
                <w:color w:val="auto"/>
              </w:rPr>
            </w:pPr>
            <w:hyperlink r:id="rId51">
              <w:r>
                <w:rPr>
                  <w:rFonts w:ascii="Arial" w:cs="Arial" w:eastAsia="Arial" w:hAnsi="Arial"/>
                  <w:sz w:val="18"/>
                  <w:szCs w:val="18"/>
                  <w:color w:val="auto"/>
                </w:rPr>
                <w:t>*4.10</w:t>
              </w:r>
            </w:hyperlink>
          </w:p>
        </w:tc>
        <w:tc>
          <w:tcPr>
            <w:tcW w:w="10500" w:type="dxa"/>
            <w:vAlign w:val="bottom"/>
          </w:tcPr>
          <w:p>
            <w:pPr>
              <w:ind w:left="380"/>
              <w:spacing w:after="0"/>
              <w:rPr>
                <w:rFonts w:ascii="Arial" w:cs="Arial" w:eastAsia="Arial" w:hAnsi="Arial"/>
                <w:sz w:val="18"/>
                <w:szCs w:val="18"/>
                <w:color w:val="auto"/>
                <w:w w:val="94"/>
              </w:rPr>
            </w:pPr>
            <w:hyperlink r:id="rId51">
              <w:r>
                <w:rPr>
                  <w:rFonts w:ascii="Arial" w:cs="Arial" w:eastAsia="Arial" w:hAnsi="Arial"/>
                  <w:sz w:val="18"/>
                  <w:szCs w:val="18"/>
                  <w:color w:val="auto"/>
                  <w:w w:val="94"/>
                </w:rPr>
                <w:t>Deposit Agreement relating to 6.875% Series D Fixed-to-Floating Rate Cumulative Redeemable Preferred Stock, dated March 6, 2019,</w:t>
              </w:r>
            </w:hyperlink>
          </w:p>
        </w:tc>
      </w:tr>
      <w:tr>
        <w:trPr>
          <w:trHeight w:val="216"/>
        </w:trPr>
        <w:tc>
          <w:tcPr>
            <w:tcW w:w="920" w:type="dxa"/>
            <w:vAlign w:val="bottom"/>
          </w:tcPr>
          <w:p>
            <w:pPr>
              <w:spacing w:after="0"/>
              <w:rPr>
                <w:sz w:val="18"/>
                <w:szCs w:val="18"/>
                <w:color w:val="auto"/>
              </w:rPr>
            </w:pPr>
          </w:p>
        </w:tc>
        <w:tc>
          <w:tcPr>
            <w:tcW w:w="10500" w:type="dxa"/>
            <w:vAlign w:val="bottom"/>
          </w:tcPr>
          <w:p>
            <w:pPr>
              <w:ind w:left="380"/>
              <w:spacing w:after="0"/>
              <w:rPr>
                <w:rFonts w:ascii="Arial" w:cs="Arial" w:eastAsia="Arial" w:hAnsi="Arial"/>
                <w:sz w:val="18"/>
                <w:szCs w:val="18"/>
                <w:color w:val="auto"/>
                <w:w w:val="92"/>
              </w:rPr>
            </w:pPr>
            <w:hyperlink r:id="rId51">
              <w:r>
                <w:rPr>
                  <w:rFonts w:ascii="Arial" w:cs="Arial" w:eastAsia="Arial" w:hAnsi="Arial"/>
                  <w:sz w:val="18"/>
                  <w:szCs w:val="18"/>
                  <w:color w:val="auto"/>
                  <w:w w:val="92"/>
                </w:rPr>
                <w:t>among AGNC Investment Corp., Computershare Inc. and Computershare Trust Company, N.A., jointly as depositary, incorporated herein</w:t>
              </w:r>
            </w:hyperlink>
          </w:p>
        </w:tc>
      </w:tr>
      <w:tr>
        <w:trPr>
          <w:trHeight w:val="230"/>
        </w:trPr>
        <w:tc>
          <w:tcPr>
            <w:tcW w:w="920" w:type="dxa"/>
            <w:vAlign w:val="bottom"/>
          </w:tcPr>
          <w:p>
            <w:pPr>
              <w:spacing w:after="0"/>
              <w:rPr>
                <w:sz w:val="20"/>
                <w:szCs w:val="20"/>
                <w:color w:val="auto"/>
              </w:rPr>
            </w:pPr>
          </w:p>
        </w:tc>
        <w:tc>
          <w:tcPr>
            <w:tcW w:w="10500" w:type="dxa"/>
            <w:vAlign w:val="bottom"/>
          </w:tcPr>
          <w:p>
            <w:pPr>
              <w:ind w:left="380"/>
              <w:spacing w:after="0"/>
              <w:rPr>
                <w:rFonts w:ascii="Arial" w:cs="Arial" w:eastAsia="Arial" w:hAnsi="Arial"/>
                <w:sz w:val="18"/>
                <w:szCs w:val="18"/>
                <w:color w:val="auto"/>
              </w:rPr>
            </w:pPr>
            <w:hyperlink r:id="rId51">
              <w:r>
                <w:rPr>
                  <w:rFonts w:ascii="Arial" w:cs="Arial" w:eastAsia="Arial" w:hAnsi="Arial"/>
                  <w:sz w:val="18"/>
                  <w:szCs w:val="18"/>
                  <w:color w:val="auto"/>
                </w:rPr>
                <w:t>by reference to Exhibit 4.2 of Form 8-K (File No. 001-34057) filed March 6, 2019.</w:t>
              </w:r>
            </w:hyperlink>
          </w:p>
        </w:tc>
      </w:tr>
      <w:tr>
        <w:trPr>
          <w:trHeight w:val="364"/>
        </w:trPr>
        <w:tc>
          <w:tcPr>
            <w:tcW w:w="920" w:type="dxa"/>
            <w:vAlign w:val="bottom"/>
          </w:tcPr>
          <w:p>
            <w:pPr>
              <w:spacing w:after="0"/>
              <w:rPr>
                <w:rFonts w:ascii="Arial" w:cs="Arial" w:eastAsia="Arial" w:hAnsi="Arial"/>
                <w:sz w:val="18"/>
                <w:szCs w:val="18"/>
                <w:color w:val="auto"/>
              </w:rPr>
            </w:pPr>
            <w:hyperlink r:id="rId51">
              <w:r>
                <w:rPr>
                  <w:rFonts w:ascii="Arial" w:cs="Arial" w:eastAsia="Arial" w:hAnsi="Arial"/>
                  <w:sz w:val="18"/>
                  <w:szCs w:val="18"/>
                  <w:color w:val="auto"/>
                </w:rPr>
                <w:t>*4.11</w:t>
              </w:r>
            </w:hyperlink>
          </w:p>
        </w:tc>
        <w:tc>
          <w:tcPr>
            <w:tcW w:w="10500" w:type="dxa"/>
            <w:vAlign w:val="bottom"/>
          </w:tcPr>
          <w:p>
            <w:pPr>
              <w:ind w:left="380"/>
              <w:spacing w:after="0"/>
              <w:rPr>
                <w:rFonts w:ascii="Arial" w:cs="Arial" w:eastAsia="Arial" w:hAnsi="Arial"/>
                <w:sz w:val="18"/>
                <w:szCs w:val="18"/>
                <w:color w:val="auto"/>
                <w:w w:val="90"/>
              </w:rPr>
            </w:pPr>
            <w:hyperlink r:id="rId51">
              <w:r>
                <w:rPr>
                  <w:rFonts w:ascii="Arial" w:cs="Arial" w:eastAsia="Arial" w:hAnsi="Arial"/>
                  <w:sz w:val="18"/>
                  <w:szCs w:val="18"/>
                  <w:color w:val="auto"/>
                  <w:w w:val="90"/>
                </w:rPr>
                <w:t>Form of Depositary Receipt representing 1/1,000th of a share of 6.875% Series D Fixed-to-Floating Rate Cumulative Redeemable Preferred</w:t>
              </w:r>
            </w:hyperlink>
          </w:p>
        </w:tc>
      </w:tr>
      <w:tr>
        <w:trPr>
          <w:trHeight w:val="216"/>
        </w:trPr>
        <w:tc>
          <w:tcPr>
            <w:tcW w:w="920" w:type="dxa"/>
            <w:vAlign w:val="bottom"/>
          </w:tcPr>
          <w:p>
            <w:pPr>
              <w:spacing w:after="0"/>
              <w:rPr>
                <w:sz w:val="18"/>
                <w:szCs w:val="18"/>
                <w:color w:val="auto"/>
              </w:rPr>
            </w:pPr>
          </w:p>
        </w:tc>
        <w:tc>
          <w:tcPr>
            <w:tcW w:w="10500" w:type="dxa"/>
            <w:vAlign w:val="bottom"/>
          </w:tcPr>
          <w:p>
            <w:pPr>
              <w:ind w:left="380"/>
              <w:spacing w:after="0"/>
              <w:rPr>
                <w:rFonts w:ascii="Arial" w:cs="Arial" w:eastAsia="Arial" w:hAnsi="Arial"/>
                <w:sz w:val="18"/>
                <w:szCs w:val="18"/>
                <w:color w:val="auto"/>
                <w:w w:val="95"/>
              </w:rPr>
            </w:pPr>
            <w:hyperlink r:id="rId51">
              <w:r>
                <w:rPr>
                  <w:rFonts w:ascii="Arial" w:cs="Arial" w:eastAsia="Arial" w:hAnsi="Arial"/>
                  <w:sz w:val="18"/>
                  <w:szCs w:val="18"/>
                  <w:color w:val="auto"/>
                  <w:w w:val="95"/>
                </w:rPr>
                <w:t>Stock (included as part of Exhibit 4.11), incorporated herein by reference to Exhibit A of Exhibit 4.2 of Form 8-K (File No. 001-34057)</w:t>
              </w:r>
            </w:hyperlink>
          </w:p>
        </w:tc>
      </w:tr>
      <w:tr>
        <w:trPr>
          <w:trHeight w:val="230"/>
        </w:trPr>
        <w:tc>
          <w:tcPr>
            <w:tcW w:w="920" w:type="dxa"/>
            <w:vAlign w:val="bottom"/>
          </w:tcPr>
          <w:p>
            <w:pPr>
              <w:spacing w:after="0"/>
              <w:rPr>
                <w:sz w:val="20"/>
                <w:szCs w:val="20"/>
                <w:color w:val="auto"/>
              </w:rPr>
            </w:pPr>
          </w:p>
        </w:tc>
        <w:tc>
          <w:tcPr>
            <w:tcW w:w="10500" w:type="dxa"/>
            <w:vAlign w:val="bottom"/>
          </w:tcPr>
          <w:p>
            <w:pPr>
              <w:ind w:left="380"/>
              <w:spacing w:after="0"/>
              <w:rPr>
                <w:rFonts w:ascii="Arial" w:cs="Arial" w:eastAsia="Arial" w:hAnsi="Arial"/>
                <w:sz w:val="18"/>
                <w:szCs w:val="18"/>
                <w:color w:val="auto"/>
              </w:rPr>
            </w:pPr>
            <w:hyperlink r:id="rId51">
              <w:r>
                <w:rPr>
                  <w:rFonts w:ascii="Arial" w:cs="Arial" w:eastAsia="Arial" w:hAnsi="Arial"/>
                  <w:sz w:val="18"/>
                  <w:szCs w:val="18"/>
                  <w:color w:val="auto"/>
                </w:rPr>
                <w:t>filed March 6, 2019.</w:t>
              </w:r>
            </w:hyperlink>
          </w:p>
        </w:tc>
      </w:tr>
      <w:tr>
        <w:trPr>
          <w:trHeight w:val="364"/>
        </w:trPr>
        <w:tc>
          <w:tcPr>
            <w:tcW w:w="920" w:type="dxa"/>
            <w:vAlign w:val="bottom"/>
          </w:tcPr>
          <w:p>
            <w:pPr>
              <w:spacing w:after="0"/>
              <w:rPr>
                <w:rFonts w:ascii="Arial" w:cs="Arial" w:eastAsia="Arial" w:hAnsi="Arial"/>
                <w:sz w:val="18"/>
                <w:szCs w:val="18"/>
                <w:color w:val="auto"/>
              </w:rPr>
            </w:pPr>
            <w:hyperlink r:id="rId52">
              <w:r>
                <w:rPr>
                  <w:rFonts w:ascii="Arial" w:cs="Arial" w:eastAsia="Arial" w:hAnsi="Arial"/>
                  <w:sz w:val="18"/>
                  <w:szCs w:val="18"/>
                  <w:color w:val="auto"/>
                </w:rPr>
                <w:t>*4.12</w:t>
              </w:r>
            </w:hyperlink>
          </w:p>
        </w:tc>
        <w:tc>
          <w:tcPr>
            <w:tcW w:w="10500" w:type="dxa"/>
            <w:vAlign w:val="bottom"/>
          </w:tcPr>
          <w:p>
            <w:pPr>
              <w:ind w:left="380"/>
              <w:spacing w:after="0"/>
              <w:rPr>
                <w:rFonts w:ascii="Arial" w:cs="Arial" w:eastAsia="Arial" w:hAnsi="Arial"/>
                <w:sz w:val="18"/>
                <w:szCs w:val="18"/>
                <w:color w:val="auto"/>
                <w:w w:val="93"/>
              </w:rPr>
            </w:pPr>
            <w:hyperlink r:id="rId52">
              <w:r>
                <w:rPr>
                  <w:rFonts w:ascii="Arial" w:cs="Arial" w:eastAsia="Arial" w:hAnsi="Arial"/>
                  <w:sz w:val="18"/>
                  <w:szCs w:val="18"/>
                  <w:color w:val="auto"/>
                  <w:w w:val="93"/>
                </w:rPr>
                <w:t>Deposit Agreement relating to 6.50% Series E Fixed-to-Floating Rate Cumulative Redeemable Preferred Stock, dated October 3, 2019,</w:t>
              </w:r>
            </w:hyperlink>
          </w:p>
        </w:tc>
      </w:tr>
      <w:tr>
        <w:trPr>
          <w:trHeight w:val="216"/>
        </w:trPr>
        <w:tc>
          <w:tcPr>
            <w:tcW w:w="920" w:type="dxa"/>
            <w:vAlign w:val="bottom"/>
          </w:tcPr>
          <w:p>
            <w:pPr>
              <w:spacing w:after="0"/>
              <w:rPr>
                <w:sz w:val="18"/>
                <w:szCs w:val="18"/>
                <w:color w:val="auto"/>
              </w:rPr>
            </w:pPr>
          </w:p>
        </w:tc>
        <w:tc>
          <w:tcPr>
            <w:tcW w:w="10500" w:type="dxa"/>
            <w:vAlign w:val="bottom"/>
          </w:tcPr>
          <w:p>
            <w:pPr>
              <w:ind w:left="380"/>
              <w:spacing w:after="0"/>
              <w:rPr>
                <w:rFonts w:ascii="Arial" w:cs="Arial" w:eastAsia="Arial" w:hAnsi="Arial"/>
                <w:sz w:val="18"/>
                <w:szCs w:val="18"/>
                <w:color w:val="auto"/>
                <w:w w:val="92"/>
              </w:rPr>
            </w:pPr>
            <w:hyperlink r:id="rId52">
              <w:r>
                <w:rPr>
                  <w:rFonts w:ascii="Arial" w:cs="Arial" w:eastAsia="Arial" w:hAnsi="Arial"/>
                  <w:sz w:val="18"/>
                  <w:szCs w:val="18"/>
                  <w:color w:val="auto"/>
                  <w:w w:val="92"/>
                </w:rPr>
                <w:t>among AGNC Investment Corp., Computershare Inc. and Computershare Trust Company, N.A., jointly as depositary, incorporated herein</w:t>
              </w:r>
            </w:hyperlink>
          </w:p>
        </w:tc>
      </w:tr>
      <w:tr>
        <w:trPr>
          <w:trHeight w:val="230"/>
        </w:trPr>
        <w:tc>
          <w:tcPr>
            <w:tcW w:w="920" w:type="dxa"/>
            <w:vAlign w:val="bottom"/>
          </w:tcPr>
          <w:p>
            <w:pPr>
              <w:spacing w:after="0"/>
              <w:rPr>
                <w:sz w:val="20"/>
                <w:szCs w:val="20"/>
                <w:color w:val="auto"/>
              </w:rPr>
            </w:pPr>
          </w:p>
        </w:tc>
        <w:tc>
          <w:tcPr>
            <w:tcW w:w="10500" w:type="dxa"/>
            <w:vAlign w:val="bottom"/>
          </w:tcPr>
          <w:p>
            <w:pPr>
              <w:ind w:left="380"/>
              <w:spacing w:after="0"/>
              <w:rPr>
                <w:rFonts w:ascii="Arial" w:cs="Arial" w:eastAsia="Arial" w:hAnsi="Arial"/>
                <w:sz w:val="18"/>
                <w:szCs w:val="18"/>
                <w:color w:val="auto"/>
              </w:rPr>
            </w:pPr>
            <w:hyperlink r:id="rId52">
              <w:r>
                <w:rPr>
                  <w:rFonts w:ascii="Arial" w:cs="Arial" w:eastAsia="Arial" w:hAnsi="Arial"/>
                  <w:sz w:val="18"/>
                  <w:szCs w:val="18"/>
                  <w:color w:val="auto"/>
                </w:rPr>
                <w:t>by reference to Exhibit 4.2 of Form 8-K (File No. 001-34057) filed October 3, 2019.</w:t>
              </w:r>
            </w:hyperlink>
          </w:p>
        </w:tc>
      </w:tr>
      <w:tr>
        <w:trPr>
          <w:trHeight w:val="364"/>
        </w:trPr>
        <w:tc>
          <w:tcPr>
            <w:tcW w:w="920" w:type="dxa"/>
            <w:vAlign w:val="bottom"/>
          </w:tcPr>
          <w:p>
            <w:pPr>
              <w:spacing w:after="0"/>
              <w:rPr>
                <w:rFonts w:ascii="Arial" w:cs="Arial" w:eastAsia="Arial" w:hAnsi="Arial"/>
                <w:sz w:val="18"/>
                <w:szCs w:val="18"/>
                <w:color w:val="auto"/>
              </w:rPr>
            </w:pPr>
            <w:hyperlink r:id="rId52">
              <w:r>
                <w:rPr>
                  <w:rFonts w:ascii="Arial" w:cs="Arial" w:eastAsia="Arial" w:hAnsi="Arial"/>
                  <w:sz w:val="18"/>
                  <w:szCs w:val="18"/>
                  <w:color w:val="auto"/>
                </w:rPr>
                <w:t>*4.13</w:t>
              </w:r>
            </w:hyperlink>
          </w:p>
        </w:tc>
        <w:tc>
          <w:tcPr>
            <w:tcW w:w="10500" w:type="dxa"/>
            <w:vAlign w:val="bottom"/>
          </w:tcPr>
          <w:p>
            <w:pPr>
              <w:ind w:left="380"/>
              <w:spacing w:after="0"/>
              <w:rPr>
                <w:rFonts w:ascii="Arial" w:cs="Arial" w:eastAsia="Arial" w:hAnsi="Arial"/>
                <w:sz w:val="18"/>
                <w:szCs w:val="18"/>
                <w:color w:val="auto"/>
                <w:w w:val="91"/>
              </w:rPr>
            </w:pPr>
            <w:hyperlink r:id="rId52">
              <w:r>
                <w:rPr>
                  <w:rFonts w:ascii="Arial" w:cs="Arial" w:eastAsia="Arial" w:hAnsi="Arial"/>
                  <w:sz w:val="18"/>
                  <w:szCs w:val="18"/>
                  <w:color w:val="auto"/>
                  <w:w w:val="91"/>
                </w:rPr>
                <w:t>Form of Depositary Receipt representing 1/1,000th of a share of 6.50% Series E Fixed-to-Floating Rate Cumulative Redeemable Preferred</w:t>
              </w:r>
            </w:hyperlink>
          </w:p>
        </w:tc>
      </w:tr>
      <w:tr>
        <w:trPr>
          <w:trHeight w:val="216"/>
        </w:trPr>
        <w:tc>
          <w:tcPr>
            <w:tcW w:w="920" w:type="dxa"/>
            <w:vAlign w:val="bottom"/>
          </w:tcPr>
          <w:p>
            <w:pPr>
              <w:spacing w:after="0"/>
              <w:rPr>
                <w:sz w:val="18"/>
                <w:szCs w:val="18"/>
                <w:color w:val="auto"/>
              </w:rPr>
            </w:pPr>
          </w:p>
        </w:tc>
        <w:tc>
          <w:tcPr>
            <w:tcW w:w="10500" w:type="dxa"/>
            <w:vAlign w:val="bottom"/>
          </w:tcPr>
          <w:p>
            <w:pPr>
              <w:ind w:left="380"/>
              <w:spacing w:after="0"/>
              <w:rPr>
                <w:rFonts w:ascii="Arial" w:cs="Arial" w:eastAsia="Arial" w:hAnsi="Arial"/>
                <w:sz w:val="18"/>
                <w:szCs w:val="18"/>
                <w:color w:val="auto"/>
                <w:w w:val="95"/>
              </w:rPr>
            </w:pPr>
            <w:hyperlink r:id="rId52">
              <w:r>
                <w:rPr>
                  <w:rFonts w:ascii="Arial" w:cs="Arial" w:eastAsia="Arial" w:hAnsi="Arial"/>
                  <w:sz w:val="18"/>
                  <w:szCs w:val="18"/>
                  <w:color w:val="auto"/>
                  <w:w w:val="95"/>
                </w:rPr>
                <w:t>Stock (included as part of Exhibit 4.14), incorporated herein by reference to Exhibit A of Exhibit 4.2 of Form 8-K (File No. 001-34057)</w:t>
              </w:r>
            </w:hyperlink>
          </w:p>
        </w:tc>
      </w:tr>
      <w:tr>
        <w:trPr>
          <w:trHeight w:val="230"/>
        </w:trPr>
        <w:tc>
          <w:tcPr>
            <w:tcW w:w="920" w:type="dxa"/>
            <w:vAlign w:val="bottom"/>
          </w:tcPr>
          <w:p>
            <w:pPr>
              <w:spacing w:after="0"/>
              <w:rPr>
                <w:sz w:val="20"/>
                <w:szCs w:val="20"/>
                <w:color w:val="auto"/>
              </w:rPr>
            </w:pPr>
          </w:p>
        </w:tc>
        <w:tc>
          <w:tcPr>
            <w:tcW w:w="10500" w:type="dxa"/>
            <w:vAlign w:val="bottom"/>
          </w:tcPr>
          <w:p>
            <w:pPr>
              <w:ind w:left="380"/>
              <w:spacing w:after="0"/>
              <w:rPr>
                <w:rFonts w:ascii="Arial" w:cs="Arial" w:eastAsia="Arial" w:hAnsi="Arial"/>
                <w:sz w:val="18"/>
                <w:szCs w:val="18"/>
                <w:color w:val="auto"/>
              </w:rPr>
            </w:pPr>
            <w:hyperlink r:id="rId52">
              <w:r>
                <w:rPr>
                  <w:rFonts w:ascii="Arial" w:cs="Arial" w:eastAsia="Arial" w:hAnsi="Arial"/>
                  <w:sz w:val="18"/>
                  <w:szCs w:val="18"/>
                  <w:color w:val="auto"/>
                </w:rPr>
                <w:t>filed October 3, 2019.</w:t>
              </w:r>
            </w:hyperlink>
          </w:p>
        </w:tc>
      </w:tr>
      <w:tr>
        <w:trPr>
          <w:trHeight w:val="364"/>
        </w:trPr>
        <w:tc>
          <w:tcPr>
            <w:tcW w:w="920" w:type="dxa"/>
            <w:vAlign w:val="bottom"/>
          </w:tcPr>
          <w:p>
            <w:pPr>
              <w:spacing w:after="0"/>
              <w:rPr>
                <w:rFonts w:ascii="Arial" w:cs="Arial" w:eastAsia="Arial" w:hAnsi="Arial"/>
                <w:sz w:val="18"/>
                <w:szCs w:val="18"/>
                <w:color w:val="auto"/>
              </w:rPr>
            </w:pPr>
            <w:hyperlink r:id="rId53">
              <w:r>
                <w:rPr>
                  <w:rFonts w:ascii="Arial" w:cs="Arial" w:eastAsia="Arial" w:hAnsi="Arial"/>
                  <w:sz w:val="18"/>
                  <w:szCs w:val="18"/>
                  <w:color w:val="auto"/>
                </w:rPr>
                <w:t>*4.14</w:t>
              </w:r>
            </w:hyperlink>
          </w:p>
        </w:tc>
        <w:tc>
          <w:tcPr>
            <w:tcW w:w="10500" w:type="dxa"/>
            <w:vAlign w:val="bottom"/>
          </w:tcPr>
          <w:p>
            <w:pPr>
              <w:ind w:left="380"/>
              <w:spacing w:after="0"/>
              <w:rPr>
                <w:rFonts w:ascii="Arial" w:cs="Arial" w:eastAsia="Arial" w:hAnsi="Arial"/>
                <w:sz w:val="18"/>
                <w:szCs w:val="18"/>
                <w:color w:val="auto"/>
                <w:w w:val="91"/>
              </w:rPr>
            </w:pPr>
            <w:hyperlink r:id="rId53">
              <w:r>
                <w:rPr>
                  <w:rFonts w:ascii="Arial" w:cs="Arial" w:eastAsia="Arial" w:hAnsi="Arial"/>
                  <w:sz w:val="18"/>
                  <w:szCs w:val="18"/>
                  <w:color w:val="auto"/>
                  <w:w w:val="91"/>
                </w:rPr>
                <w:t>Deposit Agreement relating to 6.125% Series F Fixed-to-Floating Rate Cumulative Redeemable Preferred Stock, dated February 11, 2020,</w:t>
              </w:r>
            </w:hyperlink>
          </w:p>
        </w:tc>
      </w:tr>
      <w:tr>
        <w:trPr>
          <w:trHeight w:val="216"/>
        </w:trPr>
        <w:tc>
          <w:tcPr>
            <w:tcW w:w="920" w:type="dxa"/>
            <w:vAlign w:val="bottom"/>
          </w:tcPr>
          <w:p>
            <w:pPr>
              <w:spacing w:after="0"/>
              <w:rPr>
                <w:sz w:val="18"/>
                <w:szCs w:val="18"/>
                <w:color w:val="auto"/>
              </w:rPr>
            </w:pPr>
          </w:p>
        </w:tc>
        <w:tc>
          <w:tcPr>
            <w:tcW w:w="10500" w:type="dxa"/>
            <w:vAlign w:val="bottom"/>
          </w:tcPr>
          <w:p>
            <w:pPr>
              <w:ind w:left="380"/>
              <w:spacing w:after="0"/>
              <w:rPr>
                <w:rFonts w:ascii="Arial" w:cs="Arial" w:eastAsia="Arial" w:hAnsi="Arial"/>
                <w:sz w:val="18"/>
                <w:szCs w:val="18"/>
                <w:color w:val="auto"/>
                <w:w w:val="92"/>
              </w:rPr>
            </w:pPr>
            <w:hyperlink r:id="rId53">
              <w:r>
                <w:rPr>
                  <w:rFonts w:ascii="Arial" w:cs="Arial" w:eastAsia="Arial" w:hAnsi="Arial"/>
                  <w:sz w:val="18"/>
                  <w:szCs w:val="18"/>
                  <w:color w:val="auto"/>
                  <w:w w:val="92"/>
                </w:rPr>
                <w:t>among AGNC Investment Corp., Computershare Inc. and Computershare Trust Company, N.A., jointly as depositary, incorporated herein</w:t>
              </w:r>
            </w:hyperlink>
          </w:p>
        </w:tc>
      </w:tr>
      <w:tr>
        <w:trPr>
          <w:trHeight w:val="230"/>
        </w:trPr>
        <w:tc>
          <w:tcPr>
            <w:tcW w:w="920" w:type="dxa"/>
            <w:vAlign w:val="bottom"/>
          </w:tcPr>
          <w:p>
            <w:pPr>
              <w:spacing w:after="0"/>
              <w:rPr>
                <w:sz w:val="20"/>
                <w:szCs w:val="20"/>
                <w:color w:val="auto"/>
              </w:rPr>
            </w:pPr>
          </w:p>
        </w:tc>
        <w:tc>
          <w:tcPr>
            <w:tcW w:w="10500" w:type="dxa"/>
            <w:vAlign w:val="bottom"/>
          </w:tcPr>
          <w:p>
            <w:pPr>
              <w:ind w:left="380"/>
              <w:spacing w:after="0"/>
              <w:rPr>
                <w:rFonts w:ascii="Arial" w:cs="Arial" w:eastAsia="Arial" w:hAnsi="Arial"/>
                <w:sz w:val="18"/>
                <w:szCs w:val="18"/>
                <w:color w:val="auto"/>
              </w:rPr>
            </w:pPr>
            <w:hyperlink r:id="rId53">
              <w:r>
                <w:rPr>
                  <w:rFonts w:ascii="Arial" w:cs="Arial" w:eastAsia="Arial" w:hAnsi="Arial"/>
                  <w:sz w:val="18"/>
                  <w:szCs w:val="18"/>
                  <w:color w:val="auto"/>
                </w:rPr>
                <w:t>by reference to Exhibit 4.1 of Form 8-K (File No. 001-34057) filed February 11, 2020.</w:t>
              </w:r>
            </w:hyperlink>
          </w:p>
        </w:tc>
      </w:tr>
      <w:tr>
        <w:trPr>
          <w:trHeight w:val="364"/>
        </w:trPr>
        <w:tc>
          <w:tcPr>
            <w:tcW w:w="920" w:type="dxa"/>
            <w:vAlign w:val="bottom"/>
          </w:tcPr>
          <w:p>
            <w:pPr>
              <w:spacing w:after="0"/>
              <w:rPr>
                <w:rFonts w:ascii="Arial" w:cs="Arial" w:eastAsia="Arial" w:hAnsi="Arial"/>
                <w:sz w:val="18"/>
                <w:szCs w:val="18"/>
                <w:color w:val="auto"/>
              </w:rPr>
            </w:pPr>
            <w:hyperlink r:id="rId53">
              <w:r>
                <w:rPr>
                  <w:rFonts w:ascii="Arial" w:cs="Arial" w:eastAsia="Arial" w:hAnsi="Arial"/>
                  <w:sz w:val="18"/>
                  <w:szCs w:val="18"/>
                  <w:color w:val="auto"/>
                </w:rPr>
                <w:t>*4.15</w:t>
              </w:r>
            </w:hyperlink>
          </w:p>
        </w:tc>
        <w:tc>
          <w:tcPr>
            <w:tcW w:w="10500" w:type="dxa"/>
            <w:vAlign w:val="bottom"/>
          </w:tcPr>
          <w:p>
            <w:pPr>
              <w:ind w:left="380"/>
              <w:spacing w:after="0"/>
              <w:rPr>
                <w:rFonts w:ascii="Arial" w:cs="Arial" w:eastAsia="Arial" w:hAnsi="Arial"/>
                <w:sz w:val="18"/>
                <w:szCs w:val="18"/>
                <w:color w:val="auto"/>
                <w:w w:val="90"/>
              </w:rPr>
            </w:pPr>
            <w:hyperlink r:id="rId53">
              <w:r>
                <w:rPr>
                  <w:rFonts w:ascii="Arial" w:cs="Arial" w:eastAsia="Arial" w:hAnsi="Arial"/>
                  <w:sz w:val="18"/>
                  <w:szCs w:val="18"/>
                  <w:color w:val="auto"/>
                  <w:w w:val="90"/>
                </w:rPr>
                <w:t>Form of Depositary Receipt representing 1/1,000th of a share of 6.125% Series F Fixed-to-Floating Rate Cumulative Redeemable Preferred</w:t>
              </w:r>
            </w:hyperlink>
          </w:p>
        </w:tc>
      </w:tr>
      <w:tr>
        <w:trPr>
          <w:trHeight w:val="216"/>
        </w:trPr>
        <w:tc>
          <w:tcPr>
            <w:tcW w:w="920" w:type="dxa"/>
            <w:vAlign w:val="bottom"/>
          </w:tcPr>
          <w:p>
            <w:pPr>
              <w:spacing w:after="0"/>
              <w:rPr>
                <w:sz w:val="18"/>
                <w:szCs w:val="18"/>
                <w:color w:val="auto"/>
              </w:rPr>
            </w:pPr>
          </w:p>
        </w:tc>
        <w:tc>
          <w:tcPr>
            <w:tcW w:w="10500" w:type="dxa"/>
            <w:vAlign w:val="bottom"/>
          </w:tcPr>
          <w:p>
            <w:pPr>
              <w:ind w:left="380"/>
              <w:spacing w:after="0"/>
              <w:rPr>
                <w:rFonts w:ascii="Arial" w:cs="Arial" w:eastAsia="Arial" w:hAnsi="Arial"/>
                <w:sz w:val="18"/>
                <w:szCs w:val="18"/>
                <w:color w:val="auto"/>
                <w:w w:val="95"/>
              </w:rPr>
            </w:pPr>
            <w:hyperlink r:id="rId53">
              <w:r>
                <w:rPr>
                  <w:rFonts w:ascii="Arial" w:cs="Arial" w:eastAsia="Arial" w:hAnsi="Arial"/>
                  <w:sz w:val="18"/>
                  <w:szCs w:val="18"/>
                  <w:color w:val="auto"/>
                  <w:w w:val="95"/>
                </w:rPr>
                <w:t>Stock (included as part of Exhibit 4.14), incorporated herein by reference to Exhibit A of Exhibit 4.1 of Form 8-K (File No. 001-34057)</w:t>
              </w:r>
            </w:hyperlink>
          </w:p>
        </w:tc>
      </w:tr>
      <w:tr>
        <w:trPr>
          <w:trHeight w:val="230"/>
        </w:trPr>
        <w:tc>
          <w:tcPr>
            <w:tcW w:w="920" w:type="dxa"/>
            <w:vAlign w:val="bottom"/>
          </w:tcPr>
          <w:p>
            <w:pPr>
              <w:spacing w:after="0"/>
              <w:rPr>
                <w:sz w:val="20"/>
                <w:szCs w:val="20"/>
                <w:color w:val="auto"/>
              </w:rPr>
            </w:pPr>
          </w:p>
        </w:tc>
        <w:tc>
          <w:tcPr>
            <w:tcW w:w="10500" w:type="dxa"/>
            <w:vAlign w:val="bottom"/>
          </w:tcPr>
          <w:p>
            <w:pPr>
              <w:ind w:left="380"/>
              <w:spacing w:after="0"/>
              <w:rPr>
                <w:rFonts w:ascii="Arial" w:cs="Arial" w:eastAsia="Arial" w:hAnsi="Arial"/>
                <w:sz w:val="18"/>
                <w:szCs w:val="18"/>
                <w:color w:val="auto"/>
              </w:rPr>
            </w:pPr>
            <w:hyperlink r:id="rId53">
              <w:r>
                <w:rPr>
                  <w:rFonts w:ascii="Arial" w:cs="Arial" w:eastAsia="Arial" w:hAnsi="Arial"/>
                  <w:sz w:val="18"/>
                  <w:szCs w:val="18"/>
                  <w:color w:val="auto"/>
                </w:rPr>
                <w:t>filed February 11, 2020.</w:t>
              </w:r>
            </w:hyperlink>
          </w:p>
        </w:tc>
      </w:tr>
      <w:tr>
        <w:trPr>
          <w:trHeight w:val="364"/>
        </w:trPr>
        <w:tc>
          <w:tcPr>
            <w:tcW w:w="920" w:type="dxa"/>
            <w:vAlign w:val="bottom"/>
          </w:tcPr>
          <w:p>
            <w:pPr>
              <w:spacing w:after="0"/>
              <w:rPr>
                <w:rFonts w:ascii="Arial" w:cs="Arial" w:eastAsia="Arial" w:hAnsi="Arial"/>
                <w:sz w:val="18"/>
                <w:szCs w:val="18"/>
                <w:color w:val="auto"/>
              </w:rPr>
            </w:pPr>
            <w:hyperlink r:id="rId54">
              <w:r>
                <w:rPr>
                  <w:rFonts w:ascii="Arial" w:cs="Arial" w:eastAsia="Arial" w:hAnsi="Arial"/>
                  <w:sz w:val="18"/>
                  <w:szCs w:val="18"/>
                  <w:color w:val="auto"/>
                </w:rPr>
                <w:t>†* 10.1</w:t>
              </w:r>
            </w:hyperlink>
          </w:p>
        </w:tc>
        <w:tc>
          <w:tcPr>
            <w:tcW w:w="10500" w:type="dxa"/>
            <w:vAlign w:val="bottom"/>
          </w:tcPr>
          <w:p>
            <w:pPr>
              <w:ind w:left="380"/>
              <w:spacing w:after="0"/>
              <w:rPr>
                <w:rFonts w:ascii="Arial" w:cs="Arial" w:eastAsia="Arial" w:hAnsi="Arial"/>
                <w:sz w:val="18"/>
                <w:szCs w:val="18"/>
                <w:color w:val="auto"/>
                <w:w w:val="91"/>
              </w:rPr>
            </w:pPr>
            <w:hyperlink r:id="rId54">
              <w:r>
                <w:rPr>
                  <w:rFonts w:ascii="Arial" w:cs="Arial" w:eastAsia="Arial" w:hAnsi="Arial"/>
                  <w:sz w:val="18"/>
                  <w:szCs w:val="18"/>
                  <w:color w:val="auto"/>
                  <w:w w:val="91"/>
                </w:rPr>
                <w:t>Fourth Amended and Restated Employment Agreement, dated January 25, 2019, by and between AGNC Mortgage Management, LLC and</w:t>
              </w:r>
            </w:hyperlink>
          </w:p>
        </w:tc>
      </w:tr>
      <w:tr>
        <w:trPr>
          <w:trHeight w:val="230"/>
        </w:trPr>
        <w:tc>
          <w:tcPr>
            <w:tcW w:w="920" w:type="dxa"/>
            <w:vAlign w:val="bottom"/>
          </w:tcPr>
          <w:p>
            <w:pPr>
              <w:spacing w:after="0"/>
              <w:rPr>
                <w:sz w:val="20"/>
                <w:szCs w:val="20"/>
                <w:color w:val="auto"/>
              </w:rPr>
            </w:pPr>
          </w:p>
        </w:tc>
        <w:tc>
          <w:tcPr>
            <w:tcW w:w="10500" w:type="dxa"/>
            <w:vAlign w:val="bottom"/>
          </w:tcPr>
          <w:p>
            <w:pPr>
              <w:ind w:left="380"/>
              <w:spacing w:after="0"/>
              <w:rPr>
                <w:rFonts w:ascii="Arial" w:cs="Arial" w:eastAsia="Arial" w:hAnsi="Arial"/>
                <w:sz w:val="18"/>
                <w:szCs w:val="18"/>
                <w:color w:val="auto"/>
              </w:rPr>
            </w:pPr>
            <w:hyperlink r:id="rId54">
              <w:r>
                <w:rPr>
                  <w:rFonts w:ascii="Arial" w:cs="Arial" w:eastAsia="Arial" w:hAnsi="Arial"/>
                  <w:sz w:val="18"/>
                  <w:szCs w:val="18"/>
                  <w:color w:val="auto"/>
                </w:rPr>
                <w:t>Gary Kain, incorporated herein by reference to Exhibit 10.2 of Form 8-K (File No. 001-34057), filed January 25, 2019.</w:t>
              </w:r>
            </w:hyperlink>
          </w:p>
        </w:tc>
      </w:tr>
      <w:tr>
        <w:trPr>
          <w:trHeight w:val="364"/>
        </w:trPr>
        <w:tc>
          <w:tcPr>
            <w:tcW w:w="920" w:type="dxa"/>
            <w:vAlign w:val="bottom"/>
          </w:tcPr>
          <w:p>
            <w:pPr>
              <w:spacing w:after="0"/>
              <w:rPr>
                <w:rFonts w:ascii="Arial" w:cs="Arial" w:eastAsia="Arial" w:hAnsi="Arial"/>
                <w:sz w:val="18"/>
                <w:szCs w:val="18"/>
                <w:color w:val="auto"/>
              </w:rPr>
            </w:pPr>
            <w:hyperlink r:id="rId55">
              <w:r>
                <w:rPr>
                  <w:rFonts w:ascii="Arial" w:cs="Arial" w:eastAsia="Arial" w:hAnsi="Arial"/>
                  <w:sz w:val="18"/>
                  <w:szCs w:val="18"/>
                  <w:color w:val="auto"/>
                </w:rPr>
                <w:t>†* 10.2</w:t>
              </w:r>
            </w:hyperlink>
          </w:p>
        </w:tc>
        <w:tc>
          <w:tcPr>
            <w:tcW w:w="10500" w:type="dxa"/>
            <w:vAlign w:val="bottom"/>
          </w:tcPr>
          <w:p>
            <w:pPr>
              <w:ind w:left="380"/>
              <w:spacing w:after="0"/>
              <w:rPr>
                <w:rFonts w:ascii="Arial" w:cs="Arial" w:eastAsia="Arial" w:hAnsi="Arial"/>
                <w:sz w:val="18"/>
                <w:szCs w:val="18"/>
                <w:color w:val="auto"/>
                <w:w w:val="91"/>
              </w:rPr>
            </w:pPr>
            <w:hyperlink r:id="rId55">
              <w:r>
                <w:rPr>
                  <w:rFonts w:ascii="Arial" w:cs="Arial" w:eastAsia="Arial" w:hAnsi="Arial"/>
                  <w:sz w:val="18"/>
                  <w:szCs w:val="18"/>
                  <w:color w:val="auto"/>
                  <w:w w:val="91"/>
                </w:rPr>
                <w:t>Third Amended and Restated Employment Agreement, dated November 1, 2016, by and between AGNC Mortgage Management, LLC and</w:t>
              </w:r>
            </w:hyperlink>
          </w:p>
        </w:tc>
      </w:tr>
      <w:tr>
        <w:trPr>
          <w:trHeight w:val="230"/>
        </w:trPr>
        <w:tc>
          <w:tcPr>
            <w:tcW w:w="920" w:type="dxa"/>
            <w:vAlign w:val="bottom"/>
          </w:tcPr>
          <w:p>
            <w:pPr>
              <w:spacing w:after="0"/>
              <w:rPr>
                <w:sz w:val="20"/>
                <w:szCs w:val="20"/>
                <w:color w:val="auto"/>
              </w:rPr>
            </w:pPr>
          </w:p>
        </w:tc>
        <w:tc>
          <w:tcPr>
            <w:tcW w:w="10500" w:type="dxa"/>
            <w:vAlign w:val="bottom"/>
          </w:tcPr>
          <w:p>
            <w:pPr>
              <w:ind w:left="380"/>
              <w:spacing w:after="0"/>
              <w:rPr>
                <w:rFonts w:ascii="Arial" w:cs="Arial" w:eastAsia="Arial" w:hAnsi="Arial"/>
                <w:sz w:val="18"/>
                <w:szCs w:val="18"/>
                <w:color w:val="auto"/>
              </w:rPr>
            </w:pPr>
            <w:hyperlink r:id="rId55">
              <w:r>
                <w:rPr>
                  <w:rFonts w:ascii="Arial" w:cs="Arial" w:eastAsia="Arial" w:hAnsi="Arial"/>
                  <w:sz w:val="18"/>
                  <w:szCs w:val="18"/>
                  <w:color w:val="auto"/>
                </w:rPr>
                <w:t>Peter J. Federico, incorporated herein by reference to Exhibit 10.2 of Form 8-K (File No. 001-34057), filed November 4, 2016.</w:t>
              </w:r>
            </w:hyperlink>
          </w:p>
        </w:tc>
      </w:tr>
      <w:tr>
        <w:trPr>
          <w:trHeight w:val="364"/>
        </w:trPr>
        <w:tc>
          <w:tcPr>
            <w:tcW w:w="920" w:type="dxa"/>
            <w:vAlign w:val="bottom"/>
          </w:tcPr>
          <w:p>
            <w:pPr>
              <w:spacing w:after="0"/>
              <w:rPr>
                <w:rFonts w:ascii="Arial" w:cs="Arial" w:eastAsia="Arial" w:hAnsi="Arial"/>
                <w:sz w:val="18"/>
                <w:szCs w:val="18"/>
                <w:color w:val="auto"/>
              </w:rPr>
            </w:pPr>
            <w:hyperlink r:id="rId56">
              <w:r>
                <w:rPr>
                  <w:rFonts w:ascii="Arial" w:cs="Arial" w:eastAsia="Arial" w:hAnsi="Arial"/>
                  <w:sz w:val="18"/>
                  <w:szCs w:val="18"/>
                  <w:color w:val="auto"/>
                </w:rPr>
                <w:t>†* 10.3</w:t>
              </w:r>
            </w:hyperlink>
          </w:p>
        </w:tc>
        <w:tc>
          <w:tcPr>
            <w:tcW w:w="10500" w:type="dxa"/>
            <w:vAlign w:val="bottom"/>
          </w:tcPr>
          <w:p>
            <w:pPr>
              <w:ind w:left="380"/>
              <w:spacing w:after="0"/>
              <w:rPr>
                <w:rFonts w:ascii="Arial" w:cs="Arial" w:eastAsia="Arial" w:hAnsi="Arial"/>
                <w:sz w:val="18"/>
                <w:szCs w:val="18"/>
                <w:color w:val="auto"/>
                <w:w w:val="91"/>
              </w:rPr>
            </w:pPr>
            <w:hyperlink r:id="rId56">
              <w:r>
                <w:rPr>
                  <w:rFonts w:ascii="Arial" w:cs="Arial" w:eastAsia="Arial" w:hAnsi="Arial"/>
                  <w:sz w:val="18"/>
                  <w:szCs w:val="18"/>
                  <w:color w:val="auto"/>
                  <w:w w:val="91"/>
                </w:rPr>
                <w:t>Third Amended and Restated Employment Agreement, dated November 1, 2016, by and between AGNC Mortgage Management, LLC and</w:t>
              </w:r>
            </w:hyperlink>
          </w:p>
        </w:tc>
      </w:tr>
      <w:tr>
        <w:trPr>
          <w:trHeight w:val="230"/>
        </w:trPr>
        <w:tc>
          <w:tcPr>
            <w:tcW w:w="920" w:type="dxa"/>
            <w:vAlign w:val="bottom"/>
          </w:tcPr>
          <w:p>
            <w:pPr>
              <w:spacing w:after="0"/>
              <w:rPr>
                <w:sz w:val="20"/>
                <w:szCs w:val="20"/>
                <w:color w:val="auto"/>
              </w:rPr>
            </w:pPr>
          </w:p>
        </w:tc>
        <w:tc>
          <w:tcPr>
            <w:tcW w:w="10500" w:type="dxa"/>
            <w:vAlign w:val="bottom"/>
          </w:tcPr>
          <w:p>
            <w:pPr>
              <w:ind w:left="380"/>
              <w:spacing w:after="0"/>
              <w:rPr>
                <w:rFonts w:ascii="Arial" w:cs="Arial" w:eastAsia="Arial" w:hAnsi="Arial"/>
                <w:sz w:val="18"/>
                <w:szCs w:val="18"/>
                <w:color w:val="auto"/>
                <w:w w:val="98"/>
              </w:rPr>
            </w:pPr>
            <w:hyperlink r:id="rId56">
              <w:r>
                <w:rPr>
                  <w:rFonts w:ascii="Arial" w:cs="Arial" w:eastAsia="Arial" w:hAnsi="Arial"/>
                  <w:sz w:val="18"/>
                  <w:szCs w:val="18"/>
                  <w:color w:val="auto"/>
                  <w:w w:val="98"/>
                </w:rPr>
                <w:t>Christopher J. Kuehl, incorporated herein by reference to Exhibit 10.3 of Form 8-K (File No. 001-34057), filed November 4, 2016.</w:t>
              </w:r>
            </w:hyperlink>
          </w:p>
        </w:tc>
      </w:tr>
      <w:tr>
        <w:trPr>
          <w:trHeight w:val="364"/>
        </w:trPr>
        <w:tc>
          <w:tcPr>
            <w:tcW w:w="920" w:type="dxa"/>
            <w:vAlign w:val="bottom"/>
          </w:tcPr>
          <w:p>
            <w:pPr>
              <w:spacing w:after="0"/>
              <w:rPr>
                <w:rFonts w:ascii="Arial" w:cs="Arial" w:eastAsia="Arial" w:hAnsi="Arial"/>
                <w:sz w:val="18"/>
                <w:szCs w:val="18"/>
                <w:color w:val="auto"/>
              </w:rPr>
            </w:pPr>
            <w:hyperlink r:id="rId57">
              <w:r>
                <w:rPr>
                  <w:rFonts w:ascii="Arial" w:cs="Arial" w:eastAsia="Arial" w:hAnsi="Arial"/>
                  <w:sz w:val="18"/>
                  <w:szCs w:val="18"/>
                  <w:color w:val="auto"/>
                </w:rPr>
                <w:t>†* 10.4</w:t>
              </w:r>
            </w:hyperlink>
          </w:p>
        </w:tc>
        <w:tc>
          <w:tcPr>
            <w:tcW w:w="10500" w:type="dxa"/>
            <w:vAlign w:val="bottom"/>
          </w:tcPr>
          <w:p>
            <w:pPr>
              <w:ind w:left="380"/>
              <w:spacing w:after="0"/>
              <w:rPr>
                <w:rFonts w:ascii="Arial" w:cs="Arial" w:eastAsia="Arial" w:hAnsi="Arial"/>
                <w:sz w:val="18"/>
                <w:szCs w:val="18"/>
                <w:color w:val="auto"/>
                <w:w w:val="90"/>
              </w:rPr>
            </w:pPr>
            <w:hyperlink r:id="rId57">
              <w:r>
                <w:rPr>
                  <w:rFonts w:ascii="Arial" w:cs="Arial" w:eastAsia="Arial" w:hAnsi="Arial"/>
                  <w:sz w:val="18"/>
                  <w:szCs w:val="18"/>
                  <w:color w:val="auto"/>
                  <w:w w:val="90"/>
                </w:rPr>
                <w:t>Employment Agreement, dated as of January 25, 2019, by and between Bernice Bell and AGNC Mortgage Management, LLC, incorporated</w:t>
              </w:r>
            </w:hyperlink>
          </w:p>
        </w:tc>
      </w:tr>
      <w:tr>
        <w:trPr>
          <w:trHeight w:val="230"/>
        </w:trPr>
        <w:tc>
          <w:tcPr>
            <w:tcW w:w="920" w:type="dxa"/>
            <w:vAlign w:val="bottom"/>
          </w:tcPr>
          <w:p>
            <w:pPr>
              <w:spacing w:after="0"/>
              <w:rPr>
                <w:sz w:val="20"/>
                <w:szCs w:val="20"/>
                <w:color w:val="auto"/>
              </w:rPr>
            </w:pPr>
          </w:p>
        </w:tc>
        <w:tc>
          <w:tcPr>
            <w:tcW w:w="10500" w:type="dxa"/>
            <w:vAlign w:val="bottom"/>
          </w:tcPr>
          <w:p>
            <w:pPr>
              <w:ind w:left="380"/>
              <w:spacing w:after="0"/>
              <w:rPr>
                <w:rFonts w:ascii="Arial" w:cs="Arial" w:eastAsia="Arial" w:hAnsi="Arial"/>
                <w:sz w:val="18"/>
                <w:szCs w:val="18"/>
                <w:color w:val="auto"/>
              </w:rPr>
            </w:pPr>
            <w:hyperlink r:id="rId57">
              <w:r>
                <w:rPr>
                  <w:rFonts w:ascii="Arial" w:cs="Arial" w:eastAsia="Arial" w:hAnsi="Arial"/>
                  <w:sz w:val="18"/>
                  <w:szCs w:val="18"/>
                  <w:color w:val="auto"/>
                </w:rPr>
                <w:t>herein by reference to Exhibit 10.1 of Form 8-K (File No. 001-34057), filed January 25, 2019.</w:t>
              </w:r>
            </w:hyperlink>
          </w:p>
        </w:tc>
      </w:tr>
      <w:tr>
        <w:trPr>
          <w:trHeight w:val="364"/>
        </w:trPr>
        <w:tc>
          <w:tcPr>
            <w:tcW w:w="920" w:type="dxa"/>
            <w:vAlign w:val="bottom"/>
          </w:tcPr>
          <w:p>
            <w:pPr>
              <w:spacing w:after="0"/>
              <w:rPr>
                <w:rFonts w:ascii="Arial" w:cs="Arial" w:eastAsia="Arial" w:hAnsi="Arial"/>
                <w:sz w:val="18"/>
                <w:szCs w:val="18"/>
                <w:color w:val="auto"/>
              </w:rPr>
            </w:pPr>
            <w:hyperlink r:id="rId58">
              <w:r>
                <w:rPr>
                  <w:rFonts w:ascii="Arial" w:cs="Arial" w:eastAsia="Arial" w:hAnsi="Arial"/>
                  <w:sz w:val="18"/>
                  <w:szCs w:val="18"/>
                  <w:color w:val="auto"/>
                </w:rPr>
                <w:t>†* 10.5</w:t>
              </w:r>
            </w:hyperlink>
          </w:p>
        </w:tc>
        <w:tc>
          <w:tcPr>
            <w:tcW w:w="10500" w:type="dxa"/>
            <w:vAlign w:val="bottom"/>
          </w:tcPr>
          <w:p>
            <w:pPr>
              <w:ind w:left="380"/>
              <w:spacing w:after="0"/>
              <w:rPr>
                <w:rFonts w:ascii="Arial" w:cs="Arial" w:eastAsia="Arial" w:hAnsi="Arial"/>
                <w:sz w:val="18"/>
                <w:szCs w:val="18"/>
                <w:color w:val="auto"/>
                <w:w w:val="90"/>
              </w:rPr>
            </w:pPr>
            <w:hyperlink r:id="rId58">
              <w:r>
                <w:rPr>
                  <w:rFonts w:ascii="Arial" w:cs="Arial" w:eastAsia="Arial" w:hAnsi="Arial"/>
                  <w:sz w:val="18"/>
                  <w:szCs w:val="18"/>
                  <w:color w:val="auto"/>
                  <w:w w:val="90"/>
                </w:rPr>
                <w:t>Employment Agreement, dated as of January 25, 2019, by and between Aaron J. Pas and AGNC Mortgage Management, LLC, incorporated</w:t>
              </w:r>
            </w:hyperlink>
          </w:p>
        </w:tc>
      </w:tr>
      <w:tr>
        <w:trPr>
          <w:trHeight w:val="230"/>
        </w:trPr>
        <w:tc>
          <w:tcPr>
            <w:tcW w:w="920" w:type="dxa"/>
            <w:vAlign w:val="bottom"/>
          </w:tcPr>
          <w:p>
            <w:pPr>
              <w:spacing w:after="0"/>
              <w:rPr>
                <w:sz w:val="20"/>
                <w:szCs w:val="20"/>
                <w:color w:val="auto"/>
              </w:rPr>
            </w:pPr>
          </w:p>
        </w:tc>
        <w:tc>
          <w:tcPr>
            <w:tcW w:w="10500" w:type="dxa"/>
            <w:vAlign w:val="bottom"/>
          </w:tcPr>
          <w:p>
            <w:pPr>
              <w:ind w:left="380"/>
              <w:spacing w:after="0"/>
              <w:rPr>
                <w:rFonts w:ascii="Arial" w:cs="Arial" w:eastAsia="Arial" w:hAnsi="Arial"/>
                <w:sz w:val="18"/>
                <w:szCs w:val="18"/>
                <w:color w:val="auto"/>
              </w:rPr>
            </w:pPr>
            <w:hyperlink r:id="rId58">
              <w:r>
                <w:rPr>
                  <w:rFonts w:ascii="Arial" w:cs="Arial" w:eastAsia="Arial" w:hAnsi="Arial"/>
                  <w:sz w:val="18"/>
                  <w:szCs w:val="18"/>
                  <w:color w:val="auto"/>
                </w:rPr>
                <w:t>herein by reference to Exhibit 10.3 of Form 8-K (File No. 001-34057), filed January 25, 2019.</w:t>
              </w:r>
            </w:hyperlink>
          </w:p>
        </w:tc>
      </w:tr>
      <w:tr>
        <w:trPr>
          <w:trHeight w:val="364"/>
        </w:trPr>
        <w:tc>
          <w:tcPr>
            <w:tcW w:w="920" w:type="dxa"/>
            <w:vAlign w:val="bottom"/>
          </w:tcPr>
          <w:p>
            <w:pPr>
              <w:spacing w:after="0"/>
              <w:rPr>
                <w:rFonts w:ascii="Arial" w:cs="Arial" w:eastAsia="Arial" w:hAnsi="Arial"/>
                <w:sz w:val="18"/>
                <w:szCs w:val="18"/>
                <w:color w:val="auto"/>
              </w:rPr>
            </w:pPr>
            <w:hyperlink r:id="rId59">
              <w:r>
                <w:rPr>
                  <w:rFonts w:ascii="Arial" w:cs="Arial" w:eastAsia="Arial" w:hAnsi="Arial"/>
                  <w:sz w:val="18"/>
                  <w:szCs w:val="18"/>
                  <w:color w:val="auto"/>
                </w:rPr>
                <w:t>†* 10.6</w:t>
              </w:r>
            </w:hyperlink>
          </w:p>
        </w:tc>
        <w:tc>
          <w:tcPr>
            <w:tcW w:w="10500" w:type="dxa"/>
            <w:vAlign w:val="bottom"/>
          </w:tcPr>
          <w:p>
            <w:pPr>
              <w:ind w:left="380"/>
              <w:spacing w:after="0"/>
              <w:rPr>
                <w:rFonts w:ascii="Arial" w:cs="Arial" w:eastAsia="Arial" w:hAnsi="Arial"/>
                <w:sz w:val="18"/>
                <w:szCs w:val="18"/>
                <w:color w:val="auto"/>
                <w:w w:val="97"/>
              </w:rPr>
            </w:pPr>
            <w:hyperlink r:id="rId59">
              <w:r>
                <w:rPr>
                  <w:rFonts w:ascii="Arial" w:cs="Arial" w:eastAsia="Arial" w:hAnsi="Arial"/>
                  <w:sz w:val="18"/>
                  <w:szCs w:val="18"/>
                  <w:color w:val="auto"/>
                  <w:w w:val="97"/>
                </w:rPr>
                <w:t>Employment Agreement, dated December 18, 2017, by and between Kenneth L. Pollack and AGNC Mortgage Management, LLC,</w:t>
              </w:r>
            </w:hyperlink>
          </w:p>
        </w:tc>
      </w:tr>
      <w:tr>
        <w:trPr>
          <w:trHeight w:val="230"/>
        </w:trPr>
        <w:tc>
          <w:tcPr>
            <w:tcW w:w="920" w:type="dxa"/>
            <w:vAlign w:val="bottom"/>
          </w:tcPr>
          <w:p>
            <w:pPr>
              <w:spacing w:after="0"/>
              <w:rPr>
                <w:sz w:val="20"/>
                <w:szCs w:val="20"/>
                <w:color w:val="auto"/>
              </w:rPr>
            </w:pPr>
          </w:p>
        </w:tc>
        <w:tc>
          <w:tcPr>
            <w:tcW w:w="10500" w:type="dxa"/>
            <w:vAlign w:val="bottom"/>
          </w:tcPr>
          <w:p>
            <w:pPr>
              <w:ind w:left="380"/>
              <w:spacing w:after="0"/>
              <w:rPr>
                <w:rFonts w:ascii="Arial" w:cs="Arial" w:eastAsia="Arial" w:hAnsi="Arial"/>
                <w:sz w:val="18"/>
                <w:szCs w:val="18"/>
                <w:color w:val="auto"/>
              </w:rPr>
            </w:pPr>
            <w:hyperlink r:id="rId59">
              <w:r>
                <w:rPr>
                  <w:rFonts w:ascii="Arial" w:cs="Arial" w:eastAsia="Arial" w:hAnsi="Arial"/>
                  <w:sz w:val="18"/>
                  <w:szCs w:val="18"/>
                  <w:color w:val="auto"/>
                </w:rPr>
                <w:t>incorporated herein by reference to Exhibit 10.3 of Form 8-K (File No. 001-34057), filed December 18, 2017.</w:t>
              </w:r>
            </w:hyperlink>
          </w:p>
        </w:tc>
      </w:tr>
      <w:tr>
        <w:trPr>
          <w:trHeight w:val="432"/>
        </w:trPr>
        <w:tc>
          <w:tcPr>
            <w:tcW w:w="920" w:type="dxa"/>
            <w:vAlign w:val="bottom"/>
          </w:tcPr>
          <w:p>
            <w:pPr>
              <w:spacing w:after="0"/>
              <w:rPr>
                <w:sz w:val="24"/>
                <w:szCs w:val="24"/>
                <w:color w:val="auto"/>
              </w:rPr>
            </w:pPr>
          </w:p>
        </w:tc>
        <w:tc>
          <w:tcPr>
            <w:tcW w:w="10500" w:type="dxa"/>
            <w:vAlign w:val="bottom"/>
          </w:tcPr>
          <w:p>
            <w:pPr>
              <w:ind w:left="4700"/>
              <w:spacing w:after="0"/>
              <w:rPr>
                <w:sz w:val="20"/>
                <w:szCs w:val="20"/>
                <w:color w:val="auto"/>
              </w:rPr>
            </w:pPr>
            <w:r>
              <w:rPr>
                <w:rFonts w:ascii="Arial" w:cs="Arial" w:eastAsia="Arial" w:hAnsi="Arial"/>
                <w:sz w:val="18"/>
                <w:szCs w:val="18"/>
                <w:color w:val="auto"/>
              </w:rPr>
              <w:t>86</w:t>
            </w:r>
          </w:p>
        </w:tc>
      </w:tr>
    </w:tbl>
    <w:p>
      <w:pPr>
        <w:sectPr>
          <w:pgSz w:w="11900" w:h="16838" w:orient="portrait"/>
          <w:cols w:equalWidth="0" w:num="1">
            <w:col w:w="11420"/>
          </w:cols>
          <w:pgMar w:left="240" w:top="719" w:right="23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rFonts w:ascii="Arial" w:cs="Arial" w:eastAsia="Arial" w:hAnsi="Arial"/>
                <w:sz w:val="18"/>
                <w:szCs w:val="18"/>
                <w:color w:val="auto"/>
              </w:rPr>
            </w:pPr>
            <w:hyperlink r:id="rId60">
              <w:r>
                <w:rPr>
                  <w:rFonts w:ascii="Arial" w:cs="Arial" w:eastAsia="Arial" w:hAnsi="Arial"/>
                  <w:sz w:val="18"/>
                  <w:szCs w:val="18"/>
                  <w:color w:val="auto"/>
                </w:rPr>
                <w:t>†* 10.7</w:t>
              </w:r>
            </w:hyperlink>
          </w:p>
        </w:tc>
        <w:tc>
          <w:tcPr>
            <w:tcW w:w="10420" w:type="dxa"/>
            <w:vAlign w:val="bottom"/>
          </w:tcPr>
          <w:p>
            <w:pPr>
              <w:ind w:left="320"/>
              <w:spacing w:after="0"/>
              <w:rPr>
                <w:rFonts w:ascii="Arial" w:cs="Arial" w:eastAsia="Arial" w:hAnsi="Arial"/>
                <w:sz w:val="18"/>
                <w:szCs w:val="18"/>
                <w:color w:val="auto"/>
                <w:w w:val="93"/>
              </w:rPr>
            </w:pPr>
            <w:hyperlink r:id="rId60">
              <w:r>
                <w:rPr>
                  <w:rFonts w:ascii="Arial" w:cs="Arial" w:eastAsia="Arial" w:hAnsi="Arial"/>
                  <w:sz w:val="18"/>
                  <w:szCs w:val="18"/>
                  <w:color w:val="auto"/>
                  <w:w w:val="93"/>
                </w:rPr>
                <w:t>First Amendment to Employment Agreement by and between Kenneth L. Pollack and AGNC Mortgage Management, LLC, incorporated</w:t>
              </w:r>
            </w:hyperlink>
          </w:p>
        </w:tc>
      </w:tr>
      <w:tr>
        <w:trPr>
          <w:trHeight w:val="230"/>
        </w:trPr>
        <w:tc>
          <w:tcPr>
            <w:tcW w:w="980" w:type="dxa"/>
            <w:vAlign w:val="bottom"/>
          </w:tcPr>
          <w:p>
            <w:pPr>
              <w:spacing w:after="0"/>
              <w:rPr>
                <w:sz w:val="20"/>
                <w:szCs w:val="20"/>
                <w:color w:val="auto"/>
              </w:rPr>
            </w:pPr>
          </w:p>
        </w:tc>
        <w:tc>
          <w:tcPr>
            <w:tcW w:w="10420" w:type="dxa"/>
            <w:vAlign w:val="bottom"/>
          </w:tcPr>
          <w:p>
            <w:pPr>
              <w:ind w:left="320"/>
              <w:spacing w:after="0"/>
              <w:rPr>
                <w:rFonts w:ascii="Arial" w:cs="Arial" w:eastAsia="Arial" w:hAnsi="Arial"/>
                <w:sz w:val="18"/>
                <w:szCs w:val="18"/>
                <w:color w:val="auto"/>
              </w:rPr>
            </w:pPr>
            <w:hyperlink r:id="rId60">
              <w:r>
                <w:rPr>
                  <w:rFonts w:ascii="Arial" w:cs="Arial" w:eastAsia="Arial" w:hAnsi="Arial"/>
                  <w:sz w:val="18"/>
                  <w:szCs w:val="18"/>
                  <w:color w:val="auto"/>
                </w:rPr>
                <w:t>herein by reference to Exhibit 10.4 of Form 8-K (File No. 001-34057), filed January 25, 2019.</w:t>
              </w:r>
            </w:hyperlink>
          </w:p>
        </w:tc>
      </w:tr>
      <w:tr>
        <w:trPr>
          <w:trHeight w:val="364"/>
        </w:trPr>
        <w:tc>
          <w:tcPr>
            <w:tcW w:w="980" w:type="dxa"/>
            <w:vAlign w:val="bottom"/>
          </w:tcPr>
          <w:p>
            <w:pPr>
              <w:spacing w:after="0"/>
              <w:rPr>
                <w:rFonts w:ascii="Arial" w:cs="Arial" w:eastAsia="Arial" w:hAnsi="Arial"/>
                <w:sz w:val="18"/>
                <w:szCs w:val="18"/>
                <w:color w:val="auto"/>
              </w:rPr>
            </w:pPr>
            <w:hyperlink r:id="rId61">
              <w:r>
                <w:rPr>
                  <w:rFonts w:ascii="Arial" w:cs="Arial" w:eastAsia="Arial" w:hAnsi="Arial"/>
                  <w:sz w:val="18"/>
                  <w:szCs w:val="18"/>
                  <w:color w:val="auto"/>
                </w:rPr>
                <w:t>†* 10.8</w:t>
              </w:r>
            </w:hyperlink>
          </w:p>
        </w:tc>
        <w:tc>
          <w:tcPr>
            <w:tcW w:w="10420" w:type="dxa"/>
            <w:vAlign w:val="bottom"/>
          </w:tcPr>
          <w:p>
            <w:pPr>
              <w:ind w:left="320"/>
              <w:spacing w:after="0"/>
              <w:rPr>
                <w:rFonts w:ascii="Arial" w:cs="Arial" w:eastAsia="Arial" w:hAnsi="Arial"/>
                <w:sz w:val="18"/>
                <w:szCs w:val="18"/>
                <w:color w:val="auto"/>
                <w:w w:val="96"/>
              </w:rPr>
            </w:pPr>
            <w:hyperlink r:id="rId61">
              <w:r>
                <w:rPr>
                  <w:rFonts w:ascii="Arial" w:cs="Arial" w:eastAsia="Arial" w:hAnsi="Arial"/>
                  <w:sz w:val="18"/>
                  <w:szCs w:val="18"/>
                  <w:color w:val="auto"/>
                  <w:w w:val="96"/>
                </w:rPr>
                <w:t>Form of First Amendment to the Amended and Restated Employment Agreement, dated February 13, 2020, by and between AGNC</w:t>
              </w:r>
            </w:hyperlink>
          </w:p>
        </w:tc>
      </w:tr>
      <w:tr>
        <w:trPr>
          <w:trHeight w:val="216"/>
        </w:trPr>
        <w:tc>
          <w:tcPr>
            <w:tcW w:w="980" w:type="dxa"/>
            <w:vAlign w:val="bottom"/>
          </w:tcPr>
          <w:p>
            <w:pPr>
              <w:spacing w:after="0"/>
              <w:rPr>
                <w:sz w:val="18"/>
                <w:szCs w:val="18"/>
                <w:color w:val="auto"/>
              </w:rPr>
            </w:pPr>
          </w:p>
        </w:tc>
        <w:tc>
          <w:tcPr>
            <w:tcW w:w="10420" w:type="dxa"/>
            <w:vAlign w:val="bottom"/>
          </w:tcPr>
          <w:p>
            <w:pPr>
              <w:ind w:left="320"/>
              <w:spacing w:after="0"/>
              <w:rPr>
                <w:rFonts w:ascii="Arial" w:cs="Arial" w:eastAsia="Arial" w:hAnsi="Arial"/>
                <w:sz w:val="18"/>
                <w:szCs w:val="18"/>
                <w:color w:val="auto"/>
                <w:w w:val="93"/>
              </w:rPr>
            </w:pPr>
            <w:hyperlink r:id="rId61">
              <w:r>
                <w:rPr>
                  <w:rFonts w:ascii="Arial" w:cs="Arial" w:eastAsia="Arial" w:hAnsi="Arial"/>
                  <w:sz w:val="18"/>
                  <w:szCs w:val="18"/>
                  <w:color w:val="auto"/>
                  <w:w w:val="93"/>
                </w:rPr>
                <w:t>Mortgage Management, LLC and each of Peter J. Federico and Christopher J. Kuehl, incorporated herein by reference to Exhibit 10.1 of</w:t>
              </w:r>
            </w:hyperlink>
          </w:p>
        </w:tc>
      </w:tr>
      <w:tr>
        <w:trPr>
          <w:trHeight w:val="230"/>
        </w:trPr>
        <w:tc>
          <w:tcPr>
            <w:tcW w:w="980" w:type="dxa"/>
            <w:vAlign w:val="bottom"/>
          </w:tcPr>
          <w:p>
            <w:pPr>
              <w:spacing w:after="0"/>
              <w:rPr>
                <w:sz w:val="20"/>
                <w:szCs w:val="20"/>
                <w:color w:val="auto"/>
              </w:rPr>
            </w:pPr>
          </w:p>
        </w:tc>
        <w:tc>
          <w:tcPr>
            <w:tcW w:w="10420" w:type="dxa"/>
            <w:vAlign w:val="bottom"/>
          </w:tcPr>
          <w:p>
            <w:pPr>
              <w:ind w:left="320"/>
              <w:spacing w:after="0"/>
              <w:rPr>
                <w:rFonts w:ascii="Arial" w:cs="Arial" w:eastAsia="Arial" w:hAnsi="Arial"/>
                <w:sz w:val="18"/>
                <w:szCs w:val="18"/>
                <w:color w:val="auto"/>
              </w:rPr>
            </w:pPr>
            <w:hyperlink r:id="rId61">
              <w:r>
                <w:rPr>
                  <w:rFonts w:ascii="Arial" w:cs="Arial" w:eastAsia="Arial" w:hAnsi="Arial"/>
                  <w:sz w:val="18"/>
                  <w:szCs w:val="18"/>
                  <w:color w:val="auto"/>
                </w:rPr>
                <w:t>Form 8-K (File No. 001-34057), filed February 14, 2020.</w:t>
              </w:r>
            </w:hyperlink>
          </w:p>
        </w:tc>
      </w:tr>
      <w:tr>
        <w:trPr>
          <w:trHeight w:val="364"/>
        </w:trPr>
        <w:tc>
          <w:tcPr>
            <w:tcW w:w="980" w:type="dxa"/>
            <w:vAlign w:val="bottom"/>
          </w:tcPr>
          <w:p>
            <w:pPr>
              <w:spacing w:after="0"/>
              <w:rPr>
                <w:rFonts w:ascii="Arial" w:cs="Arial" w:eastAsia="Arial" w:hAnsi="Arial"/>
                <w:sz w:val="18"/>
                <w:szCs w:val="18"/>
                <w:color w:val="auto"/>
              </w:rPr>
            </w:pPr>
            <w:hyperlink r:id="rId62">
              <w:r>
                <w:rPr>
                  <w:rFonts w:ascii="Arial" w:cs="Arial" w:eastAsia="Arial" w:hAnsi="Arial"/>
                  <w:sz w:val="18"/>
                  <w:szCs w:val="18"/>
                  <w:color w:val="auto"/>
                </w:rPr>
                <w:t>†* 10.9</w:t>
              </w:r>
            </w:hyperlink>
          </w:p>
        </w:tc>
        <w:tc>
          <w:tcPr>
            <w:tcW w:w="10420" w:type="dxa"/>
            <w:vAlign w:val="bottom"/>
          </w:tcPr>
          <w:p>
            <w:pPr>
              <w:ind w:left="320"/>
              <w:spacing w:after="0"/>
              <w:rPr>
                <w:rFonts w:ascii="Arial" w:cs="Arial" w:eastAsia="Arial" w:hAnsi="Arial"/>
                <w:sz w:val="18"/>
                <w:szCs w:val="18"/>
                <w:color w:val="auto"/>
                <w:w w:val="92"/>
              </w:rPr>
            </w:pPr>
            <w:hyperlink r:id="rId62">
              <w:r>
                <w:rPr>
                  <w:rFonts w:ascii="Arial" w:cs="Arial" w:eastAsia="Arial" w:hAnsi="Arial"/>
                  <w:sz w:val="18"/>
                  <w:szCs w:val="18"/>
                  <w:color w:val="auto"/>
                  <w:w w:val="92"/>
                </w:rPr>
                <w:t>Form of Amendment to the Amended and Restated Employment Agreement, dated February 13, 2020, by and between AGNC Mortgage</w:t>
              </w:r>
            </w:hyperlink>
          </w:p>
        </w:tc>
      </w:tr>
      <w:tr>
        <w:trPr>
          <w:trHeight w:val="216"/>
        </w:trPr>
        <w:tc>
          <w:tcPr>
            <w:tcW w:w="980" w:type="dxa"/>
            <w:vAlign w:val="bottom"/>
          </w:tcPr>
          <w:p>
            <w:pPr>
              <w:spacing w:after="0"/>
              <w:rPr>
                <w:sz w:val="18"/>
                <w:szCs w:val="18"/>
                <w:color w:val="auto"/>
              </w:rPr>
            </w:pPr>
          </w:p>
        </w:tc>
        <w:tc>
          <w:tcPr>
            <w:tcW w:w="10420" w:type="dxa"/>
            <w:vAlign w:val="bottom"/>
          </w:tcPr>
          <w:p>
            <w:pPr>
              <w:ind w:left="320"/>
              <w:spacing w:after="0"/>
              <w:rPr>
                <w:rFonts w:ascii="Arial" w:cs="Arial" w:eastAsia="Arial" w:hAnsi="Arial"/>
                <w:sz w:val="18"/>
                <w:szCs w:val="18"/>
                <w:color w:val="auto"/>
                <w:w w:val="91"/>
              </w:rPr>
            </w:pPr>
            <w:hyperlink r:id="rId62">
              <w:r>
                <w:rPr>
                  <w:rFonts w:ascii="Arial" w:cs="Arial" w:eastAsia="Arial" w:hAnsi="Arial"/>
                  <w:sz w:val="18"/>
                  <w:szCs w:val="18"/>
                  <w:color w:val="auto"/>
                  <w:w w:val="91"/>
                </w:rPr>
                <w:t>Management, LLC and each of Bernice Bell, Aaron Pas and Kenneth Pollack, incorporated herein by reference to Exhibit 10.2 of Form 8-K</w:t>
              </w:r>
            </w:hyperlink>
          </w:p>
        </w:tc>
      </w:tr>
      <w:tr>
        <w:trPr>
          <w:trHeight w:val="230"/>
        </w:trPr>
        <w:tc>
          <w:tcPr>
            <w:tcW w:w="980" w:type="dxa"/>
            <w:vAlign w:val="bottom"/>
          </w:tcPr>
          <w:p>
            <w:pPr>
              <w:spacing w:after="0"/>
              <w:rPr>
                <w:sz w:val="20"/>
                <w:szCs w:val="20"/>
                <w:color w:val="auto"/>
              </w:rPr>
            </w:pPr>
          </w:p>
        </w:tc>
        <w:tc>
          <w:tcPr>
            <w:tcW w:w="10420" w:type="dxa"/>
            <w:vAlign w:val="bottom"/>
          </w:tcPr>
          <w:p>
            <w:pPr>
              <w:ind w:left="320"/>
              <w:spacing w:after="0"/>
              <w:rPr>
                <w:rFonts w:ascii="Arial" w:cs="Arial" w:eastAsia="Arial" w:hAnsi="Arial"/>
                <w:sz w:val="18"/>
                <w:szCs w:val="18"/>
                <w:color w:val="auto"/>
              </w:rPr>
            </w:pPr>
            <w:hyperlink r:id="rId62">
              <w:r>
                <w:rPr>
                  <w:rFonts w:ascii="Arial" w:cs="Arial" w:eastAsia="Arial" w:hAnsi="Arial"/>
                  <w:sz w:val="18"/>
                  <w:szCs w:val="18"/>
                  <w:color w:val="auto"/>
                </w:rPr>
                <w:t>(File No. 001-34057), filed February 14, 2020.</w:t>
              </w:r>
            </w:hyperlink>
          </w:p>
        </w:tc>
      </w:tr>
      <w:tr>
        <w:trPr>
          <w:trHeight w:val="364"/>
        </w:trPr>
        <w:tc>
          <w:tcPr>
            <w:tcW w:w="980" w:type="dxa"/>
            <w:vAlign w:val="bottom"/>
          </w:tcPr>
          <w:p>
            <w:pPr>
              <w:spacing w:after="0"/>
              <w:rPr>
                <w:rFonts w:ascii="Arial" w:cs="Arial" w:eastAsia="Arial" w:hAnsi="Arial"/>
                <w:sz w:val="18"/>
                <w:szCs w:val="18"/>
                <w:color w:val="auto"/>
              </w:rPr>
            </w:pPr>
            <w:hyperlink r:id="rId63">
              <w:r>
                <w:rPr>
                  <w:rFonts w:ascii="Arial" w:cs="Arial" w:eastAsia="Arial" w:hAnsi="Arial"/>
                  <w:sz w:val="18"/>
                  <w:szCs w:val="18"/>
                  <w:color w:val="auto"/>
                </w:rPr>
                <w:t>†* 10.10</w:t>
              </w:r>
            </w:hyperlink>
          </w:p>
        </w:tc>
        <w:tc>
          <w:tcPr>
            <w:tcW w:w="10420" w:type="dxa"/>
            <w:vAlign w:val="bottom"/>
          </w:tcPr>
          <w:p>
            <w:pPr>
              <w:ind w:left="320"/>
              <w:spacing w:after="0"/>
              <w:rPr>
                <w:rFonts w:ascii="Arial" w:cs="Arial" w:eastAsia="Arial" w:hAnsi="Arial"/>
                <w:sz w:val="18"/>
                <w:szCs w:val="18"/>
                <w:color w:val="auto"/>
                <w:w w:val="94"/>
              </w:rPr>
            </w:pPr>
            <w:hyperlink r:id="rId63">
              <w:r>
                <w:rPr>
                  <w:rFonts w:ascii="Arial" w:cs="Arial" w:eastAsia="Arial" w:hAnsi="Arial"/>
                  <w:sz w:val="18"/>
                  <w:szCs w:val="18"/>
                  <w:color w:val="auto"/>
                  <w:w w:val="94"/>
                </w:rPr>
                <w:t>AGNC Investment Corp. 2016 Equity and Incentive Compensation Plan, incorporated herein by reference to Exhibit 10.7 of Form 10-K</w:t>
              </w:r>
            </w:hyperlink>
          </w:p>
        </w:tc>
      </w:tr>
      <w:tr>
        <w:trPr>
          <w:trHeight w:val="230"/>
        </w:trPr>
        <w:tc>
          <w:tcPr>
            <w:tcW w:w="980" w:type="dxa"/>
            <w:vAlign w:val="bottom"/>
          </w:tcPr>
          <w:p>
            <w:pPr>
              <w:spacing w:after="0"/>
              <w:rPr>
                <w:sz w:val="20"/>
                <w:szCs w:val="20"/>
                <w:color w:val="auto"/>
              </w:rPr>
            </w:pPr>
          </w:p>
        </w:tc>
        <w:tc>
          <w:tcPr>
            <w:tcW w:w="10420" w:type="dxa"/>
            <w:vAlign w:val="bottom"/>
          </w:tcPr>
          <w:p>
            <w:pPr>
              <w:ind w:left="320"/>
              <w:spacing w:after="0"/>
              <w:rPr>
                <w:rFonts w:ascii="Arial" w:cs="Arial" w:eastAsia="Arial" w:hAnsi="Arial"/>
                <w:sz w:val="18"/>
                <w:szCs w:val="18"/>
                <w:color w:val="auto"/>
              </w:rPr>
            </w:pPr>
            <w:hyperlink r:id="rId63">
              <w:r>
                <w:rPr>
                  <w:rFonts w:ascii="Arial" w:cs="Arial" w:eastAsia="Arial" w:hAnsi="Arial"/>
                  <w:sz w:val="18"/>
                  <w:szCs w:val="18"/>
                  <w:color w:val="auto"/>
                </w:rPr>
                <w:t>(File No. 001-34057), filed February 27, 2017.</w:t>
              </w:r>
            </w:hyperlink>
          </w:p>
        </w:tc>
      </w:tr>
      <w:tr>
        <w:trPr>
          <w:trHeight w:val="364"/>
        </w:trPr>
        <w:tc>
          <w:tcPr>
            <w:tcW w:w="980" w:type="dxa"/>
            <w:vAlign w:val="bottom"/>
          </w:tcPr>
          <w:p>
            <w:pPr>
              <w:spacing w:after="0"/>
              <w:rPr>
                <w:rFonts w:ascii="Arial" w:cs="Arial" w:eastAsia="Arial" w:hAnsi="Arial"/>
                <w:sz w:val="18"/>
                <w:szCs w:val="18"/>
                <w:color w:val="auto"/>
              </w:rPr>
            </w:pPr>
            <w:hyperlink r:id="rId64">
              <w:r>
                <w:rPr>
                  <w:rFonts w:ascii="Arial" w:cs="Arial" w:eastAsia="Arial" w:hAnsi="Arial"/>
                  <w:sz w:val="18"/>
                  <w:szCs w:val="18"/>
                  <w:color w:val="auto"/>
                </w:rPr>
                <w:t>†* 10.11</w:t>
              </w:r>
            </w:hyperlink>
          </w:p>
        </w:tc>
        <w:tc>
          <w:tcPr>
            <w:tcW w:w="10420" w:type="dxa"/>
            <w:vAlign w:val="bottom"/>
          </w:tcPr>
          <w:p>
            <w:pPr>
              <w:ind w:left="320"/>
              <w:spacing w:after="0"/>
              <w:rPr>
                <w:rFonts w:ascii="Arial" w:cs="Arial" w:eastAsia="Arial" w:hAnsi="Arial"/>
                <w:sz w:val="18"/>
                <w:szCs w:val="18"/>
                <w:color w:val="auto"/>
                <w:w w:val="92"/>
              </w:rPr>
            </w:pPr>
            <w:hyperlink r:id="rId64">
              <w:r>
                <w:rPr>
                  <w:rFonts w:ascii="Arial" w:cs="Arial" w:eastAsia="Arial" w:hAnsi="Arial"/>
                  <w:sz w:val="18"/>
                  <w:szCs w:val="18"/>
                  <w:color w:val="auto"/>
                  <w:w w:val="92"/>
                </w:rPr>
                <w:t>Form of AGNC Investment Corp. 2016 Equity and Incentive Compensation Plan Restricted Stock Unit Agreement for Section 16 Officers</w:t>
              </w:r>
            </w:hyperlink>
          </w:p>
        </w:tc>
      </w:tr>
      <w:tr>
        <w:trPr>
          <w:trHeight w:val="230"/>
        </w:trPr>
        <w:tc>
          <w:tcPr>
            <w:tcW w:w="980" w:type="dxa"/>
            <w:vAlign w:val="bottom"/>
          </w:tcPr>
          <w:p>
            <w:pPr>
              <w:spacing w:after="0"/>
              <w:rPr>
                <w:sz w:val="20"/>
                <w:szCs w:val="20"/>
                <w:color w:val="auto"/>
              </w:rPr>
            </w:pPr>
          </w:p>
        </w:tc>
        <w:tc>
          <w:tcPr>
            <w:tcW w:w="10420" w:type="dxa"/>
            <w:vAlign w:val="bottom"/>
          </w:tcPr>
          <w:p>
            <w:pPr>
              <w:ind w:left="320"/>
              <w:spacing w:after="0"/>
              <w:rPr>
                <w:rFonts w:ascii="Arial" w:cs="Arial" w:eastAsia="Arial" w:hAnsi="Arial"/>
                <w:sz w:val="18"/>
                <w:szCs w:val="18"/>
                <w:color w:val="auto"/>
                <w:w w:val="92"/>
              </w:rPr>
            </w:pPr>
            <w:hyperlink r:id="rId64">
              <w:r>
                <w:rPr>
                  <w:rFonts w:ascii="Arial" w:cs="Arial" w:eastAsia="Arial" w:hAnsi="Arial"/>
                  <w:sz w:val="18"/>
                  <w:szCs w:val="18"/>
                  <w:color w:val="auto"/>
                  <w:w w:val="92"/>
                </w:rPr>
                <w:t>with Employment Contracts, incorporated herein by reference to Exhibit 10.8 of Form 10-K (File No. 001-34057), filed February 27, 2017.</w:t>
              </w:r>
            </w:hyperlink>
          </w:p>
        </w:tc>
      </w:tr>
      <w:tr>
        <w:trPr>
          <w:trHeight w:val="364"/>
        </w:trPr>
        <w:tc>
          <w:tcPr>
            <w:tcW w:w="980" w:type="dxa"/>
            <w:vAlign w:val="bottom"/>
          </w:tcPr>
          <w:p>
            <w:pPr>
              <w:spacing w:after="0"/>
              <w:rPr>
                <w:rFonts w:ascii="Arial" w:cs="Arial" w:eastAsia="Arial" w:hAnsi="Arial"/>
                <w:sz w:val="18"/>
                <w:szCs w:val="18"/>
                <w:color w:val="auto"/>
              </w:rPr>
            </w:pPr>
            <w:hyperlink r:id="rId65">
              <w:r>
                <w:rPr>
                  <w:rFonts w:ascii="Arial" w:cs="Arial" w:eastAsia="Arial" w:hAnsi="Arial"/>
                  <w:sz w:val="18"/>
                  <w:szCs w:val="18"/>
                  <w:color w:val="auto"/>
                </w:rPr>
                <w:t>†* 10.12</w:t>
              </w:r>
            </w:hyperlink>
          </w:p>
        </w:tc>
        <w:tc>
          <w:tcPr>
            <w:tcW w:w="10420" w:type="dxa"/>
            <w:vAlign w:val="bottom"/>
          </w:tcPr>
          <w:p>
            <w:pPr>
              <w:ind w:left="320"/>
              <w:spacing w:after="0"/>
              <w:rPr>
                <w:rFonts w:ascii="Arial" w:cs="Arial" w:eastAsia="Arial" w:hAnsi="Arial"/>
                <w:sz w:val="18"/>
                <w:szCs w:val="18"/>
                <w:color w:val="auto"/>
                <w:w w:val="92"/>
              </w:rPr>
            </w:pPr>
            <w:hyperlink r:id="rId65">
              <w:r>
                <w:rPr>
                  <w:rFonts w:ascii="Arial" w:cs="Arial" w:eastAsia="Arial" w:hAnsi="Arial"/>
                  <w:sz w:val="18"/>
                  <w:szCs w:val="18"/>
                  <w:color w:val="auto"/>
                  <w:w w:val="92"/>
                </w:rPr>
                <w:t>Form of AGNC Investment Corp. 2016 Equity and Incentive Compensation Plan Performance-Based Restricted Stock Unit Agreement for</w:t>
              </w:r>
            </w:hyperlink>
          </w:p>
        </w:tc>
      </w:tr>
      <w:tr>
        <w:trPr>
          <w:trHeight w:val="216"/>
        </w:trPr>
        <w:tc>
          <w:tcPr>
            <w:tcW w:w="980" w:type="dxa"/>
            <w:vAlign w:val="bottom"/>
          </w:tcPr>
          <w:p>
            <w:pPr>
              <w:spacing w:after="0"/>
              <w:rPr>
                <w:sz w:val="18"/>
                <w:szCs w:val="18"/>
                <w:color w:val="auto"/>
              </w:rPr>
            </w:pPr>
          </w:p>
        </w:tc>
        <w:tc>
          <w:tcPr>
            <w:tcW w:w="10420" w:type="dxa"/>
            <w:vAlign w:val="bottom"/>
          </w:tcPr>
          <w:p>
            <w:pPr>
              <w:ind w:left="320"/>
              <w:spacing w:after="0"/>
              <w:rPr>
                <w:rFonts w:ascii="Arial" w:cs="Arial" w:eastAsia="Arial" w:hAnsi="Arial"/>
                <w:sz w:val="18"/>
                <w:szCs w:val="18"/>
                <w:color w:val="auto"/>
                <w:w w:val="92"/>
              </w:rPr>
            </w:pPr>
            <w:hyperlink r:id="rId65">
              <w:r>
                <w:rPr>
                  <w:rFonts w:ascii="Arial" w:cs="Arial" w:eastAsia="Arial" w:hAnsi="Arial"/>
                  <w:sz w:val="18"/>
                  <w:szCs w:val="18"/>
                  <w:color w:val="auto"/>
                  <w:w w:val="92"/>
                </w:rPr>
                <w:t>Section 16 Officers with Employment Contracts, incorporated herein by reference to Exhibit 10.9 of Form 10-K (File No. 001-34057), filed</w:t>
              </w:r>
            </w:hyperlink>
          </w:p>
        </w:tc>
      </w:tr>
      <w:tr>
        <w:trPr>
          <w:trHeight w:val="230"/>
        </w:trPr>
        <w:tc>
          <w:tcPr>
            <w:tcW w:w="980" w:type="dxa"/>
            <w:vAlign w:val="bottom"/>
          </w:tcPr>
          <w:p>
            <w:pPr>
              <w:spacing w:after="0"/>
              <w:rPr>
                <w:sz w:val="20"/>
                <w:szCs w:val="20"/>
                <w:color w:val="auto"/>
              </w:rPr>
            </w:pPr>
          </w:p>
        </w:tc>
        <w:tc>
          <w:tcPr>
            <w:tcW w:w="10420" w:type="dxa"/>
            <w:vAlign w:val="bottom"/>
          </w:tcPr>
          <w:p>
            <w:pPr>
              <w:ind w:left="320"/>
              <w:spacing w:after="0"/>
              <w:rPr>
                <w:rFonts w:ascii="Arial" w:cs="Arial" w:eastAsia="Arial" w:hAnsi="Arial"/>
                <w:sz w:val="18"/>
                <w:szCs w:val="18"/>
                <w:color w:val="auto"/>
              </w:rPr>
            </w:pPr>
            <w:hyperlink r:id="rId65">
              <w:r>
                <w:rPr>
                  <w:rFonts w:ascii="Arial" w:cs="Arial" w:eastAsia="Arial" w:hAnsi="Arial"/>
                  <w:sz w:val="18"/>
                  <w:szCs w:val="18"/>
                  <w:color w:val="auto"/>
                </w:rPr>
                <w:t>February 27, 2017.</w:t>
              </w:r>
            </w:hyperlink>
          </w:p>
        </w:tc>
      </w:tr>
      <w:tr>
        <w:trPr>
          <w:trHeight w:val="364"/>
        </w:trPr>
        <w:tc>
          <w:tcPr>
            <w:tcW w:w="980" w:type="dxa"/>
            <w:vAlign w:val="bottom"/>
          </w:tcPr>
          <w:p>
            <w:pPr>
              <w:spacing w:after="0"/>
              <w:rPr>
                <w:rFonts w:ascii="Arial" w:cs="Arial" w:eastAsia="Arial" w:hAnsi="Arial"/>
                <w:sz w:val="18"/>
                <w:szCs w:val="18"/>
                <w:color w:val="auto"/>
              </w:rPr>
            </w:pPr>
            <w:hyperlink r:id="rId66">
              <w:r>
                <w:rPr>
                  <w:rFonts w:ascii="Arial" w:cs="Arial" w:eastAsia="Arial" w:hAnsi="Arial"/>
                  <w:sz w:val="18"/>
                  <w:szCs w:val="18"/>
                  <w:color w:val="auto"/>
                </w:rPr>
                <w:t>†* 10.13</w:t>
              </w:r>
            </w:hyperlink>
          </w:p>
        </w:tc>
        <w:tc>
          <w:tcPr>
            <w:tcW w:w="10420" w:type="dxa"/>
            <w:vAlign w:val="bottom"/>
          </w:tcPr>
          <w:p>
            <w:pPr>
              <w:ind w:left="320"/>
              <w:spacing w:after="0"/>
              <w:rPr>
                <w:rFonts w:ascii="Arial" w:cs="Arial" w:eastAsia="Arial" w:hAnsi="Arial"/>
                <w:sz w:val="18"/>
                <w:szCs w:val="18"/>
                <w:color w:val="auto"/>
                <w:w w:val="92"/>
              </w:rPr>
            </w:pPr>
            <w:hyperlink r:id="rId66">
              <w:r>
                <w:rPr>
                  <w:rFonts w:ascii="Arial" w:cs="Arial" w:eastAsia="Arial" w:hAnsi="Arial"/>
                  <w:sz w:val="18"/>
                  <w:szCs w:val="18"/>
                  <w:color w:val="auto"/>
                  <w:w w:val="92"/>
                </w:rPr>
                <w:t>Form of AGNC Investment Corp. 2016 Equity and Incentive Compensation Plan Restricted Stock Unit Agreement for Section 16 Officers</w:t>
              </w:r>
            </w:hyperlink>
          </w:p>
        </w:tc>
      </w:tr>
      <w:tr>
        <w:trPr>
          <w:trHeight w:val="216"/>
        </w:trPr>
        <w:tc>
          <w:tcPr>
            <w:tcW w:w="980" w:type="dxa"/>
            <w:vAlign w:val="bottom"/>
          </w:tcPr>
          <w:p>
            <w:pPr>
              <w:spacing w:after="0"/>
              <w:rPr>
                <w:sz w:val="18"/>
                <w:szCs w:val="18"/>
                <w:color w:val="auto"/>
              </w:rPr>
            </w:pPr>
          </w:p>
        </w:tc>
        <w:tc>
          <w:tcPr>
            <w:tcW w:w="10420" w:type="dxa"/>
            <w:vAlign w:val="bottom"/>
          </w:tcPr>
          <w:p>
            <w:pPr>
              <w:ind w:left="320"/>
              <w:spacing w:after="0"/>
              <w:rPr>
                <w:rFonts w:ascii="Arial" w:cs="Arial" w:eastAsia="Arial" w:hAnsi="Arial"/>
                <w:sz w:val="18"/>
                <w:szCs w:val="18"/>
                <w:color w:val="auto"/>
                <w:w w:val="93"/>
              </w:rPr>
            </w:pPr>
            <w:hyperlink r:id="rId66">
              <w:r>
                <w:rPr>
                  <w:rFonts w:ascii="Arial" w:cs="Arial" w:eastAsia="Arial" w:hAnsi="Arial"/>
                  <w:sz w:val="18"/>
                  <w:szCs w:val="18"/>
                  <w:color w:val="auto"/>
                  <w:w w:val="93"/>
                </w:rPr>
                <w:t>without Employment Contracts, incorporated herein by reference to Exhibit 10.10 of Form 10-K (File No. 001-34057), filed February 27,</w:t>
              </w:r>
            </w:hyperlink>
          </w:p>
        </w:tc>
      </w:tr>
      <w:tr>
        <w:trPr>
          <w:trHeight w:val="230"/>
        </w:trPr>
        <w:tc>
          <w:tcPr>
            <w:tcW w:w="980" w:type="dxa"/>
            <w:vAlign w:val="bottom"/>
          </w:tcPr>
          <w:p>
            <w:pPr>
              <w:spacing w:after="0"/>
              <w:rPr>
                <w:sz w:val="20"/>
                <w:szCs w:val="20"/>
                <w:color w:val="auto"/>
              </w:rPr>
            </w:pPr>
          </w:p>
        </w:tc>
        <w:tc>
          <w:tcPr>
            <w:tcW w:w="10420" w:type="dxa"/>
            <w:vAlign w:val="bottom"/>
          </w:tcPr>
          <w:p>
            <w:pPr>
              <w:ind w:left="320"/>
              <w:spacing w:after="0"/>
              <w:rPr>
                <w:rFonts w:ascii="Arial" w:cs="Arial" w:eastAsia="Arial" w:hAnsi="Arial"/>
                <w:sz w:val="18"/>
                <w:szCs w:val="18"/>
                <w:color w:val="auto"/>
              </w:rPr>
            </w:pPr>
            <w:hyperlink r:id="rId66">
              <w:r>
                <w:rPr>
                  <w:rFonts w:ascii="Arial" w:cs="Arial" w:eastAsia="Arial" w:hAnsi="Arial"/>
                  <w:sz w:val="18"/>
                  <w:szCs w:val="18"/>
                  <w:color w:val="auto"/>
                </w:rPr>
                <w:t>2017.</w:t>
              </w:r>
            </w:hyperlink>
          </w:p>
        </w:tc>
      </w:tr>
      <w:tr>
        <w:trPr>
          <w:trHeight w:val="364"/>
        </w:trPr>
        <w:tc>
          <w:tcPr>
            <w:tcW w:w="980" w:type="dxa"/>
            <w:vAlign w:val="bottom"/>
          </w:tcPr>
          <w:p>
            <w:pPr>
              <w:spacing w:after="0"/>
              <w:rPr>
                <w:rFonts w:ascii="Arial" w:cs="Arial" w:eastAsia="Arial" w:hAnsi="Arial"/>
                <w:sz w:val="18"/>
                <w:szCs w:val="18"/>
                <w:color w:val="auto"/>
              </w:rPr>
            </w:pPr>
            <w:hyperlink r:id="rId67">
              <w:r>
                <w:rPr>
                  <w:rFonts w:ascii="Arial" w:cs="Arial" w:eastAsia="Arial" w:hAnsi="Arial"/>
                  <w:sz w:val="18"/>
                  <w:szCs w:val="18"/>
                  <w:color w:val="auto"/>
                </w:rPr>
                <w:t>†* 10.14</w:t>
              </w:r>
            </w:hyperlink>
          </w:p>
        </w:tc>
        <w:tc>
          <w:tcPr>
            <w:tcW w:w="10420" w:type="dxa"/>
            <w:vAlign w:val="bottom"/>
          </w:tcPr>
          <w:p>
            <w:pPr>
              <w:ind w:left="320"/>
              <w:spacing w:after="0"/>
              <w:rPr>
                <w:rFonts w:ascii="Arial" w:cs="Arial" w:eastAsia="Arial" w:hAnsi="Arial"/>
                <w:sz w:val="18"/>
                <w:szCs w:val="18"/>
                <w:color w:val="auto"/>
                <w:w w:val="92"/>
              </w:rPr>
            </w:pPr>
            <w:hyperlink r:id="rId67">
              <w:r>
                <w:rPr>
                  <w:rFonts w:ascii="Arial" w:cs="Arial" w:eastAsia="Arial" w:hAnsi="Arial"/>
                  <w:sz w:val="18"/>
                  <w:szCs w:val="18"/>
                  <w:color w:val="auto"/>
                  <w:w w:val="92"/>
                </w:rPr>
                <w:t>Form of AGNC Investment Corp. 2016 Equity and Incentive Compensation Plan Performance-Based Restricted Stock Unit Agreement for</w:t>
              </w:r>
            </w:hyperlink>
          </w:p>
        </w:tc>
      </w:tr>
      <w:tr>
        <w:trPr>
          <w:trHeight w:val="216"/>
        </w:trPr>
        <w:tc>
          <w:tcPr>
            <w:tcW w:w="980" w:type="dxa"/>
            <w:vAlign w:val="bottom"/>
          </w:tcPr>
          <w:p>
            <w:pPr>
              <w:spacing w:after="0"/>
              <w:rPr>
                <w:sz w:val="18"/>
                <w:szCs w:val="18"/>
                <w:color w:val="auto"/>
              </w:rPr>
            </w:pPr>
          </w:p>
        </w:tc>
        <w:tc>
          <w:tcPr>
            <w:tcW w:w="10420" w:type="dxa"/>
            <w:vAlign w:val="bottom"/>
          </w:tcPr>
          <w:p>
            <w:pPr>
              <w:ind w:left="320"/>
              <w:spacing w:after="0"/>
              <w:rPr>
                <w:rFonts w:ascii="Arial" w:cs="Arial" w:eastAsia="Arial" w:hAnsi="Arial"/>
                <w:sz w:val="18"/>
                <w:szCs w:val="18"/>
                <w:color w:val="auto"/>
                <w:w w:val="92"/>
              </w:rPr>
            </w:pPr>
            <w:hyperlink r:id="rId67">
              <w:r>
                <w:rPr>
                  <w:rFonts w:ascii="Arial" w:cs="Arial" w:eastAsia="Arial" w:hAnsi="Arial"/>
                  <w:sz w:val="18"/>
                  <w:szCs w:val="18"/>
                  <w:color w:val="auto"/>
                  <w:w w:val="92"/>
                </w:rPr>
                <w:t>Section 16 Officers without Employment Contracts, incorporated herein by reference to Exhibit 10.11 of Form 10-K (File No. 001-34057),</w:t>
              </w:r>
            </w:hyperlink>
          </w:p>
        </w:tc>
      </w:tr>
      <w:tr>
        <w:trPr>
          <w:trHeight w:val="230"/>
        </w:trPr>
        <w:tc>
          <w:tcPr>
            <w:tcW w:w="980" w:type="dxa"/>
            <w:vAlign w:val="bottom"/>
          </w:tcPr>
          <w:p>
            <w:pPr>
              <w:spacing w:after="0"/>
              <w:rPr>
                <w:sz w:val="20"/>
                <w:szCs w:val="20"/>
                <w:color w:val="auto"/>
              </w:rPr>
            </w:pPr>
          </w:p>
        </w:tc>
        <w:tc>
          <w:tcPr>
            <w:tcW w:w="10420" w:type="dxa"/>
            <w:vAlign w:val="bottom"/>
          </w:tcPr>
          <w:p>
            <w:pPr>
              <w:ind w:left="320"/>
              <w:spacing w:after="0"/>
              <w:rPr>
                <w:rFonts w:ascii="Arial" w:cs="Arial" w:eastAsia="Arial" w:hAnsi="Arial"/>
                <w:sz w:val="18"/>
                <w:szCs w:val="18"/>
                <w:color w:val="auto"/>
              </w:rPr>
            </w:pPr>
            <w:hyperlink r:id="rId67">
              <w:r>
                <w:rPr>
                  <w:rFonts w:ascii="Arial" w:cs="Arial" w:eastAsia="Arial" w:hAnsi="Arial"/>
                  <w:sz w:val="18"/>
                  <w:szCs w:val="18"/>
                  <w:color w:val="auto"/>
                </w:rPr>
                <w:t>filed February 27, 2017.</w:t>
              </w:r>
            </w:hyperlink>
          </w:p>
        </w:tc>
      </w:tr>
      <w:tr>
        <w:trPr>
          <w:trHeight w:val="364"/>
        </w:trPr>
        <w:tc>
          <w:tcPr>
            <w:tcW w:w="980" w:type="dxa"/>
            <w:vAlign w:val="bottom"/>
          </w:tcPr>
          <w:p>
            <w:pPr>
              <w:spacing w:after="0"/>
              <w:rPr>
                <w:rFonts w:ascii="Arial" w:cs="Arial" w:eastAsia="Arial" w:hAnsi="Arial"/>
                <w:sz w:val="18"/>
                <w:szCs w:val="18"/>
                <w:color w:val="auto"/>
              </w:rPr>
            </w:pPr>
            <w:hyperlink r:id="rId68">
              <w:r>
                <w:rPr>
                  <w:rFonts w:ascii="Arial" w:cs="Arial" w:eastAsia="Arial" w:hAnsi="Arial"/>
                  <w:sz w:val="18"/>
                  <w:szCs w:val="18"/>
                  <w:color w:val="auto"/>
                </w:rPr>
                <w:t>†* 10.15</w:t>
              </w:r>
            </w:hyperlink>
          </w:p>
        </w:tc>
        <w:tc>
          <w:tcPr>
            <w:tcW w:w="10420" w:type="dxa"/>
            <w:vAlign w:val="bottom"/>
          </w:tcPr>
          <w:p>
            <w:pPr>
              <w:ind w:left="320"/>
              <w:spacing w:after="0"/>
              <w:rPr>
                <w:rFonts w:ascii="Arial" w:cs="Arial" w:eastAsia="Arial" w:hAnsi="Arial"/>
                <w:sz w:val="18"/>
                <w:szCs w:val="18"/>
                <w:color w:val="auto"/>
                <w:w w:val="95"/>
              </w:rPr>
            </w:pPr>
            <w:hyperlink r:id="rId68">
              <w:r>
                <w:rPr>
                  <w:rFonts w:ascii="Arial" w:cs="Arial" w:eastAsia="Arial" w:hAnsi="Arial"/>
                  <w:sz w:val="18"/>
                  <w:szCs w:val="18"/>
                  <w:color w:val="auto"/>
                  <w:w w:val="95"/>
                </w:rPr>
                <w:t>Form of AGNC Investment Corp. 2016 Equity and Incentive Compensation Plan Restricted Stock Unit Agreement for Non-Employee</w:t>
              </w:r>
            </w:hyperlink>
          </w:p>
        </w:tc>
      </w:tr>
      <w:tr>
        <w:trPr>
          <w:trHeight w:val="230"/>
        </w:trPr>
        <w:tc>
          <w:tcPr>
            <w:tcW w:w="980" w:type="dxa"/>
            <w:vAlign w:val="bottom"/>
          </w:tcPr>
          <w:p>
            <w:pPr>
              <w:spacing w:after="0"/>
              <w:rPr>
                <w:sz w:val="20"/>
                <w:szCs w:val="20"/>
                <w:color w:val="auto"/>
              </w:rPr>
            </w:pPr>
          </w:p>
        </w:tc>
        <w:tc>
          <w:tcPr>
            <w:tcW w:w="10420" w:type="dxa"/>
            <w:vAlign w:val="bottom"/>
          </w:tcPr>
          <w:p>
            <w:pPr>
              <w:ind w:left="320"/>
              <w:spacing w:after="0"/>
              <w:rPr>
                <w:rFonts w:ascii="Arial" w:cs="Arial" w:eastAsia="Arial" w:hAnsi="Arial"/>
                <w:sz w:val="18"/>
                <w:szCs w:val="18"/>
                <w:color w:val="auto"/>
              </w:rPr>
            </w:pPr>
            <w:hyperlink r:id="rId68">
              <w:r>
                <w:rPr>
                  <w:rFonts w:ascii="Arial" w:cs="Arial" w:eastAsia="Arial" w:hAnsi="Arial"/>
                  <w:sz w:val="18"/>
                  <w:szCs w:val="18"/>
                  <w:color w:val="auto"/>
                </w:rPr>
                <w:t>Directors, incorporated herein by reference to Exhibit 10.14 of Form 10-K (file No. 001-34057), filed February 26, 2018.</w:t>
              </w:r>
            </w:hyperlink>
          </w:p>
        </w:tc>
      </w:tr>
      <w:tr>
        <w:trPr>
          <w:trHeight w:val="364"/>
        </w:trPr>
        <w:tc>
          <w:tcPr>
            <w:tcW w:w="980" w:type="dxa"/>
            <w:vAlign w:val="bottom"/>
          </w:tcPr>
          <w:p>
            <w:pPr>
              <w:spacing w:after="0"/>
              <w:rPr>
                <w:rFonts w:ascii="Arial" w:cs="Arial" w:eastAsia="Arial" w:hAnsi="Arial"/>
                <w:sz w:val="18"/>
                <w:szCs w:val="18"/>
                <w:color w:val="auto"/>
              </w:rPr>
            </w:pPr>
            <w:hyperlink r:id="rId69">
              <w:r>
                <w:rPr>
                  <w:rFonts w:ascii="Arial" w:cs="Arial" w:eastAsia="Arial" w:hAnsi="Arial"/>
                  <w:sz w:val="18"/>
                  <w:szCs w:val="18"/>
                  <w:color w:val="auto"/>
                </w:rPr>
                <w:t>†* 10.16</w:t>
              </w:r>
            </w:hyperlink>
          </w:p>
        </w:tc>
        <w:tc>
          <w:tcPr>
            <w:tcW w:w="10420" w:type="dxa"/>
            <w:vAlign w:val="bottom"/>
          </w:tcPr>
          <w:p>
            <w:pPr>
              <w:ind w:left="320"/>
              <w:spacing w:after="0"/>
              <w:rPr>
                <w:rFonts w:ascii="Arial" w:cs="Arial" w:eastAsia="Arial" w:hAnsi="Arial"/>
                <w:sz w:val="18"/>
                <w:szCs w:val="18"/>
                <w:color w:val="auto"/>
                <w:w w:val="93"/>
              </w:rPr>
            </w:pPr>
            <w:hyperlink r:id="rId69">
              <w:r>
                <w:rPr>
                  <w:rFonts w:ascii="Arial" w:cs="Arial" w:eastAsia="Arial" w:hAnsi="Arial"/>
                  <w:sz w:val="18"/>
                  <w:szCs w:val="18"/>
                  <w:color w:val="auto"/>
                  <w:w w:val="93"/>
                </w:rPr>
                <w:t>Form of AGNC Investment Corp. 2016 Equity and Incentive Compensation Plan Deferred Stock Unit Agreement incorporated herein by</w:t>
              </w:r>
            </w:hyperlink>
          </w:p>
        </w:tc>
      </w:tr>
      <w:tr>
        <w:trPr>
          <w:trHeight w:val="230"/>
        </w:trPr>
        <w:tc>
          <w:tcPr>
            <w:tcW w:w="980" w:type="dxa"/>
            <w:vAlign w:val="bottom"/>
          </w:tcPr>
          <w:p>
            <w:pPr>
              <w:spacing w:after="0"/>
              <w:rPr>
                <w:sz w:val="20"/>
                <w:szCs w:val="20"/>
                <w:color w:val="auto"/>
              </w:rPr>
            </w:pPr>
          </w:p>
        </w:tc>
        <w:tc>
          <w:tcPr>
            <w:tcW w:w="10420" w:type="dxa"/>
            <w:vAlign w:val="bottom"/>
          </w:tcPr>
          <w:p>
            <w:pPr>
              <w:ind w:left="320"/>
              <w:spacing w:after="0"/>
              <w:rPr>
                <w:rFonts w:ascii="Arial" w:cs="Arial" w:eastAsia="Arial" w:hAnsi="Arial"/>
                <w:sz w:val="18"/>
                <w:szCs w:val="18"/>
                <w:color w:val="auto"/>
              </w:rPr>
            </w:pPr>
            <w:hyperlink r:id="rId69">
              <w:r>
                <w:rPr>
                  <w:rFonts w:ascii="Arial" w:cs="Arial" w:eastAsia="Arial" w:hAnsi="Arial"/>
                  <w:sz w:val="18"/>
                  <w:szCs w:val="18"/>
                  <w:color w:val="auto"/>
                </w:rPr>
                <w:t>reference to Exhibit 10 of Form 10-Q (File No. 001-34057) filed November 5, 2018.</w:t>
              </w:r>
            </w:hyperlink>
          </w:p>
        </w:tc>
      </w:tr>
      <w:tr>
        <w:trPr>
          <w:trHeight w:val="364"/>
        </w:trPr>
        <w:tc>
          <w:tcPr>
            <w:tcW w:w="980" w:type="dxa"/>
            <w:vAlign w:val="bottom"/>
          </w:tcPr>
          <w:p>
            <w:pPr>
              <w:spacing w:after="0"/>
              <w:rPr>
                <w:rFonts w:ascii="Arial" w:cs="Arial" w:eastAsia="Arial" w:hAnsi="Arial"/>
                <w:sz w:val="18"/>
                <w:szCs w:val="18"/>
                <w:color w:val="auto"/>
              </w:rPr>
            </w:pPr>
            <w:hyperlink r:id="rId70">
              <w:r>
                <w:rPr>
                  <w:rFonts w:ascii="Arial" w:cs="Arial" w:eastAsia="Arial" w:hAnsi="Arial"/>
                  <w:sz w:val="18"/>
                  <w:szCs w:val="18"/>
                  <w:color w:val="auto"/>
                </w:rPr>
                <w:t>†* 10.17</w:t>
              </w:r>
            </w:hyperlink>
          </w:p>
        </w:tc>
        <w:tc>
          <w:tcPr>
            <w:tcW w:w="10420" w:type="dxa"/>
            <w:vAlign w:val="bottom"/>
          </w:tcPr>
          <w:p>
            <w:pPr>
              <w:ind w:left="320"/>
              <w:spacing w:after="0"/>
              <w:rPr>
                <w:rFonts w:ascii="Arial" w:cs="Arial" w:eastAsia="Arial" w:hAnsi="Arial"/>
                <w:sz w:val="18"/>
                <w:szCs w:val="18"/>
                <w:color w:val="auto"/>
                <w:w w:val="92"/>
              </w:rPr>
            </w:pPr>
            <w:hyperlink r:id="rId70">
              <w:r>
                <w:rPr>
                  <w:rFonts w:ascii="Arial" w:cs="Arial" w:eastAsia="Arial" w:hAnsi="Arial"/>
                  <w:sz w:val="18"/>
                  <w:szCs w:val="18"/>
                  <w:color w:val="auto"/>
                  <w:w w:val="92"/>
                </w:rPr>
                <w:t>Form of AGNC Investment Corp. 2016 Equity and Incentive Compensation Plan Restricted Stock Unit Agreement for Section 16 Officers</w:t>
              </w:r>
            </w:hyperlink>
          </w:p>
        </w:tc>
      </w:tr>
      <w:tr>
        <w:trPr>
          <w:trHeight w:val="230"/>
        </w:trPr>
        <w:tc>
          <w:tcPr>
            <w:tcW w:w="980" w:type="dxa"/>
            <w:vAlign w:val="bottom"/>
          </w:tcPr>
          <w:p>
            <w:pPr>
              <w:spacing w:after="0"/>
              <w:rPr>
                <w:sz w:val="20"/>
                <w:szCs w:val="20"/>
                <w:color w:val="auto"/>
              </w:rPr>
            </w:pPr>
          </w:p>
        </w:tc>
        <w:tc>
          <w:tcPr>
            <w:tcW w:w="10420" w:type="dxa"/>
            <w:vAlign w:val="bottom"/>
          </w:tcPr>
          <w:p>
            <w:pPr>
              <w:ind w:left="320"/>
              <w:spacing w:after="0"/>
              <w:rPr>
                <w:rFonts w:ascii="Arial" w:cs="Arial" w:eastAsia="Arial" w:hAnsi="Arial"/>
                <w:sz w:val="18"/>
                <w:szCs w:val="18"/>
                <w:color w:val="auto"/>
                <w:w w:val="92"/>
              </w:rPr>
            </w:pPr>
            <w:hyperlink r:id="rId70">
              <w:r>
                <w:rPr>
                  <w:rFonts w:ascii="Arial" w:cs="Arial" w:eastAsia="Arial" w:hAnsi="Arial"/>
                  <w:sz w:val="18"/>
                  <w:szCs w:val="18"/>
                  <w:color w:val="auto"/>
                  <w:w w:val="92"/>
                </w:rPr>
                <w:t>with Retirement Provisions, incorporated herein by reference to Exhibit 10.15 of Form 10-K (File No. 001-34057), filed February 22, 2019.</w:t>
              </w:r>
            </w:hyperlink>
          </w:p>
        </w:tc>
      </w:tr>
      <w:tr>
        <w:trPr>
          <w:trHeight w:val="364"/>
        </w:trPr>
        <w:tc>
          <w:tcPr>
            <w:tcW w:w="980" w:type="dxa"/>
            <w:vAlign w:val="bottom"/>
          </w:tcPr>
          <w:p>
            <w:pPr>
              <w:spacing w:after="0"/>
              <w:rPr>
                <w:rFonts w:ascii="Arial" w:cs="Arial" w:eastAsia="Arial" w:hAnsi="Arial"/>
                <w:sz w:val="18"/>
                <w:szCs w:val="18"/>
                <w:color w:val="auto"/>
              </w:rPr>
            </w:pPr>
            <w:hyperlink r:id="rId71">
              <w:r>
                <w:rPr>
                  <w:rFonts w:ascii="Arial" w:cs="Arial" w:eastAsia="Arial" w:hAnsi="Arial"/>
                  <w:sz w:val="18"/>
                  <w:szCs w:val="18"/>
                  <w:color w:val="auto"/>
                </w:rPr>
                <w:t>†* 10.18</w:t>
              </w:r>
            </w:hyperlink>
          </w:p>
        </w:tc>
        <w:tc>
          <w:tcPr>
            <w:tcW w:w="10420" w:type="dxa"/>
            <w:vAlign w:val="bottom"/>
          </w:tcPr>
          <w:p>
            <w:pPr>
              <w:ind w:left="320"/>
              <w:spacing w:after="0"/>
              <w:rPr>
                <w:rFonts w:ascii="Arial" w:cs="Arial" w:eastAsia="Arial" w:hAnsi="Arial"/>
                <w:sz w:val="18"/>
                <w:szCs w:val="18"/>
                <w:color w:val="auto"/>
                <w:w w:val="92"/>
              </w:rPr>
            </w:pPr>
            <w:hyperlink r:id="rId71">
              <w:r>
                <w:rPr>
                  <w:rFonts w:ascii="Arial" w:cs="Arial" w:eastAsia="Arial" w:hAnsi="Arial"/>
                  <w:sz w:val="18"/>
                  <w:szCs w:val="18"/>
                  <w:color w:val="auto"/>
                  <w:w w:val="92"/>
                </w:rPr>
                <w:t>Form of AGNC Investment Corp. 2016 Equity and Incentive Compensation Plan Performance-Based Restricted Stock Unit Agreement for</w:t>
              </w:r>
            </w:hyperlink>
          </w:p>
        </w:tc>
      </w:tr>
      <w:tr>
        <w:trPr>
          <w:trHeight w:val="216"/>
        </w:trPr>
        <w:tc>
          <w:tcPr>
            <w:tcW w:w="980" w:type="dxa"/>
            <w:vAlign w:val="bottom"/>
          </w:tcPr>
          <w:p>
            <w:pPr>
              <w:spacing w:after="0"/>
              <w:rPr>
                <w:sz w:val="18"/>
                <w:szCs w:val="18"/>
                <w:color w:val="auto"/>
              </w:rPr>
            </w:pPr>
          </w:p>
        </w:tc>
        <w:tc>
          <w:tcPr>
            <w:tcW w:w="10420" w:type="dxa"/>
            <w:vAlign w:val="bottom"/>
          </w:tcPr>
          <w:p>
            <w:pPr>
              <w:ind w:left="320"/>
              <w:spacing w:after="0"/>
              <w:rPr>
                <w:rFonts w:ascii="Arial" w:cs="Arial" w:eastAsia="Arial" w:hAnsi="Arial"/>
                <w:sz w:val="18"/>
                <w:szCs w:val="18"/>
                <w:color w:val="auto"/>
                <w:w w:val="92"/>
              </w:rPr>
            </w:pPr>
            <w:hyperlink r:id="rId71">
              <w:r>
                <w:rPr>
                  <w:rFonts w:ascii="Arial" w:cs="Arial" w:eastAsia="Arial" w:hAnsi="Arial"/>
                  <w:sz w:val="18"/>
                  <w:szCs w:val="18"/>
                  <w:color w:val="auto"/>
                  <w:w w:val="92"/>
                </w:rPr>
                <w:t>Section 16 Officers with Retirement Provisions, incorporated herein by reference to Exhibit 10.16 of Form 10-K (File No. 001-34057), filed</w:t>
              </w:r>
            </w:hyperlink>
          </w:p>
        </w:tc>
      </w:tr>
      <w:tr>
        <w:trPr>
          <w:trHeight w:val="230"/>
        </w:trPr>
        <w:tc>
          <w:tcPr>
            <w:tcW w:w="980" w:type="dxa"/>
            <w:vAlign w:val="bottom"/>
          </w:tcPr>
          <w:p>
            <w:pPr>
              <w:spacing w:after="0"/>
              <w:rPr>
                <w:sz w:val="20"/>
                <w:szCs w:val="20"/>
                <w:color w:val="auto"/>
              </w:rPr>
            </w:pPr>
          </w:p>
        </w:tc>
        <w:tc>
          <w:tcPr>
            <w:tcW w:w="10420" w:type="dxa"/>
            <w:vAlign w:val="bottom"/>
          </w:tcPr>
          <w:p>
            <w:pPr>
              <w:ind w:left="320"/>
              <w:spacing w:after="0"/>
              <w:rPr>
                <w:rFonts w:ascii="Arial" w:cs="Arial" w:eastAsia="Arial" w:hAnsi="Arial"/>
                <w:sz w:val="18"/>
                <w:szCs w:val="18"/>
                <w:color w:val="auto"/>
              </w:rPr>
            </w:pPr>
            <w:hyperlink r:id="rId71">
              <w:r>
                <w:rPr>
                  <w:rFonts w:ascii="Arial" w:cs="Arial" w:eastAsia="Arial" w:hAnsi="Arial"/>
                  <w:sz w:val="18"/>
                  <w:szCs w:val="18"/>
                  <w:color w:val="auto"/>
                </w:rPr>
                <w:t>February 22, 2019.</w:t>
              </w:r>
            </w:hyperlink>
          </w:p>
        </w:tc>
      </w:tr>
      <w:tr>
        <w:trPr>
          <w:trHeight w:val="364"/>
        </w:trPr>
        <w:tc>
          <w:tcPr>
            <w:tcW w:w="980" w:type="dxa"/>
            <w:vAlign w:val="bottom"/>
          </w:tcPr>
          <w:p>
            <w:pPr>
              <w:spacing w:after="0"/>
              <w:rPr>
                <w:rFonts w:ascii="Arial" w:cs="Arial" w:eastAsia="Arial" w:hAnsi="Arial"/>
                <w:sz w:val="18"/>
                <w:szCs w:val="18"/>
                <w:color w:val="auto"/>
              </w:rPr>
            </w:pPr>
            <w:hyperlink r:id="rId72">
              <w:r>
                <w:rPr>
                  <w:rFonts w:ascii="Arial" w:cs="Arial" w:eastAsia="Arial" w:hAnsi="Arial"/>
                  <w:sz w:val="18"/>
                  <w:szCs w:val="18"/>
                  <w:color w:val="auto"/>
                </w:rPr>
                <w:t>†* 10.19</w:t>
              </w:r>
            </w:hyperlink>
          </w:p>
        </w:tc>
        <w:tc>
          <w:tcPr>
            <w:tcW w:w="10420" w:type="dxa"/>
            <w:vAlign w:val="bottom"/>
          </w:tcPr>
          <w:p>
            <w:pPr>
              <w:ind w:left="320"/>
              <w:spacing w:after="0"/>
              <w:rPr>
                <w:rFonts w:ascii="Arial" w:cs="Arial" w:eastAsia="Arial" w:hAnsi="Arial"/>
                <w:sz w:val="18"/>
                <w:szCs w:val="18"/>
                <w:color w:val="auto"/>
                <w:w w:val="92"/>
              </w:rPr>
            </w:pPr>
            <w:hyperlink r:id="rId72">
              <w:r>
                <w:rPr>
                  <w:rFonts w:ascii="Arial" w:cs="Arial" w:eastAsia="Arial" w:hAnsi="Arial"/>
                  <w:sz w:val="18"/>
                  <w:szCs w:val="18"/>
                  <w:color w:val="auto"/>
                  <w:w w:val="92"/>
                </w:rPr>
                <w:t>Form of AGNC Investment Corp. 2016 Equity and Incentive Compensation Plan Performance-Based Restricted Stock Unit Agreement for</w:t>
              </w:r>
            </w:hyperlink>
          </w:p>
        </w:tc>
      </w:tr>
      <w:tr>
        <w:trPr>
          <w:trHeight w:val="216"/>
        </w:trPr>
        <w:tc>
          <w:tcPr>
            <w:tcW w:w="980" w:type="dxa"/>
            <w:vAlign w:val="bottom"/>
          </w:tcPr>
          <w:p>
            <w:pPr>
              <w:spacing w:after="0"/>
              <w:rPr>
                <w:sz w:val="18"/>
                <w:szCs w:val="18"/>
                <w:color w:val="auto"/>
              </w:rPr>
            </w:pPr>
          </w:p>
        </w:tc>
        <w:tc>
          <w:tcPr>
            <w:tcW w:w="10420" w:type="dxa"/>
            <w:vAlign w:val="bottom"/>
          </w:tcPr>
          <w:p>
            <w:pPr>
              <w:ind w:left="320"/>
              <w:spacing w:after="0"/>
              <w:rPr>
                <w:rFonts w:ascii="Arial" w:cs="Arial" w:eastAsia="Arial" w:hAnsi="Arial"/>
                <w:sz w:val="18"/>
                <w:szCs w:val="18"/>
                <w:color w:val="auto"/>
                <w:w w:val="95"/>
              </w:rPr>
            </w:pPr>
            <w:hyperlink r:id="rId72">
              <w:r>
                <w:rPr>
                  <w:rFonts w:ascii="Arial" w:cs="Arial" w:eastAsia="Arial" w:hAnsi="Arial"/>
                  <w:sz w:val="18"/>
                  <w:szCs w:val="18"/>
                  <w:color w:val="auto"/>
                  <w:w w:val="95"/>
                </w:rPr>
                <w:t>Section 16 Officers with Employment Contracts, incorporated herein by reference to Exhibit 10.17 of Form 10-K (File No. 001-34057),</w:t>
              </w:r>
            </w:hyperlink>
          </w:p>
        </w:tc>
      </w:tr>
      <w:tr>
        <w:trPr>
          <w:trHeight w:val="230"/>
        </w:trPr>
        <w:tc>
          <w:tcPr>
            <w:tcW w:w="980" w:type="dxa"/>
            <w:vAlign w:val="bottom"/>
          </w:tcPr>
          <w:p>
            <w:pPr>
              <w:spacing w:after="0"/>
              <w:rPr>
                <w:sz w:val="20"/>
                <w:szCs w:val="20"/>
                <w:color w:val="auto"/>
              </w:rPr>
            </w:pPr>
          </w:p>
        </w:tc>
        <w:tc>
          <w:tcPr>
            <w:tcW w:w="10420" w:type="dxa"/>
            <w:vAlign w:val="bottom"/>
          </w:tcPr>
          <w:p>
            <w:pPr>
              <w:ind w:left="320"/>
              <w:spacing w:after="0"/>
              <w:rPr>
                <w:rFonts w:ascii="Arial" w:cs="Arial" w:eastAsia="Arial" w:hAnsi="Arial"/>
                <w:sz w:val="18"/>
                <w:szCs w:val="18"/>
                <w:color w:val="auto"/>
              </w:rPr>
            </w:pPr>
            <w:hyperlink r:id="rId72">
              <w:r>
                <w:rPr>
                  <w:rFonts w:ascii="Arial" w:cs="Arial" w:eastAsia="Arial" w:hAnsi="Arial"/>
                  <w:sz w:val="18"/>
                  <w:szCs w:val="18"/>
                  <w:color w:val="auto"/>
                </w:rPr>
                <w:t>filed February 22, 2019.</w:t>
              </w:r>
            </w:hyperlink>
          </w:p>
        </w:tc>
      </w:tr>
      <w:tr>
        <w:trPr>
          <w:trHeight w:val="378"/>
        </w:trPr>
        <w:tc>
          <w:tcPr>
            <w:tcW w:w="980" w:type="dxa"/>
            <w:vAlign w:val="bottom"/>
          </w:tcPr>
          <w:p>
            <w:pPr>
              <w:spacing w:after="0"/>
              <w:rPr>
                <w:rFonts w:ascii="Arial" w:cs="Arial" w:eastAsia="Arial" w:hAnsi="Arial"/>
                <w:sz w:val="18"/>
                <w:szCs w:val="18"/>
                <w:color w:val="auto"/>
              </w:rPr>
            </w:pPr>
            <w:hyperlink w:anchor="page91">
              <w:r>
                <w:rPr>
                  <w:rFonts w:ascii="Arial" w:cs="Arial" w:eastAsia="Arial" w:hAnsi="Arial"/>
                  <w:sz w:val="18"/>
                  <w:szCs w:val="18"/>
                  <w:color w:val="auto"/>
                </w:rPr>
                <w:t>14</w:t>
              </w:r>
            </w:hyperlink>
          </w:p>
        </w:tc>
        <w:tc>
          <w:tcPr>
            <w:tcW w:w="10420" w:type="dxa"/>
            <w:vAlign w:val="bottom"/>
          </w:tcPr>
          <w:p>
            <w:pPr>
              <w:ind w:left="320"/>
              <w:spacing w:after="0"/>
              <w:rPr>
                <w:rFonts w:ascii="Arial" w:cs="Arial" w:eastAsia="Arial" w:hAnsi="Arial"/>
                <w:sz w:val="18"/>
                <w:szCs w:val="18"/>
                <w:color w:val="auto"/>
              </w:rPr>
            </w:pPr>
            <w:hyperlink w:anchor="page91">
              <w:r>
                <w:rPr>
                  <w:rFonts w:ascii="Arial" w:cs="Arial" w:eastAsia="Arial" w:hAnsi="Arial"/>
                  <w:sz w:val="18"/>
                  <w:szCs w:val="18"/>
                  <w:color w:val="auto"/>
                </w:rPr>
                <w:t>AGNC Investment Corp. Code of Ethics and Conduct, adopted January 23, 2020, filed herewith.</w:t>
              </w:r>
            </w:hyperlink>
          </w:p>
        </w:tc>
      </w:tr>
    </w:tbl>
    <w:p>
      <w:pPr>
        <w:spacing w:after="0" w:line="148" w:lineRule="exact"/>
        <w:rPr>
          <w:sz w:val="20"/>
          <w:szCs w:val="20"/>
          <w:color w:val="auto"/>
        </w:rPr>
      </w:pPr>
    </w:p>
    <w:p>
      <w:pPr>
        <w:ind w:left="1300" w:hanging="1292"/>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Subsidiaries of the Company and jurisdiction of incorporation:</w:t>
      </w:r>
    </w:p>
    <w:p>
      <w:pPr>
        <w:spacing w:after="0" w:line="171" w:lineRule="exact"/>
        <w:rPr>
          <w:rFonts w:ascii="Arial" w:cs="Arial" w:eastAsia="Arial" w:hAnsi="Arial"/>
          <w:sz w:val="18"/>
          <w:szCs w:val="18"/>
          <w:color w:val="auto"/>
        </w:rPr>
      </w:pPr>
    </w:p>
    <w:p>
      <w:pPr>
        <w:ind w:left="1540" w:hanging="235"/>
        <w:spacing w:after="0"/>
        <w:tabs>
          <w:tab w:leader="none" w:pos="15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AGNC TRS, LLC, a Delaware limited liability company</w:t>
      </w:r>
    </w:p>
    <w:p>
      <w:pPr>
        <w:spacing w:after="0" w:line="171" w:lineRule="exact"/>
        <w:rPr>
          <w:rFonts w:ascii="Arial" w:cs="Arial" w:eastAsia="Arial" w:hAnsi="Arial"/>
          <w:sz w:val="18"/>
          <w:szCs w:val="18"/>
          <w:color w:val="auto"/>
        </w:rPr>
      </w:pPr>
    </w:p>
    <w:p>
      <w:pPr>
        <w:ind w:left="1540" w:hanging="235"/>
        <w:spacing w:after="0"/>
        <w:tabs>
          <w:tab w:leader="none" w:pos="15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Old Georgetown Insurance Co. LLC, a Missouri limited liability company</w:t>
      </w:r>
    </w:p>
    <w:p>
      <w:pPr>
        <w:spacing w:after="0" w:line="171" w:lineRule="exact"/>
        <w:rPr>
          <w:rFonts w:ascii="Arial" w:cs="Arial" w:eastAsia="Arial" w:hAnsi="Arial"/>
          <w:sz w:val="18"/>
          <w:szCs w:val="18"/>
          <w:color w:val="auto"/>
        </w:rPr>
      </w:pPr>
    </w:p>
    <w:p>
      <w:pPr>
        <w:ind w:left="1540" w:hanging="235"/>
        <w:spacing w:after="0"/>
        <w:tabs>
          <w:tab w:leader="none" w:pos="15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Bethesda Securities, LLC, a Delaware limited liability company</w:t>
      </w:r>
    </w:p>
    <w:p>
      <w:pPr>
        <w:spacing w:after="0" w:line="171" w:lineRule="exact"/>
        <w:rPr>
          <w:rFonts w:ascii="Arial" w:cs="Arial" w:eastAsia="Arial" w:hAnsi="Arial"/>
          <w:sz w:val="18"/>
          <w:szCs w:val="18"/>
          <w:color w:val="auto"/>
        </w:rPr>
      </w:pPr>
    </w:p>
    <w:p>
      <w:pPr>
        <w:ind w:left="5620" w:right="4420" w:hanging="4315"/>
        <w:spacing w:after="0" w:line="528" w:lineRule="auto"/>
        <w:tabs>
          <w:tab w:leader="none" w:pos="1544" w:val="left"/>
        </w:tabs>
        <w:numPr>
          <w:ilvl w:val="1"/>
          <w:numId w:val="61"/>
        </w:numPr>
        <w:rPr>
          <w:rFonts w:ascii="Arial" w:cs="Arial" w:eastAsia="Arial" w:hAnsi="Arial"/>
          <w:sz w:val="18"/>
          <w:szCs w:val="18"/>
          <w:color w:val="auto"/>
        </w:rPr>
      </w:pPr>
      <w:r>
        <w:rPr>
          <w:rFonts w:ascii="Arial" w:cs="Arial" w:eastAsia="Arial" w:hAnsi="Arial"/>
          <w:sz w:val="18"/>
          <w:szCs w:val="18"/>
          <w:color w:val="auto"/>
        </w:rPr>
        <w:t>AGNC Mortgage Management, LLC, a Delaware limited liability company 87</w:t>
      </w:r>
    </w:p>
    <w:p>
      <w:pPr>
        <w:sectPr>
          <w:pgSz w:w="11900" w:h="16838" w:orient="portrait"/>
          <w:cols w:equalWidth="0" w:num="1">
            <w:col w:w="11400"/>
          </w:cols>
          <w:pgMar w:left="240" w:top="719" w:right="259" w:bottom="1440" w:gutter="0" w:footer="0" w:header="0"/>
        </w:sectPr>
      </w:pPr>
    </w:p>
    <w:bookmarkStart w:id="88" w:name="page89"/>
    <w:bookmarkEnd w:id="88"/>
    <w:p>
      <w:pPr>
        <w:ind w:left="1300"/>
        <w:spacing w:after="0"/>
        <w:rPr>
          <w:sz w:val="20"/>
          <w:szCs w:val="20"/>
          <w:color w:val="auto"/>
        </w:rPr>
      </w:pPr>
      <w:r>
        <w:rPr>
          <w:rFonts w:ascii="Arial" w:cs="Arial" w:eastAsia="Arial" w:hAnsi="Arial"/>
          <w:sz w:val="18"/>
          <w:szCs w:val="18"/>
          <w:color w:val="auto"/>
        </w:rPr>
        <w:t>5) CT Collateral Funding, LLC, a Delaware limited liability company</w:t>
      </w:r>
    </w:p>
    <w:p>
      <w:pPr>
        <w:spacing w:after="0" w:line="171" w:lineRule="exact"/>
        <w:rPr>
          <w:sz w:val="20"/>
          <w:szCs w:val="20"/>
          <w:color w:val="auto"/>
        </w:rPr>
      </w:pPr>
    </w:p>
    <w:p>
      <w:pPr>
        <w:ind w:left="1300" w:hanging="1292"/>
        <w:spacing w:after="0"/>
        <w:tabs>
          <w:tab w:leader="none" w:pos="1300" w:val="left"/>
        </w:tabs>
        <w:numPr>
          <w:ilvl w:val="0"/>
          <w:numId w:val="62"/>
        </w:numPr>
        <w:rPr>
          <w:rFonts w:ascii="Arial" w:cs="Arial" w:eastAsia="Arial" w:hAnsi="Arial"/>
          <w:sz w:val="18"/>
          <w:szCs w:val="18"/>
          <w:color w:val="auto"/>
        </w:rPr>
      </w:pPr>
      <w:hyperlink w:anchor="page102">
        <w:r>
          <w:rPr>
            <w:rFonts w:ascii="Arial" w:cs="Arial" w:eastAsia="Arial" w:hAnsi="Arial"/>
            <w:sz w:val="18"/>
            <w:szCs w:val="18"/>
            <w:color w:val="auto"/>
          </w:rPr>
          <w:t>Consent of Ernst &amp; Young LLP, filed herewith.</w:t>
        </w:r>
      </w:hyperlink>
    </w:p>
    <w:p>
      <w:pPr>
        <w:spacing w:after="0" w:line="171" w:lineRule="exact"/>
        <w:rPr>
          <w:rFonts w:ascii="Arial" w:cs="Arial" w:eastAsia="Arial" w:hAnsi="Arial"/>
          <w:sz w:val="18"/>
          <w:szCs w:val="18"/>
          <w:color w:val="auto"/>
        </w:rPr>
      </w:pPr>
    </w:p>
    <w:p>
      <w:pPr>
        <w:ind w:left="1300" w:hanging="1292"/>
        <w:spacing w:after="0"/>
        <w:tabs>
          <w:tab w:leader="none" w:pos="1300" w:val="left"/>
        </w:tabs>
        <w:numPr>
          <w:ilvl w:val="0"/>
          <w:numId w:val="62"/>
        </w:numPr>
        <w:rPr>
          <w:rFonts w:ascii="Arial" w:cs="Arial" w:eastAsia="Arial" w:hAnsi="Arial"/>
          <w:sz w:val="18"/>
          <w:szCs w:val="18"/>
          <w:color w:val="auto"/>
        </w:rPr>
      </w:pPr>
      <w:hyperlink w:anchor="page103">
        <w:r>
          <w:rPr>
            <w:rFonts w:ascii="Arial" w:cs="Arial" w:eastAsia="Arial" w:hAnsi="Arial"/>
            <w:sz w:val="18"/>
            <w:szCs w:val="18"/>
            <w:color w:val="auto"/>
          </w:rPr>
          <w:t>Powers of Attorney of directors, filed herewith.</w:t>
        </w:r>
      </w:hyperlink>
    </w:p>
    <w:p>
      <w:pPr>
        <w:spacing w:after="0" w:line="171" w:lineRule="exact"/>
        <w:rPr>
          <w:rFonts w:ascii="Arial" w:cs="Arial" w:eastAsia="Arial" w:hAnsi="Arial"/>
          <w:sz w:val="18"/>
          <w:szCs w:val="18"/>
          <w:color w:val="auto"/>
        </w:rPr>
      </w:pPr>
    </w:p>
    <w:p>
      <w:pPr>
        <w:spacing w:after="0"/>
        <w:tabs>
          <w:tab w:leader="none" w:pos="1280" w:val="left"/>
        </w:tabs>
        <w:rPr>
          <w:rFonts w:ascii="Arial" w:cs="Arial" w:eastAsia="Arial" w:hAnsi="Arial"/>
          <w:sz w:val="16"/>
          <w:szCs w:val="16"/>
          <w:color w:val="auto"/>
        </w:rPr>
      </w:pPr>
      <w:hyperlink w:anchor="page105">
        <w:r>
          <w:rPr>
            <w:rFonts w:ascii="Arial" w:cs="Arial" w:eastAsia="Arial" w:hAnsi="Arial"/>
            <w:sz w:val="18"/>
            <w:szCs w:val="18"/>
            <w:color w:val="auto"/>
          </w:rPr>
          <w:t>31.1</w:t>
        </w:r>
      </w:hyperlink>
      <w:r>
        <w:rPr>
          <w:rFonts w:ascii="Arial" w:cs="Arial" w:eastAsia="Arial" w:hAnsi="Arial"/>
          <w:sz w:val="18"/>
          <w:szCs w:val="18"/>
          <w:color w:val="auto"/>
        </w:rPr>
        <w:tab/>
      </w:r>
      <w:hyperlink w:anchor="page105">
        <w:r>
          <w:rPr>
            <w:rFonts w:ascii="Arial" w:cs="Arial" w:eastAsia="Arial" w:hAnsi="Arial"/>
            <w:sz w:val="16"/>
            <w:szCs w:val="16"/>
            <w:color w:val="auto"/>
          </w:rPr>
          <w:t>Certification of CEO Pursuant to Section 302(a) of the Sarbanes-Oxley Act of 2002.</w:t>
        </w:r>
      </w:hyperlink>
    </w:p>
    <w:p>
      <w:pPr>
        <w:spacing w:after="0" w:line="171" w:lineRule="exact"/>
        <w:rPr>
          <w:sz w:val="20"/>
          <w:szCs w:val="20"/>
          <w:color w:val="auto"/>
        </w:rPr>
      </w:pPr>
    </w:p>
    <w:p>
      <w:pPr>
        <w:spacing w:after="0"/>
        <w:tabs>
          <w:tab w:leader="none" w:pos="1280" w:val="left"/>
        </w:tabs>
        <w:rPr>
          <w:rFonts w:ascii="Arial" w:cs="Arial" w:eastAsia="Arial" w:hAnsi="Arial"/>
          <w:sz w:val="16"/>
          <w:szCs w:val="16"/>
          <w:color w:val="auto"/>
        </w:rPr>
      </w:pPr>
      <w:hyperlink w:anchor="page106">
        <w:r>
          <w:rPr>
            <w:rFonts w:ascii="Arial" w:cs="Arial" w:eastAsia="Arial" w:hAnsi="Arial"/>
            <w:sz w:val="18"/>
            <w:szCs w:val="18"/>
            <w:color w:val="auto"/>
          </w:rPr>
          <w:t>31.2</w:t>
        </w:r>
      </w:hyperlink>
      <w:r>
        <w:rPr>
          <w:rFonts w:ascii="Arial" w:cs="Arial" w:eastAsia="Arial" w:hAnsi="Arial"/>
          <w:sz w:val="18"/>
          <w:szCs w:val="18"/>
          <w:color w:val="auto"/>
        </w:rPr>
        <w:tab/>
      </w:r>
      <w:hyperlink w:anchor="page106">
        <w:r>
          <w:rPr>
            <w:rFonts w:ascii="Arial" w:cs="Arial" w:eastAsia="Arial" w:hAnsi="Arial"/>
            <w:sz w:val="16"/>
            <w:szCs w:val="16"/>
            <w:color w:val="auto"/>
          </w:rPr>
          <w:t>Certification of CFO Pursuant to Section 302(a) of the Sarbanes-Oxley Act of 2002.</w:t>
        </w:r>
      </w:hyperlink>
    </w:p>
    <w:p>
      <w:pPr>
        <w:spacing w:after="0" w:line="171" w:lineRule="exact"/>
        <w:rPr>
          <w:sz w:val="20"/>
          <w:szCs w:val="20"/>
          <w:color w:val="auto"/>
        </w:rPr>
      </w:pPr>
    </w:p>
    <w:p>
      <w:pPr>
        <w:spacing w:after="0"/>
        <w:tabs>
          <w:tab w:leader="none" w:pos="1280" w:val="left"/>
        </w:tabs>
        <w:rPr>
          <w:rFonts w:ascii="Arial" w:cs="Arial" w:eastAsia="Arial" w:hAnsi="Arial"/>
          <w:sz w:val="18"/>
          <w:szCs w:val="18"/>
          <w:color w:val="auto"/>
        </w:rPr>
      </w:pPr>
      <w:r>
        <w:rPr>
          <w:rFonts w:ascii="Arial" w:cs="Arial" w:eastAsia="Arial" w:hAnsi="Arial"/>
          <w:sz w:val="18"/>
          <w:szCs w:val="18"/>
          <w:color w:val="auto"/>
        </w:rPr>
        <w:t>32</w:t>
      </w:r>
      <w:r>
        <w:rPr>
          <w:sz w:val="20"/>
          <w:szCs w:val="20"/>
          <w:color w:val="auto"/>
        </w:rPr>
        <w:tab/>
      </w:r>
      <w:hyperlink w:anchor="page107">
        <w:r>
          <w:rPr>
            <w:rFonts w:ascii="Arial" w:cs="Arial" w:eastAsia="Arial" w:hAnsi="Arial"/>
            <w:sz w:val="18"/>
            <w:szCs w:val="18"/>
            <w:color w:val="auto"/>
          </w:rPr>
          <w:t>Certification of CEO and CFO Pursuant to Section 906 of the Sarbanes-Oxley Act of 2002.</w:t>
        </w:r>
      </w:hyperlink>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6"/>
          <w:szCs w:val="16"/>
          <w:color w:val="auto"/>
        </w:rPr>
        <w:t>The instance document does not appear in the interactive data file because its XBRL tags are embedded within the inline XBRL document</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101.SCH**</w:t>
      </w:r>
      <w:r>
        <w:rPr>
          <w:sz w:val="20"/>
          <w:szCs w:val="20"/>
          <w:color w:val="auto"/>
        </w:rPr>
        <w:tab/>
      </w:r>
      <w:r>
        <w:rPr>
          <w:rFonts w:ascii="Arial" w:cs="Arial" w:eastAsia="Arial" w:hAnsi="Arial"/>
          <w:sz w:val="16"/>
          <w:szCs w:val="16"/>
          <w:color w:val="auto"/>
        </w:rPr>
        <w:t>XBRL Taxonomy Extension Schema Document</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101.CAL**</w:t>
      </w:r>
      <w:r>
        <w:rPr>
          <w:sz w:val="20"/>
          <w:szCs w:val="20"/>
          <w:color w:val="auto"/>
        </w:rPr>
        <w:tab/>
      </w:r>
      <w:r>
        <w:rPr>
          <w:rFonts w:ascii="Arial" w:cs="Arial" w:eastAsia="Arial" w:hAnsi="Arial"/>
          <w:sz w:val="16"/>
          <w:szCs w:val="16"/>
          <w:color w:val="auto"/>
        </w:rPr>
        <w:t>XBRL Taxonomy Extension Calculation Linkbase Document</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101.LAB**</w:t>
      </w:r>
      <w:r>
        <w:rPr>
          <w:sz w:val="20"/>
          <w:szCs w:val="20"/>
          <w:color w:val="auto"/>
        </w:rPr>
        <w:tab/>
      </w:r>
      <w:r>
        <w:rPr>
          <w:rFonts w:ascii="Arial" w:cs="Arial" w:eastAsia="Arial" w:hAnsi="Arial"/>
          <w:sz w:val="16"/>
          <w:szCs w:val="16"/>
          <w:color w:val="auto"/>
        </w:rPr>
        <w:t>XBRL Taxonomy Extension Labels Linkbase Document</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6"/>
          <w:szCs w:val="16"/>
          <w:color w:val="auto"/>
        </w:rPr>
        <w:t>XBRL Taxonomy Extension Presentation Linkbase Document</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101.DEF**</w:t>
      </w:r>
      <w:r>
        <w:rPr>
          <w:sz w:val="20"/>
          <w:szCs w:val="20"/>
          <w:color w:val="auto"/>
        </w:rPr>
        <w:tab/>
      </w:r>
      <w:r>
        <w:rPr>
          <w:rFonts w:ascii="Arial" w:cs="Arial" w:eastAsia="Arial" w:hAnsi="Arial"/>
          <w:sz w:val="16"/>
          <w:szCs w:val="16"/>
          <w:color w:val="auto"/>
        </w:rPr>
        <w:t>XBRL Taxonomy Extension Definition Linkbase Document</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tabs>
          <w:tab w:leader="none" w:pos="260" w:val="left"/>
        </w:tabs>
        <w:rPr>
          <w:sz w:val="20"/>
          <w:szCs w:val="20"/>
          <w:color w:val="auto"/>
        </w:rPr>
      </w:pPr>
      <w:r>
        <w:rPr>
          <w:rFonts w:ascii="Arial" w:cs="Arial" w:eastAsia="Arial" w:hAnsi="Arial"/>
          <w:sz w:val="18"/>
          <w:szCs w:val="18"/>
          <w:color w:val="auto"/>
        </w:rPr>
        <w:t>*</w:t>
        <w:tab/>
        <w:t>Previously filed</w:t>
      </w:r>
    </w:p>
    <w:p>
      <w:pPr>
        <w:spacing w:after="0" w:line="7" w:lineRule="exact"/>
        <w:rPr>
          <w:sz w:val="20"/>
          <w:szCs w:val="20"/>
          <w:color w:val="auto"/>
        </w:rPr>
      </w:pPr>
    </w:p>
    <w:p>
      <w:pPr>
        <w:ind w:left="660" w:right="100" w:hanging="652"/>
        <w:spacing w:after="0" w:line="250"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This exhibit is being furnished rather than filed, and shall not be deemed incorporated by reference into any filing, in accordance with Item 601 of Regulation S-K</w:t>
      </w:r>
    </w:p>
    <w:p>
      <w:pPr>
        <w:spacing w:after="0" w:line="1"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10" w:lineRule="exact"/>
        <w:rPr>
          <w:rFonts w:ascii="Arial" w:cs="Arial" w:eastAsia="Arial" w:hAnsi="Arial"/>
          <w:sz w:val="18"/>
          <w:szCs w:val="18"/>
          <w:color w:val="auto"/>
        </w:rPr>
      </w:pPr>
    </w:p>
    <w:p>
      <w:pPr>
        <w:ind w:left="880" w:hanging="467"/>
        <w:spacing w:after="0"/>
        <w:tabs>
          <w:tab w:leader="none" w:pos="8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See the exhibits filed herewith.</w:t>
      </w:r>
    </w:p>
    <w:p>
      <w:pPr>
        <w:spacing w:after="0" w:line="210" w:lineRule="exact"/>
        <w:rPr>
          <w:rFonts w:ascii="Arial" w:cs="Arial" w:eastAsia="Arial" w:hAnsi="Arial"/>
          <w:sz w:val="18"/>
          <w:szCs w:val="18"/>
          <w:color w:val="auto"/>
        </w:rPr>
      </w:pPr>
    </w:p>
    <w:p>
      <w:pPr>
        <w:ind w:left="880" w:right="7480" w:hanging="467"/>
        <w:spacing w:after="0" w:line="277" w:lineRule="auto"/>
        <w:tabs>
          <w:tab w:leader="none" w:pos="8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Additional financial statement schedules None.</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80"/>
          </w:cols>
          <w:pgMar w:left="240" w:top="719" w:right="37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AGNC I</w:t>
      </w:r>
      <w:r>
        <w:rPr>
          <w:rFonts w:ascii="Arial" w:cs="Arial" w:eastAsia="Arial" w:hAnsi="Arial"/>
          <w:sz w:val="14"/>
          <w:szCs w:val="14"/>
          <w:color w:val="auto"/>
        </w:rPr>
        <w:t>NVESTMENT</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18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Pr>
          <w:p>
            <w:pPr>
              <w:jc w:val="center"/>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tc>
      </w:tr>
      <w:tr>
        <w:trPr>
          <w:trHeight w:val="27"/>
        </w:trPr>
        <w:tc>
          <w:tcPr>
            <w:tcW w:w="54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146"/>
        </w:trPr>
        <w:tc>
          <w:tcPr>
            <w:tcW w:w="540" w:type="dxa"/>
            <w:vAlign w:val="bottom"/>
          </w:tcPr>
          <w:p>
            <w:pPr>
              <w:spacing w:after="0"/>
              <w:rPr>
                <w:sz w:val="12"/>
                <w:szCs w:val="12"/>
                <w:color w:val="auto"/>
              </w:rPr>
            </w:pPr>
          </w:p>
        </w:tc>
        <w:tc>
          <w:tcPr>
            <w:tcW w:w="52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9"/>
              </w:rPr>
              <w:t>Gary D. Kain</w:t>
            </w:r>
          </w:p>
        </w:tc>
      </w:tr>
      <w:tr>
        <w:trPr>
          <w:trHeight w:val="149"/>
        </w:trPr>
        <w:tc>
          <w:tcPr>
            <w:tcW w:w="540" w:type="dxa"/>
            <w:vAlign w:val="bottom"/>
          </w:tcPr>
          <w:p>
            <w:pPr>
              <w:spacing w:after="0"/>
              <w:rPr>
                <w:sz w:val="12"/>
                <w:szCs w:val="12"/>
                <w:color w:val="auto"/>
              </w:rPr>
            </w:pPr>
          </w:p>
        </w:tc>
        <w:tc>
          <w:tcPr>
            <w:tcW w:w="5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Chief Executive Officer and</w:t>
            </w:r>
          </w:p>
        </w:tc>
      </w:tr>
      <w:tr>
        <w:trPr>
          <w:trHeight w:val="186"/>
        </w:trPr>
        <w:tc>
          <w:tcPr>
            <w:tcW w:w="540" w:type="dxa"/>
            <w:vAlign w:val="bottom"/>
          </w:tcPr>
          <w:p>
            <w:pPr>
              <w:spacing w:after="0"/>
              <w:rPr>
                <w:sz w:val="16"/>
                <w:szCs w:val="16"/>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w w:val="95"/>
              </w:rPr>
              <w:t>Chief Investment Officer (Principal Executive Officer)</w:t>
            </w:r>
          </w:p>
        </w:tc>
      </w:tr>
    </w:tbl>
    <w:p>
      <w:pPr>
        <w:spacing w:after="0" w:line="25"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25, 2020</w:t>
      </w:r>
    </w:p>
    <w:p>
      <w:pPr>
        <w:spacing w:after="0" w:line="36" w:lineRule="exact"/>
        <w:rPr>
          <w:sz w:val="20"/>
          <w:szCs w:val="20"/>
          <w:color w:val="auto"/>
        </w:rPr>
      </w:pPr>
    </w:p>
    <w:p>
      <w:pPr>
        <w:jc w:val="both"/>
        <w:ind w:firstLine="450"/>
        <w:spacing w:after="0" w:line="293"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18" w:lineRule="exact"/>
        <w:rPr>
          <w:sz w:val="20"/>
          <w:szCs w:val="20"/>
          <w:color w:val="auto"/>
        </w:rPr>
      </w:pPr>
    </w:p>
    <w:tbl>
      <w:tblPr>
        <w:tblLayout w:type="fixed"/>
        <w:tblInd w:w="1260" w:type="dxa"/>
        <w:tblCellMar>
          <w:top w:w="0" w:type="dxa"/>
          <w:left w:w="0" w:type="dxa"/>
          <w:bottom w:w="0" w:type="dxa"/>
          <w:right w:w="0" w:type="dxa"/>
        </w:tblCellMar>
      </w:tblPr>
      <w:tr>
        <w:trPr>
          <w:trHeight w:val="149"/>
        </w:trPr>
        <w:tc>
          <w:tcPr>
            <w:tcW w:w="5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gridSpan w:val="2"/>
          </w:tcPr>
          <w:p>
            <w:pPr>
              <w:jc w:val="center"/>
              <w:ind w:right="1560"/>
              <w:spacing w:after="0"/>
              <w:rPr>
                <w:sz w:val="20"/>
                <w:szCs w:val="20"/>
                <w:color w:val="auto"/>
              </w:rPr>
            </w:pPr>
            <w:r>
              <w:rPr>
                <w:rFonts w:ascii="Arial" w:cs="Arial" w:eastAsia="Arial" w:hAnsi="Arial"/>
                <w:sz w:val="13"/>
                <w:szCs w:val="13"/>
                <w:b w:val="1"/>
                <w:bCs w:val="1"/>
                <w:color w:val="auto"/>
                <w:w w:val="84"/>
              </w:rPr>
              <w:t>Name</w:t>
            </w:r>
          </w:p>
        </w:tc>
        <w:tc>
          <w:tcPr>
            <w:tcW w:w="1460" w:type="dxa"/>
            <w:vAlign w:val="bottom"/>
          </w:tcPr>
          <w:p>
            <w:pPr>
              <w:spacing w:after="0"/>
              <w:rPr>
                <w:sz w:val="13"/>
                <w:szCs w:val="13"/>
                <w:color w:val="auto"/>
              </w:rPr>
            </w:pPr>
          </w:p>
        </w:tc>
        <w:tc>
          <w:tcPr>
            <w:tcW w:w="1660" w:type="dxa"/>
            <w:vAlign w:val="bottom"/>
            <w:gridSpan w:val="2"/>
          </w:tcPr>
          <w:p>
            <w:pPr>
              <w:spacing w:after="0"/>
              <w:rPr>
                <w:sz w:val="20"/>
                <w:szCs w:val="20"/>
                <w:color w:val="auto"/>
              </w:rPr>
            </w:pPr>
            <w:r>
              <w:rPr>
                <w:rFonts w:ascii="Arial" w:cs="Arial" w:eastAsia="Arial" w:hAnsi="Arial"/>
                <w:sz w:val="13"/>
                <w:szCs w:val="13"/>
                <w:b w:val="1"/>
                <w:bCs w:val="1"/>
                <w:color w:val="auto"/>
              </w:rPr>
              <w:t>Title</w:t>
            </w:r>
          </w:p>
        </w:tc>
        <w:tc>
          <w:tcPr>
            <w:tcW w:w="84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120" w:type="dxa"/>
            <w:vAlign w:val="bottom"/>
            <w:gridSpan w:val="3"/>
          </w:tcPr>
          <w:p>
            <w:pPr>
              <w:ind w:left="20"/>
              <w:spacing w:after="0"/>
              <w:rPr>
                <w:sz w:val="20"/>
                <w:szCs w:val="20"/>
                <w:color w:val="auto"/>
              </w:rPr>
            </w:pPr>
            <w:r>
              <w:rPr>
                <w:rFonts w:ascii="Arial" w:cs="Arial" w:eastAsia="Arial" w:hAnsi="Arial"/>
                <w:sz w:val="18"/>
                <w:szCs w:val="18"/>
                <w:color w:val="auto"/>
              </w:rPr>
              <w:t>Director, Chief Executive Officer and</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120" w:type="dxa"/>
            <w:vAlign w:val="bottom"/>
            <w:gridSpan w:val="3"/>
          </w:tcPr>
          <w:p>
            <w:pPr>
              <w:ind w:left="20"/>
              <w:spacing w:after="0"/>
              <w:rPr>
                <w:sz w:val="20"/>
                <w:szCs w:val="20"/>
                <w:color w:val="auto"/>
              </w:rPr>
            </w:pPr>
            <w:r>
              <w:rPr>
                <w:rFonts w:ascii="Arial" w:cs="Arial" w:eastAsia="Arial" w:hAnsi="Arial"/>
                <w:sz w:val="18"/>
                <w:szCs w:val="18"/>
                <w:color w:val="auto"/>
              </w:rPr>
              <w:t>Chief Investment Officer (Principal</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3400" w:type="dxa"/>
            <w:vAlign w:val="bottom"/>
            <w:gridSpan w:val="3"/>
            <w:vMerge w:val="restart"/>
          </w:tcPr>
          <w:p>
            <w:pPr>
              <w:jc w:val="center"/>
              <w:ind w:right="2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tc>
        <w:tc>
          <w:tcPr>
            <w:tcW w:w="3120" w:type="dxa"/>
            <w:vAlign w:val="bottom"/>
            <w:gridSpan w:val="3"/>
          </w:tcPr>
          <w:p>
            <w:pPr>
              <w:ind w:left="20"/>
              <w:spacing w:after="0"/>
              <w:rPr>
                <w:sz w:val="20"/>
                <w:szCs w:val="20"/>
                <w:color w:val="auto"/>
              </w:rPr>
            </w:pPr>
            <w:r>
              <w:rPr>
                <w:rFonts w:ascii="Arial" w:cs="Arial" w:eastAsia="Arial" w:hAnsi="Arial"/>
                <w:sz w:val="18"/>
                <w:szCs w:val="18"/>
                <w:color w:val="auto"/>
              </w:rPr>
              <w:t>Executive Officer)</w:t>
            </w:r>
          </w:p>
        </w:tc>
        <w:tc>
          <w:tcPr>
            <w:tcW w:w="1420" w:type="dxa"/>
            <w:vAlign w:val="bottom"/>
            <w:gridSpan w:val="3"/>
            <w:vMerge w:val="restart"/>
          </w:tcPr>
          <w:p>
            <w:pPr>
              <w:ind w:left="100"/>
              <w:spacing w:after="0"/>
              <w:rPr>
                <w:sz w:val="20"/>
                <w:szCs w:val="20"/>
                <w:color w:val="auto"/>
              </w:rPr>
            </w:pPr>
            <w:r>
              <w:rPr>
                <w:rFonts w:ascii="Arial" w:cs="Arial" w:eastAsia="Arial" w:hAnsi="Arial"/>
                <w:sz w:val="18"/>
                <w:szCs w:val="18"/>
                <w:color w:val="auto"/>
                <w:w w:val="88"/>
              </w:rPr>
              <w:t>February 25, 2020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400" w:type="dxa"/>
            <w:vAlign w:val="bottom"/>
            <w:gridSpan w:val="3"/>
            <w:vMerge w:val="continue"/>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4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4"/>
              </w:rPr>
              <w:t>Gary D. Kain</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8"/>
        </w:trPr>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Arial" w:cs="Arial" w:eastAsia="Arial" w:hAnsi="Arial"/>
                <w:sz w:val="18"/>
                <w:szCs w:val="18"/>
                <w:color w:val="auto"/>
                <w:w w:val="92"/>
              </w:rPr>
              <w:t>Senior Vice President and Chief Financial</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120" w:type="dxa"/>
            <w:vAlign w:val="bottom"/>
            <w:gridSpan w:val="3"/>
          </w:tcPr>
          <w:p>
            <w:pPr>
              <w:ind w:left="20"/>
              <w:spacing w:after="0"/>
              <w:rPr>
                <w:sz w:val="20"/>
                <w:szCs w:val="20"/>
                <w:color w:val="auto"/>
              </w:rPr>
            </w:pPr>
            <w:r>
              <w:rPr>
                <w:rFonts w:ascii="Arial" w:cs="Arial" w:eastAsia="Arial" w:hAnsi="Arial"/>
                <w:sz w:val="18"/>
                <w:szCs w:val="18"/>
                <w:color w:val="auto"/>
              </w:rPr>
              <w:t>Officer (Principal Financial Officer and</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3400" w:type="dxa"/>
            <w:vAlign w:val="bottom"/>
            <w:gridSpan w:val="3"/>
          </w:tcPr>
          <w:p>
            <w:pPr>
              <w:jc w:val="center"/>
              <w:ind w:right="20"/>
              <w:spacing w:after="0"/>
              <w:rPr>
                <w:sz w:val="20"/>
                <w:szCs w:val="20"/>
                <w:color w:val="auto"/>
              </w:rPr>
            </w:pPr>
            <w:r>
              <w:rPr>
                <w:rFonts w:ascii="Arial" w:cs="Arial" w:eastAsia="Arial" w:hAnsi="Arial"/>
                <w:sz w:val="16"/>
                <w:szCs w:val="16"/>
                <w:color w:val="auto"/>
                <w:w w:val="97"/>
              </w:rPr>
              <w:t xml:space="preserve">/s/ </w:t>
            </w:r>
            <w:r>
              <w:rPr>
                <w:rFonts w:ascii="Arial" w:cs="Arial" w:eastAsia="Arial" w:hAnsi="Arial"/>
                <w:sz w:val="18"/>
                <w:szCs w:val="18"/>
                <w:color w:val="auto"/>
                <w:w w:val="97"/>
              </w:rPr>
              <w:t>B</w:t>
            </w:r>
            <w:r>
              <w:rPr>
                <w:rFonts w:ascii="Arial" w:cs="Arial" w:eastAsia="Arial" w:hAnsi="Arial"/>
                <w:sz w:val="14"/>
                <w:szCs w:val="14"/>
                <w:color w:val="auto"/>
                <w:w w:val="97"/>
              </w:rPr>
              <w:t>ERNICE</w:t>
            </w:r>
            <w:r>
              <w:rPr>
                <w:rFonts w:ascii="Arial" w:cs="Arial" w:eastAsia="Arial" w:hAnsi="Arial"/>
                <w:sz w:val="16"/>
                <w:szCs w:val="16"/>
                <w:color w:val="auto"/>
                <w:w w:val="97"/>
              </w:rPr>
              <w:t xml:space="preserve"> </w:t>
            </w:r>
            <w:r>
              <w:rPr>
                <w:rFonts w:ascii="Arial" w:cs="Arial" w:eastAsia="Arial" w:hAnsi="Arial"/>
                <w:sz w:val="18"/>
                <w:szCs w:val="18"/>
                <w:color w:val="auto"/>
                <w:w w:val="97"/>
              </w:rPr>
              <w:t>E. B</w:t>
            </w:r>
            <w:r>
              <w:rPr>
                <w:rFonts w:ascii="Arial" w:cs="Arial" w:eastAsia="Arial" w:hAnsi="Arial"/>
                <w:sz w:val="14"/>
                <w:szCs w:val="14"/>
                <w:color w:val="auto"/>
                <w:w w:val="97"/>
              </w:rPr>
              <w:t>ELL</w:t>
            </w:r>
          </w:p>
        </w:tc>
        <w:tc>
          <w:tcPr>
            <w:tcW w:w="3120" w:type="dxa"/>
            <w:vAlign w:val="bottom"/>
            <w:gridSpan w:val="3"/>
          </w:tcPr>
          <w:p>
            <w:pPr>
              <w:ind w:left="20"/>
              <w:spacing w:after="0"/>
              <w:rPr>
                <w:sz w:val="20"/>
                <w:szCs w:val="20"/>
                <w:color w:val="auto"/>
              </w:rPr>
            </w:pPr>
            <w:r>
              <w:rPr>
                <w:rFonts w:ascii="Arial" w:cs="Arial" w:eastAsia="Arial" w:hAnsi="Arial"/>
                <w:sz w:val="18"/>
                <w:szCs w:val="18"/>
                <w:color w:val="auto"/>
              </w:rPr>
              <w:t>Principal Accounting Officer)</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w w:val="88"/>
              </w:rPr>
              <w:t>February 25, 2020</w:t>
            </w: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40" w:type="dxa"/>
            <w:vAlign w:val="bottom"/>
          </w:tcPr>
          <w:p>
            <w:pPr>
              <w:spacing w:after="0"/>
              <w:rPr>
                <w:sz w:val="21"/>
                <w:szCs w:val="21"/>
                <w:color w:val="auto"/>
              </w:rPr>
            </w:pPr>
          </w:p>
        </w:tc>
        <w:tc>
          <w:tcPr>
            <w:tcW w:w="34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Bernice E. Bell</w:t>
            </w: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9"/>
        </w:trPr>
        <w:tc>
          <w:tcPr>
            <w:tcW w:w="540" w:type="dxa"/>
            <w:vAlign w:val="bottom"/>
          </w:tcPr>
          <w:p>
            <w:pPr>
              <w:spacing w:after="0"/>
              <w:rPr>
                <w:sz w:val="24"/>
                <w:szCs w:val="24"/>
                <w:color w:val="auto"/>
              </w:rPr>
            </w:pPr>
          </w:p>
        </w:tc>
        <w:tc>
          <w:tcPr>
            <w:tcW w:w="1840" w:type="dxa"/>
            <w:vAlign w:val="bottom"/>
            <w:gridSpan w:val="2"/>
          </w:tcPr>
          <w:p>
            <w:pPr>
              <w:jc w:val="center"/>
              <w:ind w:left="1465"/>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w w:val="88"/>
              </w:rPr>
              <w:t>February 25, 2020</w:t>
            </w: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4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0"/>
              </w:rPr>
              <w:t>Morris A. Davis</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3"/>
        </w:trPr>
        <w:tc>
          <w:tcPr>
            <w:tcW w:w="540" w:type="dxa"/>
            <w:vAlign w:val="bottom"/>
          </w:tcPr>
          <w:p>
            <w:pPr>
              <w:spacing w:after="0"/>
              <w:rPr>
                <w:sz w:val="24"/>
                <w:szCs w:val="24"/>
                <w:color w:val="auto"/>
              </w:rPr>
            </w:pPr>
          </w:p>
        </w:tc>
        <w:tc>
          <w:tcPr>
            <w:tcW w:w="1840" w:type="dxa"/>
            <w:vAlign w:val="bottom"/>
            <w:gridSpan w:val="2"/>
          </w:tcPr>
          <w:p>
            <w:pPr>
              <w:jc w:val="center"/>
              <w:ind w:left="1465"/>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w w:val="88"/>
              </w:rPr>
              <w:t>February 25, 2020</w:t>
            </w: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4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Donna J. Blank</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3"/>
        </w:trPr>
        <w:tc>
          <w:tcPr>
            <w:tcW w:w="540" w:type="dxa"/>
            <w:vAlign w:val="bottom"/>
          </w:tcPr>
          <w:p>
            <w:pPr>
              <w:spacing w:after="0"/>
              <w:rPr>
                <w:sz w:val="24"/>
                <w:szCs w:val="24"/>
                <w:color w:val="auto"/>
              </w:rPr>
            </w:pPr>
          </w:p>
        </w:tc>
        <w:tc>
          <w:tcPr>
            <w:tcW w:w="1840" w:type="dxa"/>
            <w:vAlign w:val="bottom"/>
            <w:gridSpan w:val="2"/>
          </w:tcPr>
          <w:p>
            <w:pPr>
              <w:jc w:val="center"/>
              <w:ind w:left="1465"/>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w w:val="88"/>
              </w:rPr>
              <w:t>February 25, 2020</w:t>
            </w: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4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John D. Fisk</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3"/>
        </w:trPr>
        <w:tc>
          <w:tcPr>
            <w:tcW w:w="540" w:type="dxa"/>
            <w:vAlign w:val="bottom"/>
          </w:tcPr>
          <w:p>
            <w:pPr>
              <w:spacing w:after="0"/>
              <w:rPr>
                <w:sz w:val="24"/>
                <w:szCs w:val="24"/>
                <w:color w:val="auto"/>
              </w:rPr>
            </w:pPr>
          </w:p>
        </w:tc>
        <w:tc>
          <w:tcPr>
            <w:tcW w:w="1840" w:type="dxa"/>
            <w:vAlign w:val="bottom"/>
            <w:gridSpan w:val="2"/>
          </w:tcPr>
          <w:p>
            <w:pPr>
              <w:jc w:val="center"/>
              <w:ind w:left="1465"/>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w w:val="88"/>
              </w:rPr>
              <w:t>February 25, 2020</w:t>
            </w: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4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Prue B. Larocca</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3"/>
        </w:trPr>
        <w:tc>
          <w:tcPr>
            <w:tcW w:w="540" w:type="dxa"/>
            <w:vAlign w:val="bottom"/>
          </w:tcPr>
          <w:p>
            <w:pPr>
              <w:spacing w:after="0"/>
              <w:rPr>
                <w:sz w:val="24"/>
                <w:szCs w:val="24"/>
                <w:color w:val="auto"/>
              </w:rPr>
            </w:pPr>
          </w:p>
        </w:tc>
        <w:tc>
          <w:tcPr>
            <w:tcW w:w="1840" w:type="dxa"/>
            <w:vAlign w:val="bottom"/>
            <w:gridSpan w:val="2"/>
          </w:tcPr>
          <w:p>
            <w:pPr>
              <w:jc w:val="center"/>
              <w:ind w:left="1465"/>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w w:val="88"/>
              </w:rPr>
              <w:t>February 25, 2020</w:t>
            </w: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4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0"/>
              </w:rPr>
              <w:t>Paul E. Mullings</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3"/>
        </w:trPr>
        <w:tc>
          <w:tcPr>
            <w:tcW w:w="540" w:type="dxa"/>
            <w:vAlign w:val="bottom"/>
          </w:tcPr>
          <w:p>
            <w:pPr>
              <w:spacing w:after="0"/>
              <w:rPr>
                <w:sz w:val="24"/>
                <w:szCs w:val="24"/>
                <w:color w:val="auto"/>
              </w:rPr>
            </w:pPr>
          </w:p>
        </w:tc>
        <w:tc>
          <w:tcPr>
            <w:tcW w:w="1840" w:type="dxa"/>
            <w:vAlign w:val="bottom"/>
            <w:gridSpan w:val="2"/>
          </w:tcPr>
          <w:p>
            <w:pPr>
              <w:jc w:val="center"/>
              <w:ind w:left="1465"/>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w w:val="88"/>
              </w:rPr>
              <w:t>February 25, 2020</w:t>
            </w: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4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8"/>
              </w:rPr>
              <w:t>Frances R. Spark</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3"/>
        </w:trPr>
        <w:tc>
          <w:tcPr>
            <w:tcW w:w="540" w:type="dxa"/>
            <w:vAlign w:val="bottom"/>
          </w:tcPr>
          <w:p>
            <w:pPr>
              <w:ind w:left="100"/>
              <w:spacing w:after="0"/>
              <w:rPr>
                <w:sz w:val="20"/>
                <w:szCs w:val="20"/>
                <w:color w:val="auto"/>
              </w:rPr>
            </w:pPr>
            <w:r>
              <w:rPr>
                <w:rFonts w:ascii="Arial" w:cs="Arial" w:eastAsia="Arial" w:hAnsi="Arial"/>
                <w:sz w:val="16"/>
                <w:szCs w:val="16"/>
                <w:color w:val="auto"/>
              </w:rPr>
              <w:t>*By:</w:t>
            </w:r>
          </w:p>
        </w:tc>
        <w:tc>
          <w:tcPr>
            <w:tcW w:w="3400" w:type="dxa"/>
            <w:vAlign w:val="bottom"/>
            <w:gridSpan w:val="3"/>
          </w:tcPr>
          <w:p>
            <w:pPr>
              <w:jc w:val="center"/>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8"/>
                <w:szCs w:val="18"/>
                <w:color w:val="auto"/>
              </w:rPr>
              <w:t>K</w:t>
            </w:r>
            <w:r>
              <w:rPr>
                <w:rFonts w:ascii="Arial" w:cs="Arial" w:eastAsia="Arial" w:hAnsi="Arial"/>
                <w:sz w:val="14"/>
                <w:szCs w:val="14"/>
                <w:color w:val="auto"/>
              </w:rPr>
              <w:t>ENNETH</w:t>
            </w:r>
            <w:r>
              <w:rPr>
                <w:rFonts w:ascii="Arial" w:cs="Arial" w:eastAsia="Arial" w:hAnsi="Arial"/>
                <w:sz w:val="16"/>
                <w:szCs w:val="16"/>
                <w:color w:val="auto"/>
              </w:rPr>
              <w:t xml:space="preserve"> L. </w:t>
            </w:r>
            <w:r>
              <w:rPr>
                <w:rFonts w:ascii="Arial" w:cs="Arial" w:eastAsia="Arial" w:hAnsi="Arial"/>
                <w:sz w:val="18"/>
                <w:szCs w:val="18"/>
                <w:color w:val="auto"/>
              </w:rPr>
              <w:t>P</w:t>
            </w:r>
            <w:r>
              <w:rPr>
                <w:rFonts w:ascii="Arial" w:cs="Arial" w:eastAsia="Arial" w:hAnsi="Arial"/>
                <w:sz w:val="14"/>
                <w:szCs w:val="14"/>
                <w:color w:val="auto"/>
              </w:rPr>
              <w:t>OLLACK</w:t>
            </w: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4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Kenneth L. Pollack</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3400" w:type="dxa"/>
            <w:vAlign w:val="bottom"/>
            <w:gridSpan w:val="3"/>
          </w:tcPr>
          <w:p>
            <w:pPr>
              <w:jc w:val="center"/>
              <w:spacing w:after="0"/>
              <w:rPr>
                <w:sz w:val="20"/>
                <w:szCs w:val="20"/>
                <w:color w:val="auto"/>
              </w:rPr>
            </w:pPr>
            <w:r>
              <w:rPr>
                <w:rFonts w:ascii="Arial" w:cs="Arial" w:eastAsia="Arial" w:hAnsi="Arial"/>
                <w:sz w:val="13"/>
                <w:szCs w:val="13"/>
                <w:b w:val="1"/>
                <w:bCs w:val="1"/>
                <w:i w:val="1"/>
                <w:iCs w:val="1"/>
                <w:color w:val="auto"/>
                <w:w w:val="86"/>
              </w:rPr>
              <w:t>Attorney-in-fact</w:t>
            </w:r>
          </w:p>
        </w:tc>
        <w:tc>
          <w:tcPr>
            <w:tcW w:w="1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53"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553" w:right="239" w:bottom="1440" w:gutter="0" w:footer="0" w:header="0"/>
          <w:type w:val="continuous"/>
        </w:sectPr>
      </w:pPr>
    </w:p>
    <w:bookmarkStart w:id="90" w:name="page91"/>
    <w:bookmarkEnd w:id="90"/>
    <w:p>
      <w:pPr>
        <w:ind w:left="10540"/>
        <w:spacing w:after="0"/>
        <w:rPr>
          <w:sz w:val="20"/>
          <w:szCs w:val="20"/>
          <w:color w:val="auto"/>
        </w:rPr>
      </w:pPr>
      <w:r>
        <w:rPr>
          <w:rFonts w:ascii="Arial" w:cs="Arial" w:eastAsia="Arial" w:hAnsi="Arial"/>
          <w:sz w:val="18"/>
          <w:szCs w:val="18"/>
          <w:b w:val="1"/>
          <w:bCs w:val="1"/>
          <w:color w:val="auto"/>
        </w:rPr>
        <w:t>Exhibit 14</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AGNC INVESTMENT CORP. CODE OF ETHICS AND CONDUCT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Adopted: January 23, 2020</w:t>
      </w:r>
    </w:p>
    <w:p>
      <w:pPr>
        <w:spacing w:after="0" w:line="216"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20"/>
          <w:szCs w:val="20"/>
          <w:b w:val="1"/>
          <w:bCs w:val="1"/>
          <w:color w:val="auto"/>
        </w:rPr>
        <w:t>INTRODUCTION</w:t>
      </w:r>
    </w:p>
    <w:p>
      <w:pPr>
        <w:spacing w:after="0" w:line="21" w:lineRule="exact"/>
        <w:rPr>
          <w:rFonts w:ascii="Arial" w:cs="Arial" w:eastAsia="Arial" w:hAnsi="Arial"/>
          <w:sz w:val="18"/>
          <w:szCs w:val="18"/>
          <w:color w:val="auto"/>
        </w:rPr>
      </w:pPr>
    </w:p>
    <w:p>
      <w:pPr>
        <w:jc w:val="both"/>
        <w:ind w:left="660"/>
        <w:spacing w:after="0" w:line="241" w:lineRule="auto"/>
        <w:rPr>
          <w:rFonts w:ascii="Arial" w:cs="Arial" w:eastAsia="Arial" w:hAnsi="Arial"/>
          <w:sz w:val="18"/>
          <w:szCs w:val="18"/>
          <w:color w:val="auto"/>
        </w:rPr>
      </w:pPr>
      <w:r>
        <w:rPr>
          <w:rFonts w:ascii="Arial" w:cs="Arial" w:eastAsia="Arial" w:hAnsi="Arial"/>
          <w:sz w:val="20"/>
          <w:szCs w:val="20"/>
          <w:color w:val="auto"/>
        </w:rPr>
        <w:t>AGNC Investment Corp. (“AGNC”) has adopted this Code of Ethics and Conduct to communicate to all AGNC people the ethical and legal standards that we expect you to observe when dealing with AGNC, your AGNC colleagues, and others with whom we do business.</w:t>
      </w:r>
    </w:p>
    <w:p>
      <w:pPr>
        <w:spacing w:after="0" w:line="196" w:lineRule="exact"/>
        <w:rPr>
          <w:rFonts w:ascii="Arial" w:cs="Arial" w:eastAsia="Arial" w:hAnsi="Arial"/>
          <w:sz w:val="18"/>
          <w:szCs w:val="18"/>
          <w:color w:val="auto"/>
        </w:rPr>
      </w:pPr>
    </w:p>
    <w:p>
      <w:pPr>
        <w:jc w:val="both"/>
        <w:ind w:left="660"/>
        <w:spacing w:after="0" w:line="269" w:lineRule="auto"/>
        <w:rPr>
          <w:rFonts w:ascii="Arial" w:cs="Arial" w:eastAsia="Arial" w:hAnsi="Arial"/>
          <w:sz w:val="18"/>
          <w:szCs w:val="18"/>
          <w:color w:val="auto"/>
        </w:rPr>
      </w:pPr>
      <w:r>
        <w:rPr>
          <w:rFonts w:ascii="Arial" w:cs="Arial" w:eastAsia="Arial" w:hAnsi="Arial"/>
          <w:sz w:val="19"/>
          <w:szCs w:val="19"/>
          <w:color w:val="auto"/>
        </w:rPr>
        <w:t>Throughout this Code, we use the terms “AGNC people,” “you” and “your” to refer to all of AGNC’s and its subsidiaries’ directors, executive officers, employees and independent contractors, and the terms “AGNC,” the “company,” “we” and “our” to refer to AGNC and its subsidiaries. We use the term “Code” to refer to this document, as it may be amended from time to time.</w:t>
      </w:r>
    </w:p>
    <w:p>
      <w:pPr>
        <w:spacing w:after="0" w:line="170" w:lineRule="exact"/>
        <w:rPr>
          <w:rFonts w:ascii="Arial" w:cs="Arial" w:eastAsia="Arial" w:hAnsi="Arial"/>
          <w:sz w:val="18"/>
          <w:szCs w:val="18"/>
          <w:color w:val="auto"/>
        </w:rPr>
      </w:pPr>
    </w:p>
    <w:p>
      <w:pPr>
        <w:jc w:val="both"/>
        <w:ind w:left="660" w:right="20"/>
        <w:spacing w:after="0" w:line="246" w:lineRule="auto"/>
        <w:rPr>
          <w:rFonts w:ascii="Arial" w:cs="Arial" w:eastAsia="Arial" w:hAnsi="Arial"/>
          <w:sz w:val="18"/>
          <w:szCs w:val="18"/>
          <w:color w:val="auto"/>
        </w:rPr>
      </w:pPr>
      <w:r>
        <w:rPr>
          <w:rFonts w:ascii="Arial" w:cs="Arial" w:eastAsia="Arial" w:hAnsi="Arial"/>
          <w:sz w:val="20"/>
          <w:szCs w:val="20"/>
          <w:color w:val="auto"/>
        </w:rPr>
        <w:t>We expect all AGNC people to act ethically and obey the law. When you encounter ethical or legal issues where you are not certain about the correct course of action, you should use principles described in this Code as guideposts in deciding how to proceed. We have adopted this Code to give you guidance for resolving these ethical and legal issues. In particular, this Code addresses the following general topics:</w:t>
      </w:r>
    </w:p>
    <w:p>
      <w:pPr>
        <w:spacing w:after="0" w:line="191" w:lineRule="exact"/>
        <w:rPr>
          <w:rFonts w:ascii="Arial" w:cs="Arial" w:eastAsia="Arial" w:hAnsi="Arial"/>
          <w:sz w:val="18"/>
          <w:szCs w:val="18"/>
          <w:color w:val="auto"/>
        </w:rPr>
      </w:pPr>
    </w:p>
    <w:p>
      <w:pPr>
        <w:ind w:left="2020" w:hanging="715"/>
        <w:spacing w:after="0"/>
        <w:tabs>
          <w:tab w:leader="none" w:pos="2020" w:val="left"/>
        </w:tabs>
        <w:numPr>
          <w:ilvl w:val="1"/>
          <w:numId w:val="65"/>
        </w:numPr>
        <w:rPr>
          <w:rFonts w:ascii="Arial" w:cs="Arial" w:eastAsia="Arial" w:hAnsi="Arial"/>
          <w:sz w:val="18"/>
          <w:szCs w:val="18"/>
          <w:color w:val="auto"/>
        </w:rPr>
      </w:pPr>
      <w:r>
        <w:rPr>
          <w:rFonts w:ascii="Arial" w:cs="Arial" w:eastAsia="Arial" w:hAnsi="Arial"/>
          <w:sz w:val="20"/>
          <w:szCs w:val="20"/>
          <w:color w:val="auto"/>
        </w:rPr>
        <w:t>Observing all laws and regulations</w:t>
      </w:r>
    </w:p>
    <w:p>
      <w:pPr>
        <w:spacing w:after="0" w:line="15" w:lineRule="exact"/>
        <w:rPr>
          <w:rFonts w:ascii="Arial" w:cs="Arial" w:eastAsia="Arial" w:hAnsi="Arial"/>
          <w:sz w:val="18"/>
          <w:szCs w:val="18"/>
          <w:color w:val="auto"/>
        </w:rPr>
      </w:pPr>
    </w:p>
    <w:p>
      <w:pPr>
        <w:ind w:left="2020" w:hanging="715"/>
        <w:spacing w:after="0"/>
        <w:tabs>
          <w:tab w:leader="none" w:pos="2020" w:val="left"/>
        </w:tabs>
        <w:numPr>
          <w:ilvl w:val="1"/>
          <w:numId w:val="65"/>
        </w:numPr>
        <w:rPr>
          <w:rFonts w:ascii="Arial" w:cs="Arial" w:eastAsia="Arial" w:hAnsi="Arial"/>
          <w:sz w:val="18"/>
          <w:szCs w:val="18"/>
          <w:color w:val="auto"/>
        </w:rPr>
      </w:pPr>
      <w:r>
        <w:rPr>
          <w:rFonts w:ascii="Arial" w:cs="Arial" w:eastAsia="Arial" w:hAnsi="Arial"/>
          <w:sz w:val="20"/>
          <w:szCs w:val="20"/>
          <w:color w:val="auto"/>
        </w:rPr>
        <w:t>Avoiding conflicts of interest</w:t>
      </w:r>
    </w:p>
    <w:p>
      <w:pPr>
        <w:ind w:left="2020" w:hanging="715"/>
        <w:spacing w:after="0"/>
        <w:tabs>
          <w:tab w:leader="none" w:pos="2020" w:val="left"/>
        </w:tabs>
        <w:numPr>
          <w:ilvl w:val="1"/>
          <w:numId w:val="65"/>
        </w:numPr>
        <w:rPr>
          <w:rFonts w:ascii="Arial" w:cs="Arial" w:eastAsia="Arial" w:hAnsi="Arial"/>
          <w:sz w:val="18"/>
          <w:szCs w:val="18"/>
          <w:color w:val="auto"/>
        </w:rPr>
      </w:pPr>
      <w:r>
        <w:rPr>
          <w:rFonts w:ascii="Arial" w:cs="Arial" w:eastAsia="Arial" w:hAnsi="Arial"/>
          <w:sz w:val="20"/>
          <w:szCs w:val="20"/>
          <w:color w:val="auto"/>
        </w:rPr>
        <w:t>Maintaining accurate and complete company records</w:t>
      </w:r>
    </w:p>
    <w:p>
      <w:pPr>
        <w:ind w:left="2020" w:hanging="715"/>
        <w:spacing w:after="0"/>
        <w:tabs>
          <w:tab w:leader="none" w:pos="2020" w:val="left"/>
        </w:tabs>
        <w:numPr>
          <w:ilvl w:val="1"/>
          <w:numId w:val="65"/>
        </w:numPr>
        <w:rPr>
          <w:rFonts w:ascii="Arial" w:cs="Arial" w:eastAsia="Arial" w:hAnsi="Arial"/>
          <w:sz w:val="18"/>
          <w:szCs w:val="18"/>
          <w:color w:val="auto"/>
        </w:rPr>
      </w:pPr>
      <w:r>
        <w:rPr>
          <w:rFonts w:ascii="Arial" w:cs="Arial" w:eastAsia="Arial" w:hAnsi="Arial"/>
          <w:sz w:val="20"/>
          <w:szCs w:val="20"/>
          <w:color w:val="auto"/>
        </w:rPr>
        <w:t>Protecting confidential information</w:t>
      </w:r>
    </w:p>
    <w:p>
      <w:pPr>
        <w:jc w:val="both"/>
        <w:ind w:left="660"/>
        <w:spacing w:after="0" w:line="241" w:lineRule="auto"/>
        <w:rPr>
          <w:sz w:val="20"/>
          <w:szCs w:val="20"/>
          <w:color w:val="auto"/>
        </w:rPr>
      </w:pPr>
      <w:r>
        <w:rPr>
          <w:rFonts w:ascii="Arial" w:cs="Arial" w:eastAsia="Arial" w:hAnsi="Arial"/>
          <w:sz w:val="20"/>
          <w:szCs w:val="20"/>
          <w:color w:val="auto"/>
        </w:rPr>
        <w:t>Because rapid changes in our industry and in the law constantly present new issues, we cannot create guidelines that address all circumstances or constitute the definitive answer on any question. When you are in doubt about the correct or best course of action, or have questions about the Code, you should always consider consulting your supervisor, the Chief Compliance Officer of the company (the “Chief Compliance Officer”) or the Legal team for guidance.</w:t>
      </w:r>
    </w:p>
    <w:p>
      <w:pPr>
        <w:spacing w:after="0" w:line="195"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We firmly believe that a strong commitment to ethical and legal conduct is essential for us successfully to achieve our purpose and vision. We therefore require all AGNC people to comply with this Code. To help ensure this compliance, we have established a procedure for reporting suspected violations of this Code. Any violations of this Code may result in disciplinary action, including termination of employment or contract, as applicable. These matters are described in more detail at the end of this Code.</w:t>
      </w:r>
    </w:p>
    <w:p>
      <w:pPr>
        <w:spacing w:after="0" w:line="156"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20"/>
          <w:szCs w:val="20"/>
          <w:b w:val="1"/>
          <w:bCs w:val="1"/>
          <w:color w:val="auto"/>
        </w:rPr>
        <w:t>OBSERVING ALL LAWS, RULES AND REGULATIONS</w:t>
      </w:r>
    </w:p>
    <w:p>
      <w:pPr>
        <w:spacing w:after="0" w:line="21" w:lineRule="exact"/>
        <w:rPr>
          <w:rFonts w:ascii="Arial" w:cs="Arial" w:eastAsia="Arial" w:hAnsi="Arial"/>
          <w:sz w:val="18"/>
          <w:szCs w:val="18"/>
          <w:color w:val="auto"/>
        </w:rPr>
      </w:pPr>
    </w:p>
    <w:p>
      <w:pPr>
        <w:ind w:left="1300" w:hanging="644"/>
        <w:spacing w:after="0"/>
        <w:tabs>
          <w:tab w:leader="none" w:pos="1300" w:val="left"/>
        </w:tabs>
        <w:numPr>
          <w:ilvl w:val="1"/>
          <w:numId w:val="66"/>
        </w:numPr>
        <w:rPr>
          <w:rFonts w:ascii="Arial" w:cs="Arial" w:eastAsia="Arial" w:hAnsi="Arial"/>
          <w:sz w:val="18"/>
          <w:szCs w:val="18"/>
          <w:color w:val="auto"/>
        </w:rPr>
      </w:pPr>
      <w:r>
        <w:rPr>
          <w:rFonts w:ascii="Arial" w:cs="Arial" w:eastAsia="Arial" w:hAnsi="Arial"/>
          <w:sz w:val="20"/>
          <w:szCs w:val="20"/>
          <w:b w:val="1"/>
          <w:bCs w:val="1"/>
          <w:color w:val="auto"/>
        </w:rPr>
        <w:t>GENERALLY</w:t>
      </w:r>
    </w:p>
    <w:p>
      <w:pPr>
        <w:jc w:val="both"/>
        <w:ind w:left="1300"/>
        <w:spacing w:after="0" w:line="282" w:lineRule="auto"/>
        <w:rPr>
          <w:rFonts w:ascii="Arial" w:cs="Arial" w:eastAsia="Arial" w:hAnsi="Arial"/>
          <w:sz w:val="18"/>
          <w:szCs w:val="18"/>
          <w:color w:val="auto"/>
        </w:rPr>
      </w:pPr>
      <w:r>
        <w:rPr>
          <w:rFonts w:ascii="Arial" w:cs="Arial" w:eastAsia="Arial" w:hAnsi="Arial"/>
          <w:sz w:val="18"/>
          <w:szCs w:val="18"/>
          <w:color w:val="auto"/>
        </w:rPr>
        <w:t>We expect you to comply with all applicable local, state and federal laws, rules and regulations, both domestic and international, and refrain from illegal, dishonest or unethical conduct. Although laws, rules and regulations may sometimes be ambiguous and difficult to interpret, we expect you to make a good-faith effort to follow both the letter and the spirit of the law.</w:t>
      </w:r>
    </w:p>
    <w:p>
      <w:pPr>
        <w:spacing w:after="0" w:line="159" w:lineRule="exact"/>
        <w:rPr>
          <w:rFonts w:ascii="Arial" w:cs="Arial" w:eastAsia="Arial" w:hAnsi="Arial"/>
          <w:sz w:val="18"/>
          <w:szCs w:val="18"/>
          <w:color w:val="auto"/>
        </w:rPr>
      </w:pPr>
    </w:p>
    <w:p>
      <w:pPr>
        <w:jc w:val="both"/>
        <w:ind w:left="1300"/>
        <w:spacing w:after="0" w:line="258" w:lineRule="auto"/>
        <w:rPr>
          <w:rFonts w:ascii="Arial" w:cs="Arial" w:eastAsia="Arial" w:hAnsi="Arial"/>
          <w:sz w:val="18"/>
          <w:szCs w:val="18"/>
          <w:color w:val="auto"/>
        </w:rPr>
      </w:pPr>
      <w:r>
        <w:rPr>
          <w:rFonts w:ascii="Arial" w:cs="Arial" w:eastAsia="Arial" w:hAnsi="Arial"/>
          <w:sz w:val="19"/>
          <w:szCs w:val="19"/>
          <w:color w:val="auto"/>
        </w:rPr>
        <w:t>In addition, we expect you to comply with all AGNC policies and procedures that apply to you. These include, but are not limited to, our policies on securities trading, political contributions, equal opportunity, harassment, drug-free workplace, computer usage and information technology, data protection and expense reimbursement and travel, as well as our internal financial controls and procedures. We may modify or update these policies and procedures in the future and adopt new company policies and procedures from time to time. You are also expected to observe the terms of any confidentiality agreement, employment agreement, consulting agreement or other similar agreement that applies to you. If you previously signed one of these agreements with AGNC, it remains in full force and effect.</w:t>
      </w:r>
    </w:p>
    <w:p>
      <w:pPr>
        <w:sectPr>
          <w:pgSz w:w="11900" w:h="16838" w:orient="portrait"/>
          <w:cols w:equalWidth="0" w:num="1">
            <w:col w:w="11420"/>
          </w:cols>
          <w:pgMar w:left="240" w:top="549" w:right="239" w:bottom="1440" w:gutter="0" w:footer="0" w:header="0"/>
        </w:sectPr>
      </w:pPr>
    </w:p>
    <w:bookmarkStart w:id="91" w:name="page92"/>
    <w:bookmarkEnd w:id="91"/>
    <w:p>
      <w:pPr>
        <w:ind w:left="644" w:hanging="644"/>
        <w:spacing w:after="0"/>
        <w:tabs>
          <w:tab w:leader="none" w:pos="644" w:val="left"/>
        </w:tabs>
        <w:numPr>
          <w:ilvl w:val="0"/>
          <w:numId w:val="67"/>
        </w:numPr>
        <w:rPr>
          <w:rFonts w:ascii="Arial" w:cs="Arial" w:eastAsia="Arial" w:hAnsi="Arial"/>
          <w:sz w:val="18"/>
          <w:szCs w:val="18"/>
          <w:color w:val="auto"/>
        </w:rPr>
      </w:pPr>
      <w:r>
        <w:rPr>
          <w:rFonts w:ascii="Arial" w:cs="Arial" w:eastAsia="Arial" w:hAnsi="Arial"/>
          <w:sz w:val="20"/>
          <w:szCs w:val="20"/>
          <w:b w:val="1"/>
          <w:bCs w:val="1"/>
          <w:color w:val="auto"/>
        </w:rPr>
        <w:t>BRIBES AND KICKBACKS</w:t>
      </w:r>
    </w:p>
    <w:p>
      <w:pPr>
        <w:spacing w:after="0" w:line="21" w:lineRule="exact"/>
        <w:rPr>
          <w:rFonts w:ascii="Arial" w:cs="Arial" w:eastAsia="Arial" w:hAnsi="Arial"/>
          <w:sz w:val="18"/>
          <w:szCs w:val="18"/>
          <w:color w:val="auto"/>
        </w:rPr>
      </w:pPr>
    </w:p>
    <w:p>
      <w:pPr>
        <w:jc w:val="both"/>
        <w:ind w:left="644"/>
        <w:spacing w:after="0" w:line="274" w:lineRule="auto"/>
        <w:rPr>
          <w:rFonts w:ascii="Arial" w:cs="Arial" w:eastAsia="Arial" w:hAnsi="Arial"/>
          <w:sz w:val="18"/>
          <w:szCs w:val="18"/>
          <w:color w:val="auto"/>
        </w:rPr>
      </w:pPr>
      <w:r>
        <w:rPr>
          <w:rFonts w:ascii="Arial" w:cs="Arial" w:eastAsia="Arial" w:hAnsi="Arial"/>
          <w:sz w:val="18"/>
          <w:szCs w:val="18"/>
          <w:color w:val="auto"/>
        </w:rPr>
        <w:t>Bribery is illegal and subject to criminal penalties in the United States and many other countries. Bribery is forbidden under the U.S. Foreign Corrupt Practices Act (the “FCPA”), which is described in more detail in Section B.3 of this Code, and other laws, rules and regulations. You may not give any bribes, kickbacks or other similar considerations to any person or organization to attract business. All decisions regarding the investing of our assets or the purchasing of goods and services must be made on the basis of applicable investment or acquisition criteria, and in a way that preserves AGNC’s integrity.</w:t>
      </w:r>
    </w:p>
    <w:p>
      <w:pPr>
        <w:spacing w:after="0" w:line="166" w:lineRule="exact"/>
        <w:rPr>
          <w:rFonts w:ascii="Arial" w:cs="Arial" w:eastAsia="Arial" w:hAnsi="Arial"/>
          <w:sz w:val="18"/>
          <w:szCs w:val="18"/>
          <w:color w:val="auto"/>
        </w:rPr>
      </w:pPr>
    </w:p>
    <w:p>
      <w:pPr>
        <w:jc w:val="both"/>
        <w:ind w:left="644"/>
        <w:spacing w:after="0" w:line="246" w:lineRule="auto"/>
        <w:rPr>
          <w:rFonts w:ascii="Arial" w:cs="Arial" w:eastAsia="Arial" w:hAnsi="Arial"/>
          <w:sz w:val="18"/>
          <w:szCs w:val="18"/>
          <w:color w:val="auto"/>
        </w:rPr>
      </w:pPr>
      <w:r>
        <w:rPr>
          <w:rFonts w:ascii="Arial" w:cs="Arial" w:eastAsia="Arial" w:hAnsi="Arial"/>
          <w:sz w:val="20"/>
          <w:szCs w:val="20"/>
          <w:color w:val="auto"/>
        </w:rPr>
        <w:t>Fees, commissions or other amounts paid to outside consultants, agents or other third parties must be fully disclosed in our investment process or otherwise to our Chief Compliance Officer and must be legal, proper and reasonable in relation to customary commercial practice. Payments to these persons should never be used to accomplish indirectly what AGNC could not properly or legally do directly.</w:t>
      </w:r>
    </w:p>
    <w:p>
      <w:pPr>
        <w:spacing w:after="0" w:line="191" w:lineRule="exact"/>
        <w:rPr>
          <w:rFonts w:ascii="Arial" w:cs="Arial" w:eastAsia="Arial" w:hAnsi="Arial"/>
          <w:sz w:val="18"/>
          <w:szCs w:val="18"/>
          <w:color w:val="auto"/>
        </w:rPr>
      </w:pPr>
    </w:p>
    <w:p>
      <w:pPr>
        <w:jc w:val="both"/>
        <w:ind w:left="644"/>
        <w:spacing w:after="0" w:line="250" w:lineRule="auto"/>
        <w:rPr>
          <w:rFonts w:ascii="Arial" w:cs="Arial" w:eastAsia="Arial" w:hAnsi="Arial"/>
          <w:sz w:val="18"/>
          <w:szCs w:val="18"/>
          <w:color w:val="auto"/>
        </w:rPr>
      </w:pPr>
      <w:r>
        <w:rPr>
          <w:rFonts w:ascii="Arial" w:cs="Arial" w:eastAsia="Arial" w:hAnsi="Arial"/>
          <w:sz w:val="20"/>
          <w:szCs w:val="20"/>
          <w:color w:val="auto"/>
        </w:rPr>
        <w:t>You should also be familiar with, and observe, the provisions of Section C.3 of this Code relating to Gifts, Gratuities and Entertainment, because the giving or receiving of such items could constitute an illegal bribe or kickback under certain circumstances.</w:t>
      </w:r>
    </w:p>
    <w:p>
      <w:pPr>
        <w:spacing w:after="0" w:line="180" w:lineRule="exact"/>
        <w:rPr>
          <w:rFonts w:ascii="Arial" w:cs="Arial" w:eastAsia="Arial" w:hAnsi="Arial"/>
          <w:sz w:val="18"/>
          <w:szCs w:val="18"/>
          <w:color w:val="auto"/>
        </w:rPr>
      </w:pPr>
    </w:p>
    <w:p>
      <w:pPr>
        <w:ind w:left="644" w:hanging="644"/>
        <w:spacing w:after="0"/>
        <w:tabs>
          <w:tab w:leader="none" w:pos="644" w:val="left"/>
        </w:tabs>
        <w:numPr>
          <w:ilvl w:val="0"/>
          <w:numId w:val="67"/>
        </w:numPr>
        <w:rPr>
          <w:rFonts w:ascii="Arial" w:cs="Arial" w:eastAsia="Arial" w:hAnsi="Arial"/>
          <w:sz w:val="18"/>
          <w:szCs w:val="18"/>
          <w:color w:val="auto"/>
        </w:rPr>
      </w:pPr>
      <w:r>
        <w:rPr>
          <w:rFonts w:ascii="Arial" w:cs="Arial" w:eastAsia="Arial" w:hAnsi="Arial"/>
          <w:sz w:val="20"/>
          <w:szCs w:val="20"/>
          <w:b w:val="1"/>
          <w:bCs w:val="1"/>
          <w:color w:val="auto"/>
        </w:rPr>
        <w:t>POLITICAL ACTIVITY</w:t>
      </w:r>
    </w:p>
    <w:p>
      <w:pPr>
        <w:spacing w:after="0" w:line="21" w:lineRule="exact"/>
        <w:rPr>
          <w:rFonts w:ascii="Arial" w:cs="Arial" w:eastAsia="Arial" w:hAnsi="Arial"/>
          <w:sz w:val="18"/>
          <w:szCs w:val="18"/>
          <w:color w:val="auto"/>
        </w:rPr>
      </w:pPr>
    </w:p>
    <w:p>
      <w:pPr>
        <w:jc w:val="both"/>
        <w:ind w:left="644"/>
        <w:spacing w:after="0" w:line="272" w:lineRule="auto"/>
        <w:rPr>
          <w:rFonts w:ascii="Arial" w:cs="Arial" w:eastAsia="Arial" w:hAnsi="Arial"/>
          <w:sz w:val="18"/>
          <w:szCs w:val="18"/>
          <w:color w:val="auto"/>
        </w:rPr>
      </w:pPr>
      <w:r>
        <w:rPr>
          <w:rFonts w:ascii="Arial" w:cs="Arial" w:eastAsia="Arial" w:hAnsi="Arial"/>
          <w:sz w:val="18"/>
          <w:szCs w:val="18"/>
          <w:color w:val="auto"/>
        </w:rPr>
        <w:t>We do not make contributions or payments that could be considered a contribution to political parties or candidates or to intermediary organizations such as political action committees. However, you are free to exercise your right to make personal political contributions within legal limits, except to the extent these contributions are otherwise prohibited or restricted by other AGNC policies. You should not make these contributions in a way that might appear to be an endorsement or contribution by AGNC. You should be certain that you understand, and are complying with, all such laws, rules and regulations before making any political contributions. We will not reimburse you for political contributions in any way.</w:t>
      </w:r>
    </w:p>
    <w:p>
      <w:pPr>
        <w:spacing w:after="0" w:line="164" w:lineRule="exact"/>
        <w:rPr>
          <w:rFonts w:ascii="Arial" w:cs="Arial" w:eastAsia="Arial" w:hAnsi="Arial"/>
          <w:sz w:val="18"/>
          <w:szCs w:val="18"/>
          <w:color w:val="auto"/>
        </w:rPr>
      </w:pPr>
    </w:p>
    <w:p>
      <w:pPr>
        <w:ind w:left="644" w:hanging="644"/>
        <w:spacing w:after="0"/>
        <w:tabs>
          <w:tab w:leader="none" w:pos="644" w:val="left"/>
        </w:tabs>
        <w:numPr>
          <w:ilvl w:val="0"/>
          <w:numId w:val="67"/>
        </w:numPr>
        <w:rPr>
          <w:rFonts w:ascii="Arial" w:cs="Arial" w:eastAsia="Arial" w:hAnsi="Arial"/>
          <w:sz w:val="18"/>
          <w:szCs w:val="18"/>
          <w:color w:val="auto"/>
        </w:rPr>
      </w:pPr>
      <w:r>
        <w:rPr>
          <w:rFonts w:ascii="Arial" w:cs="Arial" w:eastAsia="Arial" w:hAnsi="Arial"/>
          <w:sz w:val="20"/>
          <w:szCs w:val="20"/>
          <w:b w:val="1"/>
          <w:bCs w:val="1"/>
          <w:color w:val="auto"/>
        </w:rPr>
        <w:t>ANTITRUST</w:t>
      </w:r>
    </w:p>
    <w:p>
      <w:pPr>
        <w:spacing w:after="0" w:line="21" w:lineRule="exact"/>
        <w:rPr>
          <w:rFonts w:ascii="Arial" w:cs="Arial" w:eastAsia="Arial" w:hAnsi="Arial"/>
          <w:sz w:val="18"/>
          <w:szCs w:val="18"/>
          <w:color w:val="auto"/>
        </w:rPr>
      </w:pPr>
    </w:p>
    <w:p>
      <w:pPr>
        <w:jc w:val="both"/>
        <w:ind w:left="644"/>
        <w:spacing w:after="0"/>
        <w:rPr>
          <w:rFonts w:ascii="Arial" w:cs="Arial" w:eastAsia="Arial" w:hAnsi="Arial"/>
          <w:sz w:val="18"/>
          <w:szCs w:val="18"/>
          <w:color w:val="auto"/>
        </w:rPr>
      </w:pPr>
      <w:r>
        <w:rPr>
          <w:rFonts w:ascii="Arial" w:cs="Arial" w:eastAsia="Arial" w:hAnsi="Arial"/>
          <w:sz w:val="20"/>
          <w:szCs w:val="20"/>
          <w:color w:val="auto"/>
        </w:rPr>
        <w:t>Antitrust laws generally prohibit agreements or actions that restrain trade or reduce competition. The free enterprise system rests on the notion that free and open competition is the best way to ensure an adequate supply of products and services at reasonable prices. We expect you to adhere to both the spirit and the letter of the antitrust laws of the United States and with all applicable antitrust laws governing competition in any country in which AGNC does business. Violation of antitrust laws can result in severe civil and criminal penalties, including imprisonment for individuals, and AGNC can be subjected to substantial fines and damage awards.</w:t>
      </w:r>
    </w:p>
    <w:p>
      <w:pPr>
        <w:spacing w:after="0" w:line="191" w:lineRule="exact"/>
        <w:rPr>
          <w:rFonts w:ascii="Arial" w:cs="Arial" w:eastAsia="Arial" w:hAnsi="Arial"/>
          <w:sz w:val="18"/>
          <w:szCs w:val="18"/>
          <w:color w:val="auto"/>
        </w:rPr>
      </w:pPr>
    </w:p>
    <w:p>
      <w:pPr>
        <w:ind w:left="1304" w:hanging="655"/>
        <w:spacing w:after="0"/>
        <w:tabs>
          <w:tab w:leader="none" w:pos="1304" w:val="left"/>
        </w:tabs>
        <w:numPr>
          <w:ilvl w:val="1"/>
          <w:numId w:val="67"/>
        </w:numPr>
        <w:rPr>
          <w:rFonts w:ascii="Arial" w:cs="Arial" w:eastAsia="Arial" w:hAnsi="Arial"/>
          <w:sz w:val="18"/>
          <w:szCs w:val="18"/>
          <w:color w:val="auto"/>
        </w:rPr>
      </w:pPr>
      <w:r>
        <w:rPr>
          <w:rFonts w:ascii="Arial" w:cs="Arial" w:eastAsia="Arial" w:hAnsi="Arial"/>
          <w:sz w:val="20"/>
          <w:szCs w:val="20"/>
          <w:b w:val="1"/>
          <w:bCs w:val="1"/>
          <w:color w:val="auto"/>
        </w:rPr>
        <w:t>Agreements with Competitors</w:t>
      </w:r>
    </w:p>
    <w:p>
      <w:pPr>
        <w:spacing w:after="0" w:line="21" w:lineRule="exact"/>
        <w:rPr>
          <w:rFonts w:ascii="Arial" w:cs="Arial" w:eastAsia="Arial" w:hAnsi="Arial"/>
          <w:sz w:val="18"/>
          <w:szCs w:val="18"/>
          <w:color w:val="auto"/>
        </w:rPr>
      </w:pPr>
    </w:p>
    <w:p>
      <w:pPr>
        <w:ind w:left="1304"/>
        <w:spacing w:after="0" w:line="244" w:lineRule="auto"/>
        <w:rPr>
          <w:rFonts w:ascii="Arial" w:cs="Arial" w:eastAsia="Arial" w:hAnsi="Arial"/>
          <w:sz w:val="18"/>
          <w:szCs w:val="18"/>
          <w:color w:val="auto"/>
        </w:rPr>
      </w:pPr>
      <w:r>
        <w:rPr>
          <w:rFonts w:ascii="Arial" w:cs="Arial" w:eastAsia="Arial" w:hAnsi="Arial"/>
          <w:sz w:val="20"/>
          <w:szCs w:val="20"/>
          <w:color w:val="auto"/>
        </w:rPr>
        <w:t>The following agreements, arrangements or understandings between AGNC and its competitors (whether oral or in writing) should be avoided:</w:t>
      </w:r>
    </w:p>
    <w:p>
      <w:pPr>
        <w:spacing w:after="0" w:line="191" w:lineRule="exact"/>
        <w:rPr>
          <w:rFonts w:ascii="Arial" w:cs="Arial" w:eastAsia="Arial" w:hAnsi="Arial"/>
          <w:sz w:val="18"/>
          <w:szCs w:val="18"/>
          <w:color w:val="auto"/>
        </w:rPr>
      </w:pPr>
    </w:p>
    <w:p>
      <w:pPr>
        <w:ind w:left="1624" w:hanging="327"/>
        <w:spacing w:after="0"/>
        <w:tabs>
          <w:tab w:leader="none" w:pos="1624" w:val="left"/>
        </w:tabs>
        <w:numPr>
          <w:ilvl w:val="2"/>
          <w:numId w:val="67"/>
        </w:numPr>
        <w:rPr>
          <w:rFonts w:ascii="Arial" w:cs="Arial" w:eastAsia="Arial" w:hAnsi="Arial"/>
          <w:sz w:val="16"/>
          <w:szCs w:val="16"/>
          <w:color w:val="auto"/>
        </w:rPr>
      </w:pPr>
      <w:r>
        <w:rPr>
          <w:rFonts w:ascii="Arial" w:cs="Arial" w:eastAsia="Arial" w:hAnsi="Arial"/>
          <w:sz w:val="18"/>
          <w:szCs w:val="18"/>
          <w:color w:val="auto"/>
        </w:rPr>
        <w:t>Agreements that affect the price or other terms or conditions of sale of products or the terms on which we invest;</w:t>
      </w:r>
    </w:p>
    <w:p>
      <w:pPr>
        <w:spacing w:after="0" w:line="38" w:lineRule="exact"/>
        <w:rPr>
          <w:rFonts w:ascii="Arial" w:cs="Arial" w:eastAsia="Arial" w:hAnsi="Arial"/>
          <w:sz w:val="16"/>
          <w:szCs w:val="16"/>
          <w:color w:val="auto"/>
        </w:rPr>
      </w:pPr>
    </w:p>
    <w:p>
      <w:pPr>
        <w:ind w:left="1624" w:right="120" w:hanging="327"/>
        <w:spacing w:after="0" w:line="239" w:lineRule="auto"/>
        <w:tabs>
          <w:tab w:leader="none" w:pos="1624" w:val="left"/>
        </w:tabs>
        <w:numPr>
          <w:ilvl w:val="2"/>
          <w:numId w:val="67"/>
        </w:numPr>
        <w:rPr>
          <w:rFonts w:ascii="Arial" w:cs="Arial" w:eastAsia="Arial" w:hAnsi="Arial"/>
          <w:sz w:val="18"/>
          <w:szCs w:val="18"/>
          <w:color w:val="auto"/>
        </w:rPr>
      </w:pPr>
      <w:r>
        <w:rPr>
          <w:rFonts w:ascii="Arial" w:cs="Arial" w:eastAsia="Arial" w:hAnsi="Arial"/>
          <w:sz w:val="20"/>
          <w:szCs w:val="20"/>
          <w:color w:val="auto"/>
        </w:rPr>
        <w:t>Agreements regarding the companies in which AGNC or its managed companies will, or will not, invest or sell or provide services;</w:t>
      </w:r>
    </w:p>
    <w:p>
      <w:pPr>
        <w:spacing w:after="0" w:line="1" w:lineRule="exact"/>
        <w:rPr>
          <w:rFonts w:ascii="Arial" w:cs="Arial" w:eastAsia="Arial" w:hAnsi="Arial"/>
          <w:sz w:val="18"/>
          <w:szCs w:val="18"/>
          <w:color w:val="auto"/>
        </w:rPr>
      </w:pPr>
    </w:p>
    <w:p>
      <w:pPr>
        <w:ind w:left="1624" w:hanging="327"/>
        <w:spacing w:after="0"/>
        <w:tabs>
          <w:tab w:leader="none" w:pos="1624" w:val="left"/>
        </w:tabs>
        <w:numPr>
          <w:ilvl w:val="2"/>
          <w:numId w:val="67"/>
        </w:numPr>
        <w:rPr>
          <w:rFonts w:ascii="Arial" w:cs="Arial" w:eastAsia="Arial" w:hAnsi="Arial"/>
          <w:sz w:val="15"/>
          <w:szCs w:val="15"/>
          <w:color w:val="auto"/>
        </w:rPr>
      </w:pPr>
      <w:r>
        <w:rPr>
          <w:rFonts w:ascii="Arial" w:cs="Arial" w:eastAsia="Arial" w:hAnsi="Arial"/>
          <w:sz w:val="16"/>
          <w:szCs w:val="16"/>
          <w:color w:val="auto"/>
        </w:rPr>
        <w:t>Agreements to refuse to invest in or sell to particular businesses or to refuse to buy from particular businesses; and</w:t>
      </w:r>
    </w:p>
    <w:p>
      <w:pPr>
        <w:spacing w:after="0" w:line="45" w:lineRule="exact"/>
        <w:rPr>
          <w:rFonts w:ascii="Arial" w:cs="Arial" w:eastAsia="Arial" w:hAnsi="Arial"/>
          <w:sz w:val="15"/>
          <w:szCs w:val="15"/>
          <w:color w:val="auto"/>
        </w:rPr>
      </w:pPr>
    </w:p>
    <w:p>
      <w:pPr>
        <w:ind w:left="1624" w:hanging="327"/>
        <w:spacing w:after="0"/>
        <w:tabs>
          <w:tab w:leader="none" w:pos="1624" w:val="left"/>
        </w:tabs>
        <w:numPr>
          <w:ilvl w:val="2"/>
          <w:numId w:val="67"/>
        </w:numPr>
        <w:rPr>
          <w:rFonts w:ascii="Arial" w:cs="Arial" w:eastAsia="Arial" w:hAnsi="Arial"/>
          <w:sz w:val="18"/>
          <w:szCs w:val="18"/>
          <w:color w:val="auto"/>
        </w:rPr>
      </w:pPr>
      <w:r>
        <w:rPr>
          <w:rFonts w:ascii="Arial" w:cs="Arial" w:eastAsia="Arial" w:hAnsi="Arial"/>
          <w:sz w:val="20"/>
          <w:szCs w:val="20"/>
          <w:color w:val="auto"/>
        </w:rPr>
        <w:t>Agreements that limit the types of investments that AGNC will make.</w:t>
      </w:r>
    </w:p>
    <w:p>
      <w:pPr>
        <w:jc w:val="both"/>
        <w:ind w:left="1304"/>
        <w:spacing w:after="0"/>
        <w:rPr>
          <w:sz w:val="20"/>
          <w:szCs w:val="20"/>
          <w:color w:val="auto"/>
        </w:rPr>
      </w:pPr>
      <w:r>
        <w:rPr>
          <w:rFonts w:ascii="Arial" w:cs="Arial" w:eastAsia="Arial" w:hAnsi="Arial"/>
          <w:sz w:val="20"/>
          <w:szCs w:val="20"/>
          <w:color w:val="auto"/>
        </w:rPr>
        <w:t>Contacts with our competitors are sensitive and risky, because courts can infer an agreement or collusion from these contacts when they are followed by common action or behavior. We recognize that we may need to work with our competitors in the regular course of our business. In all contacts with our competitors, you are expected to avoid discussing prices, costs, competition, division of markets, marketing plans or studies, or any other proprietary or confidential information.</w:t>
      </w:r>
    </w:p>
    <w:p>
      <w:pPr>
        <w:sectPr>
          <w:pgSz w:w="11900" w:h="16838" w:orient="portrait"/>
          <w:cols w:equalWidth="0" w:num="1">
            <w:col w:w="10764"/>
          </w:cols>
          <w:pgMar w:left="896" w:top="549" w:right="239" w:bottom="1440" w:gutter="0" w:footer="0" w:header="0"/>
        </w:sectPr>
      </w:pPr>
    </w:p>
    <w:bookmarkStart w:id="92" w:name="page93"/>
    <w:bookmarkEnd w:id="92"/>
    <w:p>
      <w:pPr>
        <w:ind w:left="1304"/>
        <w:spacing w:after="0" w:line="316" w:lineRule="auto"/>
        <w:rPr>
          <w:sz w:val="20"/>
          <w:szCs w:val="20"/>
          <w:color w:val="auto"/>
        </w:rPr>
      </w:pPr>
      <w:r>
        <w:rPr>
          <w:rFonts w:ascii="Arial" w:cs="Arial" w:eastAsia="Arial" w:hAnsi="Arial"/>
          <w:sz w:val="18"/>
          <w:szCs w:val="18"/>
          <w:color w:val="auto"/>
        </w:rPr>
        <w:t>If any competitor initiates a discussion with you involving the subjects above, you should immediately excuse yourself from the conversation and report the matter to the Chief Compliance Officer or a member of the Legal team.</w:t>
      </w:r>
    </w:p>
    <w:p>
      <w:pPr>
        <w:spacing w:after="0" w:line="124" w:lineRule="exact"/>
        <w:rPr>
          <w:sz w:val="20"/>
          <w:szCs w:val="20"/>
          <w:color w:val="auto"/>
        </w:rPr>
      </w:pPr>
    </w:p>
    <w:p>
      <w:pPr>
        <w:ind w:left="644" w:hanging="644"/>
        <w:spacing w:after="0"/>
        <w:tabs>
          <w:tab w:leader="none" w:pos="644" w:val="left"/>
        </w:tabs>
        <w:numPr>
          <w:ilvl w:val="0"/>
          <w:numId w:val="68"/>
        </w:numPr>
        <w:rPr>
          <w:rFonts w:ascii="Arial" w:cs="Arial" w:eastAsia="Arial" w:hAnsi="Arial"/>
          <w:sz w:val="18"/>
          <w:szCs w:val="18"/>
          <w:color w:val="auto"/>
        </w:rPr>
      </w:pPr>
      <w:r>
        <w:rPr>
          <w:rFonts w:ascii="Arial" w:cs="Arial" w:eastAsia="Arial" w:hAnsi="Arial"/>
          <w:sz w:val="20"/>
          <w:szCs w:val="20"/>
          <w:b w:val="1"/>
          <w:bCs w:val="1"/>
          <w:color w:val="auto"/>
        </w:rPr>
        <w:t>SECURITIES LAWS AND INSIDER TRADING</w:t>
      </w:r>
    </w:p>
    <w:p>
      <w:pPr>
        <w:spacing w:after="0" w:line="21" w:lineRule="exact"/>
        <w:rPr>
          <w:rFonts w:ascii="Arial" w:cs="Arial" w:eastAsia="Arial" w:hAnsi="Arial"/>
          <w:sz w:val="18"/>
          <w:szCs w:val="18"/>
          <w:color w:val="auto"/>
        </w:rPr>
      </w:pPr>
    </w:p>
    <w:p>
      <w:pPr>
        <w:jc w:val="both"/>
        <w:ind w:left="644"/>
        <w:spacing w:after="0" w:line="282" w:lineRule="auto"/>
        <w:rPr>
          <w:rFonts w:ascii="Arial" w:cs="Arial" w:eastAsia="Arial" w:hAnsi="Arial"/>
          <w:sz w:val="18"/>
          <w:szCs w:val="18"/>
          <w:color w:val="auto"/>
        </w:rPr>
      </w:pPr>
      <w:r>
        <w:rPr>
          <w:rFonts w:ascii="Arial" w:cs="Arial" w:eastAsia="Arial" w:hAnsi="Arial"/>
          <w:sz w:val="18"/>
          <w:szCs w:val="18"/>
          <w:color w:val="auto"/>
        </w:rPr>
        <w:t>The U.S. federal securities laws are built on the premise that a purchaser and a seller of securities should have equal access to important information regarding the company whose securities they are trading. Consequently, federal securities laws forbid an investor from purchasing or selling securities based upon inside information not available to the other party.</w:t>
      </w:r>
    </w:p>
    <w:p>
      <w:pPr>
        <w:spacing w:after="0" w:line="159" w:lineRule="exact"/>
        <w:rPr>
          <w:rFonts w:ascii="Arial" w:cs="Arial" w:eastAsia="Arial" w:hAnsi="Arial"/>
          <w:sz w:val="18"/>
          <w:szCs w:val="18"/>
          <w:color w:val="auto"/>
        </w:rPr>
      </w:pPr>
    </w:p>
    <w:p>
      <w:pPr>
        <w:jc w:val="both"/>
        <w:ind w:left="644"/>
        <w:spacing w:after="0" w:line="244" w:lineRule="auto"/>
        <w:rPr>
          <w:rFonts w:ascii="Arial" w:cs="Arial" w:eastAsia="Arial" w:hAnsi="Arial"/>
          <w:sz w:val="18"/>
          <w:szCs w:val="18"/>
          <w:color w:val="auto"/>
        </w:rPr>
      </w:pPr>
      <w:r>
        <w:rPr>
          <w:rFonts w:ascii="Arial" w:cs="Arial" w:eastAsia="Arial" w:hAnsi="Arial"/>
          <w:sz w:val="20"/>
          <w:szCs w:val="20"/>
          <w:color w:val="auto"/>
        </w:rPr>
        <w:t>The consequences of insider trading violations can be severe. AGNC people who trade on inside information, or who communicate (or tip) this information to others so that they may trade, may face a civil penalty of up to three times the profit gained (or loss avoided), a substantial criminal fine and a jail term of up to ten years. Additionally, if we or our senior officers do not take appropriate steps to prevent AGNC people from insider trading, we may also face severe legal consequences, including, among other things, substantial criminal penalties.</w:t>
      </w:r>
    </w:p>
    <w:p>
      <w:pPr>
        <w:spacing w:after="0" w:line="188" w:lineRule="exact"/>
        <w:rPr>
          <w:rFonts w:ascii="Arial" w:cs="Arial" w:eastAsia="Arial" w:hAnsi="Arial"/>
          <w:sz w:val="18"/>
          <w:szCs w:val="18"/>
          <w:color w:val="auto"/>
        </w:rPr>
      </w:pPr>
    </w:p>
    <w:p>
      <w:pPr>
        <w:ind w:left="1304" w:hanging="655"/>
        <w:spacing w:after="0"/>
        <w:tabs>
          <w:tab w:leader="none" w:pos="1304" w:val="left"/>
        </w:tabs>
        <w:numPr>
          <w:ilvl w:val="1"/>
          <w:numId w:val="68"/>
        </w:numPr>
        <w:rPr>
          <w:rFonts w:ascii="Arial" w:cs="Arial" w:eastAsia="Arial" w:hAnsi="Arial"/>
          <w:sz w:val="18"/>
          <w:szCs w:val="18"/>
          <w:color w:val="auto"/>
        </w:rPr>
      </w:pPr>
      <w:r>
        <w:rPr>
          <w:rFonts w:ascii="Arial" w:cs="Arial" w:eastAsia="Arial" w:hAnsi="Arial"/>
          <w:sz w:val="20"/>
          <w:szCs w:val="20"/>
          <w:b w:val="1"/>
          <w:bCs w:val="1"/>
          <w:color w:val="auto"/>
        </w:rPr>
        <w:t>Policy Statement</w:t>
      </w:r>
    </w:p>
    <w:p>
      <w:pPr>
        <w:spacing w:after="0" w:line="21" w:lineRule="exact"/>
        <w:rPr>
          <w:rFonts w:ascii="Arial" w:cs="Arial" w:eastAsia="Arial" w:hAnsi="Arial"/>
          <w:sz w:val="18"/>
          <w:szCs w:val="18"/>
          <w:color w:val="auto"/>
        </w:rPr>
      </w:pPr>
    </w:p>
    <w:p>
      <w:pPr>
        <w:jc w:val="both"/>
        <w:ind w:left="1304"/>
        <w:spacing w:after="0"/>
        <w:rPr>
          <w:rFonts w:ascii="Arial" w:cs="Arial" w:eastAsia="Arial" w:hAnsi="Arial"/>
          <w:sz w:val="18"/>
          <w:szCs w:val="18"/>
          <w:color w:val="auto"/>
        </w:rPr>
      </w:pPr>
      <w:r>
        <w:rPr>
          <w:rFonts w:ascii="Arial" w:cs="Arial" w:eastAsia="Arial" w:hAnsi="Arial"/>
          <w:sz w:val="20"/>
          <w:szCs w:val="20"/>
          <w:color w:val="auto"/>
        </w:rPr>
        <w:t>AGNC people who have material, nonpublic (i.e., inside) information about AGNC should not buy or sell AGNC securities (including derivative securities such as put and call options) until a reasonable time after the inside information has been publicly disclosed. You also should not disclose inside information to others outside AGNC until a reasonable time after the information has been publicly disclosed. In addition, it is never appropriate for you to advise others to buy or sell AGNC securities.</w:t>
      </w:r>
    </w:p>
    <w:p>
      <w:pPr>
        <w:spacing w:after="0" w:line="198" w:lineRule="exact"/>
        <w:rPr>
          <w:rFonts w:ascii="Arial" w:cs="Arial" w:eastAsia="Arial" w:hAnsi="Arial"/>
          <w:sz w:val="18"/>
          <w:szCs w:val="18"/>
          <w:color w:val="auto"/>
        </w:rPr>
      </w:pPr>
    </w:p>
    <w:p>
      <w:pPr>
        <w:jc w:val="both"/>
        <w:ind w:left="1304"/>
        <w:spacing w:after="0" w:line="246" w:lineRule="auto"/>
        <w:rPr>
          <w:rFonts w:ascii="Arial" w:cs="Arial" w:eastAsia="Arial" w:hAnsi="Arial"/>
          <w:sz w:val="18"/>
          <w:szCs w:val="18"/>
          <w:color w:val="auto"/>
        </w:rPr>
      </w:pPr>
      <w:r>
        <w:rPr>
          <w:rFonts w:ascii="Arial" w:cs="Arial" w:eastAsia="Arial" w:hAnsi="Arial"/>
          <w:sz w:val="20"/>
          <w:szCs w:val="20"/>
          <w:color w:val="auto"/>
        </w:rPr>
        <w:t>We further believe that it is highly inappropriate for any AGNC person to sell short AGNC stock or engage in other transactions where the person will earn a profit based on a decline in AGNC’s stock price. Details regarding limitations on such transactions for employees of AGNC and its affiliates are included in the AGNC Mortgage Management, LLC Personal Investments Code.</w:t>
      </w:r>
    </w:p>
    <w:p>
      <w:pPr>
        <w:spacing w:after="0" w:line="191" w:lineRule="exact"/>
        <w:rPr>
          <w:rFonts w:ascii="Arial" w:cs="Arial" w:eastAsia="Arial" w:hAnsi="Arial"/>
          <w:sz w:val="18"/>
          <w:szCs w:val="18"/>
          <w:color w:val="auto"/>
        </w:rPr>
      </w:pPr>
    </w:p>
    <w:p>
      <w:pPr>
        <w:ind w:left="1304"/>
        <w:spacing w:after="0" w:line="260" w:lineRule="auto"/>
        <w:rPr>
          <w:rFonts w:ascii="Arial" w:cs="Arial" w:eastAsia="Arial" w:hAnsi="Arial"/>
          <w:sz w:val="18"/>
          <w:szCs w:val="18"/>
          <w:color w:val="auto"/>
        </w:rPr>
      </w:pPr>
      <w:r>
        <w:rPr>
          <w:rFonts w:ascii="Arial" w:cs="Arial" w:eastAsia="Arial" w:hAnsi="Arial"/>
          <w:sz w:val="20"/>
          <w:szCs w:val="20"/>
          <w:color w:val="auto"/>
        </w:rPr>
        <w:t>These rules also apply to the use of material, nonpublic information about other companies (including, for example, our clients, competitors and potential business partners).</w:t>
      </w:r>
    </w:p>
    <w:p>
      <w:pPr>
        <w:spacing w:after="0" w:line="176" w:lineRule="exact"/>
        <w:rPr>
          <w:rFonts w:ascii="Arial" w:cs="Arial" w:eastAsia="Arial" w:hAnsi="Arial"/>
          <w:sz w:val="18"/>
          <w:szCs w:val="18"/>
          <w:color w:val="auto"/>
        </w:rPr>
      </w:pPr>
    </w:p>
    <w:p>
      <w:pPr>
        <w:ind w:left="1304"/>
        <w:spacing w:after="0" w:line="260" w:lineRule="auto"/>
        <w:rPr>
          <w:rFonts w:ascii="Arial" w:cs="Arial" w:eastAsia="Arial" w:hAnsi="Arial"/>
          <w:sz w:val="18"/>
          <w:szCs w:val="18"/>
          <w:color w:val="auto"/>
        </w:rPr>
      </w:pPr>
      <w:r>
        <w:rPr>
          <w:rFonts w:ascii="Arial" w:cs="Arial" w:eastAsia="Arial" w:hAnsi="Arial"/>
          <w:sz w:val="20"/>
          <w:szCs w:val="20"/>
          <w:color w:val="auto"/>
        </w:rPr>
        <w:t>In addition to you, these rules apply to your spouse, children and any other family members living with you in your household.</w:t>
      </w:r>
    </w:p>
    <w:p>
      <w:pPr>
        <w:spacing w:after="0" w:line="170" w:lineRule="exact"/>
        <w:rPr>
          <w:rFonts w:ascii="Arial" w:cs="Arial" w:eastAsia="Arial" w:hAnsi="Arial"/>
          <w:sz w:val="18"/>
          <w:szCs w:val="18"/>
          <w:color w:val="auto"/>
        </w:rPr>
      </w:pPr>
    </w:p>
    <w:p>
      <w:pPr>
        <w:ind w:left="1304" w:hanging="655"/>
        <w:spacing w:after="0"/>
        <w:tabs>
          <w:tab w:leader="none" w:pos="1304" w:val="left"/>
        </w:tabs>
        <w:numPr>
          <w:ilvl w:val="1"/>
          <w:numId w:val="68"/>
        </w:numPr>
        <w:rPr>
          <w:rFonts w:ascii="Arial" w:cs="Arial" w:eastAsia="Arial" w:hAnsi="Arial"/>
          <w:sz w:val="18"/>
          <w:szCs w:val="18"/>
          <w:color w:val="auto"/>
        </w:rPr>
      </w:pPr>
      <w:r>
        <w:rPr>
          <w:rFonts w:ascii="Arial" w:cs="Arial" w:eastAsia="Arial" w:hAnsi="Arial"/>
          <w:sz w:val="20"/>
          <w:szCs w:val="20"/>
          <w:b w:val="1"/>
          <w:bCs w:val="1"/>
          <w:color w:val="auto"/>
        </w:rPr>
        <w:t>Further Explanation</w:t>
      </w:r>
    </w:p>
    <w:p>
      <w:pPr>
        <w:spacing w:after="0" w:line="21" w:lineRule="exact"/>
        <w:rPr>
          <w:rFonts w:ascii="Arial" w:cs="Arial" w:eastAsia="Arial" w:hAnsi="Arial"/>
          <w:sz w:val="18"/>
          <w:szCs w:val="18"/>
          <w:color w:val="auto"/>
        </w:rPr>
      </w:pPr>
    </w:p>
    <w:p>
      <w:pPr>
        <w:jc w:val="both"/>
        <w:ind w:left="1944" w:hanging="647"/>
        <w:spacing w:after="0" w:line="252" w:lineRule="auto"/>
        <w:tabs>
          <w:tab w:leader="none" w:pos="1944" w:val="left"/>
        </w:tabs>
        <w:numPr>
          <w:ilvl w:val="2"/>
          <w:numId w:val="68"/>
        </w:numPr>
        <w:rPr>
          <w:rFonts w:ascii="Arial" w:cs="Arial" w:eastAsia="Arial" w:hAnsi="Arial"/>
          <w:sz w:val="17"/>
          <w:szCs w:val="17"/>
          <w:color w:val="auto"/>
        </w:rPr>
      </w:pPr>
      <w:r>
        <w:rPr>
          <w:rFonts w:ascii="Arial" w:cs="Arial" w:eastAsia="Arial" w:hAnsi="Arial"/>
          <w:sz w:val="19"/>
          <w:szCs w:val="19"/>
          <w:b w:val="1"/>
          <w:bCs w:val="1"/>
          <w:color w:val="auto"/>
        </w:rPr>
        <w:t xml:space="preserve">What is inside information? </w:t>
      </w:r>
      <w:r>
        <w:rPr>
          <w:rFonts w:ascii="Arial" w:cs="Arial" w:eastAsia="Arial" w:hAnsi="Arial"/>
          <w:sz w:val="19"/>
          <w:szCs w:val="19"/>
          <w:color w:val="auto"/>
        </w:rPr>
        <w:t>Inside information is material information about an entity, including AGNC, that</w:t>
      </w:r>
      <w:r>
        <w:rPr>
          <w:rFonts w:ascii="Arial" w:cs="Arial" w:eastAsia="Arial" w:hAnsi="Arial"/>
          <w:sz w:val="19"/>
          <w:szCs w:val="19"/>
          <w:b w:val="1"/>
          <w:bCs w:val="1"/>
          <w:color w:val="auto"/>
        </w:rPr>
        <w:t xml:space="preserve"> </w:t>
      </w:r>
      <w:r>
        <w:rPr>
          <w:rFonts w:ascii="Arial" w:cs="Arial" w:eastAsia="Arial" w:hAnsi="Arial"/>
          <w:sz w:val="19"/>
          <w:szCs w:val="19"/>
          <w:color w:val="auto"/>
        </w:rPr>
        <w:t>has not been publicly disclosed. For instance, this information could relate to AGNC’s investments, financial condition, earnings or business, or to any important development in which we may be involved.</w:t>
      </w:r>
    </w:p>
    <w:p>
      <w:pPr>
        <w:jc w:val="both"/>
        <w:ind w:left="1944" w:hanging="647"/>
        <w:spacing w:after="0" w:line="239" w:lineRule="auto"/>
        <w:tabs>
          <w:tab w:leader="none" w:pos="1944" w:val="left"/>
        </w:tabs>
        <w:numPr>
          <w:ilvl w:val="2"/>
          <w:numId w:val="68"/>
        </w:numPr>
        <w:rPr>
          <w:rFonts w:ascii="Arial" w:cs="Arial" w:eastAsia="Arial" w:hAnsi="Arial"/>
          <w:sz w:val="18"/>
          <w:szCs w:val="18"/>
          <w:color w:val="auto"/>
        </w:rPr>
      </w:pPr>
      <w:r>
        <w:rPr>
          <w:rFonts w:ascii="Arial" w:cs="Arial" w:eastAsia="Arial" w:hAnsi="Arial"/>
          <w:sz w:val="20"/>
          <w:szCs w:val="20"/>
          <w:b w:val="1"/>
          <w:bCs w:val="1"/>
          <w:color w:val="auto"/>
        </w:rPr>
        <w:t xml:space="preserve">What information is material? </w:t>
      </w:r>
      <w:r>
        <w:rPr>
          <w:rFonts w:ascii="Arial" w:cs="Arial" w:eastAsia="Arial" w:hAnsi="Arial"/>
          <w:sz w:val="20"/>
          <w:szCs w:val="20"/>
          <w:color w:val="auto"/>
        </w:rPr>
        <w:t>Information is material if it is information that a reasonable investor might</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 important in deciding whether to buy, sell or hold securities. Examples of information that may be material include: financial results or forecasts; a significant proposed acquisition or sale of a business; a stock split; significant litigation; and changes in customary earnings trends.</w:t>
      </w:r>
    </w:p>
    <w:p>
      <w:pPr>
        <w:spacing w:after="0" w:line="2" w:lineRule="exact"/>
        <w:rPr>
          <w:rFonts w:ascii="Arial" w:cs="Arial" w:eastAsia="Arial" w:hAnsi="Arial"/>
          <w:sz w:val="18"/>
          <w:szCs w:val="18"/>
          <w:color w:val="auto"/>
        </w:rPr>
      </w:pPr>
    </w:p>
    <w:p>
      <w:pPr>
        <w:jc w:val="both"/>
        <w:ind w:left="1944" w:hanging="647"/>
        <w:spacing w:after="0"/>
        <w:tabs>
          <w:tab w:leader="none" w:pos="1944" w:val="left"/>
        </w:tabs>
        <w:numPr>
          <w:ilvl w:val="2"/>
          <w:numId w:val="68"/>
        </w:numPr>
        <w:rPr>
          <w:rFonts w:ascii="Arial" w:cs="Arial" w:eastAsia="Arial" w:hAnsi="Arial"/>
          <w:sz w:val="18"/>
          <w:szCs w:val="18"/>
          <w:color w:val="auto"/>
        </w:rPr>
      </w:pPr>
      <w:r>
        <w:rPr>
          <w:rFonts w:ascii="Arial" w:cs="Arial" w:eastAsia="Arial" w:hAnsi="Arial"/>
          <w:sz w:val="20"/>
          <w:szCs w:val="20"/>
          <w:b w:val="1"/>
          <w:bCs w:val="1"/>
          <w:color w:val="auto"/>
        </w:rPr>
        <w:t xml:space="preserve">What information is nonpublic? </w:t>
      </w:r>
      <w:r>
        <w:rPr>
          <w:rFonts w:ascii="Arial" w:cs="Arial" w:eastAsia="Arial" w:hAnsi="Arial"/>
          <w:sz w:val="20"/>
          <w:szCs w:val="20"/>
          <w:color w:val="auto"/>
        </w:rPr>
        <w:t>Information is nonpublic until the time it has been effectively disclosed to</w:t>
      </w:r>
      <w:r>
        <w:rPr>
          <w:rFonts w:ascii="Arial" w:cs="Arial" w:eastAsia="Arial" w:hAnsi="Arial"/>
          <w:sz w:val="20"/>
          <w:szCs w:val="20"/>
          <w:b w:val="1"/>
          <w:bCs w:val="1"/>
          <w:color w:val="auto"/>
        </w:rPr>
        <w:t xml:space="preserve"> </w:t>
      </w:r>
      <w:r>
        <w:rPr>
          <w:rFonts w:ascii="Arial" w:cs="Arial" w:eastAsia="Arial" w:hAnsi="Arial"/>
          <w:sz w:val="20"/>
          <w:szCs w:val="20"/>
          <w:color w:val="auto"/>
        </w:rPr>
        <w:t>the public. Effective disclosure generally occurs when information is included in a press release, is revealed during a conference call to which the general public has been invited to participate or is included in our public filings with the U.S. Securities and Exchange Commission. Under certain circumstances, effective disclosure may occur by other means.</w:t>
      </w:r>
    </w:p>
    <w:p>
      <w:pPr>
        <w:sectPr>
          <w:pgSz w:w="11900" w:h="16838" w:orient="portrait"/>
          <w:cols w:equalWidth="0" w:num="1">
            <w:col w:w="10764"/>
          </w:cols>
          <w:pgMar w:left="896" w:top="555" w:right="239" w:bottom="1440" w:gutter="0" w:footer="0" w:header="0"/>
        </w:sectPr>
      </w:pPr>
    </w:p>
    <w:bookmarkStart w:id="93" w:name="page94"/>
    <w:bookmarkEnd w:id="93"/>
    <w:p>
      <w:pPr>
        <w:jc w:val="both"/>
        <w:ind w:left="1944" w:hanging="647"/>
        <w:spacing w:after="0" w:line="272" w:lineRule="auto"/>
        <w:tabs>
          <w:tab w:leader="none" w:pos="1944" w:val="left"/>
        </w:tabs>
        <w:numPr>
          <w:ilvl w:val="2"/>
          <w:numId w:val="69"/>
        </w:numPr>
        <w:rPr>
          <w:rFonts w:ascii="Arial" w:cs="Arial" w:eastAsia="Arial" w:hAnsi="Arial"/>
          <w:sz w:val="16"/>
          <w:szCs w:val="16"/>
          <w:color w:val="auto"/>
        </w:rPr>
      </w:pPr>
      <w:r>
        <w:rPr>
          <w:rFonts w:ascii="Arial" w:cs="Arial" w:eastAsia="Arial" w:hAnsi="Arial"/>
          <w:sz w:val="18"/>
          <w:szCs w:val="18"/>
          <w:b w:val="1"/>
          <w:bCs w:val="1"/>
          <w:color w:val="auto"/>
        </w:rPr>
        <w:t xml:space="preserve">What is a reasonable waiting period before purchases and sales can be made? </w:t>
      </w:r>
      <w:r>
        <w:rPr>
          <w:rFonts w:ascii="Arial" w:cs="Arial" w:eastAsia="Arial" w:hAnsi="Arial"/>
          <w:sz w:val="18"/>
          <w:szCs w:val="18"/>
          <w:color w:val="auto"/>
        </w:rPr>
        <w:t>The investing public must</w:t>
      </w:r>
      <w:r>
        <w:rPr>
          <w:rFonts w:ascii="Arial" w:cs="Arial" w:eastAsia="Arial" w:hAnsi="Arial"/>
          <w:sz w:val="18"/>
          <w:szCs w:val="18"/>
          <w:b w:val="1"/>
          <w:bCs w:val="1"/>
          <w:color w:val="auto"/>
        </w:rPr>
        <w:t xml:space="preserve"> </w:t>
      </w:r>
      <w:r>
        <w:rPr>
          <w:rFonts w:ascii="Arial" w:cs="Arial" w:eastAsia="Arial" w:hAnsi="Arial"/>
          <w:sz w:val="18"/>
          <w:szCs w:val="18"/>
          <w:color w:val="auto"/>
        </w:rPr>
        <w:t>have sufficient time to analyze the information that has been disclosed before those possessing previously nonpublic information can trade. For matters disclosed in an AGNC press release or conference call, a good rule of thumb is that purchases and sales can be made beginning 24 hours after the disclosure.</w:t>
      </w:r>
    </w:p>
    <w:p>
      <w:pPr>
        <w:spacing w:after="0" w:line="2" w:lineRule="exact"/>
        <w:rPr>
          <w:rFonts w:ascii="Arial" w:cs="Arial" w:eastAsia="Arial" w:hAnsi="Arial"/>
          <w:sz w:val="16"/>
          <w:szCs w:val="16"/>
          <w:color w:val="auto"/>
        </w:rPr>
      </w:pPr>
    </w:p>
    <w:p>
      <w:pPr>
        <w:jc w:val="both"/>
        <w:ind w:left="1944" w:hanging="647"/>
        <w:spacing w:after="0" w:line="266" w:lineRule="auto"/>
        <w:tabs>
          <w:tab w:leader="none" w:pos="1944" w:val="left"/>
        </w:tabs>
        <w:numPr>
          <w:ilvl w:val="2"/>
          <w:numId w:val="69"/>
        </w:numPr>
        <w:rPr>
          <w:rFonts w:ascii="Arial" w:cs="Arial" w:eastAsia="Arial" w:hAnsi="Arial"/>
          <w:sz w:val="16"/>
          <w:szCs w:val="16"/>
          <w:color w:val="auto"/>
        </w:rPr>
      </w:pPr>
      <w:r>
        <w:rPr>
          <w:rFonts w:ascii="Arial" w:cs="Arial" w:eastAsia="Arial" w:hAnsi="Arial"/>
          <w:sz w:val="18"/>
          <w:szCs w:val="18"/>
          <w:b w:val="1"/>
          <w:bCs w:val="1"/>
          <w:color w:val="auto"/>
        </w:rPr>
        <w:t xml:space="preserve">What transactions are prohibited? </w:t>
      </w:r>
      <w:r>
        <w:rPr>
          <w:rFonts w:ascii="Arial" w:cs="Arial" w:eastAsia="Arial" w:hAnsi="Arial"/>
          <w:sz w:val="18"/>
          <w:szCs w:val="18"/>
          <w:color w:val="auto"/>
        </w:rPr>
        <w:t>An AGNC person who has inside information about AGNC or another</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is prohibited from: (a) trading in AGNC’s or the other company’s securities (including derivative securities such as put and call options); (b) having others trade in AGNC’s or the other company’s securities for your benefit; and (c) disclosing the inside information to (or tipping) anyone else who might then trade. These prohibitions continue for as long as the information remains material and nonpublic.</w:t>
      </w:r>
    </w:p>
    <w:p>
      <w:pPr>
        <w:jc w:val="both"/>
        <w:ind w:left="1944" w:hanging="647"/>
        <w:spacing w:after="0" w:line="252" w:lineRule="auto"/>
        <w:tabs>
          <w:tab w:leader="none" w:pos="1944" w:val="left"/>
        </w:tabs>
        <w:numPr>
          <w:ilvl w:val="2"/>
          <w:numId w:val="69"/>
        </w:numPr>
        <w:rPr>
          <w:rFonts w:ascii="Arial" w:cs="Arial" w:eastAsia="Arial" w:hAnsi="Arial"/>
          <w:sz w:val="17"/>
          <w:szCs w:val="17"/>
          <w:color w:val="auto"/>
        </w:rPr>
      </w:pPr>
      <w:r>
        <w:rPr>
          <w:rFonts w:ascii="Arial" w:cs="Arial" w:eastAsia="Arial" w:hAnsi="Arial"/>
          <w:sz w:val="19"/>
          <w:szCs w:val="19"/>
          <w:b w:val="1"/>
          <w:bCs w:val="1"/>
          <w:color w:val="auto"/>
        </w:rPr>
        <w:t xml:space="preserve">What transactions are allowed? </w:t>
      </w:r>
      <w:r>
        <w:rPr>
          <w:rFonts w:ascii="Arial" w:cs="Arial" w:eastAsia="Arial" w:hAnsi="Arial"/>
          <w:sz w:val="19"/>
          <w:szCs w:val="19"/>
          <w:color w:val="auto"/>
        </w:rPr>
        <w:t>An AGNC person who has inside information about AGNC may,</w:t>
      </w:r>
      <w:r>
        <w:rPr>
          <w:rFonts w:ascii="Arial" w:cs="Arial" w:eastAsia="Arial" w:hAnsi="Arial"/>
          <w:sz w:val="19"/>
          <w:szCs w:val="19"/>
          <w:b w:val="1"/>
          <w:bCs w:val="1"/>
          <w:color w:val="auto"/>
        </w:rPr>
        <w:t xml:space="preserve"> </w:t>
      </w:r>
      <w:r>
        <w:rPr>
          <w:rFonts w:ascii="Arial" w:cs="Arial" w:eastAsia="Arial" w:hAnsi="Arial"/>
          <w:sz w:val="19"/>
          <w:szCs w:val="19"/>
          <w:color w:val="auto"/>
        </w:rPr>
        <w:t>nonetheless, usually exercise AGNC stock options for cash (but may not sell the option shares he or she receives upon the exercise). These cash option exercise purchases are allowed because the other party to the transactions is AGNC itself, and because the option exercise purchase price does not vary with the market, but, rather, is fixed in advance under the terms of the option plan. Additionally, certain transactions that occur under an automatic investment plan, such as a dividend reinvestment plan or a company approved Rule 10b5-1 plan, if any, are permitted in such circumstances. You should contact the Chief Compliance Officer or a member of our Legal team with any questions.</w:t>
      </w:r>
    </w:p>
    <w:p>
      <w:pPr>
        <w:spacing w:after="0" w:line="1" w:lineRule="exact"/>
        <w:rPr>
          <w:rFonts w:ascii="Arial" w:cs="Arial" w:eastAsia="Arial" w:hAnsi="Arial"/>
          <w:sz w:val="17"/>
          <w:szCs w:val="17"/>
          <w:color w:val="auto"/>
        </w:rPr>
      </w:pPr>
    </w:p>
    <w:p>
      <w:pPr>
        <w:ind w:left="1304" w:hanging="655"/>
        <w:spacing w:after="0"/>
        <w:tabs>
          <w:tab w:leader="none" w:pos="1304" w:val="left"/>
        </w:tabs>
        <w:numPr>
          <w:ilvl w:val="1"/>
          <w:numId w:val="70"/>
        </w:numPr>
        <w:rPr>
          <w:rFonts w:ascii="Arial" w:cs="Arial" w:eastAsia="Arial" w:hAnsi="Arial"/>
          <w:sz w:val="18"/>
          <w:szCs w:val="18"/>
          <w:color w:val="auto"/>
        </w:rPr>
      </w:pPr>
      <w:r>
        <w:rPr>
          <w:rFonts w:ascii="Arial" w:cs="Arial" w:eastAsia="Arial" w:hAnsi="Arial"/>
          <w:sz w:val="20"/>
          <w:szCs w:val="20"/>
          <w:b w:val="1"/>
          <w:bCs w:val="1"/>
          <w:color w:val="auto"/>
        </w:rPr>
        <w:t>Blackout Period for Trading in AGNC Securities</w:t>
      </w:r>
    </w:p>
    <w:p>
      <w:pPr>
        <w:jc w:val="both"/>
        <w:ind w:left="1304"/>
        <w:spacing w:after="0" w:line="241" w:lineRule="auto"/>
        <w:rPr>
          <w:rFonts w:ascii="Arial" w:cs="Arial" w:eastAsia="Arial" w:hAnsi="Arial"/>
          <w:sz w:val="18"/>
          <w:szCs w:val="18"/>
          <w:color w:val="auto"/>
        </w:rPr>
      </w:pPr>
      <w:r>
        <w:rPr>
          <w:rFonts w:ascii="Arial" w:cs="Arial" w:eastAsia="Arial" w:hAnsi="Arial"/>
          <w:sz w:val="20"/>
          <w:szCs w:val="20"/>
          <w:color w:val="auto"/>
        </w:rPr>
        <w:t>In addition to our general Insider Trading Policy, which is summarized above, we may institute from time to time blackout periods during which AGNC persons will be precluded from trading in AGNC securities (including derivative securities such as put and call options). The Chief Compliance Officer will typically be responsible for implementing such practices.</w:t>
      </w:r>
    </w:p>
    <w:p>
      <w:pPr>
        <w:spacing w:after="0" w:line="188" w:lineRule="exact"/>
        <w:rPr>
          <w:rFonts w:ascii="Arial" w:cs="Arial" w:eastAsia="Arial" w:hAnsi="Arial"/>
          <w:sz w:val="18"/>
          <w:szCs w:val="18"/>
          <w:color w:val="auto"/>
        </w:rPr>
      </w:pPr>
    </w:p>
    <w:p>
      <w:pPr>
        <w:ind w:left="644" w:hanging="644"/>
        <w:spacing w:after="0"/>
        <w:tabs>
          <w:tab w:leader="none" w:pos="644" w:val="left"/>
        </w:tabs>
        <w:numPr>
          <w:ilvl w:val="0"/>
          <w:numId w:val="71"/>
        </w:numPr>
        <w:rPr>
          <w:rFonts w:ascii="Arial" w:cs="Arial" w:eastAsia="Arial" w:hAnsi="Arial"/>
          <w:sz w:val="18"/>
          <w:szCs w:val="18"/>
          <w:color w:val="auto"/>
        </w:rPr>
      </w:pPr>
      <w:r>
        <w:rPr>
          <w:rFonts w:ascii="Arial" w:cs="Arial" w:eastAsia="Arial" w:hAnsi="Arial"/>
          <w:sz w:val="20"/>
          <w:szCs w:val="20"/>
          <w:b w:val="1"/>
          <w:bCs w:val="1"/>
          <w:color w:val="auto"/>
        </w:rPr>
        <w:t>HARASSMENT AND DISCRIMINATION</w:t>
      </w:r>
    </w:p>
    <w:p>
      <w:pPr>
        <w:spacing w:after="0" w:line="21" w:lineRule="exact"/>
        <w:rPr>
          <w:rFonts w:ascii="Arial" w:cs="Arial" w:eastAsia="Arial" w:hAnsi="Arial"/>
          <w:sz w:val="18"/>
          <w:szCs w:val="18"/>
          <w:color w:val="auto"/>
        </w:rPr>
      </w:pPr>
    </w:p>
    <w:p>
      <w:pPr>
        <w:ind w:left="644" w:right="80"/>
        <w:spacing w:after="0" w:line="255" w:lineRule="auto"/>
        <w:rPr>
          <w:rFonts w:ascii="Arial" w:cs="Arial" w:eastAsia="Arial" w:hAnsi="Arial"/>
          <w:sz w:val="18"/>
          <w:szCs w:val="18"/>
          <w:color w:val="auto"/>
        </w:rPr>
      </w:pPr>
      <w:r>
        <w:rPr>
          <w:rFonts w:ascii="Arial" w:cs="Arial" w:eastAsia="Arial" w:hAnsi="Arial"/>
          <w:sz w:val="19"/>
          <w:szCs w:val="19"/>
          <w:color w:val="auto"/>
        </w:rPr>
        <w:t>We are committed to providing a supportive work environment that is free from harassment and discrimination of any kind. To this end, AGNC has adopted an Anti-Harassment Policy and an Equal Employment Opportunity policy, copies of which are included in the Policy Booklet distributed to all AGNC employees. AGNC will not tolerate discrimination or harassment of employees or non-employees with whom we have a business, service or professional relationship. AGNC people are encouraged to report any acts of harassment or discrimination to the Chief Compliance Officer, the Chair of the Compensation and Corporate Governance Committee of the Board of Directors or to the hotline.</w:t>
      </w:r>
    </w:p>
    <w:p>
      <w:pPr>
        <w:spacing w:after="0" w:line="178" w:lineRule="exact"/>
        <w:rPr>
          <w:rFonts w:ascii="Arial" w:cs="Arial" w:eastAsia="Arial" w:hAnsi="Arial"/>
          <w:sz w:val="18"/>
          <w:szCs w:val="18"/>
          <w:color w:val="auto"/>
        </w:rPr>
      </w:pPr>
    </w:p>
    <w:p>
      <w:pPr>
        <w:ind w:left="644" w:hanging="644"/>
        <w:spacing w:after="0"/>
        <w:tabs>
          <w:tab w:leader="none" w:pos="644" w:val="left"/>
        </w:tabs>
        <w:numPr>
          <w:ilvl w:val="0"/>
          <w:numId w:val="71"/>
        </w:numPr>
        <w:rPr>
          <w:rFonts w:ascii="Arial" w:cs="Arial" w:eastAsia="Arial" w:hAnsi="Arial"/>
          <w:sz w:val="18"/>
          <w:szCs w:val="18"/>
          <w:color w:val="auto"/>
        </w:rPr>
      </w:pPr>
      <w:r>
        <w:rPr>
          <w:rFonts w:ascii="Arial" w:cs="Arial" w:eastAsia="Arial" w:hAnsi="Arial"/>
          <w:sz w:val="20"/>
          <w:szCs w:val="20"/>
          <w:b w:val="1"/>
          <w:bCs w:val="1"/>
          <w:color w:val="auto"/>
        </w:rPr>
        <w:t>HEALTH AND SAFETY</w:t>
      </w:r>
    </w:p>
    <w:p>
      <w:pPr>
        <w:spacing w:after="0" w:line="21" w:lineRule="exact"/>
        <w:rPr>
          <w:rFonts w:ascii="Arial" w:cs="Arial" w:eastAsia="Arial" w:hAnsi="Arial"/>
          <w:sz w:val="18"/>
          <w:szCs w:val="18"/>
          <w:color w:val="auto"/>
        </w:rPr>
      </w:pPr>
    </w:p>
    <w:p>
      <w:pPr>
        <w:ind w:left="644" w:right="60"/>
        <w:spacing w:after="0" w:line="241" w:lineRule="auto"/>
        <w:rPr>
          <w:rFonts w:ascii="Arial" w:cs="Arial" w:eastAsia="Arial" w:hAnsi="Arial"/>
          <w:sz w:val="18"/>
          <w:szCs w:val="18"/>
          <w:color w:val="auto"/>
        </w:rPr>
      </w:pPr>
      <w:r>
        <w:rPr>
          <w:rFonts w:ascii="Arial" w:cs="Arial" w:eastAsia="Arial" w:hAnsi="Arial"/>
          <w:sz w:val="20"/>
          <w:szCs w:val="20"/>
          <w:color w:val="auto"/>
        </w:rPr>
        <w:t>We strive to provide AGNC people with a safe and healthy work environment. You have a responsibility for maintaining a safe and healthy workplace for all other AGNC people by following safety and health rules and practices and reporting accidents, injuries and unsafe equipment, practices and conditions.</w:t>
      </w:r>
    </w:p>
    <w:p>
      <w:pPr>
        <w:spacing w:after="0" w:line="196" w:lineRule="exact"/>
        <w:rPr>
          <w:rFonts w:ascii="Arial" w:cs="Arial" w:eastAsia="Arial" w:hAnsi="Arial"/>
          <w:sz w:val="18"/>
          <w:szCs w:val="18"/>
          <w:color w:val="auto"/>
        </w:rPr>
      </w:pPr>
    </w:p>
    <w:p>
      <w:pPr>
        <w:ind w:left="644"/>
        <w:spacing w:after="0" w:line="269" w:lineRule="auto"/>
        <w:rPr>
          <w:rFonts w:ascii="Arial" w:cs="Arial" w:eastAsia="Arial" w:hAnsi="Arial"/>
          <w:sz w:val="18"/>
          <w:szCs w:val="18"/>
          <w:color w:val="auto"/>
        </w:rPr>
      </w:pPr>
      <w:r>
        <w:rPr>
          <w:rFonts w:ascii="Arial" w:cs="Arial" w:eastAsia="Arial" w:hAnsi="Arial"/>
          <w:sz w:val="19"/>
          <w:szCs w:val="19"/>
          <w:color w:val="auto"/>
        </w:rPr>
        <w:t>Violence and threatening behavior are not permitted and will not be tolerated. If any AGNC person knows of actual or potential workplace violence or threatening behavior, he/she should immediately report such concerns to his or her manager, a member of the Human Resources or Legal Departments, the Chief Compliance Officer or the hotline.</w:t>
      </w:r>
    </w:p>
    <w:p>
      <w:pPr>
        <w:spacing w:after="0" w:line="170" w:lineRule="exact"/>
        <w:rPr>
          <w:rFonts w:ascii="Arial" w:cs="Arial" w:eastAsia="Arial" w:hAnsi="Arial"/>
          <w:sz w:val="18"/>
          <w:szCs w:val="18"/>
          <w:color w:val="auto"/>
        </w:rPr>
      </w:pPr>
    </w:p>
    <w:p>
      <w:pPr>
        <w:ind w:left="644" w:right="120"/>
        <w:spacing w:after="0" w:line="269" w:lineRule="auto"/>
        <w:rPr>
          <w:rFonts w:ascii="Arial" w:cs="Arial" w:eastAsia="Arial" w:hAnsi="Arial"/>
          <w:sz w:val="18"/>
          <w:szCs w:val="18"/>
          <w:color w:val="auto"/>
        </w:rPr>
      </w:pPr>
      <w:r>
        <w:rPr>
          <w:rFonts w:ascii="Arial" w:cs="Arial" w:eastAsia="Arial" w:hAnsi="Arial"/>
          <w:sz w:val="19"/>
          <w:szCs w:val="19"/>
          <w:color w:val="auto"/>
        </w:rPr>
        <w:t>All AGNC people are expected to conduct AGNC business free from the influence of any substance that could impair job performance. This includes alcohol, illegal drugs, controlled substances and, in certain instances, prescription medication. The use, sale and/or distribution of illegal drugs in the workplace will not be tolerated at any time.</w:t>
      </w:r>
    </w:p>
    <w:p>
      <w:pPr>
        <w:sectPr>
          <w:pgSz w:w="11900" w:h="16838" w:orient="portrait"/>
          <w:cols w:equalWidth="0" w:num="1">
            <w:col w:w="10764"/>
          </w:cols>
          <w:pgMar w:left="896" w:top="549" w:right="239" w:bottom="1440" w:gutter="0" w:footer="0" w:header="0"/>
        </w:sectPr>
      </w:pPr>
    </w:p>
    <w:bookmarkStart w:id="94" w:name="page95"/>
    <w:bookmarkEnd w:id="94"/>
    <w:p>
      <w:pPr>
        <w:ind w:left="1292" w:hanging="644"/>
        <w:spacing w:after="0"/>
        <w:tabs>
          <w:tab w:leader="none" w:pos="1292" w:val="left"/>
        </w:tabs>
        <w:numPr>
          <w:ilvl w:val="1"/>
          <w:numId w:val="72"/>
        </w:numPr>
        <w:rPr>
          <w:rFonts w:ascii="Arial" w:cs="Arial" w:eastAsia="Arial" w:hAnsi="Arial"/>
          <w:sz w:val="18"/>
          <w:szCs w:val="18"/>
          <w:color w:val="auto"/>
        </w:rPr>
      </w:pPr>
      <w:r>
        <w:rPr>
          <w:rFonts w:ascii="Arial" w:cs="Arial" w:eastAsia="Arial" w:hAnsi="Arial"/>
          <w:sz w:val="20"/>
          <w:szCs w:val="20"/>
          <w:b w:val="1"/>
          <w:bCs w:val="1"/>
          <w:color w:val="auto"/>
        </w:rPr>
        <w:t>INTERNATIONAL ISSUES</w:t>
      </w:r>
    </w:p>
    <w:p>
      <w:pPr>
        <w:spacing w:after="0" w:line="21" w:lineRule="exact"/>
        <w:rPr>
          <w:rFonts w:ascii="Arial" w:cs="Arial" w:eastAsia="Arial" w:hAnsi="Arial"/>
          <w:sz w:val="18"/>
          <w:szCs w:val="18"/>
          <w:color w:val="auto"/>
        </w:rPr>
      </w:pPr>
    </w:p>
    <w:p>
      <w:pPr>
        <w:ind w:left="1292" w:right="20"/>
        <w:spacing w:after="0" w:line="244" w:lineRule="auto"/>
        <w:rPr>
          <w:rFonts w:ascii="Arial" w:cs="Arial" w:eastAsia="Arial" w:hAnsi="Arial"/>
          <w:sz w:val="18"/>
          <w:szCs w:val="18"/>
          <w:color w:val="auto"/>
        </w:rPr>
      </w:pPr>
      <w:r>
        <w:rPr>
          <w:rFonts w:ascii="Arial" w:cs="Arial" w:eastAsia="Arial" w:hAnsi="Arial"/>
          <w:sz w:val="20"/>
          <w:szCs w:val="20"/>
          <w:color w:val="auto"/>
        </w:rPr>
        <w:t>You are expected to comply with the legal requirements and ethical standards of each country in which you conduct AGNC business, as well as with all U.S. laws applicable in other countries.</w:t>
      </w:r>
    </w:p>
    <w:p>
      <w:pPr>
        <w:spacing w:after="0" w:line="191" w:lineRule="exact"/>
        <w:rPr>
          <w:rFonts w:ascii="Arial" w:cs="Arial" w:eastAsia="Arial" w:hAnsi="Arial"/>
          <w:sz w:val="18"/>
          <w:szCs w:val="18"/>
          <w:color w:val="auto"/>
        </w:rPr>
      </w:pPr>
    </w:p>
    <w:p>
      <w:pPr>
        <w:jc w:val="both"/>
        <w:ind w:left="1292"/>
        <w:spacing w:after="0" w:line="256" w:lineRule="auto"/>
        <w:rPr>
          <w:rFonts w:ascii="Arial" w:cs="Arial" w:eastAsia="Arial" w:hAnsi="Arial"/>
          <w:sz w:val="18"/>
          <w:szCs w:val="18"/>
          <w:color w:val="auto"/>
        </w:rPr>
      </w:pPr>
      <w:r>
        <w:rPr>
          <w:rFonts w:ascii="Arial" w:cs="Arial" w:eastAsia="Arial" w:hAnsi="Arial"/>
          <w:sz w:val="19"/>
          <w:szCs w:val="19"/>
          <w:color w:val="auto"/>
        </w:rPr>
        <w:t>The FCPA applies to business transactions both inside the United States and in other countries. Its requirements relate to accurate and complete financial books and records, transactions with foreign government officials and restrictions on the use of funds for unlawful or improper purposes. Because violation of the FCPA can bring severe penalties, including criminal fines for the company and individuals and jail terms, it is essential that you become familiar with the FCPA’s requirements if you are involved in investment transactions or other business in a foreign country. Other legal requirements may affect our international business or transactions. These include, but are not limited to, laws, rules and regulations prohibiting money laundering and transactions with specifically designated nationals subject to government sanctions, which are covered by our Anti-Money Laundering Policy. If you have any questions regarding legal requirements applicable to international business or transactions, please contact a member of our Legal team.</w:t>
      </w:r>
    </w:p>
    <w:p>
      <w:pPr>
        <w:spacing w:after="0" w:line="178" w:lineRule="exact"/>
        <w:rPr>
          <w:rFonts w:ascii="Arial" w:cs="Arial" w:eastAsia="Arial" w:hAnsi="Arial"/>
          <w:sz w:val="18"/>
          <w:szCs w:val="18"/>
          <w:color w:val="auto"/>
        </w:rPr>
      </w:pPr>
    </w:p>
    <w:p>
      <w:pPr>
        <w:ind w:left="652" w:hanging="652"/>
        <w:spacing w:after="0"/>
        <w:tabs>
          <w:tab w:leader="none" w:pos="652" w:val="left"/>
        </w:tabs>
        <w:numPr>
          <w:ilvl w:val="0"/>
          <w:numId w:val="73"/>
        </w:numPr>
        <w:rPr>
          <w:rFonts w:ascii="Arial" w:cs="Arial" w:eastAsia="Arial" w:hAnsi="Arial"/>
          <w:sz w:val="18"/>
          <w:szCs w:val="18"/>
          <w:color w:val="auto"/>
        </w:rPr>
      </w:pPr>
      <w:r>
        <w:rPr>
          <w:rFonts w:ascii="Arial" w:cs="Arial" w:eastAsia="Arial" w:hAnsi="Arial"/>
          <w:sz w:val="20"/>
          <w:szCs w:val="20"/>
          <w:b w:val="1"/>
          <w:bCs w:val="1"/>
          <w:color w:val="auto"/>
        </w:rPr>
        <w:t>AVOIDING CONFLICTS OF INTEREST</w:t>
      </w:r>
    </w:p>
    <w:p>
      <w:pPr>
        <w:spacing w:after="0" w:line="21" w:lineRule="exact"/>
        <w:rPr>
          <w:rFonts w:ascii="Arial" w:cs="Arial" w:eastAsia="Arial" w:hAnsi="Arial"/>
          <w:sz w:val="18"/>
          <w:szCs w:val="18"/>
          <w:color w:val="auto"/>
        </w:rPr>
      </w:pPr>
    </w:p>
    <w:p>
      <w:pPr>
        <w:ind w:left="1292" w:hanging="644"/>
        <w:spacing w:after="0"/>
        <w:tabs>
          <w:tab w:leader="none" w:pos="1292" w:val="left"/>
        </w:tabs>
        <w:numPr>
          <w:ilvl w:val="1"/>
          <w:numId w:val="73"/>
        </w:numPr>
        <w:rPr>
          <w:rFonts w:ascii="Arial" w:cs="Arial" w:eastAsia="Arial" w:hAnsi="Arial"/>
          <w:sz w:val="18"/>
          <w:szCs w:val="18"/>
          <w:color w:val="auto"/>
        </w:rPr>
      </w:pPr>
      <w:r>
        <w:rPr>
          <w:rFonts w:ascii="Arial" w:cs="Arial" w:eastAsia="Arial" w:hAnsi="Arial"/>
          <w:sz w:val="20"/>
          <w:szCs w:val="20"/>
          <w:b w:val="1"/>
          <w:bCs w:val="1"/>
          <w:color w:val="auto"/>
        </w:rPr>
        <w:t>GENERALLY</w:t>
      </w:r>
    </w:p>
    <w:p>
      <w:pPr>
        <w:jc w:val="both"/>
        <w:ind w:left="1292"/>
        <w:spacing w:after="0"/>
        <w:rPr>
          <w:rFonts w:ascii="Arial" w:cs="Arial" w:eastAsia="Arial" w:hAnsi="Arial"/>
          <w:sz w:val="18"/>
          <w:szCs w:val="18"/>
          <w:color w:val="auto"/>
        </w:rPr>
      </w:pPr>
      <w:r>
        <w:rPr>
          <w:rFonts w:ascii="Arial" w:cs="Arial" w:eastAsia="Arial" w:hAnsi="Arial"/>
          <w:sz w:val="20"/>
          <w:szCs w:val="20"/>
          <w:color w:val="auto"/>
        </w:rPr>
        <w:t>All AGNC people have a duty of loyalty to act in the best interests of the company. We expect you to avoid situations and relationships that involve actual or potential conflicts of interest. Generally, a conflict of interest arises whenever your personal interests diverge from your responsibilities to AGNC or from AGNC’s best interests. Put another way, a conflict of interest is created whenever an activity, association or relationship of yours might impair your independent exercise of judgment in AGNC’s best interest.</w:t>
      </w:r>
    </w:p>
    <w:p>
      <w:pPr>
        <w:spacing w:after="0" w:line="198"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20"/>
          <w:szCs w:val="20"/>
          <w:color w:val="auto"/>
        </w:rPr>
        <w:t>Examples of situations that could be perceived as conflicts of interest and should be avoided include:</w:t>
      </w:r>
    </w:p>
    <w:p>
      <w:pPr>
        <w:spacing w:after="0" w:line="215" w:lineRule="exact"/>
        <w:rPr>
          <w:rFonts w:ascii="Arial" w:cs="Arial" w:eastAsia="Arial" w:hAnsi="Arial"/>
          <w:sz w:val="18"/>
          <w:szCs w:val="18"/>
          <w:color w:val="auto"/>
        </w:rPr>
      </w:pPr>
    </w:p>
    <w:p>
      <w:pPr>
        <w:ind w:left="2272" w:right="200" w:hanging="327"/>
        <w:spacing w:after="0" w:line="247" w:lineRule="auto"/>
        <w:tabs>
          <w:tab w:leader="none" w:pos="2272" w:val="left"/>
        </w:tabs>
        <w:numPr>
          <w:ilvl w:val="2"/>
          <w:numId w:val="73"/>
        </w:numPr>
        <w:rPr>
          <w:rFonts w:ascii="Arial" w:cs="Arial" w:eastAsia="Arial" w:hAnsi="Arial"/>
          <w:sz w:val="18"/>
          <w:szCs w:val="18"/>
          <w:color w:val="auto"/>
        </w:rPr>
      </w:pPr>
      <w:r>
        <w:rPr>
          <w:rFonts w:ascii="Arial" w:cs="Arial" w:eastAsia="Arial" w:hAnsi="Arial"/>
          <w:sz w:val="20"/>
          <w:szCs w:val="20"/>
          <w:color w:val="auto"/>
        </w:rPr>
        <w:t>Conducting AGNC’s business with a company owned, partially owned or controlled by you or a member of your family;</w:t>
      </w:r>
    </w:p>
    <w:p>
      <w:pPr>
        <w:spacing w:after="0" w:line="1" w:lineRule="exact"/>
        <w:rPr>
          <w:rFonts w:ascii="Arial" w:cs="Arial" w:eastAsia="Arial" w:hAnsi="Arial"/>
          <w:sz w:val="18"/>
          <w:szCs w:val="18"/>
          <w:color w:val="auto"/>
        </w:rPr>
      </w:pPr>
    </w:p>
    <w:p>
      <w:pPr>
        <w:ind w:left="2272" w:right="120" w:hanging="327"/>
        <w:spacing w:after="0" w:line="239" w:lineRule="auto"/>
        <w:tabs>
          <w:tab w:leader="none" w:pos="2272" w:val="left"/>
        </w:tabs>
        <w:numPr>
          <w:ilvl w:val="2"/>
          <w:numId w:val="73"/>
        </w:numPr>
        <w:rPr>
          <w:rFonts w:ascii="Arial" w:cs="Arial" w:eastAsia="Arial" w:hAnsi="Arial"/>
          <w:sz w:val="18"/>
          <w:szCs w:val="18"/>
          <w:color w:val="auto"/>
        </w:rPr>
      </w:pPr>
      <w:r>
        <w:rPr>
          <w:rFonts w:ascii="Arial" w:cs="Arial" w:eastAsia="Arial" w:hAnsi="Arial"/>
          <w:sz w:val="20"/>
          <w:szCs w:val="20"/>
          <w:color w:val="auto"/>
        </w:rPr>
        <w:t>Ownership of more than one percent of the stock of a company that competes or does business with AGNC (other than indirect ownership as a result of owning a widely-held mutual fund);</w:t>
      </w:r>
    </w:p>
    <w:p>
      <w:pPr>
        <w:spacing w:after="0" w:line="1" w:lineRule="exact"/>
        <w:rPr>
          <w:rFonts w:ascii="Arial" w:cs="Arial" w:eastAsia="Arial" w:hAnsi="Arial"/>
          <w:sz w:val="18"/>
          <w:szCs w:val="18"/>
          <w:color w:val="auto"/>
        </w:rPr>
      </w:pPr>
    </w:p>
    <w:p>
      <w:pPr>
        <w:ind w:left="2272" w:right="300" w:hanging="327"/>
        <w:spacing w:after="0" w:line="239" w:lineRule="auto"/>
        <w:tabs>
          <w:tab w:leader="none" w:pos="2272" w:val="left"/>
        </w:tabs>
        <w:numPr>
          <w:ilvl w:val="2"/>
          <w:numId w:val="73"/>
        </w:numPr>
        <w:rPr>
          <w:rFonts w:ascii="Arial" w:cs="Arial" w:eastAsia="Arial" w:hAnsi="Arial"/>
          <w:sz w:val="18"/>
          <w:szCs w:val="18"/>
          <w:color w:val="auto"/>
        </w:rPr>
      </w:pPr>
      <w:r>
        <w:rPr>
          <w:rFonts w:ascii="Arial" w:cs="Arial" w:eastAsia="Arial" w:hAnsi="Arial"/>
          <w:sz w:val="20"/>
          <w:szCs w:val="20"/>
          <w:color w:val="auto"/>
        </w:rPr>
        <w:t>Working as an employee or a consultant for a competitor, regulatory government entity, investment company or supplier of AGNC (other than as part of your AGNC employment);</w:t>
      </w:r>
    </w:p>
    <w:p>
      <w:pPr>
        <w:spacing w:after="0" w:line="1" w:lineRule="exact"/>
        <w:rPr>
          <w:rFonts w:ascii="Arial" w:cs="Arial" w:eastAsia="Arial" w:hAnsi="Arial"/>
          <w:sz w:val="18"/>
          <w:szCs w:val="18"/>
          <w:color w:val="auto"/>
        </w:rPr>
      </w:pPr>
    </w:p>
    <w:p>
      <w:pPr>
        <w:ind w:left="2272" w:right="240" w:hanging="327"/>
        <w:spacing w:after="0" w:line="239" w:lineRule="auto"/>
        <w:tabs>
          <w:tab w:leader="none" w:pos="2272" w:val="left"/>
        </w:tabs>
        <w:numPr>
          <w:ilvl w:val="2"/>
          <w:numId w:val="73"/>
        </w:numPr>
        <w:rPr>
          <w:rFonts w:ascii="Arial" w:cs="Arial" w:eastAsia="Arial" w:hAnsi="Arial"/>
          <w:sz w:val="18"/>
          <w:szCs w:val="18"/>
          <w:color w:val="auto"/>
        </w:rPr>
      </w:pPr>
      <w:r>
        <w:rPr>
          <w:rFonts w:ascii="Arial" w:cs="Arial" w:eastAsia="Arial" w:hAnsi="Arial"/>
          <w:sz w:val="20"/>
          <w:szCs w:val="20"/>
          <w:color w:val="auto"/>
        </w:rPr>
        <w:t>Doing any work for a third party that may adversely affect your performance or judgment on the job or diminish your ability to devote the necessary time and attention to your duties; and</w:t>
      </w:r>
    </w:p>
    <w:p>
      <w:pPr>
        <w:spacing w:after="0" w:line="1" w:lineRule="exact"/>
        <w:rPr>
          <w:rFonts w:ascii="Arial" w:cs="Arial" w:eastAsia="Arial" w:hAnsi="Arial"/>
          <w:sz w:val="18"/>
          <w:szCs w:val="18"/>
          <w:color w:val="auto"/>
        </w:rPr>
      </w:pPr>
    </w:p>
    <w:p>
      <w:pPr>
        <w:ind w:left="2272" w:right="260" w:hanging="327"/>
        <w:spacing w:after="0" w:line="239" w:lineRule="auto"/>
        <w:tabs>
          <w:tab w:leader="none" w:pos="2272" w:val="left"/>
        </w:tabs>
        <w:numPr>
          <w:ilvl w:val="2"/>
          <w:numId w:val="73"/>
        </w:numPr>
        <w:rPr>
          <w:rFonts w:ascii="Arial" w:cs="Arial" w:eastAsia="Arial" w:hAnsi="Arial"/>
          <w:sz w:val="18"/>
          <w:szCs w:val="18"/>
          <w:color w:val="auto"/>
        </w:rPr>
      </w:pPr>
      <w:r>
        <w:rPr>
          <w:rFonts w:ascii="Arial" w:cs="Arial" w:eastAsia="Arial" w:hAnsi="Arial"/>
          <w:sz w:val="20"/>
          <w:szCs w:val="20"/>
          <w:color w:val="auto"/>
        </w:rPr>
        <w:t>Appropriating or diverting to yourself or others any business opportunity or idea in which AGNC might have an interest.</w:t>
      </w:r>
    </w:p>
    <w:p>
      <w:pPr>
        <w:spacing w:after="0" w:line="1" w:lineRule="exact"/>
        <w:rPr>
          <w:sz w:val="20"/>
          <w:szCs w:val="20"/>
          <w:color w:val="auto"/>
        </w:rPr>
      </w:pPr>
    </w:p>
    <w:p>
      <w:pPr>
        <w:jc w:val="both"/>
        <w:ind w:left="1292"/>
        <w:spacing w:after="0" w:line="241" w:lineRule="auto"/>
        <w:rPr>
          <w:sz w:val="20"/>
          <w:szCs w:val="20"/>
          <w:color w:val="auto"/>
        </w:rPr>
      </w:pPr>
      <w:r>
        <w:rPr>
          <w:rFonts w:ascii="Arial" w:cs="Arial" w:eastAsia="Arial" w:hAnsi="Arial"/>
          <w:sz w:val="20"/>
          <w:szCs w:val="20"/>
          <w:color w:val="auto"/>
        </w:rPr>
        <w:t>These situations (and others like them), where your loyalties to AGNC could be compromised, must be avoided. If you believe that you are involved in a potential conflict of interest, we expect you to discuss it with your supervisor or the Chief Compliance Officer. If a conflict is determined to exist, you must disengage from the conflict situation or terminate your employment.</w:t>
      </w:r>
    </w:p>
    <w:p>
      <w:pPr>
        <w:spacing w:after="0" w:line="189" w:lineRule="exact"/>
        <w:rPr>
          <w:sz w:val="20"/>
          <w:szCs w:val="20"/>
          <w:color w:val="auto"/>
        </w:rPr>
      </w:pPr>
    </w:p>
    <w:p>
      <w:pPr>
        <w:ind w:left="1292" w:hanging="644"/>
        <w:spacing w:after="0"/>
        <w:tabs>
          <w:tab w:leader="none" w:pos="1292" w:val="left"/>
        </w:tabs>
        <w:numPr>
          <w:ilvl w:val="0"/>
          <w:numId w:val="74"/>
        </w:numPr>
        <w:rPr>
          <w:rFonts w:ascii="Arial" w:cs="Arial" w:eastAsia="Arial" w:hAnsi="Arial"/>
          <w:sz w:val="18"/>
          <w:szCs w:val="18"/>
          <w:color w:val="auto"/>
        </w:rPr>
      </w:pPr>
      <w:r>
        <w:rPr>
          <w:rFonts w:ascii="Arial" w:cs="Arial" w:eastAsia="Arial" w:hAnsi="Arial"/>
          <w:sz w:val="20"/>
          <w:szCs w:val="20"/>
          <w:b w:val="1"/>
          <w:bCs w:val="1"/>
          <w:color w:val="auto"/>
        </w:rPr>
        <w:t>USE OF OUR ASSETS</w:t>
      </w:r>
    </w:p>
    <w:p>
      <w:pPr>
        <w:spacing w:after="0" w:line="21"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18"/>
          <w:szCs w:val="18"/>
          <w:color w:val="auto"/>
        </w:rPr>
        <w:t>You are responsible for the proper use of AGNC’s physical resources and property, as well as its proprietary information.</w:t>
      </w:r>
    </w:p>
    <w:p>
      <w:pPr>
        <w:spacing w:after="0" w:line="222" w:lineRule="exact"/>
        <w:rPr>
          <w:rFonts w:ascii="Arial" w:cs="Arial" w:eastAsia="Arial" w:hAnsi="Arial"/>
          <w:sz w:val="18"/>
          <w:szCs w:val="18"/>
          <w:color w:val="auto"/>
        </w:rPr>
      </w:pPr>
    </w:p>
    <w:p>
      <w:pPr>
        <w:jc w:val="both"/>
        <w:ind w:left="1292"/>
        <w:spacing w:after="0" w:line="244" w:lineRule="auto"/>
        <w:rPr>
          <w:rFonts w:ascii="Arial" w:cs="Arial" w:eastAsia="Arial" w:hAnsi="Arial"/>
          <w:sz w:val="18"/>
          <w:szCs w:val="18"/>
          <w:color w:val="auto"/>
        </w:rPr>
      </w:pPr>
      <w:r>
        <w:rPr>
          <w:rFonts w:ascii="Arial" w:cs="Arial" w:eastAsia="Arial" w:hAnsi="Arial"/>
          <w:sz w:val="20"/>
          <w:szCs w:val="20"/>
          <w:color w:val="auto"/>
        </w:rPr>
        <w:t>Our offices, equipment, supplies and other resources may not be used for activities that are not related to your employment with AGNC, except for any activities that have been approved in writing in advance by us, or for personal usage that is minor in amount and reasonable. If you are found to be engaging in, or attempting, theft of any AGNC property, including documents, equipment, intellectual property, personal property of other employees, cash or any other items of value, you may be subject</w:t>
      </w:r>
    </w:p>
    <w:p>
      <w:pPr>
        <w:sectPr>
          <w:pgSz w:w="11900" w:h="16838" w:orient="portrait"/>
          <w:cols w:equalWidth="0" w:num="1">
            <w:col w:w="11412"/>
          </w:cols>
          <w:pgMar w:left="248" w:top="549" w:right="239" w:bottom="1440" w:gutter="0" w:footer="0" w:header="0"/>
        </w:sectPr>
      </w:pPr>
    </w:p>
    <w:bookmarkStart w:id="95" w:name="page96"/>
    <w:bookmarkEnd w:id="95"/>
    <w:p>
      <w:pPr>
        <w:jc w:val="both"/>
        <w:ind w:left="644"/>
        <w:spacing w:after="0" w:line="260" w:lineRule="auto"/>
        <w:rPr>
          <w:sz w:val="20"/>
          <w:szCs w:val="20"/>
          <w:color w:val="auto"/>
        </w:rPr>
      </w:pPr>
      <w:r>
        <w:rPr>
          <w:rFonts w:ascii="Arial" w:cs="Arial" w:eastAsia="Arial" w:hAnsi="Arial"/>
          <w:sz w:val="20"/>
          <w:szCs w:val="20"/>
          <w:color w:val="auto"/>
        </w:rPr>
        <w:t>to immediate termination of your employment or contract and possible criminal proceedings. We expect you to report any theft or attempted theft to your supervisor or the Chief Compliance Officer.</w:t>
      </w:r>
    </w:p>
    <w:p>
      <w:pPr>
        <w:spacing w:after="0" w:line="177" w:lineRule="exact"/>
        <w:rPr>
          <w:sz w:val="20"/>
          <w:szCs w:val="20"/>
          <w:color w:val="auto"/>
        </w:rPr>
      </w:pPr>
    </w:p>
    <w:p>
      <w:pPr>
        <w:jc w:val="both"/>
        <w:ind w:left="644"/>
        <w:spacing w:after="0" w:line="271" w:lineRule="auto"/>
        <w:rPr>
          <w:sz w:val="20"/>
          <w:szCs w:val="20"/>
          <w:color w:val="auto"/>
        </w:rPr>
      </w:pPr>
      <w:r>
        <w:rPr>
          <w:rFonts w:ascii="Arial" w:cs="Arial" w:eastAsia="Arial" w:hAnsi="Arial"/>
          <w:sz w:val="18"/>
          <w:szCs w:val="18"/>
          <w:color w:val="auto"/>
        </w:rPr>
        <w:t>Proprietary words, slogans, symbols, logos or other devices used to identify AGNC and its proprietary methods and services are important business tools and valuable assets, which require care in their use and treatment. You may not negotiate or enter into any agreement respecting AGNC’s trademarks, service marks or logos without first consulting a member of our Legal team. We also respect the intellectual property rights of others. Thus, using the trademark or service mark of, or referencing for marketing purposes, another company (even one with whom AGNC has a business relationship), requires clearance or approval by our Legal team, to determine whether the use of that other company’s mark is proper. You should avoid the unauthorized use of copyrighted or patented materials of others and should ask a member of the Legal team if you have any questions regarding the permissibility of photocopying, excerpting, electronically copying or otherwise using copyrighted or patented materials. In addition, simply because material is available for copying (such as content or images downloaded from the internet) does not mean that it is automatically legal or permissible to copy or distribute.</w:t>
      </w:r>
    </w:p>
    <w:p>
      <w:pPr>
        <w:spacing w:after="0" w:line="169" w:lineRule="exact"/>
        <w:rPr>
          <w:sz w:val="20"/>
          <w:szCs w:val="20"/>
          <w:color w:val="auto"/>
        </w:rPr>
      </w:pPr>
    </w:p>
    <w:p>
      <w:pPr>
        <w:ind w:left="644" w:hanging="644"/>
        <w:spacing w:after="0"/>
        <w:tabs>
          <w:tab w:leader="none" w:pos="644" w:val="left"/>
        </w:tabs>
        <w:numPr>
          <w:ilvl w:val="0"/>
          <w:numId w:val="75"/>
        </w:numPr>
        <w:rPr>
          <w:rFonts w:ascii="Arial" w:cs="Arial" w:eastAsia="Arial" w:hAnsi="Arial"/>
          <w:sz w:val="18"/>
          <w:szCs w:val="18"/>
          <w:color w:val="auto"/>
        </w:rPr>
      </w:pPr>
      <w:r>
        <w:rPr>
          <w:rFonts w:ascii="Arial" w:cs="Arial" w:eastAsia="Arial" w:hAnsi="Arial"/>
          <w:sz w:val="20"/>
          <w:szCs w:val="20"/>
          <w:b w:val="1"/>
          <w:bCs w:val="1"/>
          <w:color w:val="auto"/>
        </w:rPr>
        <w:t>GIFTS, GRATUITIES AND ENTERTAINMENT</w:t>
      </w:r>
    </w:p>
    <w:p>
      <w:pPr>
        <w:spacing w:after="0" w:line="21" w:lineRule="exact"/>
        <w:rPr>
          <w:rFonts w:ascii="Arial" w:cs="Arial" w:eastAsia="Arial" w:hAnsi="Arial"/>
          <w:sz w:val="18"/>
          <w:szCs w:val="18"/>
          <w:color w:val="auto"/>
        </w:rPr>
      </w:pPr>
    </w:p>
    <w:p>
      <w:pPr>
        <w:ind w:left="1304" w:hanging="655"/>
        <w:spacing w:after="0"/>
        <w:tabs>
          <w:tab w:leader="none" w:pos="1304" w:val="left"/>
        </w:tabs>
        <w:numPr>
          <w:ilvl w:val="1"/>
          <w:numId w:val="75"/>
        </w:numPr>
        <w:rPr>
          <w:rFonts w:ascii="Arial" w:cs="Arial" w:eastAsia="Arial" w:hAnsi="Arial"/>
          <w:sz w:val="18"/>
          <w:szCs w:val="18"/>
          <w:color w:val="auto"/>
        </w:rPr>
      </w:pPr>
      <w:r>
        <w:rPr>
          <w:rFonts w:ascii="Arial" w:cs="Arial" w:eastAsia="Arial" w:hAnsi="Arial"/>
          <w:sz w:val="20"/>
          <w:szCs w:val="20"/>
          <w:b w:val="1"/>
          <w:bCs w:val="1"/>
          <w:color w:val="auto"/>
        </w:rPr>
        <w:t>Giving</w:t>
      </w:r>
    </w:p>
    <w:p>
      <w:pPr>
        <w:jc w:val="both"/>
        <w:ind w:left="1304"/>
        <w:spacing w:after="0" w:line="241" w:lineRule="auto"/>
        <w:rPr>
          <w:rFonts w:ascii="Arial" w:cs="Arial" w:eastAsia="Arial" w:hAnsi="Arial"/>
          <w:sz w:val="18"/>
          <w:szCs w:val="18"/>
          <w:color w:val="auto"/>
        </w:rPr>
      </w:pPr>
      <w:r>
        <w:rPr>
          <w:rFonts w:ascii="Arial" w:cs="Arial" w:eastAsia="Arial" w:hAnsi="Arial"/>
          <w:sz w:val="20"/>
          <w:szCs w:val="20"/>
          <w:color w:val="auto"/>
        </w:rPr>
        <w:t>You may not offer money, gifts or other items or services of value to anyone with whom we do business or potentially would do business for the purpose of securing an investment opportunity or contract or obtaining favorable treatment. Business-connected favors or gifts may not be extended unless they:</w:t>
      </w:r>
    </w:p>
    <w:p>
      <w:pPr>
        <w:spacing w:after="0" w:line="196" w:lineRule="exact"/>
        <w:rPr>
          <w:rFonts w:ascii="Arial" w:cs="Arial" w:eastAsia="Arial" w:hAnsi="Arial"/>
          <w:sz w:val="18"/>
          <w:szCs w:val="18"/>
          <w:color w:val="auto"/>
        </w:rPr>
      </w:pPr>
    </w:p>
    <w:p>
      <w:pPr>
        <w:ind w:left="1624" w:hanging="327"/>
        <w:spacing w:after="0"/>
        <w:tabs>
          <w:tab w:leader="none" w:pos="1624" w:val="left"/>
        </w:tabs>
        <w:numPr>
          <w:ilvl w:val="2"/>
          <w:numId w:val="75"/>
        </w:numPr>
        <w:rPr>
          <w:rFonts w:ascii="Arial" w:cs="Arial" w:eastAsia="Arial" w:hAnsi="Arial"/>
          <w:sz w:val="18"/>
          <w:szCs w:val="18"/>
          <w:color w:val="auto"/>
        </w:rPr>
      </w:pPr>
      <w:r>
        <w:rPr>
          <w:rFonts w:ascii="Arial" w:cs="Arial" w:eastAsia="Arial" w:hAnsi="Arial"/>
          <w:sz w:val="20"/>
          <w:szCs w:val="20"/>
          <w:color w:val="auto"/>
        </w:rPr>
        <w:t>Are consistent with customary business practices;</w:t>
      </w:r>
    </w:p>
    <w:p>
      <w:pPr>
        <w:spacing w:after="0" w:line="15" w:lineRule="exact"/>
        <w:rPr>
          <w:rFonts w:ascii="Arial" w:cs="Arial" w:eastAsia="Arial" w:hAnsi="Arial"/>
          <w:sz w:val="18"/>
          <w:szCs w:val="18"/>
          <w:color w:val="auto"/>
        </w:rPr>
      </w:pPr>
    </w:p>
    <w:p>
      <w:pPr>
        <w:ind w:left="1624" w:hanging="327"/>
        <w:spacing w:after="0"/>
        <w:tabs>
          <w:tab w:leader="none" w:pos="1624" w:val="left"/>
        </w:tabs>
        <w:numPr>
          <w:ilvl w:val="2"/>
          <w:numId w:val="75"/>
        </w:numPr>
        <w:rPr>
          <w:rFonts w:ascii="Arial" w:cs="Arial" w:eastAsia="Arial" w:hAnsi="Arial"/>
          <w:sz w:val="18"/>
          <w:szCs w:val="18"/>
          <w:color w:val="auto"/>
        </w:rPr>
      </w:pPr>
      <w:r>
        <w:rPr>
          <w:rFonts w:ascii="Arial" w:cs="Arial" w:eastAsia="Arial" w:hAnsi="Arial"/>
          <w:sz w:val="20"/>
          <w:szCs w:val="20"/>
          <w:color w:val="auto"/>
        </w:rPr>
        <w:t>Do not have substantial monetary value and would not be viewed as improper by others; and</w:t>
      </w:r>
    </w:p>
    <w:p>
      <w:pPr>
        <w:ind w:left="1624" w:hanging="327"/>
        <w:spacing w:after="0"/>
        <w:tabs>
          <w:tab w:leader="none" w:pos="1624" w:val="left"/>
        </w:tabs>
        <w:numPr>
          <w:ilvl w:val="2"/>
          <w:numId w:val="75"/>
        </w:numPr>
        <w:rPr>
          <w:rFonts w:ascii="Arial" w:cs="Arial" w:eastAsia="Arial" w:hAnsi="Arial"/>
          <w:sz w:val="18"/>
          <w:szCs w:val="18"/>
          <w:color w:val="auto"/>
        </w:rPr>
      </w:pPr>
      <w:r>
        <w:rPr>
          <w:rFonts w:ascii="Arial" w:cs="Arial" w:eastAsia="Arial" w:hAnsi="Arial"/>
          <w:sz w:val="20"/>
          <w:szCs w:val="20"/>
          <w:color w:val="auto"/>
        </w:rPr>
        <w:t>Do not violate applicable laws, rules or regulations.</w:t>
      </w:r>
    </w:p>
    <w:p>
      <w:pPr>
        <w:jc w:val="both"/>
        <w:ind w:left="1304"/>
        <w:spacing w:after="0" w:line="241" w:lineRule="auto"/>
        <w:rPr>
          <w:sz w:val="20"/>
          <w:szCs w:val="20"/>
          <w:color w:val="auto"/>
        </w:rPr>
      </w:pPr>
      <w:r>
        <w:rPr>
          <w:rFonts w:ascii="Arial" w:cs="Arial" w:eastAsia="Arial" w:hAnsi="Arial"/>
          <w:sz w:val="20"/>
          <w:szCs w:val="20"/>
          <w:color w:val="auto"/>
        </w:rPr>
        <w:t>Business entertainment in the form of meals and beverages may be offered only if these activities and related expenses are modest and infrequent. Other forms of entertainment (such as tickets to sporting, civic or cultural events) are allowed only if reasonable, customary and not excessive.</w:t>
      </w:r>
    </w:p>
    <w:p>
      <w:pPr>
        <w:spacing w:after="0" w:line="190" w:lineRule="exact"/>
        <w:rPr>
          <w:sz w:val="20"/>
          <w:szCs w:val="20"/>
          <w:color w:val="auto"/>
        </w:rPr>
      </w:pPr>
    </w:p>
    <w:p>
      <w:pPr>
        <w:ind w:left="1304" w:hanging="655"/>
        <w:spacing w:after="0"/>
        <w:tabs>
          <w:tab w:leader="none" w:pos="1304" w:val="left"/>
        </w:tabs>
        <w:numPr>
          <w:ilvl w:val="0"/>
          <w:numId w:val="76"/>
        </w:numPr>
        <w:rPr>
          <w:rFonts w:ascii="Arial" w:cs="Arial" w:eastAsia="Arial" w:hAnsi="Arial"/>
          <w:sz w:val="18"/>
          <w:szCs w:val="18"/>
          <w:color w:val="auto"/>
        </w:rPr>
      </w:pPr>
      <w:r>
        <w:rPr>
          <w:rFonts w:ascii="Arial" w:cs="Arial" w:eastAsia="Arial" w:hAnsi="Arial"/>
          <w:sz w:val="20"/>
          <w:szCs w:val="20"/>
          <w:b w:val="1"/>
          <w:bCs w:val="1"/>
          <w:color w:val="auto"/>
        </w:rPr>
        <w:t>Receiving</w:t>
      </w:r>
    </w:p>
    <w:p>
      <w:pPr>
        <w:spacing w:after="0" w:line="21" w:lineRule="exact"/>
        <w:rPr>
          <w:rFonts w:ascii="Arial" w:cs="Arial" w:eastAsia="Arial" w:hAnsi="Arial"/>
          <w:sz w:val="18"/>
          <w:szCs w:val="18"/>
          <w:color w:val="auto"/>
        </w:rPr>
      </w:pPr>
    </w:p>
    <w:p>
      <w:pPr>
        <w:ind w:left="1304" w:right="20"/>
        <w:spacing w:after="0" w:line="298" w:lineRule="auto"/>
        <w:rPr>
          <w:rFonts w:ascii="Arial" w:cs="Arial" w:eastAsia="Arial" w:hAnsi="Arial"/>
          <w:sz w:val="18"/>
          <w:szCs w:val="18"/>
          <w:color w:val="auto"/>
        </w:rPr>
      </w:pPr>
      <w:r>
        <w:rPr>
          <w:rFonts w:ascii="Arial" w:cs="Arial" w:eastAsia="Arial" w:hAnsi="Arial"/>
          <w:sz w:val="18"/>
          <w:szCs w:val="18"/>
          <w:color w:val="auto"/>
        </w:rPr>
        <w:t>To avoid even the implication of impropriety, you should decline any gift, favor, entertainment or anything else of value from current or prospective intermediaries, clients, suppliers or contractors or their representatives except for:</w:t>
      </w:r>
    </w:p>
    <w:p>
      <w:pPr>
        <w:spacing w:after="0" w:line="145" w:lineRule="exact"/>
        <w:rPr>
          <w:rFonts w:ascii="Arial" w:cs="Arial" w:eastAsia="Arial" w:hAnsi="Arial"/>
          <w:sz w:val="18"/>
          <w:szCs w:val="18"/>
          <w:color w:val="auto"/>
        </w:rPr>
      </w:pPr>
    </w:p>
    <w:p>
      <w:pPr>
        <w:ind w:left="1624" w:hanging="327"/>
        <w:spacing w:after="0"/>
        <w:tabs>
          <w:tab w:leader="none" w:pos="1624" w:val="left"/>
        </w:tabs>
        <w:numPr>
          <w:ilvl w:val="1"/>
          <w:numId w:val="76"/>
        </w:numPr>
        <w:rPr>
          <w:rFonts w:ascii="Arial" w:cs="Arial" w:eastAsia="Arial" w:hAnsi="Arial"/>
          <w:sz w:val="18"/>
          <w:szCs w:val="18"/>
          <w:color w:val="auto"/>
        </w:rPr>
      </w:pPr>
      <w:r>
        <w:rPr>
          <w:rFonts w:ascii="Arial" w:cs="Arial" w:eastAsia="Arial" w:hAnsi="Arial"/>
          <w:sz w:val="20"/>
          <w:szCs w:val="20"/>
          <w:color w:val="auto"/>
        </w:rPr>
        <w:t>Gifts that do not have substantial monetary value given at holidays or other special occasions;</w:t>
      </w:r>
    </w:p>
    <w:p>
      <w:pPr>
        <w:spacing w:after="0" w:line="15" w:lineRule="exact"/>
        <w:rPr>
          <w:rFonts w:ascii="Arial" w:cs="Arial" w:eastAsia="Arial" w:hAnsi="Arial"/>
          <w:sz w:val="18"/>
          <w:szCs w:val="18"/>
          <w:color w:val="auto"/>
        </w:rPr>
      </w:pPr>
    </w:p>
    <w:p>
      <w:pPr>
        <w:ind w:left="1624" w:right="40" w:hanging="327"/>
        <w:spacing w:after="0" w:line="239" w:lineRule="auto"/>
        <w:tabs>
          <w:tab w:leader="none" w:pos="1624" w:val="left"/>
        </w:tabs>
        <w:numPr>
          <w:ilvl w:val="1"/>
          <w:numId w:val="76"/>
        </w:numPr>
        <w:rPr>
          <w:rFonts w:ascii="Arial" w:cs="Arial" w:eastAsia="Arial" w:hAnsi="Arial"/>
          <w:sz w:val="18"/>
          <w:szCs w:val="18"/>
          <w:color w:val="auto"/>
        </w:rPr>
      </w:pPr>
      <w:r>
        <w:rPr>
          <w:rFonts w:ascii="Arial" w:cs="Arial" w:eastAsia="Arial" w:hAnsi="Arial"/>
          <w:sz w:val="20"/>
          <w:szCs w:val="20"/>
          <w:color w:val="auto"/>
        </w:rPr>
        <w:t>Reasonable entertainment at lunch, dinner or business meetings where the return of the expenditure on a reciprocal basis is likely to occur and would be properly chargeable as a business expense; or</w:t>
      </w:r>
    </w:p>
    <w:p>
      <w:pPr>
        <w:spacing w:after="0" w:line="1" w:lineRule="exact"/>
        <w:rPr>
          <w:rFonts w:ascii="Arial" w:cs="Arial" w:eastAsia="Arial" w:hAnsi="Arial"/>
          <w:sz w:val="18"/>
          <w:szCs w:val="18"/>
          <w:color w:val="auto"/>
        </w:rPr>
      </w:pPr>
    </w:p>
    <w:p>
      <w:pPr>
        <w:ind w:left="1624" w:hanging="327"/>
        <w:spacing w:after="0"/>
        <w:tabs>
          <w:tab w:leader="none" w:pos="1624" w:val="left"/>
        </w:tabs>
        <w:numPr>
          <w:ilvl w:val="1"/>
          <w:numId w:val="76"/>
        </w:numPr>
        <w:rPr>
          <w:rFonts w:ascii="Arial" w:cs="Arial" w:eastAsia="Arial" w:hAnsi="Arial"/>
          <w:sz w:val="16"/>
          <w:szCs w:val="16"/>
          <w:color w:val="auto"/>
        </w:rPr>
      </w:pPr>
      <w:r>
        <w:rPr>
          <w:rFonts w:ascii="Arial" w:cs="Arial" w:eastAsia="Arial" w:hAnsi="Arial"/>
          <w:sz w:val="18"/>
          <w:szCs w:val="18"/>
          <w:color w:val="auto"/>
        </w:rPr>
        <w:t>Other routine entertainment that is business-related such as sports outings or cultural events, but only if such is</w:t>
      </w:r>
    </w:p>
    <w:p>
      <w:pPr>
        <w:spacing w:after="0" w:line="22" w:lineRule="exact"/>
        <w:rPr>
          <w:sz w:val="20"/>
          <w:szCs w:val="20"/>
          <w:color w:val="auto"/>
        </w:rPr>
      </w:pPr>
    </w:p>
    <w:p>
      <w:pPr>
        <w:ind w:left="1624"/>
        <w:spacing w:after="0"/>
        <w:rPr>
          <w:sz w:val="20"/>
          <w:szCs w:val="20"/>
          <w:color w:val="auto"/>
        </w:rPr>
      </w:pPr>
      <w:r>
        <w:rPr>
          <w:rFonts w:ascii="Arial" w:cs="Arial" w:eastAsia="Arial" w:hAnsi="Arial"/>
          <w:sz w:val="20"/>
          <w:szCs w:val="20"/>
          <w:color w:val="auto"/>
        </w:rPr>
        <w:t>otherwise acceptable under this Code and is reasonable, customary and not excessive.</w:t>
      </w:r>
    </w:p>
    <w:p>
      <w:pPr>
        <w:jc w:val="both"/>
        <w:ind w:left="1304"/>
        <w:spacing w:after="0" w:line="241" w:lineRule="auto"/>
        <w:rPr>
          <w:sz w:val="20"/>
          <w:szCs w:val="20"/>
          <w:color w:val="auto"/>
        </w:rPr>
      </w:pPr>
      <w:r>
        <w:rPr>
          <w:rFonts w:ascii="Arial" w:cs="Arial" w:eastAsia="Arial" w:hAnsi="Arial"/>
          <w:sz w:val="20"/>
          <w:szCs w:val="20"/>
          <w:color w:val="auto"/>
        </w:rPr>
        <w:t>In the event that you receive any gift or entertainment with a fair market value in excess of $200, you must promptly report it to your supervisor and/or such other person as may be designated by the Chief Compliance Officer. Executive officers must report such gifts or entertainment in writing, on a periodic basis, to the Audit Committee of the Board of Directors (the “Audit Committee”).</w:t>
      </w:r>
    </w:p>
    <w:p>
      <w:pPr>
        <w:spacing w:after="0" w:line="195" w:lineRule="exact"/>
        <w:rPr>
          <w:sz w:val="20"/>
          <w:szCs w:val="20"/>
          <w:color w:val="auto"/>
        </w:rPr>
      </w:pPr>
    </w:p>
    <w:p>
      <w:pPr>
        <w:jc w:val="both"/>
        <w:ind w:left="1304"/>
        <w:spacing w:after="0" w:line="250" w:lineRule="auto"/>
        <w:rPr>
          <w:sz w:val="20"/>
          <w:szCs w:val="20"/>
          <w:color w:val="auto"/>
        </w:rPr>
      </w:pPr>
      <w:r>
        <w:rPr>
          <w:rFonts w:ascii="Arial" w:cs="Arial" w:eastAsia="Arial" w:hAnsi="Arial"/>
          <w:sz w:val="20"/>
          <w:szCs w:val="20"/>
          <w:color w:val="auto"/>
        </w:rPr>
        <w:t>Ultimately, you must exercise good business judgment in deciding which situations are unacceptable. If there is ever any doubt as to the acceptability of any entertainment activity, consult with your supervisor or our Chief Compliance Officer.</w:t>
      </w:r>
    </w:p>
    <w:p>
      <w:pPr>
        <w:sectPr>
          <w:pgSz w:w="11900" w:h="16838" w:orient="portrait"/>
          <w:cols w:equalWidth="0" w:num="1">
            <w:col w:w="10764"/>
          </w:cols>
          <w:pgMar w:left="896" w:top="555" w:right="239" w:bottom="1440" w:gutter="0" w:footer="0" w:header="0"/>
        </w:sectPr>
      </w:pPr>
    </w:p>
    <w:bookmarkStart w:id="96" w:name="page97"/>
    <w:bookmarkEnd w:id="96"/>
    <w:p>
      <w:pPr>
        <w:ind w:left="652" w:hanging="652"/>
        <w:spacing w:after="0"/>
        <w:tabs>
          <w:tab w:leader="none" w:pos="652" w:val="left"/>
        </w:tabs>
        <w:numPr>
          <w:ilvl w:val="0"/>
          <w:numId w:val="77"/>
        </w:numPr>
        <w:rPr>
          <w:rFonts w:ascii="Arial" w:cs="Arial" w:eastAsia="Arial" w:hAnsi="Arial"/>
          <w:sz w:val="18"/>
          <w:szCs w:val="18"/>
          <w:color w:val="auto"/>
        </w:rPr>
      </w:pPr>
      <w:r>
        <w:rPr>
          <w:rFonts w:ascii="Arial" w:cs="Arial" w:eastAsia="Arial" w:hAnsi="Arial"/>
          <w:sz w:val="20"/>
          <w:szCs w:val="20"/>
          <w:b w:val="1"/>
          <w:bCs w:val="1"/>
          <w:color w:val="auto"/>
        </w:rPr>
        <w:t>MAINTAINING ACCURATE AND COMPLETE COMPANY RECORDS</w:t>
      </w:r>
    </w:p>
    <w:p>
      <w:pPr>
        <w:spacing w:after="0" w:line="21" w:lineRule="exact"/>
        <w:rPr>
          <w:rFonts w:ascii="Arial" w:cs="Arial" w:eastAsia="Arial" w:hAnsi="Arial"/>
          <w:sz w:val="18"/>
          <w:szCs w:val="18"/>
          <w:color w:val="auto"/>
        </w:rPr>
      </w:pPr>
    </w:p>
    <w:p>
      <w:pPr>
        <w:ind w:left="1292" w:hanging="644"/>
        <w:spacing w:after="0"/>
        <w:tabs>
          <w:tab w:leader="none" w:pos="1292" w:val="left"/>
        </w:tabs>
        <w:numPr>
          <w:ilvl w:val="1"/>
          <w:numId w:val="77"/>
        </w:numPr>
        <w:rPr>
          <w:rFonts w:ascii="Arial" w:cs="Arial" w:eastAsia="Arial" w:hAnsi="Arial"/>
          <w:sz w:val="18"/>
          <w:szCs w:val="18"/>
          <w:color w:val="auto"/>
        </w:rPr>
      </w:pPr>
      <w:r>
        <w:rPr>
          <w:rFonts w:ascii="Arial" w:cs="Arial" w:eastAsia="Arial" w:hAnsi="Arial"/>
          <w:sz w:val="20"/>
          <w:szCs w:val="20"/>
          <w:b w:val="1"/>
          <w:bCs w:val="1"/>
          <w:color w:val="auto"/>
        </w:rPr>
        <w:t>ACCOUNTING AND FINANCIAL RECORDS</w:t>
      </w:r>
    </w:p>
    <w:p>
      <w:pPr>
        <w:jc w:val="both"/>
        <w:ind w:left="1292"/>
        <w:spacing w:after="0" w:line="258" w:lineRule="auto"/>
        <w:rPr>
          <w:rFonts w:ascii="Arial" w:cs="Arial" w:eastAsia="Arial" w:hAnsi="Arial"/>
          <w:sz w:val="18"/>
          <w:szCs w:val="18"/>
          <w:color w:val="auto"/>
        </w:rPr>
      </w:pPr>
      <w:r>
        <w:rPr>
          <w:rFonts w:ascii="Arial" w:cs="Arial" w:eastAsia="Arial" w:hAnsi="Arial"/>
          <w:sz w:val="19"/>
          <w:szCs w:val="19"/>
          <w:color w:val="auto"/>
        </w:rPr>
        <w:t>We are required under U.S. federal securities laws and generally accepted accounting principles to keep books, records and accounts that accurately reflect all transactions and to provide an adequate system of internal accounting and controls. We expect you to ensure that those portions of our books, records and accounts for which you have responsibility are valid, complete, accurate and supported by appropriate documentation in verifiable form.</w:t>
      </w:r>
    </w:p>
    <w:p>
      <w:pPr>
        <w:spacing w:after="0" w:line="178"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20"/>
          <w:szCs w:val="20"/>
          <w:color w:val="auto"/>
        </w:rPr>
        <w:t>You should not:</w:t>
      </w:r>
    </w:p>
    <w:p>
      <w:pPr>
        <w:spacing w:after="0" w:line="215" w:lineRule="exact"/>
        <w:rPr>
          <w:rFonts w:ascii="Arial" w:cs="Arial" w:eastAsia="Arial" w:hAnsi="Arial"/>
          <w:sz w:val="18"/>
          <w:szCs w:val="18"/>
          <w:color w:val="auto"/>
        </w:rPr>
      </w:pPr>
    </w:p>
    <w:p>
      <w:pPr>
        <w:ind w:left="2272" w:hanging="327"/>
        <w:spacing w:after="0"/>
        <w:tabs>
          <w:tab w:leader="none" w:pos="2272" w:val="left"/>
        </w:tabs>
        <w:numPr>
          <w:ilvl w:val="2"/>
          <w:numId w:val="77"/>
        </w:numPr>
        <w:rPr>
          <w:rFonts w:ascii="Arial" w:cs="Arial" w:eastAsia="Arial" w:hAnsi="Arial"/>
          <w:sz w:val="18"/>
          <w:szCs w:val="18"/>
          <w:color w:val="auto"/>
        </w:rPr>
      </w:pPr>
      <w:r>
        <w:rPr>
          <w:rFonts w:ascii="Arial" w:cs="Arial" w:eastAsia="Arial" w:hAnsi="Arial"/>
          <w:sz w:val="20"/>
          <w:szCs w:val="20"/>
          <w:color w:val="auto"/>
        </w:rPr>
        <w:t>Improperly accelerate or defer expenses or revenues to achieve financial results or goals;</w:t>
      </w:r>
    </w:p>
    <w:p>
      <w:pPr>
        <w:spacing w:after="0" w:line="15" w:lineRule="exact"/>
        <w:rPr>
          <w:rFonts w:ascii="Arial" w:cs="Arial" w:eastAsia="Arial" w:hAnsi="Arial"/>
          <w:sz w:val="18"/>
          <w:szCs w:val="18"/>
          <w:color w:val="auto"/>
        </w:rPr>
      </w:pPr>
    </w:p>
    <w:p>
      <w:pPr>
        <w:ind w:left="2272" w:hanging="327"/>
        <w:spacing w:after="0"/>
        <w:tabs>
          <w:tab w:leader="none" w:pos="2272" w:val="left"/>
        </w:tabs>
        <w:numPr>
          <w:ilvl w:val="2"/>
          <w:numId w:val="77"/>
        </w:numPr>
        <w:rPr>
          <w:rFonts w:ascii="Arial" w:cs="Arial" w:eastAsia="Arial" w:hAnsi="Arial"/>
          <w:sz w:val="18"/>
          <w:szCs w:val="18"/>
          <w:color w:val="auto"/>
        </w:rPr>
      </w:pPr>
      <w:r>
        <w:rPr>
          <w:rFonts w:ascii="Arial" w:cs="Arial" w:eastAsia="Arial" w:hAnsi="Arial"/>
          <w:sz w:val="20"/>
          <w:szCs w:val="20"/>
          <w:color w:val="auto"/>
        </w:rPr>
        <w:t>Deviate from any accounting standards applicable to AGNC or otherwise;</w:t>
      </w:r>
    </w:p>
    <w:p>
      <w:pPr>
        <w:ind w:left="2272" w:hanging="327"/>
        <w:spacing w:after="0"/>
        <w:tabs>
          <w:tab w:leader="none" w:pos="2272" w:val="left"/>
        </w:tabs>
        <w:numPr>
          <w:ilvl w:val="2"/>
          <w:numId w:val="77"/>
        </w:numPr>
        <w:rPr>
          <w:rFonts w:ascii="Arial" w:cs="Arial" w:eastAsia="Arial" w:hAnsi="Arial"/>
          <w:sz w:val="18"/>
          <w:szCs w:val="18"/>
          <w:color w:val="auto"/>
        </w:rPr>
      </w:pPr>
      <w:r>
        <w:rPr>
          <w:rFonts w:ascii="Arial" w:cs="Arial" w:eastAsia="Arial" w:hAnsi="Arial"/>
          <w:sz w:val="20"/>
          <w:szCs w:val="20"/>
          <w:color w:val="auto"/>
        </w:rPr>
        <w:t>Participate in the valuation of any of our assets at a value other than that required by law;</w:t>
      </w:r>
    </w:p>
    <w:p>
      <w:pPr>
        <w:ind w:left="2272" w:hanging="327"/>
        <w:spacing w:after="0"/>
        <w:tabs>
          <w:tab w:leader="none" w:pos="2272" w:val="left"/>
        </w:tabs>
        <w:numPr>
          <w:ilvl w:val="2"/>
          <w:numId w:val="77"/>
        </w:numPr>
        <w:rPr>
          <w:rFonts w:ascii="Arial" w:cs="Arial" w:eastAsia="Arial" w:hAnsi="Arial"/>
          <w:sz w:val="18"/>
          <w:szCs w:val="18"/>
          <w:color w:val="auto"/>
        </w:rPr>
      </w:pPr>
      <w:r>
        <w:rPr>
          <w:rFonts w:ascii="Arial" w:cs="Arial" w:eastAsia="Arial" w:hAnsi="Arial"/>
          <w:sz w:val="20"/>
          <w:szCs w:val="20"/>
          <w:color w:val="auto"/>
        </w:rPr>
        <w:t>Maintain any undisclosed or unrecorded funds or off the book assets;</w:t>
      </w:r>
    </w:p>
    <w:p>
      <w:pPr>
        <w:ind w:left="2272" w:right="580" w:hanging="327"/>
        <w:spacing w:after="0" w:line="239" w:lineRule="auto"/>
        <w:tabs>
          <w:tab w:leader="none" w:pos="2272" w:val="left"/>
        </w:tabs>
        <w:numPr>
          <w:ilvl w:val="2"/>
          <w:numId w:val="77"/>
        </w:numPr>
        <w:rPr>
          <w:rFonts w:ascii="Arial" w:cs="Arial" w:eastAsia="Arial" w:hAnsi="Arial"/>
          <w:sz w:val="18"/>
          <w:szCs w:val="18"/>
          <w:color w:val="auto"/>
        </w:rPr>
      </w:pPr>
      <w:r>
        <w:rPr>
          <w:rFonts w:ascii="Arial" w:cs="Arial" w:eastAsia="Arial" w:hAnsi="Arial"/>
          <w:sz w:val="20"/>
          <w:szCs w:val="20"/>
          <w:color w:val="auto"/>
        </w:rPr>
        <w:t>Establish or maintain improper, misleading, incomplete or fraudulent accounting documentation or financial reporting;</w:t>
      </w:r>
    </w:p>
    <w:p>
      <w:pPr>
        <w:spacing w:after="0" w:line="1" w:lineRule="exact"/>
        <w:rPr>
          <w:rFonts w:ascii="Arial" w:cs="Arial" w:eastAsia="Arial" w:hAnsi="Arial"/>
          <w:sz w:val="18"/>
          <w:szCs w:val="18"/>
          <w:color w:val="auto"/>
        </w:rPr>
      </w:pPr>
    </w:p>
    <w:p>
      <w:pPr>
        <w:ind w:left="2272" w:hanging="327"/>
        <w:spacing w:after="0"/>
        <w:tabs>
          <w:tab w:leader="none" w:pos="2272" w:val="left"/>
        </w:tabs>
        <w:numPr>
          <w:ilvl w:val="2"/>
          <w:numId w:val="77"/>
        </w:numPr>
        <w:rPr>
          <w:rFonts w:ascii="Arial" w:cs="Arial" w:eastAsia="Arial" w:hAnsi="Arial"/>
          <w:sz w:val="18"/>
          <w:szCs w:val="18"/>
          <w:color w:val="auto"/>
        </w:rPr>
      </w:pPr>
      <w:r>
        <w:rPr>
          <w:rFonts w:ascii="Arial" w:cs="Arial" w:eastAsia="Arial" w:hAnsi="Arial"/>
          <w:sz w:val="20"/>
          <w:szCs w:val="20"/>
          <w:color w:val="auto"/>
        </w:rPr>
        <w:t>Make any payment for purposes other than those described in the documents supporting the payment;</w:t>
      </w:r>
    </w:p>
    <w:p>
      <w:pPr>
        <w:ind w:left="2272" w:right="440" w:hanging="327"/>
        <w:spacing w:after="0" w:line="239" w:lineRule="auto"/>
        <w:tabs>
          <w:tab w:leader="none" w:pos="2272" w:val="left"/>
        </w:tabs>
        <w:numPr>
          <w:ilvl w:val="2"/>
          <w:numId w:val="77"/>
        </w:numPr>
        <w:rPr>
          <w:rFonts w:ascii="Arial" w:cs="Arial" w:eastAsia="Arial" w:hAnsi="Arial"/>
          <w:sz w:val="18"/>
          <w:szCs w:val="18"/>
          <w:color w:val="auto"/>
        </w:rPr>
      </w:pPr>
      <w:r>
        <w:rPr>
          <w:rFonts w:ascii="Arial" w:cs="Arial" w:eastAsia="Arial" w:hAnsi="Arial"/>
          <w:sz w:val="20"/>
          <w:szCs w:val="20"/>
          <w:color w:val="auto"/>
        </w:rPr>
        <w:t>Submit or approve any expense report where you know or suspect that any portion of the underlying expenses were not incurred or are not accurate; or</w:t>
      </w:r>
    </w:p>
    <w:p>
      <w:pPr>
        <w:spacing w:after="0" w:line="1" w:lineRule="exact"/>
        <w:rPr>
          <w:rFonts w:ascii="Arial" w:cs="Arial" w:eastAsia="Arial" w:hAnsi="Arial"/>
          <w:sz w:val="18"/>
          <w:szCs w:val="18"/>
          <w:color w:val="auto"/>
        </w:rPr>
      </w:pPr>
    </w:p>
    <w:p>
      <w:pPr>
        <w:ind w:left="2272" w:hanging="327"/>
        <w:spacing w:after="0"/>
        <w:tabs>
          <w:tab w:leader="none" w:pos="2272" w:val="left"/>
        </w:tabs>
        <w:numPr>
          <w:ilvl w:val="2"/>
          <w:numId w:val="77"/>
        </w:numPr>
        <w:rPr>
          <w:rFonts w:ascii="Arial" w:cs="Arial" w:eastAsia="Arial" w:hAnsi="Arial"/>
          <w:sz w:val="18"/>
          <w:szCs w:val="18"/>
          <w:color w:val="auto"/>
        </w:rPr>
      </w:pPr>
      <w:r>
        <w:rPr>
          <w:rFonts w:ascii="Arial" w:cs="Arial" w:eastAsia="Arial" w:hAnsi="Arial"/>
          <w:sz w:val="20"/>
          <w:szCs w:val="20"/>
          <w:color w:val="auto"/>
        </w:rPr>
        <w:t>Sign any documents believed to be inaccurate or untruthful.</w:t>
      </w:r>
    </w:p>
    <w:p>
      <w:pPr>
        <w:jc w:val="both"/>
        <w:ind w:left="1292"/>
        <w:spacing w:after="0" w:line="274" w:lineRule="auto"/>
        <w:rPr>
          <w:sz w:val="20"/>
          <w:szCs w:val="20"/>
          <w:color w:val="auto"/>
        </w:rPr>
      </w:pPr>
      <w:r>
        <w:rPr>
          <w:rFonts w:ascii="Arial" w:cs="Arial" w:eastAsia="Arial" w:hAnsi="Arial"/>
          <w:sz w:val="18"/>
          <w:szCs w:val="18"/>
          <w:color w:val="auto"/>
        </w:rPr>
        <w:t>AGNC people who exercise supervisory duties over our assets or records are expected to establish and implement appropriate internal controls over all areas of their responsibility. This will help ensure the safeguarding of AGNC’s assets and the accuracy of our financial records and reports. We have adopted and will continue to adopt various types of internal controls and procedures as required to meet internal needs and applicable laws and regulations. We expect you to follow these controls and procedures to the extent they apply to you, to assure the complete and accurate recording of all transactions.</w:t>
      </w:r>
    </w:p>
    <w:p>
      <w:pPr>
        <w:spacing w:after="0" w:line="166" w:lineRule="exact"/>
        <w:rPr>
          <w:sz w:val="20"/>
          <w:szCs w:val="20"/>
          <w:color w:val="auto"/>
        </w:rPr>
      </w:pPr>
    </w:p>
    <w:p>
      <w:pPr>
        <w:jc w:val="both"/>
        <w:ind w:left="1292"/>
        <w:spacing w:after="0" w:line="291" w:lineRule="auto"/>
        <w:rPr>
          <w:sz w:val="20"/>
          <w:szCs w:val="20"/>
          <w:color w:val="auto"/>
        </w:rPr>
      </w:pPr>
      <w:r>
        <w:rPr>
          <w:rFonts w:ascii="Arial" w:cs="Arial" w:eastAsia="Arial" w:hAnsi="Arial"/>
          <w:sz w:val="18"/>
          <w:szCs w:val="18"/>
          <w:color w:val="auto"/>
        </w:rPr>
        <w:t>Any accounting entries or adjustments that materially depart from generally accepted accounting principles must be approved by our Audit Committee and reported to our independent auditors. You must not interfere with or seek to influence improperly (directly or indirectly) the review or auditing of our financial records by our Audit Committee or independent auditors.</w:t>
      </w:r>
    </w:p>
    <w:p>
      <w:pPr>
        <w:spacing w:after="0" w:line="152" w:lineRule="exact"/>
        <w:rPr>
          <w:sz w:val="20"/>
          <w:szCs w:val="20"/>
          <w:color w:val="auto"/>
        </w:rPr>
      </w:pPr>
    </w:p>
    <w:p>
      <w:pPr>
        <w:jc w:val="both"/>
        <w:ind w:left="1292"/>
        <w:spacing w:after="0" w:line="243" w:lineRule="auto"/>
        <w:rPr>
          <w:sz w:val="20"/>
          <w:szCs w:val="20"/>
          <w:color w:val="auto"/>
        </w:rPr>
      </w:pPr>
      <w:r>
        <w:rPr>
          <w:rFonts w:ascii="Arial" w:cs="Arial" w:eastAsia="Arial" w:hAnsi="Arial"/>
          <w:sz w:val="20"/>
          <w:szCs w:val="20"/>
          <w:color w:val="auto"/>
        </w:rPr>
        <w:t>If you become aware of any questionable transaction or accounting practice concerning AGNC, our investments or our other assets, we expect you to report the matter immediately to our Chief Compliance Officer or to a member of our Audit Committee. In addition, we expect you to report all material off-balance-sheet transactions, arrangements and obligations, contingent or otherwise, and other AGNC relationships outside the ordinary course of business with unconsolidated entities or other persons that may have material current or future effects on our financial condition or results of operations to our Chief Compliance Officer or to a member of our Audit Committee.</w:t>
      </w:r>
    </w:p>
    <w:p>
      <w:pPr>
        <w:spacing w:after="0" w:line="196" w:lineRule="exact"/>
        <w:rPr>
          <w:sz w:val="20"/>
          <w:szCs w:val="20"/>
          <w:color w:val="auto"/>
        </w:rPr>
      </w:pPr>
    </w:p>
    <w:p>
      <w:pPr>
        <w:jc w:val="both"/>
        <w:ind w:left="1292"/>
        <w:spacing w:after="0" w:line="260" w:lineRule="auto"/>
        <w:rPr>
          <w:sz w:val="20"/>
          <w:szCs w:val="20"/>
          <w:color w:val="auto"/>
        </w:rPr>
      </w:pPr>
      <w:r>
        <w:rPr>
          <w:rFonts w:ascii="Arial" w:cs="Arial" w:eastAsia="Arial" w:hAnsi="Arial"/>
          <w:sz w:val="20"/>
          <w:szCs w:val="20"/>
          <w:color w:val="auto"/>
        </w:rPr>
        <w:t>Section F.2 of this Code describes the procedure for making these reports. You may also make an anonymous report under Section F.2 if you are not comfortable revealing your identity when making a report.</w:t>
      </w:r>
    </w:p>
    <w:p>
      <w:pPr>
        <w:spacing w:after="0" w:line="171" w:lineRule="exact"/>
        <w:rPr>
          <w:sz w:val="20"/>
          <w:szCs w:val="20"/>
          <w:color w:val="auto"/>
        </w:rPr>
      </w:pPr>
    </w:p>
    <w:p>
      <w:pPr>
        <w:ind w:left="1292" w:hanging="644"/>
        <w:spacing w:after="0"/>
        <w:tabs>
          <w:tab w:leader="none" w:pos="1292" w:val="left"/>
        </w:tabs>
        <w:numPr>
          <w:ilvl w:val="0"/>
          <w:numId w:val="78"/>
        </w:numPr>
        <w:rPr>
          <w:rFonts w:ascii="Arial" w:cs="Arial" w:eastAsia="Arial" w:hAnsi="Arial"/>
          <w:sz w:val="18"/>
          <w:szCs w:val="18"/>
          <w:color w:val="auto"/>
        </w:rPr>
      </w:pPr>
      <w:r>
        <w:rPr>
          <w:rFonts w:ascii="Arial" w:cs="Arial" w:eastAsia="Arial" w:hAnsi="Arial"/>
          <w:sz w:val="20"/>
          <w:szCs w:val="20"/>
          <w:b w:val="1"/>
          <w:bCs w:val="1"/>
          <w:color w:val="auto"/>
        </w:rPr>
        <w:t>DISCLOSURES TO INVESTORS</w:t>
      </w:r>
    </w:p>
    <w:p>
      <w:pPr>
        <w:spacing w:after="0" w:line="21" w:lineRule="exact"/>
        <w:rPr>
          <w:rFonts w:ascii="Arial" w:cs="Arial" w:eastAsia="Arial" w:hAnsi="Arial"/>
          <w:sz w:val="18"/>
          <w:szCs w:val="18"/>
          <w:color w:val="auto"/>
        </w:rPr>
      </w:pPr>
    </w:p>
    <w:p>
      <w:pPr>
        <w:jc w:val="both"/>
        <w:ind w:left="1292"/>
        <w:spacing w:after="0"/>
        <w:rPr>
          <w:rFonts w:ascii="Arial" w:cs="Arial" w:eastAsia="Arial" w:hAnsi="Arial"/>
          <w:sz w:val="18"/>
          <w:szCs w:val="18"/>
          <w:color w:val="auto"/>
        </w:rPr>
      </w:pPr>
      <w:r>
        <w:rPr>
          <w:rFonts w:ascii="Arial" w:cs="Arial" w:eastAsia="Arial" w:hAnsi="Arial"/>
          <w:sz w:val="20"/>
          <w:szCs w:val="20"/>
          <w:color w:val="auto"/>
        </w:rPr>
        <w:t>We are required under U.S. federal securities laws to provide the public with periodic disclosure regarding our business and financial condition (such as quarterly and annual reports and materials for our annual stockholders’ meeting). We provide additional disclosures to the public through our quarterly earnings calls and press releases and provide disclosures to our lenders and other credit providers through various means. All AGNC people who participate in the preparation or dissemination</w:t>
      </w:r>
    </w:p>
    <w:p>
      <w:pPr>
        <w:sectPr>
          <w:pgSz w:w="11900" w:h="16838" w:orient="portrait"/>
          <w:cols w:equalWidth="0" w:num="1">
            <w:col w:w="11412"/>
          </w:cols>
          <w:pgMar w:left="248" w:top="549" w:right="239" w:bottom="1440" w:gutter="0" w:footer="0" w:header="0"/>
        </w:sectPr>
      </w:pPr>
    </w:p>
    <w:bookmarkStart w:id="97" w:name="page98"/>
    <w:bookmarkEnd w:id="97"/>
    <w:p>
      <w:pPr>
        <w:jc w:val="both"/>
        <w:ind w:left="1292"/>
        <w:spacing w:after="0" w:line="287" w:lineRule="auto"/>
        <w:rPr>
          <w:sz w:val="20"/>
          <w:szCs w:val="20"/>
          <w:color w:val="auto"/>
        </w:rPr>
      </w:pPr>
      <w:r>
        <w:rPr>
          <w:rFonts w:ascii="Arial" w:cs="Arial" w:eastAsia="Arial" w:hAnsi="Arial"/>
          <w:sz w:val="19"/>
          <w:szCs w:val="19"/>
          <w:color w:val="auto"/>
        </w:rPr>
        <w:t>of these disclosures, or who provide information that they know may be used in the preparation of these disclosures, have a legal and ethical duty to ensure that the content of the disclosures is accurate, complete and timely.</w:t>
      </w:r>
    </w:p>
    <w:p>
      <w:pPr>
        <w:spacing w:after="0" w:line="153" w:lineRule="exact"/>
        <w:rPr>
          <w:sz w:val="20"/>
          <w:szCs w:val="20"/>
          <w:color w:val="auto"/>
        </w:rPr>
      </w:pPr>
    </w:p>
    <w:p>
      <w:pPr>
        <w:jc w:val="both"/>
        <w:ind w:left="1292"/>
        <w:spacing w:after="0" w:line="246" w:lineRule="auto"/>
        <w:rPr>
          <w:sz w:val="20"/>
          <w:szCs w:val="20"/>
          <w:color w:val="auto"/>
        </w:rPr>
      </w:pPr>
      <w:r>
        <w:rPr>
          <w:rFonts w:ascii="Arial" w:cs="Arial" w:eastAsia="Arial" w:hAnsi="Arial"/>
          <w:sz w:val="20"/>
          <w:szCs w:val="20"/>
          <w:color w:val="auto"/>
        </w:rPr>
        <w:t>We have created and will continue to create disclosure controls and procedures that are designed to ensure that all such disclosures are accurate, complete and timely. If you become aware that our disclosures are not accurate, complete and timely, or become aware of a transaction or development you believe may require disclosure, you should report the matter immediately to our Chief Compliance Officer or a member of the Audit Committee.</w:t>
      </w:r>
    </w:p>
    <w:p>
      <w:pPr>
        <w:spacing w:after="0" w:line="186" w:lineRule="exact"/>
        <w:rPr>
          <w:sz w:val="20"/>
          <w:szCs w:val="20"/>
          <w:color w:val="auto"/>
        </w:rPr>
      </w:pPr>
    </w:p>
    <w:p>
      <w:pPr>
        <w:ind w:left="1292" w:hanging="644"/>
        <w:spacing w:after="0"/>
        <w:tabs>
          <w:tab w:leader="none" w:pos="1292" w:val="left"/>
        </w:tabs>
        <w:numPr>
          <w:ilvl w:val="1"/>
          <w:numId w:val="79"/>
        </w:numPr>
        <w:rPr>
          <w:rFonts w:ascii="Arial" w:cs="Arial" w:eastAsia="Arial" w:hAnsi="Arial"/>
          <w:sz w:val="18"/>
          <w:szCs w:val="18"/>
          <w:color w:val="auto"/>
        </w:rPr>
      </w:pPr>
      <w:r>
        <w:rPr>
          <w:rFonts w:ascii="Arial" w:cs="Arial" w:eastAsia="Arial" w:hAnsi="Arial"/>
          <w:sz w:val="20"/>
          <w:szCs w:val="20"/>
          <w:b w:val="1"/>
          <w:bCs w:val="1"/>
          <w:color w:val="auto"/>
        </w:rPr>
        <w:t>RETENTION OF DOCUMENTS</w:t>
      </w:r>
    </w:p>
    <w:p>
      <w:pPr>
        <w:spacing w:after="0" w:line="21" w:lineRule="exact"/>
        <w:rPr>
          <w:rFonts w:ascii="Arial" w:cs="Arial" w:eastAsia="Arial" w:hAnsi="Arial"/>
          <w:sz w:val="18"/>
          <w:szCs w:val="18"/>
          <w:color w:val="auto"/>
        </w:rPr>
      </w:pPr>
    </w:p>
    <w:p>
      <w:pPr>
        <w:jc w:val="both"/>
        <w:ind w:left="1292"/>
        <w:spacing w:after="0" w:line="272" w:lineRule="auto"/>
        <w:rPr>
          <w:rFonts w:ascii="Arial" w:cs="Arial" w:eastAsia="Arial" w:hAnsi="Arial"/>
          <w:sz w:val="18"/>
          <w:szCs w:val="18"/>
          <w:color w:val="auto"/>
        </w:rPr>
      </w:pPr>
      <w:r>
        <w:rPr>
          <w:rFonts w:ascii="Arial" w:cs="Arial" w:eastAsia="Arial" w:hAnsi="Arial"/>
          <w:sz w:val="18"/>
          <w:szCs w:val="18"/>
          <w:color w:val="auto"/>
        </w:rPr>
        <w:t>Certain types of documents and records (including, for example, e-mails) must be retained for specific periods of time, because of legal and regulatory requirements, or contractual obligations to our providers of capital or others. These periods of time, and the types of documents and records covered, may vary from time to time and will be announced as appropriate. We expect you to comply with the document retention requirements that apply to you. If you are working with these types of documents and records, or are uncertain whether the documents or records you are working with are subject to these retention requirements, please consult with your supervisor, a member of our Legal team or our Chief Compliance Officer.</w:t>
      </w:r>
    </w:p>
    <w:p>
      <w:pPr>
        <w:spacing w:after="0" w:line="170" w:lineRule="exact"/>
        <w:rPr>
          <w:rFonts w:ascii="Arial" w:cs="Arial" w:eastAsia="Arial" w:hAnsi="Arial"/>
          <w:sz w:val="18"/>
          <w:szCs w:val="18"/>
          <w:color w:val="auto"/>
        </w:rPr>
      </w:pPr>
    </w:p>
    <w:p>
      <w:pPr>
        <w:jc w:val="both"/>
        <w:ind w:left="1292"/>
        <w:spacing w:after="0" w:line="278" w:lineRule="auto"/>
        <w:rPr>
          <w:rFonts w:ascii="Arial" w:cs="Arial" w:eastAsia="Arial" w:hAnsi="Arial"/>
          <w:sz w:val="18"/>
          <w:szCs w:val="18"/>
          <w:color w:val="auto"/>
        </w:rPr>
      </w:pPr>
      <w:r>
        <w:rPr>
          <w:rFonts w:ascii="Arial" w:cs="Arial" w:eastAsia="Arial" w:hAnsi="Arial"/>
          <w:sz w:val="18"/>
          <w:szCs w:val="18"/>
          <w:color w:val="auto"/>
        </w:rPr>
        <w:t>Whenever you become aware that documents or records of any type may be required in connection with a lawsuit or government investigation, you must preserve all possibly relevant documents. This means that you must immediately stop disposing of or altering those documents pertaining to the subjects of the litigation or investigation, even if that activity is ordinary or routine. If you are uncertain whether documents or records under your control should be preserved because they might relate to a lawsuit or investigation, you should contact a member of our Legal team or our Chief Compliance Officer.</w:t>
      </w:r>
    </w:p>
    <w:p>
      <w:pPr>
        <w:spacing w:after="0" w:line="159" w:lineRule="exact"/>
        <w:rPr>
          <w:rFonts w:ascii="Arial" w:cs="Arial" w:eastAsia="Arial" w:hAnsi="Arial"/>
          <w:sz w:val="18"/>
          <w:szCs w:val="18"/>
          <w:color w:val="auto"/>
        </w:rPr>
      </w:pPr>
    </w:p>
    <w:p>
      <w:pPr>
        <w:ind w:left="652" w:hanging="652"/>
        <w:spacing w:after="0"/>
        <w:tabs>
          <w:tab w:leader="none" w:pos="652" w:val="left"/>
        </w:tabs>
        <w:numPr>
          <w:ilvl w:val="0"/>
          <w:numId w:val="80"/>
        </w:numPr>
        <w:rPr>
          <w:rFonts w:ascii="Arial" w:cs="Arial" w:eastAsia="Arial" w:hAnsi="Arial"/>
          <w:sz w:val="18"/>
          <w:szCs w:val="18"/>
          <w:color w:val="auto"/>
        </w:rPr>
      </w:pPr>
      <w:r>
        <w:rPr>
          <w:rFonts w:ascii="Arial" w:cs="Arial" w:eastAsia="Arial" w:hAnsi="Arial"/>
          <w:sz w:val="20"/>
          <w:szCs w:val="20"/>
          <w:b w:val="1"/>
          <w:bCs w:val="1"/>
          <w:color w:val="auto"/>
        </w:rPr>
        <w:t>PROTECTING CONFIDENTIAL INFORMATION</w:t>
      </w:r>
    </w:p>
    <w:p>
      <w:pPr>
        <w:spacing w:after="0" w:line="21" w:lineRule="exact"/>
        <w:rPr>
          <w:rFonts w:ascii="Arial" w:cs="Arial" w:eastAsia="Arial" w:hAnsi="Arial"/>
          <w:sz w:val="18"/>
          <w:szCs w:val="18"/>
          <w:color w:val="auto"/>
        </w:rPr>
      </w:pPr>
    </w:p>
    <w:p>
      <w:pPr>
        <w:ind w:left="1292" w:hanging="644"/>
        <w:spacing w:after="0"/>
        <w:tabs>
          <w:tab w:leader="none" w:pos="1292" w:val="left"/>
        </w:tabs>
        <w:numPr>
          <w:ilvl w:val="1"/>
          <w:numId w:val="80"/>
        </w:numPr>
        <w:rPr>
          <w:rFonts w:ascii="Arial" w:cs="Arial" w:eastAsia="Arial" w:hAnsi="Arial"/>
          <w:sz w:val="18"/>
          <w:szCs w:val="18"/>
          <w:color w:val="auto"/>
        </w:rPr>
      </w:pPr>
      <w:r>
        <w:rPr>
          <w:rFonts w:ascii="Arial" w:cs="Arial" w:eastAsia="Arial" w:hAnsi="Arial"/>
          <w:sz w:val="20"/>
          <w:szCs w:val="20"/>
          <w:b w:val="1"/>
          <w:bCs w:val="1"/>
          <w:color w:val="auto"/>
        </w:rPr>
        <w:t>AGNC CONFIDENTIAL INFORMATION</w:t>
      </w:r>
    </w:p>
    <w:p>
      <w:pPr>
        <w:ind w:left="1292"/>
        <w:spacing w:after="0" w:line="244" w:lineRule="auto"/>
        <w:rPr>
          <w:rFonts w:ascii="Arial" w:cs="Arial" w:eastAsia="Arial" w:hAnsi="Arial"/>
          <w:sz w:val="18"/>
          <w:szCs w:val="18"/>
          <w:color w:val="auto"/>
        </w:rPr>
      </w:pPr>
      <w:r>
        <w:rPr>
          <w:rFonts w:ascii="Arial" w:cs="Arial" w:eastAsia="Arial" w:hAnsi="Arial"/>
          <w:sz w:val="20"/>
          <w:szCs w:val="20"/>
          <w:color w:val="auto"/>
        </w:rPr>
        <w:t>You will often have access to information that is private to AGNC, has not been made public and constitutes trade secrets or proprietary information. Protection of this information is critical to our ability to grow and compete.</w:t>
      </w:r>
    </w:p>
    <w:p>
      <w:pPr>
        <w:spacing w:after="0" w:line="191" w:lineRule="exact"/>
        <w:rPr>
          <w:rFonts w:ascii="Arial" w:cs="Arial" w:eastAsia="Arial" w:hAnsi="Arial"/>
          <w:sz w:val="18"/>
          <w:szCs w:val="18"/>
          <w:color w:val="auto"/>
        </w:rPr>
      </w:pPr>
    </w:p>
    <w:p>
      <w:pPr>
        <w:ind w:left="1292"/>
        <w:spacing w:after="0" w:line="260" w:lineRule="auto"/>
        <w:rPr>
          <w:rFonts w:ascii="Arial" w:cs="Arial" w:eastAsia="Arial" w:hAnsi="Arial"/>
          <w:sz w:val="18"/>
          <w:szCs w:val="18"/>
          <w:color w:val="auto"/>
        </w:rPr>
      </w:pPr>
      <w:r>
        <w:rPr>
          <w:rFonts w:ascii="Arial" w:cs="Arial" w:eastAsia="Arial" w:hAnsi="Arial"/>
          <w:sz w:val="20"/>
          <w:szCs w:val="20"/>
          <w:color w:val="auto"/>
        </w:rPr>
        <w:t>Under the laws of most jurisdictions where we do business, trade secrets are legally protected property as long as they remain secret (meaning not generally or publicly known).</w:t>
      </w:r>
    </w:p>
    <w:p>
      <w:pPr>
        <w:spacing w:after="0" w:line="176"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20"/>
          <w:szCs w:val="20"/>
          <w:color w:val="auto"/>
        </w:rPr>
        <w:t>Your obligations with respect to our confidential trade secrets and proprietary information are:</w:t>
      </w:r>
    </w:p>
    <w:p>
      <w:pPr>
        <w:spacing w:after="0" w:line="215" w:lineRule="exact"/>
        <w:rPr>
          <w:rFonts w:ascii="Arial" w:cs="Arial" w:eastAsia="Arial" w:hAnsi="Arial"/>
          <w:sz w:val="18"/>
          <w:szCs w:val="18"/>
          <w:color w:val="auto"/>
        </w:rPr>
      </w:pPr>
    </w:p>
    <w:p>
      <w:pPr>
        <w:ind w:left="2272" w:hanging="327"/>
        <w:spacing w:after="0"/>
        <w:tabs>
          <w:tab w:leader="none" w:pos="2272" w:val="left"/>
        </w:tabs>
        <w:numPr>
          <w:ilvl w:val="2"/>
          <w:numId w:val="80"/>
        </w:numPr>
        <w:rPr>
          <w:rFonts w:ascii="Arial" w:cs="Arial" w:eastAsia="Arial" w:hAnsi="Arial"/>
          <w:sz w:val="18"/>
          <w:szCs w:val="18"/>
          <w:color w:val="auto"/>
        </w:rPr>
      </w:pPr>
      <w:r>
        <w:rPr>
          <w:rFonts w:ascii="Arial" w:cs="Arial" w:eastAsia="Arial" w:hAnsi="Arial"/>
          <w:sz w:val="20"/>
          <w:szCs w:val="20"/>
          <w:color w:val="auto"/>
        </w:rPr>
        <w:t>Not to disclose the information outside of AGNC;</w:t>
      </w:r>
    </w:p>
    <w:p>
      <w:pPr>
        <w:spacing w:after="0" w:line="15" w:lineRule="exact"/>
        <w:rPr>
          <w:rFonts w:ascii="Arial" w:cs="Arial" w:eastAsia="Arial" w:hAnsi="Arial"/>
          <w:sz w:val="18"/>
          <w:szCs w:val="18"/>
          <w:color w:val="auto"/>
        </w:rPr>
      </w:pPr>
    </w:p>
    <w:p>
      <w:pPr>
        <w:ind w:left="2272" w:hanging="327"/>
        <w:spacing w:after="0"/>
        <w:tabs>
          <w:tab w:leader="none" w:pos="2272" w:val="left"/>
        </w:tabs>
        <w:numPr>
          <w:ilvl w:val="2"/>
          <w:numId w:val="80"/>
        </w:numPr>
        <w:rPr>
          <w:rFonts w:ascii="Arial" w:cs="Arial" w:eastAsia="Arial" w:hAnsi="Arial"/>
          <w:sz w:val="18"/>
          <w:szCs w:val="18"/>
          <w:color w:val="auto"/>
        </w:rPr>
      </w:pPr>
      <w:r>
        <w:rPr>
          <w:rFonts w:ascii="Arial" w:cs="Arial" w:eastAsia="Arial" w:hAnsi="Arial"/>
          <w:sz w:val="20"/>
          <w:szCs w:val="20"/>
          <w:color w:val="auto"/>
        </w:rPr>
        <w:t>Not to use the information for any purpose except to benefit AGNC’s business; and</w:t>
      </w:r>
    </w:p>
    <w:p>
      <w:pPr>
        <w:ind w:left="2272" w:right="640" w:hanging="327"/>
        <w:spacing w:after="0" w:line="252" w:lineRule="auto"/>
        <w:tabs>
          <w:tab w:leader="none" w:pos="2272" w:val="left"/>
        </w:tabs>
        <w:numPr>
          <w:ilvl w:val="2"/>
          <w:numId w:val="80"/>
        </w:numPr>
        <w:rPr>
          <w:rFonts w:ascii="Arial" w:cs="Arial" w:eastAsia="Arial" w:hAnsi="Arial"/>
          <w:sz w:val="17"/>
          <w:szCs w:val="17"/>
          <w:color w:val="auto"/>
        </w:rPr>
      </w:pPr>
      <w:r>
        <w:rPr>
          <w:rFonts w:ascii="Arial" w:cs="Arial" w:eastAsia="Arial" w:hAnsi="Arial"/>
          <w:sz w:val="19"/>
          <w:szCs w:val="19"/>
          <w:color w:val="auto"/>
        </w:rPr>
        <w:t>Not to disclose the information within AGNC, except to other AGNC people who need to know, or use, the information and are aware that it constitutes a trade secret or proprietary information.</w:t>
      </w:r>
    </w:p>
    <w:p>
      <w:pPr>
        <w:jc w:val="both"/>
        <w:ind w:left="1292"/>
        <w:spacing w:after="0" w:line="276" w:lineRule="auto"/>
        <w:rPr>
          <w:sz w:val="20"/>
          <w:szCs w:val="20"/>
          <w:color w:val="auto"/>
        </w:rPr>
      </w:pPr>
      <w:r>
        <w:rPr>
          <w:rFonts w:ascii="Arial" w:cs="Arial" w:eastAsia="Arial" w:hAnsi="Arial"/>
          <w:sz w:val="18"/>
          <w:szCs w:val="18"/>
          <w:color w:val="auto"/>
        </w:rPr>
        <w:t>These obligations continue even after you leave AGNC, until the information becomes publicly available or until we no longer consider it a trade secret or proprietary information. Any documents, papers or records that contain trade secrets or proprietary information are our property and must remain at the company. In certain cases, AGNC people have executed nondisclosure agreements, employment agreements or other similar agreements that govern their obligations with respect to our information.</w:t>
      </w:r>
    </w:p>
    <w:p>
      <w:pPr>
        <w:spacing w:after="0" w:line="166" w:lineRule="exact"/>
        <w:rPr>
          <w:sz w:val="20"/>
          <w:szCs w:val="20"/>
          <w:color w:val="auto"/>
        </w:rPr>
      </w:pPr>
    </w:p>
    <w:p>
      <w:pPr>
        <w:jc w:val="both"/>
        <w:ind w:left="1292"/>
        <w:spacing w:after="0" w:line="250" w:lineRule="auto"/>
        <w:rPr>
          <w:sz w:val="20"/>
          <w:szCs w:val="20"/>
          <w:color w:val="auto"/>
        </w:rPr>
      </w:pPr>
      <w:r>
        <w:rPr>
          <w:rFonts w:ascii="Arial" w:cs="Arial" w:eastAsia="Arial" w:hAnsi="Arial"/>
          <w:sz w:val="20"/>
          <w:szCs w:val="20"/>
          <w:color w:val="auto"/>
        </w:rPr>
        <w:t>Our confidential trade secrets and proprietary information may include, among other things, information regarding our operations, business plans, investments, customers, strategies, trade secrets, records, finances, assets, data or other information that reveals the processes, methodologies or know</w:t>
      </w:r>
    </w:p>
    <w:p>
      <w:pPr>
        <w:sectPr>
          <w:pgSz w:w="11900" w:h="16838" w:orient="portrait"/>
          <w:cols w:equalWidth="0" w:num="1">
            <w:col w:w="11412"/>
          </w:cols>
          <w:pgMar w:left="248" w:top="555" w:right="239" w:bottom="1440" w:gutter="0" w:footer="0" w:header="0"/>
        </w:sectPr>
      </w:pPr>
    </w:p>
    <w:bookmarkStart w:id="98" w:name="page99"/>
    <w:bookmarkEnd w:id="98"/>
    <w:p>
      <w:pPr>
        <w:ind w:left="1292"/>
        <w:spacing w:after="0"/>
        <w:rPr>
          <w:sz w:val="20"/>
          <w:szCs w:val="20"/>
          <w:color w:val="auto"/>
        </w:rPr>
      </w:pPr>
      <w:r>
        <w:rPr>
          <w:rFonts w:ascii="Arial" w:cs="Arial" w:eastAsia="Arial" w:hAnsi="Arial"/>
          <w:sz w:val="18"/>
          <w:szCs w:val="18"/>
          <w:color w:val="auto"/>
        </w:rPr>
        <w:t>how by which our existing or future investments, services or methods of operation are developed, conducted or operated.</w:t>
      </w:r>
    </w:p>
    <w:p>
      <w:pPr>
        <w:spacing w:after="0" w:line="233" w:lineRule="exact"/>
        <w:rPr>
          <w:sz w:val="20"/>
          <w:szCs w:val="20"/>
          <w:color w:val="auto"/>
        </w:rPr>
      </w:pPr>
    </w:p>
    <w:p>
      <w:pPr>
        <w:ind w:left="1292" w:hanging="644"/>
        <w:spacing w:after="0"/>
        <w:tabs>
          <w:tab w:leader="none" w:pos="1292" w:val="left"/>
        </w:tabs>
        <w:numPr>
          <w:ilvl w:val="1"/>
          <w:numId w:val="81"/>
        </w:numPr>
        <w:rPr>
          <w:rFonts w:ascii="Arial" w:cs="Arial" w:eastAsia="Arial" w:hAnsi="Arial"/>
          <w:sz w:val="18"/>
          <w:szCs w:val="18"/>
          <w:color w:val="auto"/>
        </w:rPr>
      </w:pPr>
      <w:r>
        <w:rPr>
          <w:rFonts w:ascii="Arial" w:cs="Arial" w:eastAsia="Arial" w:hAnsi="Arial"/>
          <w:sz w:val="20"/>
          <w:szCs w:val="20"/>
          <w:b w:val="1"/>
          <w:bCs w:val="1"/>
          <w:color w:val="auto"/>
        </w:rPr>
        <w:t>CONFIDENTIAL INFORMATION OF OTHERS</w:t>
      </w:r>
    </w:p>
    <w:p>
      <w:pPr>
        <w:spacing w:after="0" w:line="21" w:lineRule="exact"/>
        <w:rPr>
          <w:rFonts w:ascii="Arial" w:cs="Arial" w:eastAsia="Arial" w:hAnsi="Arial"/>
          <w:sz w:val="18"/>
          <w:szCs w:val="18"/>
          <w:color w:val="auto"/>
        </w:rPr>
      </w:pPr>
    </w:p>
    <w:p>
      <w:pPr>
        <w:jc w:val="both"/>
        <w:ind w:left="1292"/>
        <w:spacing w:after="0" w:line="241" w:lineRule="auto"/>
        <w:rPr>
          <w:rFonts w:ascii="Arial" w:cs="Arial" w:eastAsia="Arial" w:hAnsi="Arial"/>
          <w:sz w:val="18"/>
          <w:szCs w:val="18"/>
          <w:color w:val="auto"/>
        </w:rPr>
      </w:pPr>
      <w:r>
        <w:rPr>
          <w:rFonts w:ascii="Arial" w:cs="Arial" w:eastAsia="Arial" w:hAnsi="Arial"/>
          <w:sz w:val="20"/>
          <w:szCs w:val="20"/>
          <w:color w:val="auto"/>
        </w:rPr>
        <w:t>In the normal course of business, you will acquire information about many other organizations, including clients, suppliers and competitors. This is a normal business activity and is not unethical in itself. We properly gather this kind of information for such purposes as evaluating investments. We also collect information on competitors from a variety of legitimate sources to evaluate the relative merits of our own investments and other business practices.</w:t>
      </w:r>
    </w:p>
    <w:p>
      <w:pPr>
        <w:spacing w:after="0" w:line="194" w:lineRule="exact"/>
        <w:rPr>
          <w:rFonts w:ascii="Arial" w:cs="Arial" w:eastAsia="Arial" w:hAnsi="Arial"/>
          <w:sz w:val="18"/>
          <w:szCs w:val="18"/>
          <w:color w:val="auto"/>
        </w:rPr>
      </w:pPr>
    </w:p>
    <w:p>
      <w:pPr>
        <w:jc w:val="both"/>
        <w:ind w:left="1292"/>
        <w:spacing w:after="0" w:line="250" w:lineRule="auto"/>
        <w:rPr>
          <w:rFonts w:ascii="Arial" w:cs="Arial" w:eastAsia="Arial" w:hAnsi="Arial"/>
          <w:sz w:val="18"/>
          <w:szCs w:val="18"/>
          <w:color w:val="auto"/>
        </w:rPr>
      </w:pPr>
      <w:r>
        <w:rPr>
          <w:rFonts w:ascii="Arial" w:cs="Arial" w:eastAsia="Arial" w:hAnsi="Arial"/>
          <w:sz w:val="20"/>
          <w:szCs w:val="20"/>
          <w:color w:val="auto"/>
        </w:rPr>
        <w:t>There are, however, limits to the ways that this information should be acquired and used. When working with sensitive information about our customers or suppliers, you should use that information only for the purposes for which it was disclosed to you and make it available only to other AGNC people with a legitimate need to know.</w:t>
      </w:r>
    </w:p>
    <w:p>
      <w:pPr>
        <w:spacing w:after="0" w:line="186" w:lineRule="exact"/>
        <w:rPr>
          <w:rFonts w:ascii="Arial" w:cs="Arial" w:eastAsia="Arial" w:hAnsi="Arial"/>
          <w:sz w:val="18"/>
          <w:szCs w:val="18"/>
          <w:color w:val="auto"/>
        </w:rPr>
      </w:pPr>
    </w:p>
    <w:p>
      <w:pPr>
        <w:jc w:val="both"/>
        <w:ind w:left="1292"/>
        <w:spacing w:after="0" w:line="244" w:lineRule="auto"/>
        <w:rPr>
          <w:rFonts w:ascii="Arial" w:cs="Arial" w:eastAsia="Arial" w:hAnsi="Arial"/>
          <w:sz w:val="18"/>
          <w:szCs w:val="18"/>
          <w:color w:val="auto"/>
        </w:rPr>
      </w:pPr>
      <w:r>
        <w:rPr>
          <w:rFonts w:ascii="Arial" w:cs="Arial" w:eastAsia="Arial" w:hAnsi="Arial"/>
          <w:sz w:val="20"/>
          <w:szCs w:val="20"/>
          <w:color w:val="auto"/>
        </w:rPr>
        <w:t>You should not use illegitimate means to acquire a competitor’s trade secrets or other confidential information. Illegal practices such as trespassing, burglary, wiretapping, bribery and stealing are obviously wrong. We will not tolerate any form of questionable intelligence-gathering. In addition, we strive to protect the privacy of personal information of others. We will only collect, use, process, and disclose an individual’s personal information in accordance with applicable law and our internal policies.</w:t>
      </w:r>
    </w:p>
    <w:p>
      <w:pPr>
        <w:spacing w:after="0" w:line="188" w:lineRule="exact"/>
        <w:rPr>
          <w:rFonts w:ascii="Arial" w:cs="Arial" w:eastAsia="Arial" w:hAnsi="Arial"/>
          <w:sz w:val="18"/>
          <w:szCs w:val="18"/>
          <w:color w:val="auto"/>
        </w:rPr>
      </w:pPr>
    </w:p>
    <w:p>
      <w:pPr>
        <w:ind w:left="1292" w:hanging="644"/>
        <w:spacing w:after="0"/>
        <w:tabs>
          <w:tab w:leader="none" w:pos="1292" w:val="left"/>
        </w:tabs>
        <w:numPr>
          <w:ilvl w:val="1"/>
          <w:numId w:val="81"/>
        </w:numPr>
        <w:rPr>
          <w:rFonts w:ascii="Arial" w:cs="Arial" w:eastAsia="Arial" w:hAnsi="Arial"/>
          <w:sz w:val="18"/>
          <w:szCs w:val="18"/>
          <w:color w:val="auto"/>
        </w:rPr>
      </w:pPr>
      <w:r>
        <w:rPr>
          <w:rFonts w:ascii="Arial" w:cs="Arial" w:eastAsia="Arial" w:hAnsi="Arial"/>
          <w:sz w:val="20"/>
          <w:szCs w:val="20"/>
          <w:b w:val="1"/>
          <w:bCs w:val="1"/>
          <w:color w:val="auto"/>
        </w:rPr>
        <w:t>INADVERTENT DISCLOSURE</w:t>
      </w:r>
    </w:p>
    <w:p>
      <w:pPr>
        <w:spacing w:after="0" w:line="21" w:lineRule="exact"/>
        <w:rPr>
          <w:rFonts w:ascii="Arial" w:cs="Arial" w:eastAsia="Arial" w:hAnsi="Arial"/>
          <w:sz w:val="18"/>
          <w:szCs w:val="18"/>
          <w:color w:val="auto"/>
        </w:rPr>
      </w:pPr>
    </w:p>
    <w:p>
      <w:pPr>
        <w:jc w:val="both"/>
        <w:ind w:left="1292"/>
        <w:spacing w:after="0" w:line="255" w:lineRule="auto"/>
        <w:rPr>
          <w:rFonts w:ascii="Arial" w:cs="Arial" w:eastAsia="Arial" w:hAnsi="Arial"/>
          <w:sz w:val="18"/>
          <w:szCs w:val="18"/>
          <w:color w:val="auto"/>
        </w:rPr>
      </w:pPr>
      <w:r>
        <w:rPr>
          <w:rFonts w:ascii="Arial" w:cs="Arial" w:eastAsia="Arial" w:hAnsi="Arial"/>
          <w:sz w:val="19"/>
          <w:szCs w:val="19"/>
          <w:color w:val="auto"/>
        </w:rPr>
        <w:t>You should be careful to avoid the inadvertent disclosure of proprietary information. To avoid inadvertent disclosure, you should never discuss with any unauthorized person proprietary information that AGNC considers confidential or that we have not made public. You also should not discuss this information even with authorized AGNC people if you are in locations where unauthorized people may overhear you, such as airplanes or elevators, or when using non-secure electronic bulletin boards or databases. You should also not discuss this information with family members or with friends, because they may innocently or unintentionally pass the information on to someone else.</w:t>
      </w:r>
    </w:p>
    <w:p>
      <w:pPr>
        <w:spacing w:after="0" w:line="178" w:lineRule="exact"/>
        <w:rPr>
          <w:rFonts w:ascii="Arial" w:cs="Arial" w:eastAsia="Arial" w:hAnsi="Arial"/>
          <w:sz w:val="18"/>
          <w:szCs w:val="18"/>
          <w:color w:val="auto"/>
        </w:rPr>
      </w:pPr>
    </w:p>
    <w:p>
      <w:pPr>
        <w:ind w:left="1292" w:hanging="644"/>
        <w:spacing w:after="0"/>
        <w:tabs>
          <w:tab w:leader="none" w:pos="1292" w:val="left"/>
        </w:tabs>
        <w:numPr>
          <w:ilvl w:val="1"/>
          <w:numId w:val="81"/>
        </w:numPr>
        <w:rPr>
          <w:rFonts w:ascii="Arial" w:cs="Arial" w:eastAsia="Arial" w:hAnsi="Arial"/>
          <w:sz w:val="18"/>
          <w:szCs w:val="18"/>
          <w:color w:val="auto"/>
        </w:rPr>
      </w:pPr>
      <w:r>
        <w:rPr>
          <w:rFonts w:ascii="Arial" w:cs="Arial" w:eastAsia="Arial" w:hAnsi="Arial"/>
          <w:sz w:val="20"/>
          <w:szCs w:val="20"/>
          <w:b w:val="1"/>
          <w:bCs w:val="1"/>
          <w:color w:val="auto"/>
        </w:rPr>
        <w:t>CONTACTS WITH REPORTERS, ANALYSTS AND OTHER MEDIA</w:t>
      </w:r>
    </w:p>
    <w:p>
      <w:pPr>
        <w:spacing w:after="0" w:line="21" w:lineRule="exact"/>
        <w:rPr>
          <w:rFonts w:ascii="Arial" w:cs="Arial" w:eastAsia="Arial" w:hAnsi="Arial"/>
          <w:sz w:val="18"/>
          <w:szCs w:val="18"/>
          <w:color w:val="auto"/>
        </w:rPr>
      </w:pPr>
    </w:p>
    <w:p>
      <w:pPr>
        <w:jc w:val="both"/>
        <w:ind w:left="1292"/>
        <w:spacing w:after="0" w:line="270" w:lineRule="auto"/>
        <w:rPr>
          <w:rFonts w:ascii="Arial" w:cs="Arial" w:eastAsia="Arial" w:hAnsi="Arial"/>
          <w:sz w:val="18"/>
          <w:szCs w:val="18"/>
          <w:color w:val="auto"/>
        </w:rPr>
      </w:pPr>
      <w:r>
        <w:rPr>
          <w:rFonts w:ascii="Arial" w:cs="Arial" w:eastAsia="Arial" w:hAnsi="Arial"/>
          <w:sz w:val="18"/>
          <w:szCs w:val="18"/>
          <w:color w:val="auto"/>
        </w:rPr>
        <w:t>Because of the importance of the legal requirements regarding disclosure of certain information to our investors, we must make certain that any information regarding our business, financial condition or operating results that is released to the public is accurate and consistent. As a result, you should not discuss internal AGNC matters with anyone outside of AGNC, except as clearly required in the performance of your job duties. This prohibition applies particularly to inquiries about AGNC made by the news media, securities analysts or investors. All responses to these inquiries must be made only by our executive officers (and individuals specifically designated by them, including members of our Investor Relations and Corporate Communications staffs), who are authorized to discuss information about AGNC with the news media, securities analysts and investors. If you receive inquiries from these sources, you should immediately refer them to one of these authorized spokespersons.</w:t>
      </w:r>
    </w:p>
    <w:p>
      <w:pPr>
        <w:spacing w:after="0" w:line="173" w:lineRule="exact"/>
        <w:rPr>
          <w:rFonts w:ascii="Arial" w:cs="Arial" w:eastAsia="Arial" w:hAnsi="Arial"/>
          <w:sz w:val="18"/>
          <w:szCs w:val="18"/>
          <w:color w:val="auto"/>
        </w:rPr>
      </w:pPr>
    </w:p>
    <w:p>
      <w:pPr>
        <w:ind w:left="1292" w:right="20"/>
        <w:spacing w:after="0" w:line="260" w:lineRule="auto"/>
        <w:rPr>
          <w:rFonts w:ascii="Arial" w:cs="Arial" w:eastAsia="Arial" w:hAnsi="Arial"/>
          <w:sz w:val="18"/>
          <w:szCs w:val="18"/>
          <w:color w:val="auto"/>
        </w:rPr>
      </w:pPr>
      <w:r>
        <w:rPr>
          <w:rFonts w:ascii="Arial" w:cs="Arial" w:eastAsia="Arial" w:hAnsi="Arial"/>
          <w:sz w:val="20"/>
          <w:szCs w:val="20"/>
          <w:color w:val="auto"/>
        </w:rPr>
        <w:t>It should also be noted that the foregoing restrictions also apply with regard to the disclosure of information through other media, including but not limited to bulletin boards, internet chat rooms and social media.</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20"/>
          <w:szCs w:val="20"/>
          <w:b w:val="1"/>
          <w:bCs w:val="1"/>
          <w:color w:val="auto"/>
        </w:rPr>
        <w:t>ADMINISTRATION OF THIS CODE</w:t>
      </w:r>
    </w:p>
    <w:p>
      <w:pPr>
        <w:spacing w:after="0" w:line="21" w:lineRule="exact"/>
        <w:rPr>
          <w:rFonts w:ascii="Arial" w:cs="Arial" w:eastAsia="Arial" w:hAnsi="Arial"/>
          <w:sz w:val="18"/>
          <w:szCs w:val="18"/>
          <w:color w:val="auto"/>
        </w:rPr>
      </w:pPr>
    </w:p>
    <w:p>
      <w:pPr>
        <w:ind w:left="1292" w:hanging="644"/>
        <w:spacing w:after="0"/>
        <w:tabs>
          <w:tab w:leader="none" w:pos="1292" w:val="left"/>
        </w:tabs>
        <w:numPr>
          <w:ilvl w:val="1"/>
          <w:numId w:val="82"/>
        </w:numPr>
        <w:rPr>
          <w:rFonts w:ascii="Arial" w:cs="Arial" w:eastAsia="Arial" w:hAnsi="Arial"/>
          <w:sz w:val="18"/>
          <w:szCs w:val="18"/>
          <w:color w:val="auto"/>
        </w:rPr>
      </w:pPr>
      <w:r>
        <w:rPr>
          <w:rFonts w:ascii="Arial" w:cs="Arial" w:eastAsia="Arial" w:hAnsi="Arial"/>
          <w:sz w:val="20"/>
          <w:szCs w:val="20"/>
          <w:b w:val="1"/>
          <w:bCs w:val="1"/>
          <w:color w:val="auto"/>
        </w:rPr>
        <w:t>ONGOING REVIEW OF COMPLIANCE</w:t>
      </w:r>
    </w:p>
    <w:p>
      <w:pPr>
        <w:jc w:val="both"/>
        <w:ind w:left="1292"/>
        <w:spacing w:after="0" w:line="241" w:lineRule="auto"/>
        <w:rPr>
          <w:rFonts w:ascii="Arial" w:cs="Arial" w:eastAsia="Arial" w:hAnsi="Arial"/>
          <w:sz w:val="18"/>
          <w:szCs w:val="18"/>
          <w:color w:val="auto"/>
        </w:rPr>
      </w:pPr>
      <w:r>
        <w:rPr>
          <w:rFonts w:ascii="Arial" w:cs="Arial" w:eastAsia="Arial" w:hAnsi="Arial"/>
          <w:sz w:val="20"/>
          <w:szCs w:val="20"/>
          <w:color w:val="auto"/>
        </w:rPr>
        <w:t>We require all AGNC people to comply with this Code. Upon your receipt of this Code, and also from time to time as we deem to be necessary, we may require you to sign an acknowledgement confirming that you have read and understood this Code and agree to comply with its provisions. We reserve the right to monitor your continuing compliance with the provisions of this Code and to investigate any</w:t>
      </w:r>
    </w:p>
    <w:p>
      <w:pPr>
        <w:sectPr>
          <w:pgSz w:w="11900" w:h="16838" w:orient="portrait"/>
          <w:cols w:equalWidth="0" w:num="1">
            <w:col w:w="11412"/>
          </w:cols>
          <w:pgMar w:left="248" w:top="555" w:right="239" w:bottom="1440" w:gutter="0" w:footer="0" w:header="0"/>
        </w:sectPr>
      </w:pPr>
    </w:p>
    <w:bookmarkStart w:id="99" w:name="page100"/>
    <w:bookmarkEnd w:id="99"/>
    <w:p>
      <w:pPr>
        <w:ind w:left="644"/>
        <w:spacing w:after="0" w:line="260" w:lineRule="auto"/>
        <w:rPr>
          <w:sz w:val="20"/>
          <w:szCs w:val="20"/>
          <w:color w:val="auto"/>
        </w:rPr>
      </w:pPr>
      <w:r>
        <w:rPr>
          <w:rFonts w:ascii="Arial" w:cs="Arial" w:eastAsia="Arial" w:hAnsi="Arial"/>
          <w:sz w:val="20"/>
          <w:szCs w:val="20"/>
          <w:color w:val="auto"/>
        </w:rPr>
        <w:t>suspected violations. If substantiated, these violations could result in disciplinary action, as described more fully in the following sections.</w:t>
      </w:r>
    </w:p>
    <w:p>
      <w:pPr>
        <w:spacing w:after="0" w:line="171" w:lineRule="exact"/>
        <w:rPr>
          <w:sz w:val="20"/>
          <w:szCs w:val="20"/>
          <w:color w:val="auto"/>
        </w:rPr>
      </w:pPr>
    </w:p>
    <w:p>
      <w:pPr>
        <w:ind w:left="644" w:hanging="644"/>
        <w:spacing w:after="0"/>
        <w:tabs>
          <w:tab w:leader="none" w:pos="644" w:val="left"/>
        </w:tabs>
        <w:numPr>
          <w:ilvl w:val="0"/>
          <w:numId w:val="83"/>
        </w:numPr>
        <w:rPr>
          <w:rFonts w:ascii="Arial" w:cs="Arial" w:eastAsia="Arial" w:hAnsi="Arial"/>
          <w:sz w:val="18"/>
          <w:szCs w:val="18"/>
          <w:color w:val="auto"/>
        </w:rPr>
      </w:pPr>
      <w:r>
        <w:rPr>
          <w:rFonts w:ascii="Arial" w:cs="Arial" w:eastAsia="Arial" w:hAnsi="Arial"/>
          <w:sz w:val="20"/>
          <w:szCs w:val="20"/>
          <w:b w:val="1"/>
          <w:bCs w:val="1"/>
          <w:color w:val="auto"/>
        </w:rPr>
        <w:t>REPORTING OF SUSPECTED VIOLATIONS</w:t>
      </w:r>
    </w:p>
    <w:p>
      <w:pPr>
        <w:spacing w:after="0" w:line="21" w:lineRule="exact"/>
        <w:rPr>
          <w:rFonts w:ascii="Arial" w:cs="Arial" w:eastAsia="Arial" w:hAnsi="Arial"/>
          <w:sz w:val="18"/>
          <w:szCs w:val="18"/>
          <w:color w:val="auto"/>
        </w:rPr>
      </w:pPr>
    </w:p>
    <w:p>
      <w:pPr>
        <w:jc w:val="both"/>
        <w:ind w:left="644"/>
        <w:spacing w:after="0"/>
        <w:rPr>
          <w:rFonts w:ascii="Arial" w:cs="Arial" w:eastAsia="Arial" w:hAnsi="Arial"/>
          <w:sz w:val="18"/>
          <w:szCs w:val="18"/>
          <w:color w:val="auto"/>
        </w:rPr>
      </w:pPr>
      <w:r>
        <w:rPr>
          <w:rFonts w:ascii="Arial" w:cs="Arial" w:eastAsia="Arial" w:hAnsi="Arial"/>
          <w:sz w:val="20"/>
          <w:szCs w:val="20"/>
          <w:color w:val="auto"/>
        </w:rPr>
        <w:t>We expect you to bring to the attention of the Chief Compliance Officer (or any people that the Chief Compliance Officer designates) information about suspected violations of this Code by any other AGNC person as promptly as practicable. Additionally, we may designate a third-party hotline provider to which information about suspected violations of the Code may be reported. If you have information about suspected improper accounting or auditing matters, you should bring such information to the attention of our Chief Compliance Officer or a member of our Audit Committee directly. To contact our Audit Committee or to submit a report to them, please contact them at the contact information that we will distribute periodically.</w:t>
      </w:r>
    </w:p>
    <w:p>
      <w:pPr>
        <w:spacing w:after="0" w:line="197" w:lineRule="exact"/>
        <w:rPr>
          <w:rFonts w:ascii="Arial" w:cs="Arial" w:eastAsia="Arial" w:hAnsi="Arial"/>
          <w:sz w:val="18"/>
          <w:szCs w:val="18"/>
          <w:color w:val="auto"/>
        </w:rPr>
      </w:pPr>
    </w:p>
    <w:p>
      <w:pPr>
        <w:ind w:left="644" w:right="20"/>
        <w:spacing w:after="0" w:line="260" w:lineRule="auto"/>
        <w:rPr>
          <w:rFonts w:ascii="Arial" w:cs="Arial" w:eastAsia="Arial" w:hAnsi="Arial"/>
          <w:sz w:val="18"/>
          <w:szCs w:val="18"/>
          <w:color w:val="auto"/>
        </w:rPr>
      </w:pPr>
      <w:r>
        <w:rPr>
          <w:rFonts w:ascii="Arial" w:cs="Arial" w:eastAsia="Arial" w:hAnsi="Arial"/>
          <w:sz w:val="20"/>
          <w:szCs w:val="20"/>
          <w:color w:val="auto"/>
        </w:rPr>
        <w:t>If you are not comfortable revealing your identity when making a report, you can also make an anonymous report with our Chief Compliance Officer, the hotline or our Audit Committee.</w:t>
      </w:r>
    </w:p>
    <w:p>
      <w:pPr>
        <w:spacing w:after="0" w:line="176" w:lineRule="exact"/>
        <w:rPr>
          <w:rFonts w:ascii="Arial" w:cs="Arial" w:eastAsia="Arial" w:hAnsi="Arial"/>
          <w:sz w:val="18"/>
          <w:szCs w:val="18"/>
          <w:color w:val="auto"/>
        </w:rPr>
      </w:pPr>
    </w:p>
    <w:p>
      <w:pPr>
        <w:jc w:val="both"/>
        <w:ind w:left="644"/>
        <w:spacing w:after="0" w:line="250" w:lineRule="auto"/>
        <w:rPr>
          <w:rFonts w:ascii="Arial" w:cs="Arial" w:eastAsia="Arial" w:hAnsi="Arial"/>
          <w:sz w:val="18"/>
          <w:szCs w:val="18"/>
          <w:color w:val="auto"/>
        </w:rPr>
      </w:pPr>
      <w:r>
        <w:rPr>
          <w:rFonts w:ascii="Arial" w:cs="Arial" w:eastAsia="Arial" w:hAnsi="Arial"/>
          <w:sz w:val="20"/>
          <w:szCs w:val="20"/>
          <w:color w:val="auto"/>
        </w:rPr>
        <w:t>You should feel safe in reporting this information, without regard to the identity or position of the suspected offender. We will treat the information in a confidential manner (consistent with appropriate evaluation and investigation) and will not take any acts of retribution or retaliation against you for making a report.</w:t>
      </w:r>
    </w:p>
    <w:p>
      <w:pPr>
        <w:spacing w:after="0" w:line="186" w:lineRule="exact"/>
        <w:rPr>
          <w:rFonts w:ascii="Arial" w:cs="Arial" w:eastAsia="Arial" w:hAnsi="Arial"/>
          <w:sz w:val="18"/>
          <w:szCs w:val="18"/>
          <w:color w:val="auto"/>
        </w:rPr>
      </w:pPr>
    </w:p>
    <w:p>
      <w:pPr>
        <w:jc w:val="both"/>
        <w:ind w:left="644"/>
        <w:spacing w:after="0" w:line="250" w:lineRule="auto"/>
        <w:rPr>
          <w:rFonts w:ascii="Arial" w:cs="Arial" w:eastAsia="Arial" w:hAnsi="Arial"/>
          <w:sz w:val="18"/>
          <w:szCs w:val="18"/>
          <w:color w:val="auto"/>
        </w:rPr>
      </w:pPr>
      <w:r>
        <w:rPr>
          <w:rFonts w:ascii="Arial" w:cs="Arial" w:eastAsia="Arial" w:hAnsi="Arial"/>
          <w:sz w:val="20"/>
          <w:szCs w:val="20"/>
          <w:color w:val="auto"/>
        </w:rPr>
        <w:t>Because failure to report criminal activity can itself be understood to condone the crime, we emphasize the importance of prompt reporting. For both criminal activity and other violations of this Code, failure to report knowledge of wrongdoing may result in disciplinary action against those who fail to report.</w:t>
      </w:r>
    </w:p>
    <w:p>
      <w:pPr>
        <w:spacing w:after="0" w:line="180" w:lineRule="exact"/>
        <w:rPr>
          <w:rFonts w:ascii="Arial" w:cs="Arial" w:eastAsia="Arial" w:hAnsi="Arial"/>
          <w:sz w:val="18"/>
          <w:szCs w:val="18"/>
          <w:color w:val="auto"/>
        </w:rPr>
      </w:pPr>
    </w:p>
    <w:p>
      <w:pPr>
        <w:ind w:left="644" w:hanging="644"/>
        <w:spacing w:after="0"/>
        <w:tabs>
          <w:tab w:leader="none" w:pos="644" w:val="left"/>
        </w:tabs>
        <w:numPr>
          <w:ilvl w:val="0"/>
          <w:numId w:val="83"/>
        </w:numPr>
        <w:rPr>
          <w:rFonts w:ascii="Arial" w:cs="Arial" w:eastAsia="Arial" w:hAnsi="Arial"/>
          <w:sz w:val="18"/>
          <w:szCs w:val="18"/>
          <w:color w:val="auto"/>
        </w:rPr>
      </w:pPr>
      <w:r>
        <w:rPr>
          <w:rFonts w:ascii="Arial" w:cs="Arial" w:eastAsia="Arial" w:hAnsi="Arial"/>
          <w:sz w:val="20"/>
          <w:szCs w:val="20"/>
          <w:b w:val="1"/>
          <w:bCs w:val="1"/>
          <w:color w:val="auto"/>
        </w:rPr>
        <w:t>NON-RETALIATION</w:t>
      </w:r>
    </w:p>
    <w:p>
      <w:pPr>
        <w:spacing w:after="0" w:line="21" w:lineRule="exact"/>
        <w:rPr>
          <w:rFonts w:ascii="Arial" w:cs="Arial" w:eastAsia="Arial" w:hAnsi="Arial"/>
          <w:sz w:val="18"/>
          <w:szCs w:val="18"/>
          <w:color w:val="auto"/>
        </w:rPr>
      </w:pPr>
    </w:p>
    <w:p>
      <w:pPr>
        <w:jc w:val="both"/>
        <w:ind w:left="644"/>
        <w:spacing w:after="0" w:line="282" w:lineRule="auto"/>
        <w:rPr>
          <w:rFonts w:ascii="Arial" w:cs="Arial" w:eastAsia="Arial" w:hAnsi="Arial"/>
          <w:sz w:val="18"/>
          <w:szCs w:val="18"/>
          <w:color w:val="auto"/>
        </w:rPr>
      </w:pPr>
      <w:r>
        <w:rPr>
          <w:rFonts w:ascii="Arial" w:cs="Arial" w:eastAsia="Arial" w:hAnsi="Arial"/>
          <w:sz w:val="18"/>
          <w:szCs w:val="18"/>
          <w:color w:val="auto"/>
        </w:rPr>
        <w:t>Nothing in this Code shall prohibit you from reporting any possible violation of federal law or regulation to any governmental agency. Further, nothing shall restrict you from communicating with such agency in the course of its investigation or from making disclosures that are protected pursuant to the whistleblower provisions of federal law and regulation.</w:t>
      </w:r>
    </w:p>
    <w:p>
      <w:pPr>
        <w:spacing w:after="0" w:line="159" w:lineRule="exact"/>
        <w:rPr>
          <w:rFonts w:ascii="Arial" w:cs="Arial" w:eastAsia="Arial" w:hAnsi="Arial"/>
          <w:sz w:val="18"/>
          <w:szCs w:val="18"/>
          <w:color w:val="auto"/>
        </w:rPr>
      </w:pPr>
    </w:p>
    <w:p>
      <w:pPr>
        <w:jc w:val="both"/>
        <w:ind w:left="644"/>
        <w:spacing w:after="0" w:line="291" w:lineRule="auto"/>
        <w:rPr>
          <w:rFonts w:ascii="Arial" w:cs="Arial" w:eastAsia="Arial" w:hAnsi="Arial"/>
          <w:sz w:val="18"/>
          <w:szCs w:val="18"/>
          <w:color w:val="auto"/>
        </w:rPr>
      </w:pPr>
      <w:r>
        <w:rPr>
          <w:rFonts w:ascii="Arial" w:cs="Arial" w:eastAsia="Arial" w:hAnsi="Arial"/>
          <w:sz w:val="18"/>
          <w:szCs w:val="18"/>
          <w:color w:val="auto"/>
        </w:rPr>
        <w:t>Retaliation in any form against an AGNC person who reports a violation of this Code (even if the report is mistaken but was submitted in the good faith belief it was correct) or who assists in the investigation of a reported violation is itself a serious violation of this Code. Acts of retaliation should be reported immediately and may result in severe disciplinary action.</w:t>
      </w:r>
    </w:p>
    <w:p>
      <w:pPr>
        <w:spacing w:after="0" w:line="145" w:lineRule="exact"/>
        <w:rPr>
          <w:rFonts w:ascii="Arial" w:cs="Arial" w:eastAsia="Arial" w:hAnsi="Arial"/>
          <w:sz w:val="18"/>
          <w:szCs w:val="18"/>
          <w:color w:val="auto"/>
        </w:rPr>
      </w:pPr>
    </w:p>
    <w:p>
      <w:pPr>
        <w:ind w:left="644" w:hanging="644"/>
        <w:spacing w:after="0"/>
        <w:tabs>
          <w:tab w:leader="none" w:pos="644" w:val="left"/>
        </w:tabs>
        <w:numPr>
          <w:ilvl w:val="0"/>
          <w:numId w:val="83"/>
        </w:numPr>
        <w:rPr>
          <w:rFonts w:ascii="Arial" w:cs="Arial" w:eastAsia="Arial" w:hAnsi="Arial"/>
          <w:sz w:val="18"/>
          <w:szCs w:val="18"/>
          <w:color w:val="auto"/>
        </w:rPr>
      </w:pPr>
      <w:r>
        <w:rPr>
          <w:rFonts w:ascii="Arial" w:cs="Arial" w:eastAsia="Arial" w:hAnsi="Arial"/>
          <w:sz w:val="20"/>
          <w:szCs w:val="20"/>
          <w:b w:val="1"/>
          <w:bCs w:val="1"/>
          <w:color w:val="auto"/>
        </w:rPr>
        <w:t>INVESTIGATION OF SUSPECTED VIOLATIONS</w:t>
      </w:r>
    </w:p>
    <w:p>
      <w:pPr>
        <w:spacing w:after="0" w:line="21" w:lineRule="exact"/>
        <w:rPr>
          <w:rFonts w:ascii="Arial" w:cs="Arial" w:eastAsia="Arial" w:hAnsi="Arial"/>
          <w:sz w:val="18"/>
          <w:szCs w:val="18"/>
          <w:color w:val="auto"/>
        </w:rPr>
      </w:pPr>
    </w:p>
    <w:p>
      <w:pPr>
        <w:jc w:val="both"/>
        <w:ind w:left="644"/>
        <w:spacing w:after="0" w:line="272" w:lineRule="auto"/>
        <w:rPr>
          <w:rFonts w:ascii="Arial" w:cs="Arial" w:eastAsia="Arial" w:hAnsi="Arial"/>
          <w:sz w:val="18"/>
          <w:szCs w:val="18"/>
          <w:color w:val="auto"/>
        </w:rPr>
      </w:pPr>
      <w:r>
        <w:rPr>
          <w:rFonts w:ascii="Arial" w:cs="Arial" w:eastAsia="Arial" w:hAnsi="Arial"/>
          <w:sz w:val="18"/>
          <w:szCs w:val="18"/>
          <w:color w:val="auto"/>
        </w:rPr>
        <w:t>Suspected violations will be investigated under the supervision of our Chief Compliance Officer or the Audit Committee, in such manner as the Chief Compliance Officer or the Audit Committee, as applicable, deems appropriate. You are expected to cooperate in the investigation of reported violations. When practical and appropriate under the circumstances, and in order to protect the privacy of the persons involved, those people investigating the suspected violation will attempt to keep confidential the identity of someone who reports a suspected violation or who participates in the investigation. There may be situations, however, when this information must be disclosed as part of our investigation.</w:t>
      </w:r>
    </w:p>
    <w:p>
      <w:pPr>
        <w:spacing w:after="0" w:line="170" w:lineRule="exact"/>
        <w:rPr>
          <w:rFonts w:ascii="Arial" w:cs="Arial" w:eastAsia="Arial" w:hAnsi="Arial"/>
          <w:sz w:val="18"/>
          <w:szCs w:val="18"/>
          <w:color w:val="auto"/>
        </w:rPr>
      </w:pPr>
    </w:p>
    <w:p>
      <w:pPr>
        <w:jc w:val="both"/>
        <w:ind w:left="644"/>
        <w:spacing w:after="0" w:line="260" w:lineRule="auto"/>
        <w:rPr>
          <w:rFonts w:ascii="Arial" w:cs="Arial" w:eastAsia="Arial" w:hAnsi="Arial"/>
          <w:sz w:val="18"/>
          <w:szCs w:val="18"/>
          <w:color w:val="auto"/>
        </w:rPr>
      </w:pPr>
      <w:r>
        <w:rPr>
          <w:rFonts w:ascii="Arial" w:cs="Arial" w:eastAsia="Arial" w:hAnsi="Arial"/>
          <w:sz w:val="19"/>
          <w:szCs w:val="19"/>
          <w:color w:val="auto"/>
        </w:rPr>
        <w:t>The Chief Compliance Officer may call upon members of our Legal team to participate in any investigations. You should be aware that our Chief Compliance Officer and the members of our Legal team are legally obligated to act in the best interests of AGNC as a company. They do not act as lawyers or personal representatives for any individual AGNC person, including our executive officers. Our Board of Directors (the “Board”) has ultimate responsibility for final interpretation of this Code and for determining whether any violations of this Code have occurred.</w:t>
      </w:r>
    </w:p>
    <w:p>
      <w:pPr>
        <w:sectPr>
          <w:pgSz w:w="11900" w:h="16838" w:orient="portrait"/>
          <w:cols w:equalWidth="0" w:num="1">
            <w:col w:w="10764"/>
          </w:cols>
          <w:pgMar w:left="896" w:top="555" w:right="239" w:bottom="1440" w:gutter="0" w:footer="0" w:header="0"/>
        </w:sectPr>
      </w:pPr>
    </w:p>
    <w:bookmarkStart w:id="100" w:name="page101"/>
    <w:bookmarkEnd w:id="100"/>
    <w:p>
      <w:pPr>
        <w:ind w:left="644" w:hanging="644"/>
        <w:spacing w:after="0"/>
        <w:tabs>
          <w:tab w:leader="none" w:pos="644" w:val="left"/>
        </w:tabs>
        <w:numPr>
          <w:ilvl w:val="0"/>
          <w:numId w:val="84"/>
        </w:numPr>
        <w:rPr>
          <w:rFonts w:ascii="Arial" w:cs="Arial" w:eastAsia="Arial" w:hAnsi="Arial"/>
          <w:sz w:val="18"/>
          <w:szCs w:val="18"/>
          <w:color w:val="auto"/>
        </w:rPr>
      </w:pPr>
      <w:r>
        <w:rPr>
          <w:rFonts w:ascii="Arial" w:cs="Arial" w:eastAsia="Arial" w:hAnsi="Arial"/>
          <w:sz w:val="20"/>
          <w:szCs w:val="20"/>
          <w:b w:val="1"/>
          <w:bCs w:val="1"/>
          <w:color w:val="auto"/>
        </w:rPr>
        <w:t>DISCIPLINARY ACTION</w:t>
      </w:r>
    </w:p>
    <w:p>
      <w:pPr>
        <w:spacing w:after="0" w:line="21" w:lineRule="exact"/>
        <w:rPr>
          <w:rFonts w:ascii="Arial" w:cs="Arial" w:eastAsia="Arial" w:hAnsi="Arial"/>
          <w:sz w:val="18"/>
          <w:szCs w:val="18"/>
          <w:color w:val="auto"/>
        </w:rPr>
      </w:pPr>
    </w:p>
    <w:p>
      <w:pPr>
        <w:jc w:val="both"/>
        <w:ind w:left="644"/>
        <w:spacing w:after="0" w:line="282" w:lineRule="auto"/>
        <w:rPr>
          <w:rFonts w:ascii="Arial" w:cs="Arial" w:eastAsia="Arial" w:hAnsi="Arial"/>
          <w:sz w:val="18"/>
          <w:szCs w:val="18"/>
          <w:color w:val="auto"/>
        </w:rPr>
      </w:pPr>
      <w:r>
        <w:rPr>
          <w:rFonts w:ascii="Arial" w:cs="Arial" w:eastAsia="Arial" w:hAnsi="Arial"/>
          <w:sz w:val="18"/>
          <w:szCs w:val="18"/>
          <w:color w:val="auto"/>
        </w:rPr>
        <w:t>If our Chief Compliance Officer or our Board (or those acting under their supervision) determine, in their good faith discretion, that you have violated any provision of this Code, you may be subject to disciplinary action, up to and including termination of your employment or contract without prior warning and referral for criminal prosecution and fines.</w:t>
      </w:r>
    </w:p>
    <w:p>
      <w:pPr>
        <w:spacing w:after="0" w:line="153" w:lineRule="exact"/>
        <w:rPr>
          <w:rFonts w:ascii="Arial" w:cs="Arial" w:eastAsia="Arial" w:hAnsi="Arial"/>
          <w:sz w:val="18"/>
          <w:szCs w:val="18"/>
          <w:color w:val="auto"/>
        </w:rPr>
      </w:pPr>
    </w:p>
    <w:p>
      <w:pPr>
        <w:ind w:left="644" w:hanging="644"/>
        <w:spacing w:after="0"/>
        <w:tabs>
          <w:tab w:leader="none" w:pos="644" w:val="left"/>
        </w:tabs>
        <w:numPr>
          <w:ilvl w:val="0"/>
          <w:numId w:val="84"/>
        </w:numPr>
        <w:rPr>
          <w:rFonts w:ascii="Arial" w:cs="Arial" w:eastAsia="Arial" w:hAnsi="Arial"/>
          <w:sz w:val="18"/>
          <w:szCs w:val="18"/>
          <w:color w:val="auto"/>
        </w:rPr>
      </w:pPr>
      <w:r>
        <w:rPr>
          <w:rFonts w:ascii="Arial" w:cs="Arial" w:eastAsia="Arial" w:hAnsi="Arial"/>
          <w:sz w:val="20"/>
          <w:szCs w:val="20"/>
          <w:b w:val="1"/>
          <w:bCs w:val="1"/>
          <w:color w:val="auto"/>
        </w:rPr>
        <w:t>SPECIAL PROVISIONS APPLICABLE TO CERTAIN FINANCIAL EXECUTIVES</w:t>
      </w:r>
    </w:p>
    <w:p>
      <w:pPr>
        <w:spacing w:after="0" w:line="21" w:lineRule="exact"/>
        <w:rPr>
          <w:rFonts w:ascii="Arial" w:cs="Arial" w:eastAsia="Arial" w:hAnsi="Arial"/>
          <w:sz w:val="18"/>
          <w:szCs w:val="18"/>
          <w:color w:val="auto"/>
        </w:rPr>
      </w:pPr>
    </w:p>
    <w:p>
      <w:pPr>
        <w:jc w:val="both"/>
        <w:ind w:left="644"/>
        <w:spacing w:after="0" w:line="271" w:lineRule="auto"/>
        <w:rPr>
          <w:rFonts w:ascii="Arial" w:cs="Arial" w:eastAsia="Arial" w:hAnsi="Arial"/>
          <w:sz w:val="18"/>
          <w:szCs w:val="18"/>
          <w:color w:val="auto"/>
        </w:rPr>
      </w:pPr>
      <w:r>
        <w:rPr>
          <w:rFonts w:ascii="Arial" w:cs="Arial" w:eastAsia="Arial" w:hAnsi="Arial"/>
          <w:sz w:val="18"/>
          <w:szCs w:val="18"/>
          <w:color w:val="auto"/>
        </w:rPr>
        <w:t>Given the important position of trust and authority that they occupy, our Chief Executive Officer, President, Chief Operating Officer, Chief Investment Officer, Chief Financial Officer, Chief Accounting Officer, Controller, directors and certain other persons who may be designated by the Board or the Audit Committee (collectively, the “Financial Executives”) should act extremely cautiously in interpreting and applying this Code. Financial Executives should consult with our Chief Compliance Officer with respect to any proposed actions or arrangements that are not clearly consistent with the Code. In the event that a Financial Executive wishes to engage in a proposed action or arrangement that is not consistent with the Code, the Financial Executive must obtain a waiver of the relevant Code provisions in advance from the Board.</w:t>
      </w:r>
    </w:p>
    <w:p>
      <w:pPr>
        <w:spacing w:after="0" w:line="171" w:lineRule="exact"/>
        <w:rPr>
          <w:rFonts w:ascii="Arial" w:cs="Arial" w:eastAsia="Arial" w:hAnsi="Arial"/>
          <w:sz w:val="18"/>
          <w:szCs w:val="18"/>
          <w:color w:val="auto"/>
        </w:rPr>
      </w:pPr>
    </w:p>
    <w:p>
      <w:pPr>
        <w:jc w:val="both"/>
        <w:ind w:left="644" w:right="20"/>
        <w:spacing w:after="0" w:line="246" w:lineRule="auto"/>
        <w:rPr>
          <w:rFonts w:ascii="Arial" w:cs="Arial" w:eastAsia="Arial" w:hAnsi="Arial"/>
          <w:sz w:val="18"/>
          <w:szCs w:val="18"/>
          <w:color w:val="auto"/>
        </w:rPr>
      </w:pPr>
      <w:r>
        <w:rPr>
          <w:rFonts w:ascii="Arial" w:cs="Arial" w:eastAsia="Arial" w:hAnsi="Arial"/>
          <w:sz w:val="20"/>
          <w:szCs w:val="20"/>
          <w:color w:val="auto"/>
        </w:rPr>
        <w:t>The Sarbanes-Oxley Act of 2002 imposes certain reporting requirements on AGNC with respect to our Financial Executives’ compliance with the Code. In accordance with these requirements, we will publicly report on a Current Report on Form 8-K any waivers of any provision of the Code granted by our Board to any Financial Executive. Violations of the Code by our Financial Executives may also be immediately reported on Form 8-K.</w:t>
      </w:r>
    </w:p>
    <w:p>
      <w:pPr>
        <w:spacing w:after="0" w:line="185" w:lineRule="exact"/>
        <w:rPr>
          <w:rFonts w:ascii="Arial" w:cs="Arial" w:eastAsia="Arial" w:hAnsi="Arial"/>
          <w:sz w:val="18"/>
          <w:szCs w:val="18"/>
          <w:color w:val="auto"/>
        </w:rPr>
      </w:pPr>
    </w:p>
    <w:p>
      <w:pPr>
        <w:ind w:left="644" w:hanging="644"/>
        <w:spacing w:after="0"/>
        <w:tabs>
          <w:tab w:leader="none" w:pos="644" w:val="left"/>
        </w:tabs>
        <w:numPr>
          <w:ilvl w:val="0"/>
          <w:numId w:val="84"/>
        </w:numPr>
        <w:rPr>
          <w:rFonts w:ascii="Arial" w:cs="Arial" w:eastAsia="Arial" w:hAnsi="Arial"/>
          <w:sz w:val="18"/>
          <w:szCs w:val="18"/>
          <w:color w:val="auto"/>
        </w:rPr>
      </w:pPr>
      <w:r>
        <w:rPr>
          <w:rFonts w:ascii="Arial" w:cs="Arial" w:eastAsia="Arial" w:hAnsi="Arial"/>
          <w:sz w:val="20"/>
          <w:szCs w:val="20"/>
          <w:b w:val="1"/>
          <w:bCs w:val="1"/>
          <w:color w:val="auto"/>
        </w:rPr>
        <w:t>REVISIONS AND UPDATES TO THIS CODE</w:t>
      </w:r>
    </w:p>
    <w:p>
      <w:pPr>
        <w:spacing w:after="0" w:line="21" w:lineRule="exact"/>
        <w:rPr>
          <w:rFonts w:ascii="Arial" w:cs="Arial" w:eastAsia="Arial" w:hAnsi="Arial"/>
          <w:sz w:val="18"/>
          <w:szCs w:val="18"/>
          <w:color w:val="auto"/>
        </w:rPr>
      </w:pPr>
    </w:p>
    <w:p>
      <w:pPr>
        <w:jc w:val="both"/>
        <w:ind w:left="644"/>
        <w:spacing w:after="0" w:line="241" w:lineRule="auto"/>
        <w:rPr>
          <w:rFonts w:ascii="Arial" w:cs="Arial" w:eastAsia="Arial" w:hAnsi="Arial"/>
          <w:sz w:val="18"/>
          <w:szCs w:val="18"/>
          <w:color w:val="auto"/>
        </w:rPr>
      </w:pPr>
      <w:r>
        <w:rPr>
          <w:rFonts w:ascii="Arial" w:cs="Arial" w:eastAsia="Arial" w:hAnsi="Arial"/>
          <w:sz w:val="20"/>
          <w:szCs w:val="20"/>
          <w:color w:val="auto"/>
        </w:rPr>
        <w:t>This Code may be revised, changed or amended at any time by our Board. Following any material revisions or updates, an updated version of this Code will be distributed to you, and will supersede the prior version of this Code effective upon distribution. We may ask you to sign an acknowledgement confirming that you have read and understood the revised version of the Code, and that you agree to comply with its provisions.</w:t>
      </w:r>
    </w:p>
    <w:p>
      <w:pPr>
        <w:spacing w:after="0" w:line="188" w:lineRule="exact"/>
        <w:rPr>
          <w:rFonts w:ascii="Arial" w:cs="Arial" w:eastAsia="Arial" w:hAnsi="Arial"/>
          <w:sz w:val="18"/>
          <w:szCs w:val="18"/>
          <w:color w:val="auto"/>
        </w:rPr>
      </w:pPr>
    </w:p>
    <w:p>
      <w:pPr>
        <w:ind w:left="644" w:hanging="644"/>
        <w:spacing w:after="0"/>
        <w:tabs>
          <w:tab w:leader="none" w:pos="644" w:val="left"/>
        </w:tabs>
        <w:numPr>
          <w:ilvl w:val="0"/>
          <w:numId w:val="84"/>
        </w:numPr>
        <w:rPr>
          <w:rFonts w:ascii="Arial" w:cs="Arial" w:eastAsia="Arial" w:hAnsi="Arial"/>
          <w:sz w:val="18"/>
          <w:szCs w:val="18"/>
          <w:color w:val="auto"/>
        </w:rPr>
      </w:pPr>
      <w:r>
        <w:rPr>
          <w:rFonts w:ascii="Arial" w:cs="Arial" w:eastAsia="Arial" w:hAnsi="Arial"/>
          <w:sz w:val="20"/>
          <w:szCs w:val="20"/>
          <w:b w:val="1"/>
          <w:bCs w:val="1"/>
          <w:color w:val="auto"/>
        </w:rPr>
        <w:t>IMPORTANT DISCLAIMERS</w:t>
      </w:r>
    </w:p>
    <w:p>
      <w:pPr>
        <w:spacing w:after="0" w:line="21" w:lineRule="exact"/>
        <w:rPr>
          <w:rFonts w:ascii="Arial" w:cs="Arial" w:eastAsia="Arial" w:hAnsi="Arial"/>
          <w:sz w:val="18"/>
          <w:szCs w:val="18"/>
          <w:color w:val="auto"/>
        </w:rPr>
      </w:pPr>
    </w:p>
    <w:p>
      <w:pPr>
        <w:jc w:val="both"/>
        <w:ind w:left="644"/>
        <w:spacing w:after="0" w:line="241" w:lineRule="auto"/>
        <w:rPr>
          <w:rFonts w:ascii="Arial" w:cs="Arial" w:eastAsia="Arial" w:hAnsi="Arial"/>
          <w:sz w:val="18"/>
          <w:szCs w:val="18"/>
          <w:color w:val="auto"/>
        </w:rPr>
      </w:pPr>
      <w:r>
        <w:rPr>
          <w:rFonts w:ascii="Arial" w:cs="Arial" w:eastAsia="Arial" w:hAnsi="Arial"/>
          <w:sz w:val="20"/>
          <w:szCs w:val="20"/>
          <w:color w:val="auto"/>
        </w:rPr>
        <w:t>This Code reflects general principles to guide you in making ethical decisions and cannot, and is not intended to, address every specific situation in which we may find it appropriate to take disciplinary action. This Code is not intended to create any contract (express or implied) with you, including without limitation any employment contract, or to constitute any promise with regard to the length and terms of your employment.</w:t>
      </w:r>
    </w:p>
    <w:p>
      <w:pPr>
        <w:sectPr>
          <w:pgSz w:w="11900" w:h="16838" w:orient="portrait"/>
          <w:cols w:equalWidth="0" w:num="1">
            <w:col w:w="10764"/>
          </w:cols>
          <w:pgMar w:left="896" w:top="549"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23</w:t>
      </w:r>
    </w:p>
    <w:p>
      <w:pPr>
        <w:spacing w:after="0" w:line="23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260" w:hanging="252"/>
        <w:spacing w:after="0"/>
        <w:tabs>
          <w:tab w:leader="none" w:pos="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Form S-8 (No. 333-151027),</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Form S-3 (No. 333-225628), and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Form S-8 (No. 333-216282);</w:t>
      </w:r>
    </w:p>
    <w:p>
      <w:pPr>
        <w:spacing w:after="0" w:line="200" w:lineRule="exact"/>
        <w:rPr>
          <w:sz w:val="20"/>
          <w:szCs w:val="20"/>
          <w:color w:val="auto"/>
        </w:rPr>
      </w:pPr>
    </w:p>
    <w:p>
      <w:pPr>
        <w:spacing w:after="0" w:line="22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of our reports dated February 25, 2020, with respect to the consolidated financial statements of AGNC Investment Corp., and the effectiveness of internal control over financial reporting of AGNC Investment Corp., included in this Annual Report (Form 10-K) of AGNC Investment Corp. for the year ended December 31, 2019.</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Tysons, Virginia February 25,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w:t>
      </w:r>
    </w:p>
    <w:p>
      <w:pPr>
        <w:sectPr>
          <w:pgSz w:w="11900" w:h="16838" w:orient="portrait"/>
          <w:cols w:equalWidth="0" w:num="2">
            <w:col w:w="1820" w:space="720"/>
            <w:col w:w="8880"/>
          </w:cols>
          <w:pgMar w:left="240" w:top="580" w:right="239" w:bottom="1440" w:gutter="0" w:footer="0" w:header="0"/>
          <w:type w:val="continuous"/>
        </w:sectPr>
      </w:pPr>
    </w:p>
    <w:bookmarkStart w:id="102" w:name="page103"/>
    <w:bookmarkEnd w:id="102"/>
    <w:p>
      <w:pPr>
        <w:jc w:val="right"/>
        <w:spacing w:after="0"/>
        <w:rPr>
          <w:sz w:val="20"/>
          <w:szCs w:val="20"/>
          <w:color w:val="auto"/>
        </w:rPr>
      </w:pPr>
      <w:r>
        <w:rPr>
          <w:rFonts w:ascii="Arial" w:cs="Arial" w:eastAsia="Arial" w:hAnsi="Arial"/>
          <w:sz w:val="22"/>
          <w:szCs w:val="22"/>
          <w:color w:val="auto"/>
        </w:rPr>
        <w:t>Exhibit 24</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58" w:lineRule="exact"/>
        <w:rPr>
          <w:sz w:val="20"/>
          <w:szCs w:val="20"/>
          <w:color w:val="auto"/>
        </w:rPr>
      </w:pPr>
      <w:r>
        <w:rPr>
          <w:rFonts w:ascii="Arial" w:cs="Arial" w:eastAsia="Arial" w:hAnsi="Arial"/>
          <w:sz w:val="19"/>
          <w:szCs w:val="19"/>
          <w:color w:val="auto"/>
        </w:rPr>
        <w:t>KNOW ALL MEN BY THESE PRESENTS, that the undersigned directors and officers of AGNC Investment Corp., a corporation organized under the laws of the state of Delaware (the “Corporation”), hereby constitute and appoint Peter Federico, Kenneth Pollack and Kasey Reisman and each of them (with full power to each of them to act alone), his/her true and lawful attorneys</w:t>
      </w:r>
      <w:r>
        <w:rPr>
          <w:rFonts w:ascii="MS PGothic" w:cs="MS PGothic" w:eastAsia="MS PGothic" w:hAnsi="MS PGothic"/>
          <w:sz w:val="19"/>
          <w:szCs w:val="19"/>
          <w:color w:val="auto"/>
        </w:rPr>
        <w:t>‑</w:t>
      </w:r>
      <w:r>
        <w:rPr>
          <w:rFonts w:ascii="Arial" w:cs="Arial" w:eastAsia="Arial" w:hAnsi="Arial"/>
          <w:sz w:val="19"/>
          <w:szCs w:val="19"/>
          <w:color w:val="auto"/>
        </w:rPr>
        <w:t>in</w:t>
      </w:r>
      <w:r>
        <w:rPr>
          <w:rFonts w:ascii="MS PGothic" w:cs="MS PGothic" w:eastAsia="MS PGothic" w:hAnsi="MS PGothic"/>
          <w:sz w:val="19"/>
          <w:szCs w:val="19"/>
          <w:color w:val="auto"/>
        </w:rPr>
        <w:t>‑</w:t>
      </w:r>
      <w:r>
        <w:rPr>
          <w:rFonts w:ascii="Arial" w:cs="Arial" w:eastAsia="Arial" w:hAnsi="Arial"/>
          <w:sz w:val="19"/>
          <w:szCs w:val="19"/>
          <w:color w:val="auto"/>
        </w:rPr>
        <w:t>fact and agents for him/her and on his/her behalf and in his/her name, place and stead, in all cases with full power of substitution and resubstitution, in any hand and all capacities, to sign, execute and affix his/her seal to and file with the Securities and Exchange Commission (or any other governmental or regulatory authority) the Corporation’s Annual Report on Form 10-K for the fiscal year ended December 31, 2019, and all amendments or supplements thereto with all exhibits and any and all documents required to be filed with respect thereto, and grants to each of them full power and authority to do and to perform each and every act and thing requisite and necessary to be done in and about the premises in order to effectuate the same as fully and to all intents and purposes as he/she might or could do if personally present, hereby ratifying and confirming all that said attorneys</w:t>
      </w:r>
      <w:r>
        <w:rPr>
          <w:rFonts w:ascii="MS PGothic" w:cs="MS PGothic" w:eastAsia="MS PGothic" w:hAnsi="MS PGothic"/>
          <w:sz w:val="19"/>
          <w:szCs w:val="19"/>
          <w:color w:val="auto"/>
        </w:rPr>
        <w:t>‑</w:t>
      </w:r>
      <w:r>
        <w:rPr>
          <w:rFonts w:ascii="Arial" w:cs="Arial" w:eastAsia="Arial" w:hAnsi="Arial"/>
          <w:sz w:val="19"/>
          <w:szCs w:val="19"/>
          <w:color w:val="auto"/>
        </w:rPr>
        <w:t>in</w:t>
      </w:r>
      <w:r>
        <w:rPr>
          <w:rFonts w:ascii="MS PGothic" w:cs="MS PGothic" w:eastAsia="MS PGothic" w:hAnsi="MS PGothic"/>
          <w:sz w:val="19"/>
          <w:szCs w:val="19"/>
          <w:color w:val="auto"/>
        </w:rPr>
        <w:t>‑</w:t>
      </w:r>
      <w:r>
        <w:rPr>
          <w:rFonts w:ascii="Arial" w:cs="Arial" w:eastAsia="Arial" w:hAnsi="Arial"/>
          <w:sz w:val="19"/>
          <w:szCs w:val="19"/>
          <w:color w:val="auto"/>
        </w:rPr>
        <w:t>fact and agents, or any of them, may lawfully do or cause to be done by virtue hereof.</w:t>
      </w: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WITNESS WHEREOF, each of the undersigned directors and/or officers has hereunto set his/her hand and seal, as of the date specified.</w:t>
      </w:r>
    </w:p>
    <w:p>
      <w:pPr>
        <w:spacing w:after="0" w:line="385"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AGNC INVESTMENT CORP.</w:t>
      </w:r>
    </w:p>
    <w:p>
      <w:pPr>
        <w:spacing w:after="0" w:line="200" w:lineRule="exact"/>
        <w:rPr>
          <w:sz w:val="20"/>
          <w:szCs w:val="20"/>
          <w:color w:val="auto"/>
        </w:rPr>
      </w:pPr>
    </w:p>
    <w:p>
      <w:pPr>
        <w:spacing w:after="0" w:line="242" w:lineRule="exact"/>
        <w:rPr>
          <w:sz w:val="20"/>
          <w:szCs w:val="20"/>
          <w:color w:val="auto"/>
        </w:rPr>
      </w:pPr>
    </w:p>
    <w:p>
      <w:pPr>
        <w:spacing w:after="0"/>
        <w:tabs>
          <w:tab w:leader="none" w:pos="2340" w:val="left"/>
        </w:tabs>
        <w:rPr>
          <w:sz w:val="20"/>
          <w:szCs w:val="20"/>
          <w:color w:val="auto"/>
        </w:rPr>
      </w:pPr>
      <w:r>
        <w:rPr>
          <w:rFonts w:ascii="Arial" w:cs="Arial" w:eastAsia="Arial" w:hAnsi="Arial"/>
          <w:sz w:val="22"/>
          <w:szCs w:val="22"/>
          <w:color w:val="auto"/>
        </w:rPr>
        <w:t xml:space="preserve">Dated: </w:t>
      </w:r>
      <w:r>
        <w:rPr>
          <w:rFonts w:ascii="Arial" w:cs="Arial" w:eastAsia="Arial" w:hAnsi="Arial"/>
          <w:sz w:val="19"/>
          <w:szCs w:val="19"/>
          <w:color w:val="auto"/>
        </w:rPr>
        <w:t>January 24, 2020</w:t>
      </w:r>
      <w:r>
        <w:rPr>
          <w:sz w:val="20"/>
          <w:szCs w:val="20"/>
          <w:color w:val="auto"/>
        </w:rPr>
        <w:tab/>
      </w:r>
      <w:r>
        <w:rPr>
          <w:rFonts w:ascii="Arial" w:cs="Arial" w:eastAsia="Arial" w:hAnsi="Arial"/>
          <w:sz w:val="18"/>
          <w:szCs w:val="18"/>
          <w:u w:val="single" w:color="auto"/>
          <w:color w:val="auto"/>
        </w:rPr>
        <w:t>/S/ Gary D. Kain</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Gary D. Kain</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Chief Executive Officer and Chief Investment</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Officer</w:t>
      </w:r>
    </w:p>
    <w:p>
      <w:pPr>
        <w:sectPr>
          <w:pgSz w:w="11900" w:h="16838" w:orient="portrait"/>
          <w:cols w:equalWidth="0" w:num="1">
            <w:col w:w="11420"/>
          </w:cols>
          <w:pgMar w:left="240" w:top="780" w:right="239" w:bottom="1440" w:gutter="0" w:footer="0" w:header="0"/>
        </w:sectPr>
      </w:pPr>
    </w:p>
    <w:bookmarkStart w:id="103" w:name="page104"/>
    <w:bookmarkEnd w:id="103"/>
    <w:p>
      <w:pPr>
        <w:spacing w:after="0" w:line="23" w:lineRule="exact"/>
        <w:rPr>
          <w:sz w:val="20"/>
          <w:szCs w:val="20"/>
          <w:color w:val="auto"/>
        </w:rPr>
      </w:pPr>
    </w:p>
    <w:p>
      <w:pPr>
        <w:jc w:val="right"/>
        <w:ind w:right="780"/>
        <w:spacing w:after="0"/>
        <w:rPr>
          <w:sz w:val="20"/>
          <w:szCs w:val="20"/>
          <w:color w:val="auto"/>
        </w:rPr>
      </w:pPr>
      <w:r>
        <w:rPr>
          <w:rFonts w:ascii="Arial" w:cs="Arial" w:eastAsia="Arial" w:hAnsi="Arial"/>
          <w:sz w:val="22"/>
          <w:szCs w:val="22"/>
          <w:b w:val="1"/>
          <w:bCs w:val="1"/>
          <w:u w:val="single" w:color="auto"/>
          <w:color w:val="auto"/>
        </w:rPr>
        <w:t>Signature</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color w:val="auto"/>
        </w:rPr>
        <w:t>/S/ Gary D. Kain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7627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3">
                      <a:extLst>
                        <a:ext uri="{28A0092B-C50C-407E-A947-70E740481C1C}"/>
                      </a:extLst>
                    </a:blip>
                    <a:srcRect/>
                    <a:stretch>
                      <a:fillRect/>
                    </a:stretch>
                  </pic:blipFill>
                  <pic:spPr bwMode="auto">
                    <a:xfrm>
                      <a:off x="0" y="0"/>
                      <a:ext cx="176276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Gary D. Kain</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 Donna J.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7348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4">
                      <a:extLst>
                        <a:ext uri="{28A0092B-C50C-407E-A947-70E740481C1C}"/>
                      </a:extLst>
                    </a:blip>
                    <a:srcRect/>
                    <a:stretch>
                      <a:fillRect/>
                    </a:stretch>
                  </pic:blipFill>
                  <pic:spPr bwMode="auto">
                    <a:xfrm>
                      <a:off x="0" y="0"/>
                      <a:ext cx="173482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Donna J. Blank</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 Morris A.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7773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5">
                      <a:extLst>
                        <a:ext uri="{28A0092B-C50C-407E-A947-70E740481C1C}"/>
                      </a:extLst>
                    </a:blip>
                    <a:srcRect/>
                    <a:stretch>
                      <a:fillRect/>
                    </a:stretch>
                  </pic:blipFill>
                  <pic:spPr bwMode="auto">
                    <a:xfrm>
                      <a:off x="0" y="0"/>
                      <a:ext cx="177736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Morris A. Davis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 John D. Fisk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5640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6">
                      <a:extLst>
                        <a:ext uri="{28A0092B-C50C-407E-A947-70E740481C1C}"/>
                      </a:extLst>
                    </a:blip>
                    <a:srcRect/>
                    <a:stretch>
                      <a:fillRect/>
                    </a:stretch>
                  </pic:blipFill>
                  <pic:spPr bwMode="auto">
                    <a:xfrm>
                      <a:off x="0" y="0"/>
                      <a:ext cx="156400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John D. Fisk</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 Prue B. Larocca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014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7">
                      <a:extLst>
                        <a:ext uri="{28A0092B-C50C-407E-A947-70E740481C1C}"/>
                      </a:extLst>
                    </a:blip>
                    <a:srcRect/>
                    <a:stretch>
                      <a:fillRect/>
                    </a:stretch>
                  </pic:blipFill>
                  <pic:spPr bwMode="auto">
                    <a:xfrm>
                      <a:off x="0" y="0"/>
                      <a:ext cx="180149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Prue B. Larocca</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 Paul E. Mullings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053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8">
                      <a:extLst>
                        <a:ext uri="{28A0092B-C50C-407E-A947-70E740481C1C}"/>
                      </a:extLst>
                    </a:blip>
                    <a:srcRect/>
                    <a:stretch>
                      <a:fillRect/>
                    </a:stretch>
                  </pic:blipFill>
                  <pic:spPr bwMode="auto">
                    <a:xfrm>
                      <a:off x="0" y="0"/>
                      <a:ext cx="180530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Paul E. Mullings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 Frances R. Spark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186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9">
                      <a:extLst>
                        <a:ext uri="{28A0092B-C50C-407E-A947-70E740481C1C}"/>
                      </a:extLst>
                    </a:blip>
                    <a:srcRect/>
                    <a:stretch>
                      <a:fillRect/>
                    </a:stretch>
                  </pic:blipFill>
                  <pic:spPr bwMode="auto">
                    <a:xfrm>
                      <a:off x="0" y="0"/>
                      <a:ext cx="181864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Frances R. Spark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520" w:type="dxa"/>
            <w:vAlign w:val="bottom"/>
          </w:tcPr>
          <w:p>
            <w:pPr>
              <w:spacing w:after="0"/>
              <w:rPr>
                <w:sz w:val="21"/>
                <w:szCs w:val="21"/>
                <w:color w:val="auto"/>
              </w:rPr>
            </w:pPr>
          </w:p>
        </w:tc>
        <w:tc>
          <w:tcPr>
            <w:tcW w:w="2280" w:type="dxa"/>
            <w:vAlign w:val="bottom"/>
            <w:gridSpan w:val="2"/>
          </w:tcPr>
          <w:p>
            <w:pPr>
              <w:jc w:val="center"/>
              <w:ind w:right="1860"/>
              <w:spacing w:after="0"/>
              <w:rPr>
                <w:sz w:val="20"/>
                <w:szCs w:val="20"/>
                <w:color w:val="auto"/>
              </w:rPr>
            </w:pPr>
            <w:r>
              <w:rPr>
                <w:rFonts w:ascii="Arial" w:cs="Arial" w:eastAsia="Arial" w:hAnsi="Arial"/>
                <w:sz w:val="22"/>
                <w:szCs w:val="22"/>
                <w:b w:val="1"/>
                <w:bCs w:val="1"/>
                <w:color w:val="auto"/>
                <w:w w:val="92"/>
              </w:rPr>
              <w:t>Title</w:t>
            </w:r>
          </w:p>
        </w:tc>
        <w:tc>
          <w:tcPr>
            <w:tcW w:w="780" w:type="dxa"/>
            <w:vAlign w:val="bottom"/>
          </w:tcPr>
          <w:p>
            <w:pPr>
              <w:spacing w:after="0"/>
              <w:rPr>
                <w:sz w:val="21"/>
                <w:szCs w:val="21"/>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22"/>
                <w:szCs w:val="22"/>
                <w:b w:val="1"/>
                <w:bCs w:val="1"/>
                <w:color w:val="auto"/>
                <w:w w:val="92"/>
              </w:rPr>
              <w:t>Date</w:t>
            </w:r>
          </w:p>
        </w:tc>
      </w:tr>
      <w:tr>
        <w:trPr>
          <w:trHeight w:val="20"/>
        </w:trPr>
        <w:tc>
          <w:tcPr>
            <w:tcW w:w="1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95"/>
        </w:trPr>
        <w:tc>
          <w:tcPr>
            <w:tcW w:w="3800" w:type="dxa"/>
            <w:vAlign w:val="bottom"/>
            <w:gridSpan w:val="3"/>
          </w:tcPr>
          <w:p>
            <w:pPr>
              <w:jc w:val="center"/>
              <w:ind w:right="340"/>
              <w:spacing w:after="0"/>
              <w:rPr>
                <w:sz w:val="20"/>
                <w:szCs w:val="20"/>
                <w:color w:val="auto"/>
              </w:rPr>
            </w:pPr>
            <w:r>
              <w:rPr>
                <w:rFonts w:ascii="Arial" w:cs="Arial" w:eastAsia="Arial" w:hAnsi="Arial"/>
                <w:sz w:val="20"/>
                <w:szCs w:val="20"/>
                <w:color w:val="auto"/>
                <w:w w:val="92"/>
              </w:rPr>
              <w:t>Director, Chief Executive Officer and Chief</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0"/>
        </w:trPr>
        <w:tc>
          <w:tcPr>
            <w:tcW w:w="3800" w:type="dxa"/>
            <w:vAlign w:val="bottom"/>
            <w:gridSpan w:val="3"/>
          </w:tcPr>
          <w:p>
            <w:pPr>
              <w:jc w:val="center"/>
              <w:ind w:right="340"/>
              <w:spacing w:after="0"/>
              <w:rPr>
                <w:sz w:val="20"/>
                <w:szCs w:val="20"/>
                <w:color w:val="auto"/>
              </w:rPr>
            </w:pPr>
            <w:r>
              <w:rPr>
                <w:rFonts w:ascii="Arial" w:cs="Arial" w:eastAsia="Arial" w:hAnsi="Arial"/>
                <w:sz w:val="20"/>
                <w:szCs w:val="20"/>
                <w:color w:val="auto"/>
                <w:w w:val="92"/>
              </w:rPr>
              <w:t>Investment Officer (Principal Executive</w:t>
            </w:r>
          </w:p>
        </w:tc>
        <w:tc>
          <w:tcPr>
            <w:tcW w:w="1680" w:type="dxa"/>
            <w:vAlign w:val="bottom"/>
            <w:gridSpan w:val="3"/>
          </w:tcPr>
          <w:p>
            <w:pPr>
              <w:jc w:val="center"/>
              <w:ind w:left="221"/>
              <w:spacing w:after="0"/>
              <w:rPr>
                <w:sz w:val="20"/>
                <w:szCs w:val="20"/>
                <w:color w:val="auto"/>
              </w:rPr>
            </w:pPr>
            <w:r>
              <w:rPr>
                <w:rFonts w:ascii="Arial" w:cs="Arial" w:eastAsia="Arial" w:hAnsi="Arial"/>
                <w:sz w:val="20"/>
                <w:szCs w:val="20"/>
                <w:color w:val="auto"/>
                <w:w w:val="87"/>
              </w:rPr>
              <w:t>January 24, 2020</w:t>
            </w:r>
          </w:p>
        </w:tc>
      </w:tr>
      <w:tr>
        <w:trPr>
          <w:trHeight w:val="250"/>
        </w:trPr>
        <w:tc>
          <w:tcPr>
            <w:tcW w:w="3800" w:type="dxa"/>
            <w:vAlign w:val="bottom"/>
            <w:gridSpan w:val="3"/>
          </w:tcPr>
          <w:p>
            <w:pPr>
              <w:jc w:val="center"/>
              <w:ind w:right="340"/>
              <w:spacing w:after="0"/>
              <w:rPr>
                <w:sz w:val="20"/>
                <w:szCs w:val="20"/>
                <w:color w:val="auto"/>
              </w:rPr>
            </w:pPr>
            <w:r>
              <w:rPr>
                <w:rFonts w:ascii="Arial" w:cs="Arial" w:eastAsia="Arial" w:hAnsi="Arial"/>
                <w:sz w:val="20"/>
                <w:szCs w:val="20"/>
                <w:color w:val="auto"/>
                <w:w w:val="94"/>
              </w:rPr>
              <w:t>Officer)</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743"/>
        </w:trPr>
        <w:tc>
          <w:tcPr>
            <w:tcW w:w="3800" w:type="dxa"/>
            <w:vAlign w:val="bottom"/>
            <w:gridSpan w:val="3"/>
          </w:tcPr>
          <w:p>
            <w:pPr>
              <w:jc w:val="center"/>
              <w:ind w:right="340"/>
              <w:spacing w:after="0"/>
              <w:rPr>
                <w:sz w:val="20"/>
                <w:szCs w:val="20"/>
                <w:color w:val="auto"/>
              </w:rPr>
            </w:pPr>
            <w:r>
              <w:rPr>
                <w:rFonts w:ascii="Arial" w:cs="Arial" w:eastAsia="Arial" w:hAnsi="Arial"/>
                <w:sz w:val="20"/>
                <w:szCs w:val="20"/>
                <w:color w:val="auto"/>
                <w:w w:val="94"/>
              </w:rPr>
              <w:t>Director</w:t>
            </w:r>
          </w:p>
        </w:tc>
        <w:tc>
          <w:tcPr>
            <w:tcW w:w="1680" w:type="dxa"/>
            <w:vAlign w:val="bottom"/>
            <w:gridSpan w:val="3"/>
          </w:tcPr>
          <w:p>
            <w:pPr>
              <w:jc w:val="center"/>
              <w:ind w:left="221"/>
              <w:spacing w:after="0"/>
              <w:rPr>
                <w:sz w:val="20"/>
                <w:szCs w:val="20"/>
                <w:color w:val="auto"/>
              </w:rPr>
            </w:pPr>
            <w:r>
              <w:rPr>
                <w:rFonts w:ascii="Arial" w:cs="Arial" w:eastAsia="Arial" w:hAnsi="Arial"/>
                <w:sz w:val="20"/>
                <w:szCs w:val="20"/>
                <w:color w:val="auto"/>
                <w:w w:val="87"/>
              </w:rPr>
              <w:t>January 24, 2020</w:t>
            </w:r>
          </w:p>
        </w:tc>
      </w:tr>
      <w:tr>
        <w:trPr>
          <w:trHeight w:val="972"/>
        </w:trPr>
        <w:tc>
          <w:tcPr>
            <w:tcW w:w="3800" w:type="dxa"/>
            <w:vAlign w:val="bottom"/>
            <w:gridSpan w:val="3"/>
          </w:tcPr>
          <w:p>
            <w:pPr>
              <w:jc w:val="center"/>
              <w:ind w:right="340"/>
              <w:spacing w:after="0"/>
              <w:rPr>
                <w:sz w:val="20"/>
                <w:szCs w:val="20"/>
                <w:color w:val="auto"/>
              </w:rPr>
            </w:pPr>
            <w:r>
              <w:rPr>
                <w:rFonts w:ascii="Arial" w:cs="Arial" w:eastAsia="Arial" w:hAnsi="Arial"/>
                <w:sz w:val="20"/>
                <w:szCs w:val="20"/>
                <w:color w:val="auto"/>
                <w:w w:val="94"/>
              </w:rPr>
              <w:t>Director</w:t>
            </w:r>
          </w:p>
        </w:tc>
        <w:tc>
          <w:tcPr>
            <w:tcW w:w="1680" w:type="dxa"/>
            <w:vAlign w:val="bottom"/>
            <w:gridSpan w:val="3"/>
          </w:tcPr>
          <w:p>
            <w:pPr>
              <w:jc w:val="center"/>
              <w:ind w:left="221"/>
              <w:spacing w:after="0"/>
              <w:rPr>
                <w:sz w:val="20"/>
                <w:szCs w:val="20"/>
                <w:color w:val="auto"/>
              </w:rPr>
            </w:pPr>
            <w:r>
              <w:rPr>
                <w:rFonts w:ascii="Arial" w:cs="Arial" w:eastAsia="Arial" w:hAnsi="Arial"/>
                <w:sz w:val="20"/>
                <w:szCs w:val="20"/>
                <w:color w:val="auto"/>
                <w:w w:val="87"/>
              </w:rPr>
              <w:t>January 24, 2020</w:t>
            </w:r>
          </w:p>
        </w:tc>
      </w:tr>
      <w:tr>
        <w:trPr>
          <w:trHeight w:val="972"/>
        </w:trPr>
        <w:tc>
          <w:tcPr>
            <w:tcW w:w="3800" w:type="dxa"/>
            <w:vAlign w:val="bottom"/>
            <w:gridSpan w:val="3"/>
          </w:tcPr>
          <w:p>
            <w:pPr>
              <w:jc w:val="center"/>
              <w:ind w:right="340"/>
              <w:spacing w:after="0"/>
              <w:rPr>
                <w:sz w:val="20"/>
                <w:szCs w:val="20"/>
                <w:color w:val="auto"/>
              </w:rPr>
            </w:pPr>
            <w:r>
              <w:rPr>
                <w:rFonts w:ascii="Arial" w:cs="Arial" w:eastAsia="Arial" w:hAnsi="Arial"/>
                <w:sz w:val="20"/>
                <w:szCs w:val="20"/>
                <w:color w:val="auto"/>
                <w:w w:val="94"/>
              </w:rPr>
              <w:t>Director</w:t>
            </w:r>
          </w:p>
        </w:tc>
        <w:tc>
          <w:tcPr>
            <w:tcW w:w="1680" w:type="dxa"/>
            <w:vAlign w:val="bottom"/>
            <w:gridSpan w:val="3"/>
          </w:tcPr>
          <w:p>
            <w:pPr>
              <w:jc w:val="center"/>
              <w:ind w:left="221"/>
              <w:spacing w:after="0"/>
              <w:rPr>
                <w:sz w:val="20"/>
                <w:szCs w:val="20"/>
                <w:color w:val="auto"/>
              </w:rPr>
            </w:pPr>
            <w:r>
              <w:rPr>
                <w:rFonts w:ascii="Arial" w:cs="Arial" w:eastAsia="Arial" w:hAnsi="Arial"/>
                <w:sz w:val="20"/>
                <w:szCs w:val="20"/>
                <w:color w:val="auto"/>
                <w:w w:val="87"/>
              </w:rPr>
              <w:t>January 24, 2020</w:t>
            </w:r>
          </w:p>
        </w:tc>
      </w:tr>
      <w:tr>
        <w:trPr>
          <w:trHeight w:val="972"/>
        </w:trPr>
        <w:tc>
          <w:tcPr>
            <w:tcW w:w="3800" w:type="dxa"/>
            <w:vAlign w:val="bottom"/>
            <w:gridSpan w:val="3"/>
          </w:tcPr>
          <w:p>
            <w:pPr>
              <w:jc w:val="center"/>
              <w:ind w:right="340"/>
              <w:spacing w:after="0"/>
              <w:rPr>
                <w:sz w:val="20"/>
                <w:szCs w:val="20"/>
                <w:color w:val="auto"/>
              </w:rPr>
            </w:pPr>
            <w:r>
              <w:rPr>
                <w:rFonts w:ascii="Arial" w:cs="Arial" w:eastAsia="Arial" w:hAnsi="Arial"/>
                <w:sz w:val="20"/>
                <w:szCs w:val="20"/>
                <w:color w:val="auto"/>
                <w:w w:val="94"/>
              </w:rPr>
              <w:t>Director</w:t>
            </w:r>
          </w:p>
        </w:tc>
        <w:tc>
          <w:tcPr>
            <w:tcW w:w="1680" w:type="dxa"/>
            <w:vAlign w:val="bottom"/>
            <w:gridSpan w:val="3"/>
          </w:tcPr>
          <w:p>
            <w:pPr>
              <w:jc w:val="center"/>
              <w:ind w:left="221"/>
              <w:spacing w:after="0"/>
              <w:rPr>
                <w:sz w:val="20"/>
                <w:szCs w:val="20"/>
                <w:color w:val="auto"/>
              </w:rPr>
            </w:pPr>
            <w:r>
              <w:rPr>
                <w:rFonts w:ascii="Arial" w:cs="Arial" w:eastAsia="Arial" w:hAnsi="Arial"/>
                <w:sz w:val="20"/>
                <w:szCs w:val="20"/>
                <w:color w:val="auto"/>
                <w:w w:val="87"/>
              </w:rPr>
              <w:t>January 24, 2020</w:t>
            </w:r>
          </w:p>
        </w:tc>
      </w:tr>
      <w:tr>
        <w:trPr>
          <w:trHeight w:val="972"/>
        </w:trPr>
        <w:tc>
          <w:tcPr>
            <w:tcW w:w="3800" w:type="dxa"/>
            <w:vAlign w:val="bottom"/>
            <w:gridSpan w:val="3"/>
          </w:tcPr>
          <w:p>
            <w:pPr>
              <w:jc w:val="center"/>
              <w:ind w:right="340"/>
              <w:spacing w:after="0"/>
              <w:rPr>
                <w:sz w:val="20"/>
                <w:szCs w:val="20"/>
                <w:color w:val="auto"/>
              </w:rPr>
            </w:pPr>
            <w:r>
              <w:rPr>
                <w:rFonts w:ascii="Arial" w:cs="Arial" w:eastAsia="Arial" w:hAnsi="Arial"/>
                <w:sz w:val="20"/>
                <w:szCs w:val="20"/>
                <w:color w:val="auto"/>
                <w:w w:val="94"/>
              </w:rPr>
              <w:t>Director</w:t>
            </w:r>
          </w:p>
        </w:tc>
        <w:tc>
          <w:tcPr>
            <w:tcW w:w="1680" w:type="dxa"/>
            <w:vAlign w:val="bottom"/>
            <w:gridSpan w:val="3"/>
          </w:tcPr>
          <w:p>
            <w:pPr>
              <w:jc w:val="center"/>
              <w:ind w:left="221"/>
              <w:spacing w:after="0"/>
              <w:rPr>
                <w:sz w:val="20"/>
                <w:szCs w:val="20"/>
                <w:color w:val="auto"/>
              </w:rPr>
            </w:pPr>
            <w:r>
              <w:rPr>
                <w:rFonts w:ascii="Arial" w:cs="Arial" w:eastAsia="Arial" w:hAnsi="Arial"/>
                <w:sz w:val="20"/>
                <w:szCs w:val="20"/>
                <w:color w:val="auto"/>
                <w:w w:val="87"/>
              </w:rPr>
              <w:t>January 24, 2020</w:t>
            </w:r>
          </w:p>
        </w:tc>
      </w:tr>
      <w:tr>
        <w:trPr>
          <w:trHeight w:val="972"/>
        </w:trPr>
        <w:tc>
          <w:tcPr>
            <w:tcW w:w="3800" w:type="dxa"/>
            <w:vAlign w:val="bottom"/>
            <w:gridSpan w:val="3"/>
          </w:tcPr>
          <w:p>
            <w:pPr>
              <w:jc w:val="center"/>
              <w:ind w:right="340"/>
              <w:spacing w:after="0"/>
              <w:rPr>
                <w:sz w:val="20"/>
                <w:szCs w:val="20"/>
                <w:color w:val="auto"/>
              </w:rPr>
            </w:pPr>
            <w:r>
              <w:rPr>
                <w:rFonts w:ascii="Arial" w:cs="Arial" w:eastAsia="Arial" w:hAnsi="Arial"/>
                <w:sz w:val="20"/>
                <w:szCs w:val="20"/>
                <w:color w:val="auto"/>
                <w:w w:val="94"/>
              </w:rPr>
              <w:t>Director</w:t>
            </w:r>
          </w:p>
        </w:tc>
        <w:tc>
          <w:tcPr>
            <w:tcW w:w="1680" w:type="dxa"/>
            <w:vAlign w:val="bottom"/>
            <w:gridSpan w:val="3"/>
          </w:tcPr>
          <w:p>
            <w:pPr>
              <w:jc w:val="center"/>
              <w:ind w:left="221"/>
              <w:spacing w:after="0"/>
              <w:rPr>
                <w:sz w:val="20"/>
                <w:szCs w:val="20"/>
                <w:color w:val="auto"/>
              </w:rPr>
            </w:pPr>
            <w:r>
              <w:rPr>
                <w:rFonts w:ascii="Arial" w:cs="Arial" w:eastAsia="Arial" w:hAnsi="Arial"/>
                <w:sz w:val="20"/>
                <w:szCs w:val="20"/>
                <w:color w:val="auto"/>
                <w:w w:val="87"/>
              </w:rPr>
              <w:t>January 24, 2020</w:t>
            </w:r>
          </w:p>
        </w:tc>
      </w:tr>
    </w:tbl>
    <w:p>
      <w:pPr>
        <w:sectPr>
          <w:pgSz w:w="11900" w:h="16838" w:orient="portrait"/>
          <w:cols w:equalWidth="0" w:num="2">
            <w:col w:w="2980" w:space="720"/>
            <w:col w:w="5539"/>
          </w:cols>
          <w:pgMar w:left="1220" w:top="683" w:right="1440" w:bottom="1440" w:gutter="0" w:footer="0" w:header="0"/>
        </w:sectPr>
      </w:pPr>
    </w:p>
    <w:bookmarkStart w:id="104" w:name="page105"/>
    <w:bookmarkEnd w:id="104"/>
    <w:p>
      <w:pPr>
        <w:ind w:left="10520"/>
        <w:spacing w:after="0"/>
        <w:rPr>
          <w:sz w:val="20"/>
          <w:szCs w:val="20"/>
          <w:color w:val="auto"/>
        </w:rPr>
      </w:pPr>
      <w:r>
        <w:rPr>
          <w:rFonts w:ascii="Arial" w:cs="Arial" w:eastAsia="Arial" w:hAnsi="Arial"/>
          <w:sz w:val="16"/>
          <w:szCs w:val="16"/>
          <w:color w:val="auto"/>
        </w:rPr>
        <w:t>Exhibit 31.1</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Gary D. Kain, certify that:</w:t>
      </w:r>
    </w:p>
    <w:p>
      <w:pPr>
        <w:spacing w:after="0" w:line="158" w:lineRule="exact"/>
        <w:rPr>
          <w:sz w:val="20"/>
          <w:szCs w:val="20"/>
          <w:color w:val="auto"/>
        </w:rPr>
      </w:pPr>
    </w:p>
    <w:p>
      <w:pPr>
        <w:ind w:left="860" w:hanging="467"/>
        <w:spacing w:after="0"/>
        <w:tabs>
          <w:tab w:leader="none" w:pos="8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AGNC Investment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8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25, 2020</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tab/>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Gary D. Kain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Executive Officer and Chief Investment</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400"/>
          </w:cols>
          <w:pgMar w:left="260" w:top="557" w:right="239" w:bottom="1440" w:gutter="0" w:footer="0" w:header="0"/>
        </w:sectPr>
      </w:pPr>
    </w:p>
    <w:bookmarkStart w:id="105" w:name="page106"/>
    <w:bookmarkEnd w:id="105"/>
    <w:p>
      <w:pPr>
        <w:ind w:left="10520"/>
        <w:spacing w:after="0"/>
        <w:rPr>
          <w:sz w:val="20"/>
          <w:szCs w:val="20"/>
          <w:color w:val="auto"/>
        </w:rPr>
      </w:pPr>
      <w:r>
        <w:rPr>
          <w:rFonts w:ascii="Arial" w:cs="Arial" w:eastAsia="Arial" w:hAnsi="Arial"/>
          <w:sz w:val="16"/>
          <w:szCs w:val="16"/>
          <w:color w:val="auto"/>
        </w:rPr>
        <w:t>Exhibit 31.2</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Bernice E. Bell, certify that:</w:t>
      </w:r>
    </w:p>
    <w:p>
      <w:pPr>
        <w:spacing w:after="0" w:line="158" w:lineRule="exact"/>
        <w:rPr>
          <w:sz w:val="20"/>
          <w:szCs w:val="20"/>
          <w:color w:val="auto"/>
        </w:rPr>
      </w:pPr>
    </w:p>
    <w:p>
      <w:pPr>
        <w:ind w:left="860" w:hanging="467"/>
        <w:spacing w:after="0"/>
        <w:tabs>
          <w:tab w:leader="none" w:pos="8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AGNC Investment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8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25, 2020</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tab/>
        <w:t>B</w:t>
      </w:r>
      <w:r>
        <w:rPr>
          <w:rFonts w:ascii="Arial" w:cs="Arial" w:eastAsia="Arial" w:hAnsi="Arial"/>
          <w:sz w:val="14"/>
          <w:szCs w:val="14"/>
          <w:color w:val="auto"/>
        </w:rPr>
        <w:t>ERNICE</w:t>
      </w:r>
      <w:r>
        <w:rPr>
          <w:rFonts w:ascii="Arial" w:cs="Arial" w:eastAsia="Arial" w:hAnsi="Arial"/>
          <w:sz w:val="18"/>
          <w:szCs w:val="18"/>
          <w:color w:val="auto"/>
        </w:rPr>
        <w:t xml:space="preserve"> E. B</w:t>
      </w:r>
      <w:r>
        <w:rPr>
          <w:rFonts w:ascii="Arial" w:cs="Arial" w:eastAsia="Arial" w:hAnsi="Arial"/>
          <w:sz w:val="14"/>
          <w:szCs w:val="14"/>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1">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Bernice E. Bell</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00"/>
          </w:cols>
          <w:pgMar w:left="260" w:top="557"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color w:val="auto"/>
        </w:rPr>
        <w:t>Exhibit 32</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Gary D. Kain, Chief Executive Officer and Chief Investment Officer, and Bernice E. Bell, Senior Vice President and Chief Financial Officer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AGNC Investment Corp. (the “Company”), certify pursuant to Section 906 of the Sarbanes-Oxley Act of 2002, 18 U.S.C. Section 1350 that:</w:t>
      </w:r>
    </w:p>
    <w:p>
      <w:pPr>
        <w:spacing w:after="0" w:line="157" w:lineRule="exact"/>
        <w:rPr>
          <w:sz w:val="20"/>
          <w:szCs w:val="20"/>
          <w:color w:val="auto"/>
        </w:rPr>
      </w:pPr>
    </w:p>
    <w:p>
      <w:pPr>
        <w:ind w:left="660" w:right="80" w:hanging="328"/>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2019 (the “Report”) fully complies with the requirements of Section 13(a) of the Securities Exchange Act of 1934 (15 U.S.C. 78m);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100" w:type="dxa"/>
            <w:vAlign w:val="bottom"/>
          </w:tcPr>
          <w:p>
            <w:pPr>
              <w:ind w:left="10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Gary D. Kain</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Investment Officer (Principal Executive Officer)</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February 25, 2020</w:t>
            </w:r>
          </w:p>
        </w:tc>
        <w:tc>
          <w:tcPr>
            <w:tcW w:w="0" w:type="dxa"/>
            <w:vAlign w:val="bottom"/>
          </w:tcPr>
          <w:p>
            <w:pPr>
              <w:spacing w:after="0"/>
              <w:rPr>
                <w:sz w:val="1"/>
                <w:szCs w:val="1"/>
                <w:color w:val="auto"/>
              </w:rPr>
            </w:pPr>
          </w:p>
        </w:tc>
      </w:tr>
      <w:tr>
        <w:trPr>
          <w:trHeight w:val="567"/>
        </w:trPr>
        <w:tc>
          <w:tcPr>
            <w:tcW w:w="66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100" w:type="dxa"/>
            <w:vAlign w:val="bottom"/>
          </w:tcPr>
          <w:p>
            <w:pPr>
              <w:ind w:left="10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ERNICE</w:t>
            </w:r>
            <w:r>
              <w:rPr>
                <w:rFonts w:ascii="Arial" w:cs="Arial" w:eastAsia="Arial" w:hAnsi="Arial"/>
                <w:sz w:val="18"/>
                <w:szCs w:val="18"/>
                <w:color w:val="auto"/>
              </w:rPr>
              <w:t xml:space="preserve"> E. B</w:t>
            </w:r>
            <w:r>
              <w:rPr>
                <w:rFonts w:ascii="Arial" w:cs="Arial" w:eastAsia="Arial" w:hAnsi="Arial"/>
                <w:sz w:val="14"/>
                <w:szCs w:val="14"/>
                <w:color w:val="auto"/>
              </w:rPr>
              <w:t>ELL</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Bernice E. Bell</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Senior Vice President and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February 25, 2020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1."/>
      <w:numFmt w:val="decimal"/>
      <w:start w:val="1"/>
    </w:lvl>
  </w:abstractNum>
  <w:abstractNum w:abstractNumId="6">
    <w:nsid w:val="38437FDB"/>
    <w:multiLevelType w:val="hybridMultilevel"/>
    <w:lvl w:ilvl="0">
      <w:lvlJc w:val="left"/>
      <w:lvlText w:val="%1."/>
      <w:numFmt w:val="decimal"/>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1)"/>
      <w:numFmt w:val="lowerLetter"/>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1."/>
      <w:numFmt w:val="decimal"/>
      <w:start w:val="1"/>
    </w:lvl>
  </w:abstractNum>
  <w:abstractNum w:abstractNumId="16">
    <w:nsid w:val="12E685FB"/>
    <w:multiLevelType w:val="hybridMultilevel"/>
    <w:lvl w:ilvl="0">
      <w:lvlJc w:val="left"/>
      <w:lvlText w:val="%1."/>
      <w:numFmt w:val="decimal"/>
      <w:start w:val="1"/>
    </w:lvl>
  </w:abstractNum>
  <w:abstractNum w:abstractNumId="17">
    <w:nsid w:val="70C6A529"/>
    <w:multiLevelType w:val="hybridMultilevel"/>
    <w:lvl w:ilvl="0">
      <w:lvlJc w:val="left"/>
      <w:lvlText w:val="%1."/>
      <w:numFmt w:val="decimal"/>
      <w:start w:val="1"/>
    </w:lvl>
  </w:abstractNum>
  <w:abstractNum w:abstractNumId="18">
    <w:nsid w:val="520EEDD1"/>
    <w:multiLevelType w:val="hybridMultilevel"/>
    <w:lvl w:ilvl="0">
      <w:lvlJc w:val="left"/>
      <w:lvlText w:val="(%1)"/>
      <w:numFmt w:val="lowerRoman"/>
      <w:start w:val="3"/>
    </w:lvl>
  </w:abstractNum>
  <w:abstractNum w:abstractNumId="19">
    <w:nsid w:val="374A3FE6"/>
    <w:multiLevelType w:val="hybridMultilevel"/>
    <w:lvl w:ilvl="0">
      <w:lvlJc w:val="left"/>
      <w:lvlText w:val="%1."/>
      <w:numFmt w:val="decimal"/>
      <w:start w:val="1"/>
    </w:lvl>
  </w:abstractNum>
  <w:abstractNum w:abstractNumId="20">
    <w:nsid w:val="4F4EF005"/>
    <w:multiLevelType w:val="hybridMultilevel"/>
    <w:lvl w:ilvl="0">
      <w:lvlJc w:val="left"/>
      <w:lvlText w:val="%1."/>
      <w:numFmt w:val="decimal"/>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1."/>
      <w:numFmt w:val="decimal"/>
      <w:start w:val="1"/>
    </w:lvl>
  </w:abstractNum>
  <w:abstractNum w:abstractNumId="23">
    <w:nsid w:val="275AC794"/>
    <w:multiLevelType w:val="hybridMultilevel"/>
    <w:lvl w:ilvl="0">
      <w:lvlJc w:val="left"/>
      <w:lvlText w:val="%1."/>
      <w:numFmt w:val="decimal"/>
      <w:start w:val="1"/>
    </w:lvl>
  </w:abstractNum>
  <w:abstractNum w:abstractNumId="24">
    <w:nsid w:val="39386575"/>
    <w:multiLevelType w:val="hybridMultilevel"/>
    <w:lvl w:ilvl="0">
      <w:lvlJc w:val="left"/>
      <w:lvlText w:val="%1."/>
      <w:numFmt w:val="decimal"/>
      <w:start w:val="1"/>
    </w:lvl>
  </w:abstractNum>
  <w:abstractNum w:abstractNumId="25">
    <w:nsid w:val="1CF10FD8"/>
    <w:multiLevelType w:val="hybridMultilevel"/>
    <w:lvl w:ilvl="0">
      <w:lvlJc w:val="left"/>
      <w:lvlText w:val="%1."/>
      <w:numFmt w:val="decimal"/>
      <w:start w:val="1"/>
    </w:lvl>
  </w:abstractNum>
  <w:abstractNum w:abstractNumId="26">
    <w:nsid w:val="180115BE"/>
    <w:multiLevelType w:val="hybridMultilevel"/>
    <w:lvl w:ilvl="0">
      <w:lvlJc w:val="left"/>
      <w:lvlText w:val="%1."/>
      <w:numFmt w:val="decimal"/>
      <w:start w:val="1"/>
    </w:lvl>
  </w:abstractNum>
  <w:abstractNum w:abstractNumId="27">
    <w:nsid w:val="235BA861"/>
    <w:multiLevelType w:val="hybridMultilevel"/>
    <w:lvl w:ilvl="0">
      <w:lvlJc w:val="left"/>
      <w:lvlText w:val="%1."/>
      <w:numFmt w:val="decimal"/>
      <w:start w:val="1"/>
    </w:lvl>
  </w:abstractNum>
  <w:abstractNum w:abstractNumId="28">
    <w:nsid w:val="47398C89"/>
    <w:multiLevelType w:val="hybridMultilevel"/>
    <w:lvl w:ilvl="0">
      <w:lvlJc w:val="left"/>
      <w:lvlText w:val="%1."/>
      <w:numFmt w:val="decimal"/>
      <w:start w:val="3"/>
    </w:lvl>
  </w:abstractNum>
  <w:abstractNum w:abstractNumId="29">
    <w:nsid w:val="354FE9F9"/>
    <w:multiLevelType w:val="hybridMultilevel"/>
    <w:lvl w:ilvl="0">
      <w:lvlJc w:val="left"/>
      <w:lvlText w:val="%1."/>
      <w:numFmt w:val="decimal"/>
      <w:start w:val="1"/>
    </w:lvl>
  </w:abstractNum>
  <w:abstractNum w:abstractNumId="30">
    <w:nsid w:val="15B5AF5C"/>
    <w:multiLevelType w:val="hybridMultilevel"/>
    <w:lvl w:ilvl="0">
      <w:lvlJc w:val="left"/>
      <w:lvlText w:val="%1."/>
      <w:numFmt w:val="decimal"/>
      <w:start w:val="1"/>
    </w:lvl>
  </w:abstractNum>
  <w:abstractNum w:abstractNumId="31">
    <w:nsid w:val="741226BB"/>
    <w:multiLevelType w:val="hybridMultilevel"/>
    <w:lvl w:ilvl="0">
      <w:lvlJc w:val="left"/>
      <w:lvlText w:val="%1."/>
      <w:numFmt w:val="decimal"/>
      <w:start w:val="1"/>
    </w:lvl>
  </w:abstractNum>
  <w:abstractNum w:abstractNumId="32">
    <w:nsid w:val="D34B6A8"/>
    <w:multiLevelType w:val="hybridMultilevel"/>
    <w:lvl w:ilvl="0">
      <w:lvlJc w:val="left"/>
      <w:lvlText w:val="%1."/>
      <w:numFmt w:val="decimal"/>
      <w:start w:val="1"/>
    </w:lvl>
  </w:abstractNum>
  <w:abstractNum w:abstractNumId="33">
    <w:nsid w:val="10233C99"/>
    <w:multiLevelType w:val="hybridMultilevel"/>
    <w:lvl w:ilvl="0">
      <w:lvlJc w:val="left"/>
      <w:lvlText w:val="%1."/>
      <w:numFmt w:val="decimal"/>
      <w:start w:val="1"/>
    </w:lvl>
  </w:abstractNum>
  <w:abstractNum w:abstractNumId="34">
    <w:nsid w:val="3F6AB60F"/>
    <w:multiLevelType w:val="hybridMultilevel"/>
    <w:lvl w:ilvl="0">
      <w:lvlJc w:val="left"/>
      <w:lvlText w:val="%1."/>
      <w:numFmt w:val="decimal"/>
      <w:start w:val="1"/>
    </w:lvl>
  </w:abstractNum>
  <w:abstractNum w:abstractNumId="35">
    <w:nsid w:val="61574095"/>
    <w:multiLevelType w:val="hybridMultilevel"/>
    <w:lvl w:ilvl="0">
      <w:lvlJc w:val="left"/>
      <w:lvlText w:val="%1."/>
      <w:numFmt w:val="decimal"/>
      <w:start w:val="1"/>
    </w:lvl>
  </w:abstractNum>
  <w:abstractNum w:abstractNumId="36">
    <w:nsid w:val="7E0C57B1"/>
    <w:multiLevelType w:val="hybridMultilevel"/>
    <w:lvl w:ilvl="0">
      <w:lvlJc w:val="left"/>
      <w:lvlText w:val="%1."/>
      <w:numFmt w:val="decimal"/>
      <w:start w:val="1"/>
    </w:lvl>
  </w:abstractNum>
  <w:abstractNum w:abstractNumId="37">
    <w:nsid w:val="77AE35EB"/>
    <w:multiLevelType w:val="hybridMultilevel"/>
    <w:lvl w:ilvl="0">
      <w:lvlJc w:val="left"/>
      <w:lvlText w:val="%1."/>
      <w:numFmt w:val="decimal"/>
      <w:start w:val="1"/>
    </w:lvl>
  </w:abstractNum>
  <w:abstractNum w:abstractNumId="38">
    <w:nsid w:val="579BE4F1"/>
    <w:multiLevelType w:val="hybridMultilevel"/>
    <w:lvl w:ilvl="0">
      <w:lvlJc w:val="left"/>
      <w:lvlText w:val="%1."/>
      <w:numFmt w:val="decimal"/>
      <w:start w:val="1"/>
    </w:lvl>
  </w:abstractNum>
  <w:abstractNum w:abstractNumId="39">
    <w:nsid w:val="310C50B3"/>
    <w:multiLevelType w:val="hybridMultilevel"/>
    <w:lvl w:ilvl="0">
      <w:lvlJc w:val="left"/>
      <w:lvlText w:val="%1."/>
      <w:numFmt w:val="decimal"/>
      <w:start w:val="1"/>
    </w:lvl>
  </w:abstractNum>
  <w:abstractNum w:abstractNumId="40">
    <w:nsid w:val="5FF87E05"/>
    <w:multiLevelType w:val="hybridMultilevel"/>
    <w:lvl w:ilvl="0">
      <w:lvlJc w:val="left"/>
      <w:lvlText w:val="%1."/>
      <w:numFmt w:val="decimal"/>
      <w:start w:val="1"/>
    </w:lvl>
  </w:abstractNum>
  <w:abstractNum w:abstractNumId="41">
    <w:nsid w:val="2F305DEF"/>
    <w:multiLevelType w:val="hybridMultilevel"/>
    <w:lvl w:ilvl="0">
      <w:lvlJc w:val="left"/>
      <w:lvlText w:val="%1."/>
      <w:numFmt w:val="decimal"/>
      <w:start w:val="1"/>
    </w:lvl>
  </w:abstractNum>
  <w:abstractNum w:abstractNumId="42">
    <w:nsid w:val="25A70BF7"/>
    <w:multiLevelType w:val="hybridMultilevel"/>
    <w:lvl w:ilvl="0">
      <w:lvlJc w:val="left"/>
      <w:lvlText w:val="%1."/>
      <w:numFmt w:val="decimal"/>
      <w:start w:val="1"/>
    </w:lvl>
  </w:abstractNum>
  <w:abstractNum w:abstractNumId="43">
    <w:nsid w:val="1DBABF00"/>
    <w:multiLevelType w:val="hybridMultilevel"/>
    <w:lvl w:ilvl="0">
      <w:lvlJc w:val="left"/>
      <w:lvlText w:val="%1."/>
      <w:numFmt w:val="decimal"/>
      <w:start w:val="1"/>
    </w:lvl>
  </w:abstractNum>
  <w:abstractNum w:abstractNumId="44">
    <w:nsid w:val="4AD084E9"/>
    <w:multiLevelType w:val="hybridMultilevel"/>
    <w:lvl w:ilvl="0">
      <w:lvlJc w:val="left"/>
      <w:lvlText w:val="%1."/>
      <w:numFmt w:val="decimal"/>
      <w:start w:val="1"/>
    </w:lvl>
  </w:abstractNum>
  <w:abstractNum w:abstractNumId="45">
    <w:nsid w:val="1F48EAA1"/>
    <w:multiLevelType w:val="hybridMultilevel"/>
    <w:lvl w:ilvl="0">
      <w:lvlJc w:val="left"/>
      <w:lvlText w:val="%1."/>
      <w:numFmt w:val="decimal"/>
      <w:start w:val="1"/>
    </w:lvl>
  </w:abstractNum>
  <w:abstractNum w:abstractNumId="46">
    <w:nsid w:val="1381823A"/>
    <w:multiLevelType w:val="hybridMultilevel"/>
    <w:lvl w:ilvl="0">
      <w:lvlJc w:val="left"/>
      <w:lvlText w:val="%1."/>
      <w:numFmt w:val="decimal"/>
      <w:start w:val="1"/>
    </w:lvl>
  </w:abstractNum>
  <w:abstractNum w:abstractNumId="47">
    <w:nsid w:val="5DB70AE5"/>
    <w:multiLevelType w:val="hybridMultilevel"/>
    <w:lvl w:ilvl="0">
      <w:lvlJc w:val="left"/>
      <w:lvlText w:val="%1."/>
      <w:numFmt w:val="decimal"/>
      <w:start w:val="1"/>
    </w:lvl>
  </w:abstractNum>
  <w:abstractNum w:abstractNumId="48">
    <w:nsid w:val="100F8FCA"/>
    <w:multiLevelType w:val="hybridMultilevel"/>
    <w:lvl w:ilvl="0">
      <w:lvlJc w:val="left"/>
      <w:lvlText w:val="%1."/>
      <w:numFmt w:val="decimal"/>
      <w:start w:val="1"/>
    </w:lvl>
  </w:abstractNum>
  <w:abstractNum w:abstractNumId="49">
    <w:nsid w:val="6590700B"/>
    <w:multiLevelType w:val="hybridMultilevel"/>
    <w:lvl w:ilvl="0">
      <w:lvlJc w:val="left"/>
      <w:lvlText w:val="%1."/>
      <w:numFmt w:val="decimal"/>
      <w:start w:val="1"/>
    </w:lvl>
  </w:abstractNum>
  <w:abstractNum w:abstractNumId="50">
    <w:nsid w:val="15014ACB"/>
    <w:multiLevelType w:val="hybridMultilevel"/>
    <w:lvl w:ilvl="0">
      <w:lvlJc w:val="left"/>
      <w:lvlText w:val="%1."/>
      <w:numFmt w:val="decimal"/>
      <w:start w:val="1"/>
    </w:lvl>
  </w:abstractNum>
  <w:abstractNum w:abstractNumId="51">
    <w:nsid w:val="5F5E7FD0"/>
    <w:multiLevelType w:val="hybridMultilevel"/>
    <w:lvl w:ilvl="0">
      <w:lvlJc w:val="left"/>
      <w:lvlText w:val="%1."/>
      <w:numFmt w:val="decimal"/>
      <w:start w:val="1"/>
    </w:lvl>
  </w:abstractNum>
  <w:abstractNum w:abstractNumId="52">
    <w:nsid w:val="98A3148"/>
    <w:multiLevelType w:val="hybridMultilevel"/>
    <w:lvl w:ilvl="0">
      <w:lvlJc w:val="left"/>
      <w:lvlText w:val="•"/>
      <w:numFmt w:val="bullet"/>
      <w:start w:val="1"/>
    </w:lvl>
  </w:abstractNum>
  <w:abstractNum w:abstractNumId="53">
    <w:nsid w:val="799D0247"/>
    <w:multiLevelType w:val="hybridMultilevel"/>
    <w:lvl w:ilvl="0">
      <w:lvlJc w:val="left"/>
      <w:lvlText w:val="•"/>
      <w:numFmt w:val="bullet"/>
      <w:start w:val="1"/>
    </w:lvl>
  </w:abstractNum>
  <w:abstractNum w:abstractNumId="54">
    <w:nsid w:val="6B94764"/>
    <w:multiLevelType w:val="hybridMultilevel"/>
    <w:lvl w:ilvl="0">
      <w:lvlJc w:val="left"/>
      <w:lvlText w:val="%1."/>
      <w:numFmt w:val="decimal"/>
      <w:start w:val="1"/>
    </w:lvl>
  </w:abstractNum>
  <w:abstractNum w:abstractNumId="55">
    <w:nsid w:val="42C296BD"/>
    <w:multiLevelType w:val="hybridMultilevel"/>
    <w:lvl w:ilvl="0">
      <w:lvlJc w:val="left"/>
      <w:lvlText w:val="%1."/>
      <w:numFmt w:val="decimal"/>
      <w:start w:val="1"/>
    </w:lvl>
  </w:abstractNum>
  <w:abstractNum w:abstractNumId="56">
    <w:nsid w:val="168E121F"/>
    <w:multiLevelType w:val="hybridMultilevel"/>
    <w:lvl w:ilvl="0">
      <w:lvlJc w:val="left"/>
      <w:lvlText w:val="%1."/>
      <w:numFmt w:val="decimal"/>
      <w:start w:val="1"/>
    </w:lvl>
  </w:abstractNum>
  <w:abstractNum w:abstractNumId="57">
    <w:nsid w:val="1EBA5D23"/>
    <w:multiLevelType w:val="hybridMultilevel"/>
    <w:lvl w:ilvl="0">
      <w:lvlJc w:val="left"/>
      <w:lvlText w:val="%1."/>
      <w:numFmt w:val="decimal"/>
      <w:start w:val="1"/>
    </w:lvl>
  </w:abstractNum>
  <w:abstractNum w:abstractNumId="58">
    <w:nsid w:val="661E3F1E"/>
    <w:multiLevelType w:val="hybridMultilevel"/>
    <w:lvl w:ilvl="0">
      <w:lvlJc w:val="left"/>
      <w:lvlText w:val="(%1)"/>
      <w:numFmt w:val="lowerLetter"/>
      <w:start w:val="1"/>
    </w:lvl>
    <w:lvl w:ilvl="1">
      <w:lvlJc w:val="left"/>
      <w:lvlText w:val="(%2)"/>
      <w:numFmt w:val="decimal"/>
      <w:start w:val="1"/>
    </w:lvl>
  </w:abstractNum>
  <w:abstractNum w:abstractNumId="59">
    <w:nsid w:val="5DC79EA8"/>
    <w:multiLevelType w:val="hybridMultilevel"/>
    <w:lvl w:ilvl="0">
      <w:lvlJc w:val="left"/>
      <w:lvlText w:val="(%1)"/>
      <w:numFmt w:val="decimal"/>
      <w:start w:val="2"/>
    </w:lvl>
  </w:abstractNum>
  <w:abstractNum w:abstractNumId="60">
    <w:nsid w:val="540A471C"/>
    <w:multiLevelType w:val="hybridMultilevel"/>
    <w:lvl w:ilvl="0">
      <w:lvlJc w:val="left"/>
      <w:lvlText w:val="%1"/>
      <w:numFmt w:val="decimal"/>
      <w:start w:val="21"/>
    </w:lvl>
    <w:lvl w:ilvl="1">
      <w:lvlJc w:val="left"/>
      <w:lvlText w:val="%2)"/>
      <w:numFmt w:val="decimal"/>
      <w:start w:val="1"/>
    </w:lvl>
  </w:abstractNum>
  <w:abstractNum w:abstractNumId="61">
    <w:nsid w:val="7BD3EE7B"/>
    <w:multiLevelType w:val="hybridMultilevel"/>
    <w:lvl w:ilvl="0">
      <w:lvlJc w:val="left"/>
      <w:lvlText w:val="%1"/>
      <w:numFmt w:val="decimal"/>
      <w:start w:val="23"/>
    </w:lvl>
  </w:abstractNum>
  <w:abstractNum w:abstractNumId="62">
    <w:nsid w:val="51D9C564"/>
    <w:multiLevelType w:val="hybridMultilevel"/>
    <w:lvl w:ilvl="0">
      <w:lvlJc w:val="left"/>
      <w:lvlText w:val="**"/>
      <w:numFmt w:val="bullet"/>
      <w:start w:val="1"/>
    </w:lvl>
  </w:abstractNum>
  <w:abstractNum w:abstractNumId="63">
    <w:nsid w:val="613EFDC5"/>
    <w:multiLevelType w:val="hybridMultilevel"/>
    <w:lvl w:ilvl="0">
      <w:lvlJc w:val="left"/>
      <w:lvlText w:val="†"/>
      <w:numFmt w:val="bullet"/>
      <w:start w:val="1"/>
    </w:lvl>
    <w:lvl w:ilvl="1">
      <w:lvlJc w:val="left"/>
      <w:lvlText w:val="(%2)"/>
      <w:numFmt w:val="lowerLetter"/>
      <w:start w:val="2"/>
    </w:lvl>
  </w:abstractNum>
  <w:abstractNum w:abstractNumId="64">
    <w:nsid w:val="BF72B14"/>
    <w:multiLevelType w:val="hybridMultilevel"/>
    <w:lvl w:ilvl="0">
      <w:lvlJc w:val="left"/>
      <w:lvlText w:val="%1."/>
      <w:numFmt w:val="upperLetter"/>
      <w:start w:val="1"/>
    </w:lvl>
    <w:lvl w:ilvl="1">
      <w:lvlJc w:val="left"/>
      <w:lvlText w:val="◦"/>
      <w:numFmt w:val="bullet"/>
      <w:start w:val="1"/>
    </w:lvl>
  </w:abstractNum>
  <w:abstractNum w:abstractNumId="65">
    <w:nsid w:val="11447B73"/>
    <w:multiLevelType w:val="hybridMultilevel"/>
    <w:lvl w:ilvl="0">
      <w:lvlJc w:val="left"/>
      <w:lvlText w:val="%1."/>
      <w:numFmt w:val="upperLetter"/>
      <w:start w:val="2"/>
    </w:lvl>
    <w:lvl w:ilvl="1">
      <w:lvlJc w:val="left"/>
      <w:lvlText w:val="%2."/>
      <w:numFmt w:val="decimal"/>
      <w:start w:val="1"/>
    </w:lvl>
  </w:abstractNum>
  <w:abstractNum w:abstractNumId="66">
    <w:nsid w:val="42963E5A"/>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67">
    <w:nsid w:val="A0382C5"/>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68">
    <w:nsid w:val="8F2B15E"/>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69">
    <w:nsid w:val="1A32234B"/>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70">
    <w:nsid w:val="3B0FD379"/>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71">
    <w:nsid w:val="68EB2F63"/>
    <w:multiLevelType w:val="hybridMultilevel"/>
    <w:lvl w:ilvl="0">
      <w:lvlJc w:val="left"/>
      <w:lvlText w:val="%1"/>
      <w:numFmt w:val="upperLetter"/>
      <w:start w:val="1"/>
    </w:lvl>
    <w:lvl w:ilvl="1">
      <w:lvlJc w:val="left"/>
      <w:lvlText w:val="%2."/>
      <w:numFmt w:val="decimal"/>
      <w:start w:val="8"/>
    </w:lvl>
    <w:lvl w:ilvl="2">
      <w:lvlJc w:val="left"/>
      <w:lvlText w:val="▪"/>
      <w:numFmt w:val="bullet"/>
      <w:start w:val="1"/>
    </w:lvl>
  </w:abstractNum>
  <w:abstractNum w:abstractNumId="72">
    <w:nsid w:val="4962813B"/>
    <w:multiLevelType w:val="hybridMultilevel"/>
    <w:lvl w:ilvl="0">
      <w:lvlJc w:val="left"/>
      <w:lvlText w:val="%1."/>
      <w:numFmt w:val="upperLetter"/>
      <w:start w:val="3"/>
    </w:lvl>
    <w:lvl w:ilvl="1">
      <w:lvlJc w:val="left"/>
      <w:lvlText w:val="%2."/>
      <w:numFmt w:val="decimal"/>
      <w:start w:val="1"/>
    </w:lvl>
    <w:lvl w:ilvl="2">
      <w:lvlJc w:val="left"/>
      <w:lvlText w:val="▪"/>
      <w:numFmt w:val="bullet"/>
      <w:start w:val="1"/>
    </w:lvl>
  </w:abstractNum>
  <w:abstractNum w:abstractNumId="73">
    <w:nsid w:val="60B6DF70"/>
    <w:multiLevelType w:val="hybridMultilevel"/>
    <w:lvl w:ilvl="0">
      <w:lvlJc w:val="left"/>
      <w:lvlText w:val="%1."/>
      <w:numFmt w:val="decimal"/>
      <w:start w:val="2"/>
    </w:lvl>
  </w:abstractNum>
  <w:abstractNum w:abstractNumId="74">
    <w:nsid w:val="6A5EE64"/>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75">
    <w:nsid w:val="14330624"/>
    <w:multiLevelType w:val="hybridMultilevel"/>
    <w:lvl w:ilvl="0">
      <w:lvlJc w:val="left"/>
      <w:lvlText w:val="%1."/>
      <w:numFmt w:val="lowerLetter"/>
      <w:start w:val="2"/>
    </w:lvl>
    <w:lvl w:ilvl="1">
      <w:lvlJc w:val="left"/>
      <w:lvlText w:val="▪"/>
      <w:numFmt w:val="bullet"/>
      <w:start w:val="1"/>
    </w:lvl>
  </w:abstractNum>
  <w:abstractNum w:abstractNumId="76">
    <w:nsid w:val="7FFFCA11"/>
    <w:multiLevelType w:val="hybridMultilevel"/>
    <w:lvl w:ilvl="0">
      <w:lvlJc w:val="left"/>
      <w:lvlText w:val="%1."/>
      <w:numFmt w:val="upperLetter"/>
      <w:start w:val="4"/>
    </w:lvl>
    <w:lvl w:ilvl="1">
      <w:lvlJc w:val="left"/>
      <w:lvlText w:val="%2."/>
      <w:numFmt w:val="decimal"/>
      <w:start w:val="1"/>
    </w:lvl>
    <w:lvl w:ilvl="2">
      <w:lvlJc w:val="left"/>
      <w:lvlText w:val="▪"/>
      <w:numFmt w:val="bullet"/>
      <w:start w:val="1"/>
    </w:lvl>
  </w:abstractNum>
  <w:abstractNum w:abstractNumId="77">
    <w:nsid w:val="1A27709E"/>
    <w:multiLevelType w:val="hybridMultilevel"/>
    <w:lvl w:ilvl="0">
      <w:lvlJc w:val="left"/>
      <w:lvlText w:val="%1."/>
      <w:numFmt w:val="decimal"/>
      <w:start w:val="2"/>
    </w:lvl>
  </w:abstractNum>
  <w:abstractNum w:abstractNumId="78">
    <w:nsid w:val="71EA1109"/>
    <w:multiLevelType w:val="hybridMultilevel"/>
    <w:lvl w:ilvl="0">
      <w:lvlJc w:val="left"/>
      <w:lvlText w:val="%1"/>
      <w:numFmt w:val="upperLetter"/>
      <w:start w:val="1"/>
    </w:lvl>
    <w:lvl w:ilvl="1">
      <w:lvlJc w:val="left"/>
      <w:lvlText w:val="%2."/>
      <w:numFmt w:val="decimal"/>
      <w:start w:val="3"/>
    </w:lvl>
    <w:lvl w:ilvl="2">
      <w:lvlJc w:val="left"/>
      <w:lvlText w:val="▪"/>
      <w:numFmt w:val="bullet"/>
      <w:start w:val="1"/>
    </w:lvl>
  </w:abstractNum>
  <w:abstractNum w:abstractNumId="79">
    <w:nsid w:val="100F59DC"/>
    <w:multiLevelType w:val="hybridMultilevel"/>
    <w:lvl w:ilvl="0">
      <w:lvlJc w:val="left"/>
      <w:lvlText w:val="%1."/>
      <w:numFmt w:val="upperLetter"/>
      <w:start w:val="5"/>
    </w:lvl>
    <w:lvl w:ilvl="1">
      <w:lvlJc w:val="left"/>
      <w:lvlText w:val="%2."/>
      <w:numFmt w:val="decimal"/>
      <w:start w:val="1"/>
    </w:lvl>
    <w:lvl w:ilvl="2">
      <w:lvlJc w:val="left"/>
      <w:lvlText w:val="▪"/>
      <w:numFmt w:val="bullet"/>
      <w:start w:val="1"/>
    </w:lvl>
  </w:abstractNum>
  <w:abstractNum w:abstractNumId="80">
    <w:nsid w:val="7FB7E0AA"/>
    <w:multiLevelType w:val="hybridMultilevel"/>
    <w:lvl w:ilvl="0">
      <w:lvlJc w:val="left"/>
      <w:lvlText w:val="%1"/>
      <w:numFmt w:val="upperLetter"/>
      <w:start w:val="1"/>
    </w:lvl>
    <w:lvl w:ilvl="1">
      <w:lvlJc w:val="left"/>
      <w:lvlText w:val="%2."/>
      <w:numFmt w:val="decimal"/>
      <w:start w:val="2"/>
    </w:lvl>
  </w:abstractNum>
  <w:abstractNum w:abstractNumId="81">
    <w:nsid w:val="6EB5BD4"/>
    <w:multiLevelType w:val="hybridMultilevel"/>
    <w:lvl w:ilvl="0">
      <w:lvlJc w:val="left"/>
      <w:lvlText w:val="%1."/>
      <w:numFmt w:val="upperLetter"/>
      <w:start w:val="6"/>
    </w:lvl>
    <w:lvl w:ilvl="1">
      <w:lvlJc w:val="left"/>
      <w:lvlText w:val="%2."/>
      <w:numFmt w:val="decimal"/>
      <w:start w:val="1"/>
    </w:lvl>
  </w:abstractNum>
  <w:abstractNum w:abstractNumId="82">
    <w:nsid w:val="6F6DD9AC"/>
    <w:multiLevelType w:val="hybridMultilevel"/>
    <w:lvl w:ilvl="0">
      <w:lvlJc w:val="left"/>
      <w:lvlText w:val="%1."/>
      <w:numFmt w:val="decimal"/>
      <w:start w:val="2"/>
    </w:lvl>
  </w:abstractNum>
  <w:abstractNum w:abstractNumId="83">
    <w:nsid w:val="94211F2"/>
    <w:multiLevelType w:val="hybridMultilevel"/>
    <w:lvl w:ilvl="0">
      <w:lvlJc w:val="left"/>
      <w:lvlText w:val="%1."/>
      <w:numFmt w:val="decimal"/>
      <w:start w:val="5"/>
    </w:lvl>
  </w:abstractNum>
  <w:abstractNum w:abstractNumId="84">
    <w:nsid w:val="885E1B"/>
    <w:multiLevelType w:val="hybridMultilevel"/>
    <w:lvl w:ilvl="0">
      <w:lvlJc w:val="left"/>
      <w:lvlText w:val="(%1)"/>
      <w:numFmt w:val="decimal"/>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lvl w:ilvl="1">
      <w:lvlJc w:val="left"/>
      <w:lvlText w:val="(%2)"/>
      <w:numFmt w:val="lowerLetter"/>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73" Type="http://schemas.openxmlformats.org/officeDocument/2006/relationships/image" Target="media/image30.png"/><Relationship Id="rId74" Type="http://schemas.openxmlformats.org/officeDocument/2006/relationships/image" Target="media/image31.png"/><Relationship Id="rId75" Type="http://schemas.openxmlformats.org/officeDocument/2006/relationships/image" Target="media/image32.png"/><Relationship Id="rId76" Type="http://schemas.openxmlformats.org/officeDocument/2006/relationships/image" Target="media/image33.png"/><Relationship Id="rId77" Type="http://schemas.openxmlformats.org/officeDocument/2006/relationships/image" Target="media/image34.png"/><Relationship Id="rId78" Type="http://schemas.openxmlformats.org/officeDocument/2006/relationships/image" Target="media/image35.png"/><Relationship Id="rId79" Type="http://schemas.openxmlformats.org/officeDocument/2006/relationships/image" Target="media/image36.png"/><Relationship Id="rId80" Type="http://schemas.openxmlformats.org/officeDocument/2006/relationships/image" Target="media/image37.png"/><Relationship Id="rId81" Type="http://schemas.openxmlformats.org/officeDocument/2006/relationships/image" Target="media/image38.png"/><Relationship Id="rId37" Type="http://schemas.openxmlformats.org/officeDocument/2006/relationships/hyperlink" Target="http://www.sec.gov/Archives/edgar/data/1423689/000142368918000016/agncexhibit313311810-q.htm" TargetMode="External"/><Relationship Id="rId38" Type="http://schemas.openxmlformats.org/officeDocument/2006/relationships/hyperlink" Target="http://www.sec.gov/Archives/edgar/data/1423689/000142368916000104/agncexhibit329301610-qbyla.htm" TargetMode="External"/><Relationship Id="rId39" Type="http://schemas.openxmlformats.org/officeDocument/2006/relationships/hyperlink" Target="http://www.sec.gov/Archives/edgar/data/1423689/000142368917000044/ex35certificateofdesignati.htm" TargetMode="External"/><Relationship Id="rId40" Type="http://schemas.openxmlformats.org/officeDocument/2006/relationships/hyperlink" Target="http://www.sec.gov/Archives/edgar/data/1423689/000142368917000065/certificateofelimination.htm" TargetMode="External"/><Relationship Id="rId41" Type="http://schemas.openxmlformats.org/officeDocument/2006/relationships/hyperlink" Target="http://www.sec.gov/Archives/edgar/data/1423689/000142368919000019/certificateofdesignations.htm" TargetMode="External"/><Relationship Id="rId42" Type="http://schemas.openxmlformats.org/officeDocument/2006/relationships/hyperlink" Target="http://www.sec.gov/Archives/edgar/data/1423689/000142368919000064/certofdesignations.htm" TargetMode="External"/><Relationship Id="rId43" Type="http://schemas.openxmlformats.org/officeDocument/2006/relationships/hyperlink" Target="http://www.sec.gov/Archives/edgar/data/1423689/000142368919000078/certificateofeliminati.htm" TargetMode="External"/><Relationship Id="rId44" Type="http://schemas.openxmlformats.org/officeDocument/2006/relationships/hyperlink" Target="http://www.sec.gov/Archives/edgar/data/1423689/000142368920000012/certificateofdesignations-.htm" TargetMode="External"/><Relationship Id="rId45" Type="http://schemas.openxmlformats.org/officeDocument/2006/relationships/hyperlink" Target="http://www.sec.gov/Archives/edgar/data/1423689/000142368916000104/agncexhibit43.htm" TargetMode="External"/><Relationship Id="rId46" Type="http://schemas.openxmlformats.org/officeDocument/2006/relationships/hyperlink" Target="http://www.sec.gov/Archives/edgar/data/1423689/000142368917000044/exhibit41.htm" TargetMode="External"/><Relationship Id="rId47" Type="http://schemas.openxmlformats.org/officeDocument/2006/relationships/hyperlink" Target="http://www.sec.gov/Archives/edgar/data/1423689/000142368919000019/stockcertificateb98.htm" TargetMode="External"/><Relationship Id="rId48" Type="http://schemas.openxmlformats.org/officeDocument/2006/relationships/hyperlink" Target="http://www.sec.gov/Archives/edgar/data/1423689/000142368919000064/stockcertificate.htm" TargetMode="External"/><Relationship Id="rId49" Type="http://schemas.openxmlformats.org/officeDocument/2006/relationships/hyperlink" Target="http://www.sec.gov/Archives/edgar/data/1423689/000142368920000012/stockcertificate.htm" TargetMode="External"/><Relationship Id="rId50" Type="http://schemas.openxmlformats.org/officeDocument/2006/relationships/hyperlink" Target="http://www.sec.gov/Archives/edgar/data/1423689/000142368917000049/depositagreement.htm" TargetMode="External"/><Relationship Id="rId51" Type="http://schemas.openxmlformats.org/officeDocument/2006/relationships/hyperlink" Target="http://www.sec.gov/Archives/edgar/data/1423689/000142368919000021/prefddepositagmt.htm" TargetMode="External"/><Relationship Id="rId52" Type="http://schemas.openxmlformats.org/officeDocument/2006/relationships/hyperlink" Target="http://www.sec.gov/Archives/edgar/data/1423689/000142368919000068/depositagmt-prefe.htm" TargetMode="External"/><Relationship Id="rId53" Type="http://schemas.openxmlformats.org/officeDocument/2006/relationships/hyperlink" Target="http://www.sec.gov/Archives/edgar/data/1423689/000142368920000014/depositaryagmt-seriesf.htm" TargetMode="External"/><Relationship Id="rId54" Type="http://schemas.openxmlformats.org/officeDocument/2006/relationships/hyperlink" Target="http://www.sec.gov/Archives/edgar/data/1423689/000142368919000002/a102-kain.htm" TargetMode="External"/><Relationship Id="rId55" Type="http://schemas.openxmlformats.org/officeDocument/2006/relationships/hyperlink" Target="http://www.sec.gov/Archives/edgar/data/1423689/000142368916000102/federico.htm" TargetMode="External"/><Relationship Id="rId56" Type="http://schemas.openxmlformats.org/officeDocument/2006/relationships/hyperlink" Target="http://www.sec.gov/Archives/edgar/data/1423689/000142368916000102/kuehl.htm" TargetMode="External"/><Relationship Id="rId57" Type="http://schemas.openxmlformats.org/officeDocument/2006/relationships/hyperlink" Target="http://www.sec.gov/Archives/edgar/data/1423689/000142368919000002/a101-bell.htm" TargetMode="External"/><Relationship Id="rId58" Type="http://schemas.openxmlformats.org/officeDocument/2006/relationships/hyperlink" Target="http://www.sec.gov/Archives/edgar/data/1423689/000142368919000002/a103-pas.htm" TargetMode="External"/><Relationship Id="rId59" Type="http://schemas.openxmlformats.org/officeDocument/2006/relationships/hyperlink" Target="http://www.sec.gov/Archives/edgar/data/1423689/000142368917000069/ex103.htm" TargetMode="External"/><Relationship Id="rId60" Type="http://schemas.openxmlformats.org/officeDocument/2006/relationships/hyperlink" Target="http://www.sec.gov/Archives/edgar/data/1423689/000142368919000002/a104-pollack.htm" TargetMode="External"/><Relationship Id="rId61" Type="http://schemas.openxmlformats.org/officeDocument/2006/relationships/hyperlink" Target="http://www.sec.gov/Archives/edgar/data/1423689/000142368920000017/a8-k101.htm" TargetMode="External"/><Relationship Id="rId62" Type="http://schemas.openxmlformats.org/officeDocument/2006/relationships/hyperlink" Target="http://www.sec.gov/Archives/edgar/data/1423689/000142368920000017/a8-k102.htm" TargetMode="External"/><Relationship Id="rId63" Type="http://schemas.openxmlformats.org/officeDocument/2006/relationships/hyperlink" Target="http://www.sec.gov/Archives/edgar/data/1423689/000142368917000011/exhibit10712311610-k.htm" TargetMode="External"/><Relationship Id="rId64" Type="http://schemas.openxmlformats.org/officeDocument/2006/relationships/hyperlink" Target="http://www.sec.gov/Archives/edgar/data/1423689/000142368917000011/exhibit10812311610-k.htm" TargetMode="External"/><Relationship Id="rId65" Type="http://schemas.openxmlformats.org/officeDocument/2006/relationships/hyperlink" Target="http://www.sec.gov/Archives/edgar/data/1423689/000142368917000011/exhibit10912311610-k.htm" TargetMode="External"/><Relationship Id="rId66" Type="http://schemas.openxmlformats.org/officeDocument/2006/relationships/hyperlink" Target="http://www.sec.gov/Archives/edgar/data/1423689/000142368917000011/exhibit101012311610-k.htm" TargetMode="External"/><Relationship Id="rId67" Type="http://schemas.openxmlformats.org/officeDocument/2006/relationships/hyperlink" Target="http://www.sec.gov/Archives/edgar/data/1423689/000142368917000011/exhibit101112311610-k.htm" TargetMode="External"/><Relationship Id="rId68" Type="http://schemas.openxmlformats.org/officeDocument/2006/relationships/hyperlink" Target="http://www.sec.gov/Archives/edgar/data/1423689/000142368918000007/agncexhibit101412311710-k.htm" TargetMode="External"/><Relationship Id="rId69" Type="http://schemas.openxmlformats.org/officeDocument/2006/relationships/hyperlink" Target="http://www.sec.gov/Archives/edgar/data/1423689/000142368918000047/agncexhibit109301810-q.htm" TargetMode="External"/><Relationship Id="rId70" Type="http://schemas.openxmlformats.org/officeDocument/2006/relationships/hyperlink" Target="http://www.sec.gov/Archives/edgar/data/1423689/000142368919000007/agncexhibit101512311810-k.htm" TargetMode="External"/><Relationship Id="rId71" Type="http://schemas.openxmlformats.org/officeDocument/2006/relationships/hyperlink" Target="http://www.sec.gov/Archives/edgar/data/1423689/000142368919000007/agncexhibit101612311810-k.htm" TargetMode="External"/><Relationship Id="rId72" Type="http://schemas.openxmlformats.org/officeDocument/2006/relationships/hyperlink" Target="http://www.sec.gov/Archives/edgar/data/1423689/000142368919000007/agncexhibit1017123118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2020-02-25T13:02:25Z</dcterms:created>
  <dcterms:modified xsi:type="dcterms:W3CDTF">2020-02-25T13:02:25Z</dcterms:modified>
</cp:coreProperties>
</file>