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8300" w:type="dxa"/>
            <w:vAlign w:val="bottom"/>
          </w:tcPr>
          <w:p>
            <w:pPr>
              <w:jc w:val="center"/>
              <w:ind w:left="219"/>
              <w:spacing w:after="0"/>
              <w:rPr>
                <w:sz w:val="20"/>
                <w:szCs w:val="20"/>
                <w:color w:val="auto"/>
              </w:rPr>
            </w:pPr>
            <w:r>
              <w:rPr>
                <w:rFonts w:ascii="Times New Roman" w:cs="Times New Roman" w:eastAsia="Times New Roman" w:hAnsi="Times New Roman"/>
                <w:sz w:val="20"/>
                <w:szCs w:val="20"/>
                <w:b w:val="1"/>
                <w:bCs w:val="1"/>
                <w:color w:val="auto"/>
                <w:w w:val="97"/>
              </w:rPr>
              <w:t>UNITED STATES</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8300" w:type="dxa"/>
            <w:vAlign w:val="bottom"/>
          </w:tcPr>
          <w:p>
            <w:pPr>
              <w:jc w:val="center"/>
              <w:ind w:left="239"/>
              <w:spacing w:after="0"/>
              <w:rPr>
                <w:sz w:val="20"/>
                <w:szCs w:val="20"/>
                <w:color w:val="auto"/>
              </w:rPr>
            </w:pPr>
            <w:r>
              <w:rPr>
                <w:rFonts w:ascii="Times New Roman" w:cs="Times New Roman" w:eastAsia="Times New Roman" w:hAnsi="Times New Roman"/>
                <w:sz w:val="20"/>
                <w:szCs w:val="20"/>
                <w:b w:val="1"/>
                <w:bCs w:val="1"/>
                <w:color w:val="auto"/>
                <w:w w:val="98"/>
              </w:rPr>
              <w:t>SECURITIES AND EXCHANGE COMMISSION</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83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0" w:type="dxa"/>
            <w:vAlign w:val="bottom"/>
          </w:tcPr>
          <w:p>
            <w:pPr>
              <w:spacing w:after="0"/>
              <w:rPr>
                <w:sz w:val="1"/>
                <w:szCs w:val="1"/>
                <w:color w:val="auto"/>
              </w:rPr>
            </w:pPr>
          </w:p>
        </w:tc>
      </w:tr>
      <w:tr>
        <w:trPr>
          <w:trHeight w:val="262"/>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19"/>
              <w:spacing w:after="0"/>
              <w:rPr>
                <w:sz w:val="20"/>
                <w:szCs w:val="20"/>
                <w:color w:val="auto"/>
              </w:rPr>
            </w:pPr>
            <w:r>
              <w:rPr>
                <w:rFonts w:ascii="Times New Roman" w:cs="Times New Roman" w:eastAsia="Times New Roman" w:hAnsi="Times New Roman"/>
                <w:sz w:val="20"/>
                <w:szCs w:val="20"/>
                <w:b w:val="1"/>
                <w:bCs w:val="1"/>
                <w:color w:val="auto"/>
                <w:w w:val="99"/>
              </w:rPr>
              <w:t>FORM 10-Q</w:t>
            </w:r>
          </w:p>
        </w:tc>
        <w:tc>
          <w:tcPr>
            <w:tcW w:w="0" w:type="dxa"/>
            <w:vAlign w:val="bottom"/>
          </w:tcPr>
          <w:p>
            <w:pPr>
              <w:spacing w:after="0"/>
              <w:rPr>
                <w:sz w:val="1"/>
                <w:szCs w:val="1"/>
                <w:color w:val="auto"/>
              </w:rPr>
            </w:pPr>
          </w:p>
        </w:tc>
      </w:tr>
      <w:tr>
        <w:trPr>
          <w:trHeight w:val="214"/>
        </w:trPr>
        <w:tc>
          <w:tcPr>
            <w:tcW w:w="1060" w:type="dxa"/>
            <w:vAlign w:val="bottom"/>
            <w:vMerge w:val="continue"/>
          </w:tcPr>
          <w:p>
            <w:pPr>
              <w:spacing w:after="0"/>
              <w:rPr>
                <w:sz w:val="18"/>
                <w:szCs w:val="18"/>
                <w:color w:val="auto"/>
              </w:rPr>
            </w:pPr>
          </w:p>
        </w:tc>
        <w:tc>
          <w:tcPr>
            <w:tcW w:w="83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8"/>
        </w:trPr>
        <w:tc>
          <w:tcPr>
            <w:tcW w:w="1060" w:type="dxa"/>
            <w:vAlign w:val="bottom"/>
          </w:tcPr>
          <w:p>
            <w:pPr>
              <w:spacing w:after="0"/>
              <w:rPr>
                <w:sz w:val="23"/>
                <w:szCs w:val="23"/>
                <w:color w:val="auto"/>
              </w:rPr>
            </w:pPr>
          </w:p>
        </w:tc>
        <w:tc>
          <w:tcPr>
            <w:tcW w:w="83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83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230"/>
        </w:trPr>
        <w:tc>
          <w:tcPr>
            <w:tcW w:w="10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83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109220</wp:posOffset>
            </wp:positionV>
            <wp:extent cx="2040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1"/>
                <w:szCs w:val="21"/>
                <w:color w:val="auto"/>
              </w:rPr>
            </w:pPr>
          </w:p>
        </w:tc>
        <w:tc>
          <w:tcPr>
            <w:tcW w:w="3880" w:type="dxa"/>
            <w:vAlign w:val="bottom"/>
            <w:gridSpan w:val="5"/>
          </w:tcPr>
          <w:p>
            <w:pPr>
              <w:jc w:val="center"/>
              <w:ind w:right="720"/>
              <w:spacing w:after="0"/>
              <w:rPr>
                <w:sz w:val="20"/>
                <w:szCs w:val="20"/>
                <w:color w:val="auto"/>
              </w:rPr>
            </w:pPr>
            <w:r>
              <w:rPr>
                <w:rFonts w:ascii="Times New Roman" w:cs="Times New Roman" w:eastAsia="Times New Roman" w:hAnsi="Times New Roman"/>
                <w:sz w:val="20"/>
                <w:szCs w:val="20"/>
                <w:b w:val="1"/>
                <w:bCs w:val="1"/>
                <w:color w:val="auto"/>
                <w:w w:val="98"/>
              </w:rPr>
              <w:t>AGNC INVESTMENT CORP.</w:t>
            </w: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388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26-1701984</w:t>
            </w:r>
          </w:p>
        </w:tc>
        <w:tc>
          <w:tcPr>
            <w:tcW w:w="0" w:type="dxa"/>
            <w:vAlign w:val="bottom"/>
          </w:tcPr>
          <w:p>
            <w:pPr>
              <w:spacing w:after="0"/>
              <w:rPr>
                <w:sz w:val="1"/>
                <w:szCs w:val="1"/>
                <w:color w:val="auto"/>
              </w:rPr>
            </w:pPr>
          </w:p>
        </w:tc>
      </w:tr>
      <w:tr>
        <w:trPr>
          <w:trHeight w:val="161"/>
        </w:trPr>
        <w:tc>
          <w:tcPr>
            <w:tcW w:w="404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20" w:type="dxa"/>
            <w:vAlign w:val="bottom"/>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04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20" w:type="dxa"/>
            <w:vAlign w:val="bottom"/>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3"/>
                <w:szCs w:val="23"/>
                <w:color w:val="auto"/>
              </w:rPr>
            </w:pPr>
          </w:p>
        </w:tc>
        <w:tc>
          <w:tcPr>
            <w:tcW w:w="388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2 Bethesda Metro Center, 12th Floor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88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Bethesda, Maryland 20814</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388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240" w:type="dxa"/>
            <w:vAlign w:val="bottom"/>
            <w:gridSpan w:val="3"/>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(301) 968-9315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920" w:type="dxa"/>
            <w:vAlign w:val="bottom"/>
            <w:gridSpan w:val="6"/>
          </w:tcPr>
          <w:p>
            <w:pPr>
              <w:jc w:val="center"/>
              <w:ind w:left="32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20" w:type="dxa"/>
            <w:vAlign w:val="bottom"/>
            <w:gridSpan w:val="6"/>
          </w:tcPr>
          <w:p>
            <w:pPr>
              <w:jc w:val="center"/>
              <w:ind w:left="3288"/>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jc w:val="center"/>
              <w:ind w:left="15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40" w:type="dxa"/>
            <w:vAlign w:val="bottom"/>
            <w:tcBorders>
              <w:top w:val="single" w:sz="8" w:color="auto"/>
            </w:tcBorders>
          </w:tcPr>
          <w:p>
            <w:pPr>
              <w:jc w:val="center"/>
              <w:ind w:left="15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AGNC</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54"/>
        </w:trPr>
        <w:tc>
          <w:tcPr>
            <w:tcW w:w="5740" w:type="dxa"/>
            <w:vAlign w:val="bottom"/>
            <w:gridSpan w:val="3"/>
          </w:tcPr>
          <w:p>
            <w:pPr>
              <w:jc w:val="center"/>
              <w:ind w:right="100"/>
              <w:spacing w:after="0" w:line="153" w:lineRule="exact"/>
              <w:rPr>
                <w:sz w:val="20"/>
                <w:szCs w:val="20"/>
                <w:color w:val="auto"/>
              </w:rPr>
            </w:pPr>
            <w:r>
              <w:rPr>
                <w:rFonts w:ascii="Times New Roman" w:cs="Times New Roman" w:eastAsia="Times New Roman" w:hAnsi="Times New Roman"/>
                <w:sz w:val="14"/>
                <w:szCs w:val="14"/>
                <w:color w:val="auto"/>
              </w:rPr>
              <w:t>Depositary shares of 7.000% Series C Fixed-to-Floating Rate Cumulative Redeemable Preferred</w:t>
            </w:r>
          </w:p>
        </w:tc>
        <w:tc>
          <w:tcPr>
            <w:tcW w:w="21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AGNCN</w:t>
            </w:r>
          </w:p>
        </w:tc>
        <w:tc>
          <w:tcPr>
            <w:tcW w:w="3320" w:type="dxa"/>
            <w:vAlign w:val="bottom"/>
            <w:vMerge w:val="restart"/>
          </w:tcPr>
          <w:p>
            <w:pPr>
              <w:jc w:val="center"/>
              <w:ind w:right="448"/>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4040" w:type="dxa"/>
            <w:vAlign w:val="bottom"/>
            <w:vMerge w:val="restart"/>
          </w:tcPr>
          <w:p>
            <w:pPr>
              <w:jc w:val="center"/>
              <w:ind w:left="1528"/>
              <w:spacing w:after="0"/>
              <w:rPr>
                <w:sz w:val="20"/>
                <w:szCs w:val="20"/>
                <w:color w:val="auto"/>
              </w:rPr>
            </w:pPr>
            <w:r>
              <w:rPr>
                <w:rFonts w:ascii="Times New Roman" w:cs="Times New Roman" w:eastAsia="Times New Roman" w:hAnsi="Times New Roman"/>
                <w:sz w:val="14"/>
                <w:szCs w:val="14"/>
                <w:color w:val="auto"/>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6.875% Series D Fixed-to-Floating Rate Cumulative Redeemable Preferred</w:t>
            </w:r>
          </w:p>
        </w:tc>
        <w:tc>
          <w:tcPr>
            <w:tcW w:w="21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AGNCM</w:t>
            </w:r>
          </w:p>
        </w:tc>
        <w:tc>
          <w:tcPr>
            <w:tcW w:w="3320" w:type="dxa"/>
            <w:vAlign w:val="bottom"/>
            <w:vMerge w:val="restart"/>
          </w:tcPr>
          <w:p>
            <w:pPr>
              <w:jc w:val="center"/>
              <w:ind w:right="448"/>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4040" w:type="dxa"/>
            <w:vAlign w:val="bottom"/>
            <w:vMerge w:val="restart"/>
          </w:tcPr>
          <w:p>
            <w:pPr>
              <w:jc w:val="center"/>
              <w:ind w:left="1528"/>
              <w:spacing w:after="0"/>
              <w:rPr>
                <w:sz w:val="20"/>
                <w:szCs w:val="20"/>
                <w:color w:val="auto"/>
              </w:rPr>
            </w:pPr>
            <w:r>
              <w:rPr>
                <w:rFonts w:ascii="Times New Roman" w:cs="Times New Roman" w:eastAsia="Times New Roman" w:hAnsi="Times New Roman"/>
                <w:sz w:val="14"/>
                <w:szCs w:val="14"/>
                <w:color w:val="auto"/>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6.50% Series E Fixed-to-Floating Rate Cumulative Redeemable Preferred</w:t>
            </w:r>
          </w:p>
        </w:tc>
        <w:tc>
          <w:tcPr>
            <w:tcW w:w="21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AGNCO</w:t>
            </w:r>
          </w:p>
        </w:tc>
        <w:tc>
          <w:tcPr>
            <w:tcW w:w="3320" w:type="dxa"/>
            <w:vAlign w:val="bottom"/>
            <w:vMerge w:val="restart"/>
          </w:tcPr>
          <w:p>
            <w:pPr>
              <w:jc w:val="center"/>
              <w:ind w:right="448"/>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4040" w:type="dxa"/>
            <w:vAlign w:val="bottom"/>
            <w:vMerge w:val="restart"/>
          </w:tcPr>
          <w:p>
            <w:pPr>
              <w:jc w:val="center"/>
              <w:ind w:left="1528"/>
              <w:spacing w:after="0"/>
              <w:rPr>
                <w:sz w:val="20"/>
                <w:szCs w:val="20"/>
                <w:color w:val="auto"/>
              </w:rPr>
            </w:pPr>
            <w:r>
              <w:rPr>
                <w:rFonts w:ascii="Times New Roman" w:cs="Times New Roman" w:eastAsia="Times New Roman" w:hAnsi="Times New Roman"/>
                <w:sz w:val="14"/>
                <w:szCs w:val="14"/>
                <w:color w:val="auto"/>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Depositary shares of 6.125% Series F Fixed-to-Floating Rate Cumulative Redeemable Preferred</w:t>
            </w:r>
          </w:p>
        </w:tc>
        <w:tc>
          <w:tcPr>
            <w:tcW w:w="21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AGNCP</w:t>
            </w:r>
          </w:p>
        </w:tc>
        <w:tc>
          <w:tcPr>
            <w:tcW w:w="3320" w:type="dxa"/>
            <w:vAlign w:val="bottom"/>
            <w:vMerge w:val="restart"/>
          </w:tcPr>
          <w:p>
            <w:pPr>
              <w:jc w:val="center"/>
              <w:ind w:right="448"/>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4040" w:type="dxa"/>
            <w:vAlign w:val="bottom"/>
            <w:vMerge w:val="restart"/>
          </w:tcPr>
          <w:p>
            <w:pPr>
              <w:jc w:val="center"/>
              <w:ind w:left="1528"/>
              <w:spacing w:after="0"/>
              <w:rPr>
                <w:sz w:val="20"/>
                <w:szCs w:val="20"/>
                <w:color w:val="auto"/>
              </w:rPr>
            </w:pPr>
            <w:r>
              <w:rPr>
                <w:rFonts w:ascii="Times New Roman" w:cs="Times New Roman" w:eastAsia="Times New Roman" w:hAnsi="Times New Roman"/>
                <w:sz w:val="14"/>
                <w:szCs w:val="14"/>
                <w:color w:val="auto"/>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7920" w:type="dxa"/>
            <w:vAlign w:val="bottom"/>
            <w:gridSpan w:val="6"/>
          </w:tcPr>
          <w:p>
            <w:pPr>
              <w:ind w:left="38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right="100" w:firstLine="324"/>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firstLine="324"/>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320" w:firstLine="324"/>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95" w:lineRule="exact"/>
        <w:rPr>
          <w:sz w:val="24"/>
          <w:szCs w:val="24"/>
          <w:color w:val="auto"/>
        </w:rPr>
      </w:pPr>
    </w:p>
    <w:p>
      <w:pPr>
        <w:ind w:right="460" w:firstLine="324"/>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36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The number of shares of the issuer's common stock, $0.01 par value, outstanding as of April 30, 2022 was 523,359,770.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58420</wp:posOffset>
            </wp:positionV>
            <wp:extent cx="6990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00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24130</wp:posOffset>
            </wp:positionV>
            <wp:extent cx="6990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008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460" w:type="dxa"/>
            <w:vAlign w:val="bottom"/>
            <w:gridSpan w:val="2"/>
          </w:tcPr>
          <w:p>
            <w:pPr>
              <w:spacing w:after="0"/>
              <w:rPr>
                <w:sz w:val="16"/>
                <w:szCs w:val="16"/>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1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5440" w:type="dxa"/>
            <w:vAlign w:val="bottom"/>
            <w:gridSpan w:val="3"/>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23</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Quantitative and Qualitative Disclosures About Market Risk</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41</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580" w:type="dxa"/>
            <w:vAlign w:val="bottom"/>
            <w:gridSpan w:val="3"/>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680" w:type="dxa"/>
            <w:vAlign w:val="bottom"/>
            <w:gridSpan w:val="2"/>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44</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PART II.</w:t>
            </w:r>
          </w:p>
        </w:tc>
        <w:tc>
          <w:tcPr>
            <w:tcW w:w="36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5760" w:type="dxa"/>
            <w:vAlign w:val="bottom"/>
            <w:gridSpan w:val="5"/>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8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1.</w:t>
            </w:r>
          </w:p>
        </w:tc>
        <w:tc>
          <w:tcPr>
            <w:tcW w:w="460" w:type="dxa"/>
            <w:vAlign w:val="bottom"/>
            <w:gridSpan w:val="2"/>
          </w:tcPr>
          <w:p>
            <w:pPr>
              <w:spacing w:after="0"/>
              <w:rPr>
                <w:sz w:val="18"/>
                <w:szCs w:val="18"/>
                <w:color w:val="auto"/>
              </w:rPr>
            </w:pPr>
          </w:p>
        </w:tc>
        <w:tc>
          <w:tcPr>
            <w:tcW w:w="120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840" w:type="dxa"/>
            <w:vAlign w:val="bottom"/>
            <w:tcBorders>
              <w:bottom w:val="single" w:sz="8" w:color="0000FF"/>
            </w:tcBorders>
            <w:gridSpan w:val="4"/>
          </w:tcPr>
          <w:p>
            <w:pPr>
              <w:spacing w:after="0"/>
              <w:rPr>
                <w:sz w:val="18"/>
                <w:szCs w:val="18"/>
                <w:color w:val="auto"/>
              </w:rPr>
            </w:pPr>
          </w:p>
        </w:tc>
        <w:tc>
          <w:tcPr>
            <w:tcW w:w="1860" w:type="dxa"/>
            <w:vAlign w:val="bottom"/>
            <w:gridSpan w:val="2"/>
          </w:tcPr>
          <w:p>
            <w:pPr>
              <w:spacing w:after="0"/>
              <w:rPr>
                <w:sz w:val="18"/>
                <w:szCs w:val="18"/>
                <w:color w:val="auto"/>
              </w:rPr>
            </w:pPr>
          </w:p>
        </w:tc>
        <w:tc>
          <w:tcPr>
            <w:tcW w:w="36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45</w:t>
            </w:r>
          </w:p>
        </w:tc>
      </w:tr>
      <w:tr>
        <w:trPr>
          <w:trHeight w:val="190"/>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45</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2"/>
              </w:rPr>
              <w:t>Item 3.</w:t>
            </w:r>
          </w:p>
        </w:tc>
        <w:tc>
          <w:tcPr>
            <w:tcW w:w="220" w:type="dxa"/>
            <w:vAlign w:val="bottom"/>
            <w:tcBorders>
              <w:bottom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3680" w:type="dxa"/>
            <w:vAlign w:val="bottom"/>
            <w:tcBorders>
              <w:bottom w:val="single" w:sz="8" w:color="0000FF"/>
            </w:tcBorders>
            <w:gridSpan w:val="2"/>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45</w:t>
            </w:r>
          </w:p>
        </w:tc>
      </w:tr>
      <w:tr>
        <w:trPr>
          <w:trHeight w:val="203"/>
        </w:trPr>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45</w:t>
            </w:r>
          </w:p>
        </w:tc>
      </w:tr>
      <w:tr>
        <w:trPr>
          <w:trHeight w:val="196"/>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220" w:type="dxa"/>
            <w:vAlign w:val="bottom"/>
            <w:tcBorders>
              <w:top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400" w:type="dxa"/>
            <w:vAlign w:val="bottom"/>
            <w:tcBorders>
              <w:top w:val="single" w:sz="8" w:color="0000FF"/>
            </w:tcBorders>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580" w:type="dxa"/>
            <w:vAlign w:val="bottom"/>
            <w:gridSpan w:val="3"/>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17"/>
                <w:szCs w:val="17"/>
                <w:color w:val="auto"/>
              </w:rPr>
            </w:pPr>
          </w:p>
        </w:tc>
        <w:tc>
          <w:tcPr>
            <w:tcW w:w="6400" w:type="dxa"/>
            <w:vAlign w:val="bottom"/>
            <w:gridSpan w:val="9"/>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887" w:right="9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$43,261 and $47,601, respectively)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52,396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$471 and $510,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Non-Agency securities, at fair value (including pledged securities of $466 and $571, respectively)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$684 and $471,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 for investment securities sold (including pledged securities of $2,160 and $0,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2"/>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68,149</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57,858</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$1,538</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162"/>
        </w:trPr>
        <w:tc>
          <w:tcPr>
            <w:tcW w:w="790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 $0.01 par value; 1,500 shares authorized; 523.3 and 522.2 shares issued and outstanding,</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2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jc w:val="center"/>
        <w:ind w:left="75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investment securities measured at fair value through net income, net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on derivative instruments and other securities, net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3"/>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184"/>
        </w:trPr>
        <w:tc>
          <w:tcPr>
            <w:tcW w:w="75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Unrealized loss on investment securities measured at fair value through other comprehensive loss,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30"/>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available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8"/>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 per common share - basic</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9"/>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160" w:top="887" w:right="115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9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86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539.5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11,079</w:t>
            </w:r>
          </w:p>
        </w:tc>
        <w:tc>
          <w:tcPr>
            <w:tcW w:w="0" w:type="dxa"/>
            <w:vAlign w:val="bottom"/>
          </w:tcPr>
          <w:p>
            <w:pPr>
              <w:spacing w:after="0"/>
              <w:rPr>
                <w:sz w:val="1"/>
                <w:szCs w:val="1"/>
                <w:color w:val="auto"/>
              </w:rPr>
            </w:pPr>
          </w:p>
        </w:tc>
      </w:tr>
      <w:tr>
        <w:trPr>
          <w:trHeight w:val="195"/>
        </w:trPr>
        <w:tc>
          <w:tcPr>
            <w:tcW w:w="3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3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3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0" w:type="dxa"/>
            <w:vAlign w:val="bottom"/>
          </w:tcPr>
          <w:p>
            <w:pPr>
              <w:spacing w:after="0"/>
              <w:rPr>
                <w:sz w:val="1"/>
                <w:szCs w:val="1"/>
                <w:color w:val="auto"/>
              </w:rPr>
            </w:pPr>
          </w:p>
        </w:tc>
      </w:tr>
      <w:tr>
        <w:trPr>
          <w:trHeight w:val="195"/>
        </w:trPr>
        <w:tc>
          <w:tcPr>
            <w:tcW w:w="3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3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523.3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8,930</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87" w:right="6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sale of investment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loss on investment securities measured at fair value through net income,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derivative instruments and other securities,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 other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Increase (decrease) in accounts payable and other accrued liabilities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8,474</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proceeds from derivative instruments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526,319</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(523,629)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common stock repurchases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7"/>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w:t>
            </w: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87" w:right="9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2021.</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Equity Securities</w:t>
      </w:r>
      <w:r>
        <w:rPr>
          <w:rFonts w:ascii="Times New Roman" w:cs="Times New Roman" w:eastAsia="Times New Roman" w:hAnsi="Times New Roman"/>
          <w:sz w:val="18"/>
          <w:szCs w:val="18"/>
          <w:color w:val="auto"/>
        </w:rPr>
        <w:t>, requires that at the time of purchase, we designate a security as held-to-maturity, available-for-sale or trading, depending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ability and intent to hold such security to maturity. Alternatively, we may elect the fair value option of accounting for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40"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finance the acquisition of securities for our investment portfolio primarily through repurchase agreements with financial institutions. Repurchase arrangements involve the sale and a simultaneous agreement to repurchase the transferred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assets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paid. If we sell or exercise a swaption, the realized gain or loss on the swaption would be equal to the difference between the cash or the fair value of the underlying interest rate swap and the premium paid.</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Treasury securities</w:t>
      </w:r>
    </w:p>
    <w:p>
      <w:pPr>
        <w:spacing w:after="0" w:line="17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would indicate and we cannot obtain an understanding from the third-party source as to the significant inputs used to determine the price.</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w:t>
      </w:r>
    </w:p>
    <w:p>
      <w:pPr>
        <w:spacing w:after="0" w:line="12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 are valued based on prices obtained from multiple third-party pricing sources. The pricing sources utilize various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TBA securities </w:t>
      </w:r>
      <w:r>
        <w:rPr>
          <w:rFonts w:ascii="Times New Roman" w:cs="Times New Roman" w:eastAsia="Times New Roman" w:hAnsi="Times New Roman"/>
          <w:sz w:val="18"/>
          <w:szCs w:val="18"/>
          <w:color w:val="auto"/>
        </w:rPr>
        <w:t>- are valued using prices obtained from third-party pricing sources based on pricing models that reference recent trading activity.</w:t>
      </w:r>
    </w:p>
    <w:p>
      <w:pPr>
        <w:spacing w:after="0" w:line="17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 are valued using the daily settlement price, or fair value, determined by the clearing exchange based on a pricing model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observable market inputs, including current benchmark rates and the forward yield curve.</w:t>
      </w:r>
    </w:p>
    <w:p>
      <w:pPr>
        <w:spacing w:after="0" w:line="10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swaptions </w:t>
      </w:r>
      <w:r>
        <w:rPr>
          <w:rFonts w:ascii="Times New Roman" w:cs="Times New Roman" w:eastAsia="Times New Roman" w:hAnsi="Times New Roman"/>
          <w:sz w:val="18"/>
          <w:szCs w:val="18"/>
          <w:color w:val="auto"/>
        </w:rPr>
        <w:t>- are valued using prices obtained from the counterparty and other third-party pricing models. The pricing models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Treasury securities and futures are valued based on quoted prices for identical instruments in active markets and are classified as Level 1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financial instruments are classified as Level 3 inputs.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of March 31, 2022 and December 31, 2021, our investment portfolio consisted of: $49.1 billion and $54.4 billion investment securities, at fair value, respectively; $19.5 billion and $27.1 billion net TBA securities, at fair value, respectively; and, as of December 31, 2021, $0.4 billion forward settling non-Agency securities, at fair value. Our net TBA position and forward settling non-Agency securities are reported at their net carrying value totaling $(609) million and $(44) million as of March 31, 2022 and December 31, 2021, respectively, in derivative assets / (liabilities) on our accompanying consolidated balance sheets. The net carrying value of our TBA position and forward settling non-Agency securities represents the difference between the fair value of the underlying security and the cost basis or the forward price to be paid or received for the underlying security.</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our investment securities had a net unamortized premium balance of $1.8 billion and $1.8 billion,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investment securities as of March 31, 2022 and December 31, 2021, excluding TBA and forward settling securities, (dollars in millions). Details of our TBA and forward settling securities as of each of the respective dates are included in Note 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18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49,320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47,124</w:t>
            </w:r>
          </w:p>
        </w:tc>
        <w:tc>
          <w:tcPr>
            <w:tcW w:w="700" w:type="dxa"/>
            <w:vAlign w:val="bottom"/>
            <w:gridSpan w:val="2"/>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51,546</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166</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49,590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47,398</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RMBS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488</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885</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51,316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49,087</w:t>
            </w:r>
          </w:p>
        </w:tc>
        <w:tc>
          <w:tcPr>
            <w:tcW w:w="160" w:type="dxa"/>
            <w:vAlign w:val="bottom"/>
          </w:tcPr>
          <w:p>
            <w:pPr>
              <w:spacing w:after="0"/>
              <w:rPr>
                <w:sz w:val="17"/>
                <w:szCs w:val="17"/>
                <w:color w:val="auto"/>
              </w:rPr>
            </w:pPr>
          </w:p>
        </w:tc>
        <w:tc>
          <w:tcPr>
            <w:tcW w:w="5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53,628</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13"/>
              <w:spacing w:after="0" w:line="137" w:lineRule="exact"/>
              <w:rPr>
                <w:sz w:val="20"/>
                <w:szCs w:val="20"/>
                <w:color w:val="auto"/>
              </w:rPr>
            </w:pPr>
            <w:r>
              <w:rPr>
                <w:rFonts w:ascii="Times New Roman" w:cs="Times New Roman" w:eastAsia="Times New Roman" w:hAnsi="Times New Roman"/>
                <w:sz w:val="14"/>
                <w:szCs w:val="14"/>
                <w:b w:val="1"/>
                <w:bCs w:val="1"/>
                <w:color w:val="auto"/>
              </w:rPr>
              <w:t>Ginnie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RMBS</w:t>
            </w: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tcPr>
          <w:p>
            <w:pPr>
              <w:spacing w:after="0"/>
              <w:rPr>
                <w:sz w:val="11"/>
                <w:szCs w:val="11"/>
                <w:color w:val="auto"/>
              </w:rPr>
            </w:pPr>
          </w:p>
        </w:tc>
        <w:tc>
          <w:tcPr>
            <w:tcW w:w="9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5,723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7,610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421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6,034</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8,029</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5,897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7,839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4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27,608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895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41,901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953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1,434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28,536</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13,022</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496</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903</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43,287</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87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w w:val="92"/>
              </w:rPr>
              <w:t>(24)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27,167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12,389</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488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885</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41,248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33,064</w:t>
            </w:r>
          </w:p>
        </w:tc>
        <w:tc>
          <w:tcPr>
            <w:tcW w:w="12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14,330</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488</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885</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49,087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coupon as of March 31, 2022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Weighted average yield as of March 31, 2022 </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4.43 %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5.30 %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7.9% based on forward rates as of March 31, 2022.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1"/>
                <w:szCs w:val="11"/>
                <w:color w:val="auto"/>
              </w:rPr>
            </w:pPr>
          </w:p>
        </w:tc>
        <w:tc>
          <w:tcPr>
            <w:tcW w:w="760" w:type="dxa"/>
            <w:vAlign w:val="bottom"/>
          </w:tcPr>
          <w:p>
            <w:pPr>
              <w:jc w:val="right"/>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Fannie</w:t>
            </w:r>
          </w:p>
        </w:tc>
        <w:tc>
          <w:tcPr>
            <w:tcW w:w="12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60" w:type="dxa"/>
            <w:vAlign w:val="bottom"/>
          </w:tcPr>
          <w:p>
            <w:pPr>
              <w:spacing w:after="0"/>
              <w:rPr>
                <w:sz w:val="11"/>
                <w:szCs w:val="11"/>
                <w:color w:val="auto"/>
              </w:rPr>
            </w:pPr>
          </w:p>
        </w:tc>
        <w:tc>
          <w:tcPr>
            <w:tcW w:w="740" w:type="dxa"/>
            <w:vAlign w:val="bottom"/>
          </w:tcPr>
          <w:p>
            <w:pPr>
              <w:jc w:val="right"/>
              <w:ind w:right="176"/>
              <w:spacing w:after="0" w:line="137"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CRT</w:t>
            </w:r>
          </w:p>
        </w:tc>
        <w:tc>
          <w:tcPr>
            <w:tcW w:w="180" w:type="dxa"/>
            <w:vAlign w:val="bottom"/>
          </w:tcPr>
          <w:p>
            <w:pPr>
              <w:spacing w:after="0"/>
              <w:rPr>
                <w:sz w:val="11"/>
                <w:szCs w:val="11"/>
                <w:color w:val="auto"/>
              </w:rPr>
            </w:pPr>
          </w:p>
        </w:tc>
        <w:tc>
          <w:tcPr>
            <w:tcW w:w="7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Mae</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6,345</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8,458</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404</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6,641</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2,215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8,858</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6,875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2,282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9,159</w:t>
            </w:r>
          </w:p>
        </w:tc>
        <w:tc>
          <w:tcPr>
            <w:tcW w:w="0" w:type="dxa"/>
            <w:vAlign w:val="bottom"/>
          </w:tcPr>
          <w:p>
            <w:pPr>
              <w:spacing w:after="0"/>
              <w:rPr>
                <w:sz w:val="1"/>
                <w:szCs w:val="1"/>
                <w:color w:val="auto"/>
              </w:rPr>
            </w:pPr>
          </w:p>
        </w:tc>
      </w:tr>
      <w:tr>
        <w:trPr>
          <w:trHeight w:val="150"/>
        </w:trPr>
        <w:tc>
          <w:tcPr>
            <w:tcW w:w="35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Par value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27,952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13,680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43,420</w:t>
            </w:r>
          </w:p>
        </w:tc>
        <w:tc>
          <w:tcPr>
            <w:tcW w:w="0" w:type="dxa"/>
            <w:vAlign w:val="bottom"/>
          </w:tcPr>
          <w:p>
            <w:pPr>
              <w:spacing w:after="0"/>
              <w:rPr>
                <w:sz w:val="1"/>
                <w:szCs w:val="1"/>
                <w:color w:val="auto"/>
              </w:rPr>
            </w:pPr>
          </w:p>
        </w:tc>
      </w:tr>
      <w:tr>
        <w:trPr>
          <w:trHeight w:val="170"/>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924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1,387</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28,862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14,120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44,770</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517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768</w:t>
            </w:r>
          </w:p>
        </w:tc>
        <w:tc>
          <w:tcPr>
            <w:tcW w:w="0" w:type="dxa"/>
            <w:vAlign w:val="bottom"/>
          </w:tcPr>
          <w:p>
            <w:pPr>
              <w:spacing w:after="0"/>
              <w:rPr>
                <w:sz w:val="1"/>
                <w:szCs w:val="1"/>
                <w:color w:val="auto"/>
              </w:rPr>
            </w:pPr>
          </w:p>
        </w:tc>
      </w:tr>
      <w:tr>
        <w:trPr>
          <w:trHeight w:val="170"/>
        </w:trPr>
        <w:tc>
          <w:tcPr>
            <w:tcW w:w="3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(181)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29,198</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14,244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974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45,262</w:t>
            </w:r>
          </w:p>
        </w:tc>
        <w:tc>
          <w:tcPr>
            <w:tcW w:w="0" w:type="dxa"/>
            <w:vAlign w:val="bottom"/>
          </w:tcPr>
          <w:p>
            <w:pPr>
              <w:spacing w:after="0"/>
              <w:rPr>
                <w:sz w:val="1"/>
                <w:szCs w:val="1"/>
                <w:color w:val="auto"/>
              </w:rPr>
            </w:pPr>
          </w:p>
        </w:tc>
      </w:tr>
      <w:tr>
        <w:trPr>
          <w:trHeight w:val="16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36,073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16,526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974</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54,421</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coupon as of December 31, 2021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3.08 %</w:t>
            </w:r>
          </w:p>
        </w:tc>
        <w:tc>
          <w:tcPr>
            <w:tcW w:w="0" w:type="dxa"/>
            <w:vAlign w:val="bottom"/>
          </w:tcPr>
          <w:p>
            <w:pPr>
              <w:spacing w:after="0"/>
              <w:rPr>
                <w:sz w:val="1"/>
                <w:szCs w:val="1"/>
                <w:color w:val="auto"/>
              </w:rPr>
            </w:pPr>
          </w:p>
        </w:tc>
      </w:tr>
      <w:tr>
        <w:trPr>
          <w:trHeight w:val="21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2021 </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10.9% based on forward rates as of December 31, 2021.</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2022 and December 31, 2021, our investments in CRT and non-Agency securities had the following credit ratings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CRT</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RMBS</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RMBS</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96"/>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spacing w:after="0" w:line="14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2022 and December 31, 2021, the weighted average expected constant prepayment rate ("CPR") over the remaining life of our Agency and high credit quality non-Agency RMBS investment portfolio was 7.9% and 10.9%, respectively. Our estimates can differ materially for different securities and thus our individual holdings have a wide range of projected CPRs. The following table summarizes our investments as of March 31, 2022 and December 31, 2021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8"/>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10,868</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≤10 years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34,059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13,186</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2.13%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51,316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2.56%</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53,628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8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March 31, 2022 and December 31, 2021 (in millions):</w:t>
      </w: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19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20" w:type="dxa"/>
            <w:vAlign w:val="bottom"/>
            <w:vMerge w:val="restart"/>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9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44"/>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341"/>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months ended March 31, 2022 and 2021 by investment classification of accounting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760" w:type="dxa"/>
            <w:vAlign w:val="bottom"/>
          </w:tcPr>
          <w:p>
            <w:pPr>
              <w:jc w:val="center"/>
              <w:ind w:right="51"/>
              <w:spacing w:after="0" w:line="122"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rPr>
              <w:t>Sale</w:t>
            </w:r>
          </w:p>
        </w:tc>
        <w:tc>
          <w:tcPr>
            <w:tcW w:w="120" w:type="dxa"/>
            <w:vAlign w:val="bottom"/>
          </w:tcPr>
          <w:p>
            <w:pPr>
              <w:spacing w:after="0"/>
              <w:rPr>
                <w:sz w:val="11"/>
                <w:szCs w:val="11"/>
                <w:color w:val="auto"/>
              </w:rPr>
            </w:pPr>
          </w:p>
        </w:tc>
        <w:tc>
          <w:tcPr>
            <w:tcW w:w="760" w:type="dxa"/>
            <w:vAlign w:val="bottom"/>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00" w:type="dxa"/>
            <w:vAlign w:val="bottom"/>
          </w:tcPr>
          <w:p>
            <w:pPr>
              <w:spacing w:after="0"/>
              <w:rPr>
                <w:sz w:val="11"/>
                <w:szCs w:val="11"/>
                <w:color w:val="auto"/>
              </w:rPr>
            </w:pPr>
          </w:p>
        </w:tc>
        <w:tc>
          <w:tcPr>
            <w:tcW w:w="68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5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3"/>
                <w:szCs w:val="13"/>
                <w:b w:val="1"/>
                <w:bCs w:val="1"/>
                <w:color w:val="auto"/>
                <w:w w:val="95"/>
              </w:rPr>
              <w:t xml:space="preserve">Securities </w:t>
            </w:r>
            <w:r>
              <w:rPr>
                <w:rFonts w:ascii="Times New Roman" w:cs="Times New Roman" w:eastAsia="Times New Roman" w:hAnsi="Times New Roman"/>
                <w:sz w:val="16"/>
                <w:szCs w:val="16"/>
                <w:b w:val="1"/>
                <w:bCs w:val="1"/>
                <w:color w:val="auto"/>
                <w:w w:val="95"/>
                <w:vertAlign w:val="superscript"/>
              </w:rPr>
              <w:t>2</w:t>
            </w:r>
          </w:p>
        </w:tc>
        <w:tc>
          <w:tcPr>
            <w:tcW w:w="12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3"/>
                <w:szCs w:val="13"/>
                <w:b w:val="1"/>
                <w:bCs w:val="1"/>
                <w:color w:val="auto"/>
                <w:w w:val="95"/>
              </w:rPr>
              <w:t xml:space="preserve">Securities </w:t>
            </w:r>
            <w:r>
              <w:rPr>
                <w:rFonts w:ascii="Times New Roman" w:cs="Times New Roman" w:eastAsia="Times New Roman" w:hAnsi="Times New Roman"/>
                <w:sz w:val="16"/>
                <w:szCs w:val="16"/>
                <w:b w:val="1"/>
                <w:bCs w:val="1"/>
                <w:color w:val="auto"/>
                <w:w w:val="95"/>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9"/>
                <w:szCs w:val="9"/>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6,970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0" w:type="dxa"/>
            <w:vAlign w:val="bottom"/>
          </w:tcPr>
          <w:p>
            <w:pPr>
              <w:spacing w:after="0"/>
              <w:rPr>
                <w:sz w:val="1"/>
                <w:szCs w:val="1"/>
                <w:color w:val="auto"/>
              </w:rPr>
            </w:pPr>
          </w:p>
        </w:tc>
      </w:tr>
      <w:tr>
        <w:trPr>
          <w:trHeight w:val="19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55"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 and Reverse Repurchase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2022, we had met all margin call requirements. For additional information regarding our pledged assets, please refer to Note 6.</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we had $44.7 billion and $47.4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 fixed spread. The following table summarizes our borrowings under repurchase agreements by their remaining maturities as of March 31, 2022 and December 31, 2021 (dollars in millions):</w:t>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4" w:name="page15"/>
    <w:bookmarkEnd w:id="14"/>
    <w:tbl>
      <w:tblPr>
        <w:tblLayout w:type="fixed"/>
        <w:tblInd w:w="6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0" w:type="dxa"/>
            <w:vAlign w:val="bottom"/>
          </w:tcPr>
          <w:p>
            <w:pPr>
              <w:spacing w:after="0"/>
              <w:rPr>
                <w:sz w:val="1"/>
                <w:szCs w:val="1"/>
                <w:color w:val="auto"/>
              </w:rPr>
            </w:pPr>
          </w:p>
        </w:tc>
      </w:tr>
      <w:tr>
        <w:trPr>
          <w:trHeight w:val="198"/>
        </w:trPr>
        <w:tc>
          <w:tcPr>
            <w:tcW w:w="2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1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1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Agency repo:</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21,381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13,287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6,754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&gt; 6 to ≤ 9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&gt; 9 to ≤ 12 months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&gt; 12 to ≤ 24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Agency repo</w:t>
            </w: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44,034</w:t>
            </w:r>
          </w:p>
        </w:tc>
        <w:tc>
          <w:tcPr>
            <w:tcW w:w="1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0.37 %</w:t>
            </w:r>
          </w:p>
        </w:tc>
        <w:tc>
          <w:tcPr>
            <w:tcW w:w="14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46,911</w:t>
            </w:r>
          </w:p>
        </w:tc>
        <w:tc>
          <w:tcPr>
            <w:tcW w:w="14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4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repo:</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44,715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47,381</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March 31, 2022 and December 31, 2021, $8.7 billion and $0.8 billion, respectively, of our Agency repurchase agreements had an overnight maturity of one business day and none of our repurchase agreements were due on demand. As of March 31, 2022, we had $5.9 billion of forward commitments to enter into repurchase agreements with a weighted average forward start date of 1 day and a weighted average interest rate of 0.39%. As of December 31, 2021, we had $9.8 billion of forward commitments to enter into repurchase agreements, with a weighted average forward start date of 3 days and a weighted average interest rate of 0.08%. As of March 31, 2022 and December 31, 2021, 43% and 43%,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41% and 42% of our repurchase agreement funding outstanding as of March 31, 2022 and December 31, 2021,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we had $10.6 billion and $10.5 billion, respectively, of reverse repurchase agreements outstanding used primarily to borrow securities to cover short sales of U.S. Treasury securities, for which we had associated obligations to return borrowed securities at fair value of $10.3 billion and $9.7 billion, respectively. As of March 31, 2022 and December 31, 2021, $2.6 billion and $3.0 billion, respectively, of our reverse repurchase agreements were with the FICC sourced through BES.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432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4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340" w:type="dxa"/>
            <w:vAlign w:val="bottom"/>
            <w:tcBorders>
              <w:top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1"/>
                <w:szCs w:val="21"/>
                <w:color w:val="auto"/>
                <w:vertAlign w:val="superscript"/>
              </w:rPr>
              <w:t>1</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162"/>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3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vMerge w:val="continue"/>
          </w:tcPr>
          <w:p>
            <w:pPr>
              <w:spacing w:after="0"/>
              <w:rPr>
                <w:sz w:val="18"/>
                <w:szCs w:val="18"/>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81"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the net fair value of our interest rate swaps excluding the recognition of variation margin settlements as a direct reduction of carrying value (see Note 2) was a net asset (liability) of $3.5 billion and $1.6 billion, respectively. As of March 31, 2022, the net fair value of our credit default swaps excluding the recognition of variation margin settlements was $(42) million. We did not have credit default swaps outstanding as of December 31, 2021.</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(dollars in millions):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5"/>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13.2</w:t>
            </w:r>
          </w:p>
        </w:tc>
        <w:tc>
          <w:tcPr>
            <w:tcW w:w="0" w:type="dxa"/>
            <w:vAlign w:val="bottom"/>
          </w:tcPr>
          <w:p>
            <w:pPr>
              <w:spacing w:after="0"/>
              <w:rPr>
                <w:sz w:val="1"/>
                <w:szCs w:val="1"/>
                <w:color w:val="auto"/>
              </w:rPr>
            </w:pPr>
          </w:p>
        </w:tc>
      </w:tr>
      <w:tr>
        <w:trPr>
          <w:trHeight w:val="212"/>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51,125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 Rate Swaps by</w:t>
            </w: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Receive Index (% of Notional Amount)</w:t>
            </w:r>
          </w:p>
        </w:tc>
        <w:tc>
          <w:tcPr>
            <w:tcW w:w="162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SOFR</w:t>
            </w:r>
          </w:p>
        </w:tc>
        <w:tc>
          <w:tcPr>
            <w:tcW w:w="2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2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22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900" w:type="dxa"/>
            <w:vAlign w:val="bottom"/>
            <w:tcBorders>
              <w:top w:val="single" w:sz="8" w:color="auto"/>
            </w:tcBorders>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20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Pay</w:t>
            </w:r>
          </w:p>
        </w:tc>
        <w:tc>
          <w:tcPr>
            <w:tcW w:w="90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Expiration Date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3"/>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2</w:t>
            </w:r>
          </w:p>
        </w:tc>
        <w:tc>
          <w:tcPr>
            <w:tcW w:w="9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9"/>
              </w:rPr>
              <w:t>7.4</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&gt; 2 year ≤ 3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10,250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9"/>
              </w:rPr>
              <w:t>8.5</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&gt; 2 year ≤ 3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 1 year notional amount includes $700 million of Bermudan swaptions where the options may be exercised on predetermined dates up to their final exercise date, which is six months prior to the underlying swaps' maturity date.</w:t>
      </w:r>
    </w:p>
    <w:p>
      <w:pPr>
        <w:ind w:left="660" w:hanging="328"/>
        <w:spacing w:after="0" w:line="263"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93% and 7% of the underlying swap receive rates were tied to SOFR and 3-Month LIBOR, respectively. As of December 31, December 31, 2021, 95% and 5% of the underlying swap receive rates were tied to SOFR and 3-Month LIBOR,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Securities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1"/>
                <w:szCs w:val="11"/>
                <w:color w:val="auto"/>
              </w:rPr>
            </w:pPr>
          </w:p>
        </w:tc>
        <w:tc>
          <w:tcPr>
            <w:tcW w:w="12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2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Cost Basis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1100" w:type="dxa"/>
            <w:vAlign w:val="bottom"/>
          </w:tcPr>
          <w:p>
            <w:pPr>
              <w:jc w:val="right"/>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Cost Basis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0"/>
        </w:trPr>
        <w:tc>
          <w:tcPr>
            <w:tcW w:w="3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 years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U.S. Treasury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short U.S. Treasury securities totaling $(10.3) billion and $(9.7) billion, at fair value, respectively, had a weighted average yield of 1.67% and 1.56%, respectively. As of March 31, 2022 and December 31, 2021, long U.S. Treasury securities totaling $0.7 billion and $0.5 billion, at fair value, respectively, had a weighted average yield of 1.90% and 1.18%,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6"/>
                <w:szCs w:val="16"/>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0" w:type="dxa"/>
            <w:vAlign w:val="bottom"/>
          </w:tcPr>
          <w:p>
            <w:pPr>
              <w:spacing w:after="0"/>
              <w:rPr>
                <w:sz w:val="1"/>
                <w:szCs w:val="1"/>
                <w:color w:val="auto"/>
              </w:rPr>
            </w:pPr>
          </w:p>
        </w:tc>
      </w:tr>
      <w:tr>
        <w:trPr>
          <w:trHeight w:val="196"/>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years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10 years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4"/>
              </w:rPr>
              <w:t>Net Carrying</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TBA Securities by Coupon </w:t>
            </w:r>
            <w:r>
              <w:rPr>
                <w:rFonts w:ascii="Times New Roman" w:cs="Times New Roman" w:eastAsia="Times New Roman" w:hAnsi="Times New Roman"/>
                <w:sz w:val="16"/>
                <w:szCs w:val="16"/>
                <w:b w:val="1"/>
                <w:bCs w:val="1"/>
                <w:color w:val="auto"/>
                <w:vertAlign w:val="superscript"/>
              </w:rPr>
              <w:t>2</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6"/>
                <w:szCs w:val="16"/>
                <w:color w:val="auto"/>
              </w:rPr>
            </w:pP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19,368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19,301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28"/>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19,543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forward settling non-Agency securities totaling $0.4 billion fair value and $0.2 million net carrying value as of December 31, 2021.</w:t>
      </w:r>
    </w:p>
    <w:p>
      <w:pPr>
        <w:spacing w:after="0" w:line="236"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As of March 31, 2022, we had $2.6 billion notional value of centrally cleared credit default swaps ("CDS") outstanding that reference the Markit CDX Investment Grade Index, maturing in June 2027. Under the terms of our CDS, we pay fixed periodic payments equal to 1% of the notional value and we are entitled to receive payments for qualified credit events. As of March 31, 2022, the CDS had an amortized cost basis of $(35) million, a market value of $(42) million, and a carrying value of zero dollars, net of variation margin settlements posted by us. Pursuant to rules governing central clearing activities, we recognize variation margin settlements as a direct reduction of the carrying value of the CDS asset or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75"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the three months ended March 31, 2022 and 2021 (in millions):</w:t>
      </w: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2"/>
              <w:spacing w:after="0" w:line="147"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40" w:type="dxa"/>
            <w:vAlign w:val="bottom"/>
          </w:tcPr>
          <w:p>
            <w:pPr>
              <w:spacing w:after="0"/>
              <w:rPr>
                <w:sz w:val="12"/>
                <w:szCs w:val="12"/>
                <w:color w:val="auto"/>
              </w:rPr>
            </w:pPr>
          </w:p>
        </w:tc>
        <w:tc>
          <w:tcPr>
            <w:tcW w:w="12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Instruments and</w:t>
            </w:r>
          </w:p>
        </w:tc>
        <w:tc>
          <w:tcPr>
            <w:tcW w:w="0" w:type="dxa"/>
            <w:vAlign w:val="bottom"/>
          </w:tcPr>
          <w:p>
            <w:pPr>
              <w:spacing w:after="0"/>
              <w:rPr>
                <w:sz w:val="1"/>
                <w:szCs w:val="1"/>
                <w:color w:val="auto"/>
              </w:rPr>
            </w:pPr>
          </w:p>
        </w:tc>
      </w:tr>
      <w:tr>
        <w:trPr>
          <w:trHeight w:val="148"/>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9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4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Other Securities,</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40" w:type="dxa"/>
            <w:vAlign w:val="bottom"/>
            <w:vMerge w:val="continue"/>
          </w:tcPr>
          <w:p>
            <w:pPr>
              <w:spacing w:after="0"/>
              <w:rPr>
                <w:sz w:val="17"/>
                <w:szCs w:val="17"/>
                <w:color w:val="auto"/>
              </w:rPr>
            </w:pPr>
          </w:p>
        </w:tc>
        <w:tc>
          <w:tcPr>
            <w:tcW w:w="12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0" w:type="dxa"/>
            <w:vAlign w:val="bottom"/>
          </w:tcPr>
          <w:p>
            <w:pPr>
              <w:spacing w:after="0"/>
              <w:rPr>
                <w:sz w:val="17"/>
                <w:szCs w:val="17"/>
                <w:color w:val="auto"/>
              </w:rPr>
            </w:pPr>
          </w:p>
        </w:tc>
        <w:tc>
          <w:tcPr>
            <w:tcW w:w="1200" w:type="dxa"/>
            <w:vAlign w:val="bottom"/>
          </w:tcPr>
          <w:p>
            <w:pPr>
              <w:jc w:val="center"/>
              <w:ind w:right="62"/>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Net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26,673</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78,634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19,607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settling non-Agency securities</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450</w:t>
            </w: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51,225</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51,125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CDX IG - buy protection</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(5,470)</w:t>
            </w: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2,860</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13,000</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(9,590)</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(4,133)</w:t>
            </w: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2,861</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472</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2,251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(6,870)</w:t>
            </w: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2,985</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26"/>
        </w:trPr>
        <w:tc>
          <w:tcPr>
            <w:tcW w:w="38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30,364</w:t>
            </w:r>
          </w:p>
        </w:tc>
        <w:tc>
          <w:tcPr>
            <w:tcW w:w="12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93,336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(99,182)</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24,518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43,225</w:t>
            </w: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7,000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49,725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10,400</w:t>
            </w:r>
          </w:p>
        </w:tc>
        <w:tc>
          <w:tcPr>
            <w:tcW w:w="12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4,250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(11,287)</w:t>
            </w: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(7,261)</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3,021</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(15,527)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1,315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12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tcPr>
          <w:p>
            <w:pPr>
              <w:jc w:val="right"/>
              <w:ind w:right="319"/>
              <w:spacing w:after="0"/>
              <w:rPr>
                <w:sz w:val="20"/>
                <w:szCs w:val="20"/>
                <w:color w:val="auto"/>
              </w:rPr>
            </w:pPr>
            <w:r>
              <w:rPr>
                <w:rFonts w:ascii="Times New Roman" w:cs="Times New Roman" w:eastAsia="Times New Roman" w:hAnsi="Times New Roman"/>
                <w:sz w:val="16"/>
                <w:szCs w:val="16"/>
                <w:color w:val="auto"/>
              </w:rPr>
              <w:t>(1,000)</w:t>
            </w:r>
          </w:p>
        </w:tc>
        <w:tc>
          <w:tcPr>
            <w:tcW w:w="1260" w:type="dxa"/>
            <w:vAlign w:val="bottom"/>
            <w:tcBorders>
              <w:bottom w:val="single" w:sz="8" w:color="CCEEFF"/>
            </w:tcBorders>
          </w:tcPr>
          <w:p>
            <w:pPr>
              <w:jc w:val="right"/>
              <w:ind w:right="299"/>
              <w:spacing w:after="0"/>
              <w:rPr>
                <w:sz w:val="20"/>
                <w:szCs w:val="20"/>
                <w:color w:val="auto"/>
              </w:rPr>
            </w:pPr>
            <w:r>
              <w:rPr>
                <w:rFonts w:ascii="Times New Roman" w:cs="Times New Roman" w:eastAsia="Times New Roman" w:hAnsi="Times New Roman"/>
                <w:sz w:val="16"/>
                <w:szCs w:val="16"/>
                <w:color w:val="auto"/>
              </w:rPr>
              <w:t>(1,000)</w:t>
            </w:r>
          </w:p>
        </w:tc>
        <w:tc>
          <w:tcPr>
            <w:tcW w:w="9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1,000</w:t>
            </w:r>
          </w:p>
        </w:tc>
        <w:tc>
          <w:tcPr>
            <w:tcW w:w="4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5"/>
        </w:trPr>
        <w:tc>
          <w:tcPr>
            <w:tcW w:w="38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right="20" w:hanging="328"/>
        <w:spacing w:after="0" w:line="260"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recognized in gain (loss) on derivative instruments and other securities, net in our consolidated statements of comprehensive income.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2022,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March 31, 2022, approximately 8% of our tangible stockholder's equity was at risk with the Fixed Income Clearing Corporation.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75"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brokerage and clearing agreements by type, including securities pledged related to securities sold but not yet settled, as of March 31, 2022 and December 31, 2021 (in millions):</w:t>
      </w: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and Other </w:t>
            </w:r>
            <w:r>
              <w:rPr>
                <w:rFonts w:ascii="Times New Roman" w:cs="Times New Roman" w:eastAsia="Times New Roman" w:hAnsi="Times New Roman"/>
                <w:sz w:val="18"/>
                <w:szCs w:val="18"/>
                <w:b w:val="1"/>
                <w:bCs w:val="1"/>
                <w:color w:val="auto"/>
                <w:vertAlign w:val="superscript"/>
              </w:rPr>
              <w:t>3</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44,509</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45,656</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and Other </w:t>
            </w:r>
            <w:r>
              <w:rPr>
                <w:rFonts w:ascii="Times New Roman" w:cs="Times New Roman" w:eastAsia="Times New Roman" w:hAnsi="Times New Roman"/>
                <w:sz w:val="18"/>
                <w:szCs w:val="18"/>
                <w:b w:val="1"/>
                <w:bCs w:val="1"/>
                <w:color w:val="auto"/>
                <w:vertAlign w:val="superscript"/>
              </w:rPr>
              <w:t>3</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46,943</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47,890</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spacing w:after="0" w:line="2" w:lineRule="exact"/>
        <w:rPr>
          <w:rFonts w:ascii="Times New Roman" w:cs="Times New Roman" w:eastAsia="Times New Roman" w:hAnsi="Times New Roman"/>
          <w:sz w:val="14"/>
          <w:szCs w:val="14"/>
          <w:color w:val="auto"/>
        </w:rPr>
      </w:pPr>
    </w:p>
    <w:p>
      <w:pPr>
        <w:ind w:left="660" w:hanging="328"/>
        <w:spacing w:after="0" w:line="259"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$68 million and $81 million of retained interests in our consolidated VIEs pledged as collateral under repurchase agreements as of March 31, 2022 and December 31, 2021, respectively.</w:t>
      </w: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under brokerage and clearing agreements.</w:t>
      </w:r>
    </w:p>
    <w:p>
      <w:pPr>
        <w:spacing w:after="0" w:line="1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2022 and December 31, 2021 (in millions). For the corresponding borrowings associated with the following amounts and the interest rates thereon, refer to Note 4</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0" w:type="dxa"/>
            <w:vAlign w:val="bottom"/>
          </w:tcPr>
          <w:p>
            <w:pPr>
              <w:spacing w:after="0"/>
              <w:rPr>
                <w:sz w:val="1"/>
                <w:szCs w:val="1"/>
                <w:color w:val="auto"/>
              </w:rPr>
            </w:pPr>
          </w:p>
        </w:tc>
      </w:tr>
      <w:tr>
        <w:trPr>
          <w:trHeight w:val="146"/>
        </w:trPr>
        <w:tc>
          <w:tcPr>
            <w:tcW w:w="3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2"/>
                <w:szCs w:val="12"/>
                <w:color w:val="auto"/>
              </w:rPr>
            </w:pPr>
          </w:p>
        </w:tc>
        <w:tc>
          <w:tcPr>
            <w:tcW w:w="9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r>
        <w:trPr>
          <w:trHeight w:val="202"/>
        </w:trPr>
        <w:tc>
          <w:tcPr>
            <w:tcW w:w="39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18"/>
                <w:szCs w:val="18"/>
                <w:b w:val="1"/>
                <w:bCs w:val="1"/>
                <w:color w:val="auto"/>
                <w:vertAlign w:val="superscript"/>
              </w:rPr>
              <w:t>1,2</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30 days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24,548</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30 and ≤ 60 days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60 and ≤ 90 days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&gt; 90 days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28"/>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right="160" w:hanging="328"/>
        <w:spacing w:after="0" w:line="260"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$68 million and $81 million of retained interests in our consolidated VIEs pledged as collateral under repurchase agreements as of March 31, 2022 and December 31, 2021, respectively.</w:t>
      </w: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$0.2 billion of repledged U.S. Treasury securities received as collateral from counterparties as of March 31,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1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10,552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9"/>
                <w:szCs w:val="9"/>
                <w:b w:val="1"/>
                <w:bCs w:val="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vMerge w:val="continue"/>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vMerge w:val="continue"/>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27"/>
        </w:trPr>
        <w:tc>
          <w:tcPr>
            <w:tcW w:w="2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right="20" w:hanging="328"/>
        <w:spacing w:after="0" w:line="260"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amounts include $10.3 billion and $9.7 billion, respectively, of U.S. Treasury securities received from counterparties that were used to cover short sales of U.S. Treasury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2022 and December 31, 2021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gridSpan w:val="1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left="628"/>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20" w:type="dxa"/>
            <w:vAlign w:val="bottom"/>
            <w:gridSpan w:val="4"/>
            <w:vMerge w:val="continue"/>
          </w:tcPr>
          <w:p>
            <w:pPr>
              <w:spacing w:after="0"/>
              <w:rPr>
                <w:sz w:val="3"/>
                <w:szCs w:val="3"/>
                <w:color w:val="auto"/>
              </w:rPr>
            </w:pPr>
          </w:p>
        </w:tc>
        <w:tc>
          <w:tcPr>
            <w:tcW w:w="1240" w:type="dxa"/>
            <w:vAlign w:val="bottom"/>
            <w:gridSpan w:val="5"/>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3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Received </w:t>
            </w:r>
            <w:r>
              <w:rPr>
                <w:rFonts w:ascii="Times New Roman" w:cs="Times New Roman" w:eastAsia="Times New Roman" w:hAnsi="Times New Roman"/>
                <w:sz w:val="18"/>
                <w:szCs w:val="18"/>
                <w:b w:val="1"/>
                <w:bCs w:val="1"/>
                <w:color w:val="auto"/>
                <w:w w:val="98"/>
                <w:vertAlign w:val="superscript"/>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9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4"/>
                <w:szCs w:val="14"/>
                <w:color w:val="auto"/>
              </w:rPr>
              <w:t xml:space="preserve">TBA and forward settling non-Agency securities, at fair value </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9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7"/>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3"/>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11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3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Pledged </w:t>
            </w:r>
            <w:r>
              <w:rPr>
                <w:rFonts w:ascii="Times New Roman" w:cs="Times New Roman" w:eastAsia="Times New Roman" w:hAnsi="Times New Roman"/>
                <w:sz w:val="18"/>
                <w:szCs w:val="18"/>
                <w:b w:val="1"/>
                <w:bCs w:val="1"/>
                <w:color w:val="auto"/>
                <w:vertAlign w:val="superscript"/>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9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and forward settling non-Agency securities, at fair value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668</w:t>
            </w: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(609)</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agreements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44,715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(37,810)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45,383</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45,383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(38,419)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agreements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47,381</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(41,294)</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47,452</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47,452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(41,338)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1" w:name="page22"/>
    <w:bookmarkEnd w:id="21"/>
    <w:p>
      <w:pPr>
        <w:ind w:left="660" w:right="160" w:hanging="328"/>
        <w:spacing w:after="0" w:line="271"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400" w:hanging="328"/>
        <w:spacing w:after="0" w:line="263"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March 31, 2022 and December 31, 2021, based on their categorization within the valuation hierarchy (in millions). There were no transfers between valuation hierarchy levels during the periods presented in our accompanying consolidated statements of comprehensive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47,214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52,396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6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Credit default swaps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the net fair value of our interest rate swaps excluding the recognition of variation margin settlements as a direct reduction of carrying value was a net asset (liability) of $3.5 billion and $1.6 billion, respectively, based on "Level 2" inputs. As of March 31, 2022, the net fair value of our credit default swaps excluding the recognition of variation margin settlements was $(42) million based on "Level 2" inputs. We did not have credit default swaps outstanding as of December 31, 2021. See Notes 2 and 5 for additional details.</w:t>
      </w:r>
    </w:p>
    <w:p>
      <w:pPr>
        <w:spacing w:after="0" w:line="2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Excluded from the table above are financial instruments presented in our consolidated financial statements at cost. The fair value of our repurchase agreements approximated cost as of March 31, 2022 and December 31, 2021,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7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w:t>
            </w:r>
          </w:p>
        </w:tc>
      </w:tr>
      <w:tr>
        <w:trPr>
          <w:trHeight w:val="196"/>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r>
      <w:tr>
        <w:trPr>
          <w:trHeight w:val="19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8"/>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1.4 million of potentially dilutive unvested time and performance based RSUs outstanding were excluded from the computation of diluted net income (loss) per common share because to do so would have been anti-dilutive for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are authorized to designate and issue up to 10.0 million shares of preferred stock in one or more classes or series. As of March 31, 2022 and December 31, 2021,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As of March 31, 2022 and December 31, 2021, 13,000, 9,400, 16,100 and 23,000 shares of Series C, D, E and F Preferred Stock, respectively, were issued and outstanding. Each share of preferred stock is represented by 1,000 depositary shares. Each share of preferred stock has a liquidation preference of $25,000 per share ($25 per depositary share).</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includes a summary of preferred stock depositary shares issued and outstanding as of March 31, 2022 (dollars and shares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Depositary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Fixed-to-Floating Rate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Optional</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Fixed-to-Floating</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Issuance</w:t>
            </w:r>
          </w:p>
        </w:tc>
        <w:tc>
          <w:tcPr>
            <w:tcW w:w="11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1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0" w:type="dxa"/>
            <w:vAlign w:val="bottom"/>
          </w:tcPr>
          <w:p>
            <w:pPr>
              <w:spacing w:after="0"/>
              <w:rPr>
                <w:sz w:val="1"/>
                <w:szCs w:val="1"/>
                <w:color w:val="auto"/>
              </w:rPr>
            </w:pPr>
          </w:p>
        </w:tc>
      </w:tr>
      <w:tr>
        <w:trPr>
          <w:trHeight w:val="135"/>
        </w:trPr>
        <w:tc>
          <w:tcPr>
            <w:tcW w:w="2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Cumulative Redeemable</w:t>
            </w:r>
          </w:p>
        </w:tc>
        <w:tc>
          <w:tcPr>
            <w:tcW w:w="11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8"/>
              </w:rPr>
              <w:t>Redemption</w:t>
            </w: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Conversion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Preferred Stock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0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Date </w:t>
            </w:r>
            <w:r>
              <w:rPr>
                <w:rFonts w:ascii="Times New Roman" w:cs="Times New Roman" w:eastAsia="Times New Roman" w:hAnsi="Times New Roman"/>
                <w:sz w:val="18"/>
                <w:szCs w:val="18"/>
                <w:b w:val="1"/>
                <w:bCs w:val="1"/>
                <w:color w:val="auto"/>
                <w:w w:val="95"/>
                <w:vertAlign w:val="superscript"/>
              </w:rPr>
              <w:t>2</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Annual Rate</w:t>
            </w:r>
          </w:p>
        </w:tc>
        <w:tc>
          <w:tcPr>
            <w:tcW w:w="0" w:type="dxa"/>
            <w:vAlign w:val="bottom"/>
          </w:tcPr>
          <w:p>
            <w:pPr>
              <w:spacing w:after="0"/>
              <w:rPr>
                <w:sz w:val="1"/>
                <w:szCs w:val="1"/>
                <w:color w:val="auto"/>
              </w:rPr>
            </w:pPr>
          </w:p>
        </w:tc>
      </w:tr>
      <w:tr>
        <w:trPr>
          <w:trHeight w:val="128"/>
        </w:trPr>
        <w:tc>
          <w:tcPr>
            <w:tcW w:w="20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C</w:t>
            </w:r>
          </w:p>
        </w:tc>
        <w:tc>
          <w:tcPr>
            <w:tcW w:w="11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August 22, 2017</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2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15, 2022</w:t>
            </w:r>
          </w:p>
        </w:tc>
        <w:tc>
          <w:tcPr>
            <w:tcW w:w="12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October 15, 2022</w:t>
            </w:r>
          </w:p>
        </w:tc>
        <w:tc>
          <w:tcPr>
            <w:tcW w:w="122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5.111%</w:t>
            </w:r>
          </w:p>
        </w:tc>
        <w:tc>
          <w:tcPr>
            <w:tcW w:w="0" w:type="dxa"/>
            <w:vAlign w:val="bottom"/>
          </w:tcPr>
          <w:p>
            <w:pPr>
              <w:spacing w:after="0"/>
              <w:rPr>
                <w:sz w:val="1"/>
                <w:szCs w:val="1"/>
                <w:color w:val="auto"/>
              </w:rPr>
            </w:pPr>
          </w:p>
        </w:tc>
      </w:tr>
      <w:tr>
        <w:trPr>
          <w:trHeight w:val="73"/>
        </w:trPr>
        <w:tc>
          <w:tcPr>
            <w:tcW w:w="19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Series D</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March 6, 2019</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20" w:type="dxa"/>
            <w:vAlign w:val="bottom"/>
            <w:vMerge w:val="restart"/>
          </w:tcPr>
          <w:p>
            <w:pPr>
              <w:jc w:val="center"/>
              <w:ind w:left="70"/>
              <w:spacing w:after="0"/>
              <w:rPr>
                <w:sz w:val="20"/>
                <w:szCs w:val="20"/>
                <w:color w:val="auto"/>
              </w:rPr>
            </w:pPr>
            <w:r>
              <w:rPr>
                <w:rFonts w:ascii="Times New Roman" w:cs="Times New Roman" w:eastAsia="Times New Roman" w:hAnsi="Times New Roman"/>
                <w:sz w:val="14"/>
                <w:szCs w:val="14"/>
                <w:color w:val="auto"/>
              </w:rPr>
              <w:t>6.875%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April 15, 2024</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15, 2024</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4.332%</w:t>
            </w:r>
          </w:p>
        </w:tc>
        <w:tc>
          <w:tcPr>
            <w:tcW w:w="0" w:type="dxa"/>
            <w:vAlign w:val="bottom"/>
          </w:tcPr>
          <w:p>
            <w:pPr>
              <w:spacing w:after="0"/>
              <w:rPr>
                <w:sz w:val="1"/>
                <w:szCs w:val="1"/>
                <w:color w:val="auto"/>
              </w:rPr>
            </w:pPr>
          </w:p>
        </w:tc>
      </w:tr>
      <w:tr>
        <w:trPr>
          <w:trHeight w:val="73"/>
        </w:trPr>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E</w:t>
            </w:r>
          </w:p>
        </w:tc>
        <w:tc>
          <w:tcPr>
            <w:tcW w:w="11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October 3, 2019</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2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15, 2024</w:t>
            </w:r>
          </w:p>
        </w:tc>
        <w:tc>
          <w:tcPr>
            <w:tcW w:w="12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October 15, 2024</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4.993%</w:t>
            </w:r>
          </w:p>
        </w:tc>
        <w:tc>
          <w:tcPr>
            <w:tcW w:w="0" w:type="dxa"/>
            <w:vAlign w:val="bottom"/>
          </w:tcPr>
          <w:p>
            <w:pPr>
              <w:spacing w:after="0"/>
              <w:rPr>
                <w:sz w:val="1"/>
                <w:szCs w:val="1"/>
                <w:color w:val="auto"/>
              </w:rPr>
            </w:pPr>
          </w:p>
        </w:tc>
      </w:tr>
      <w:tr>
        <w:trPr>
          <w:trHeight w:val="73"/>
        </w:trPr>
        <w:tc>
          <w:tcPr>
            <w:tcW w:w="19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Series F</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February 11, 2020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20" w:type="dxa"/>
            <w:vAlign w:val="bottom"/>
            <w:vMerge w:val="restart"/>
          </w:tcPr>
          <w:p>
            <w:pPr>
              <w:jc w:val="center"/>
              <w:ind w:left="70"/>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April 15, 2025</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15, 2025</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4.697%</w:t>
            </w:r>
          </w:p>
        </w:tc>
        <w:tc>
          <w:tcPr>
            <w:tcW w:w="0" w:type="dxa"/>
            <w:vAlign w:val="bottom"/>
          </w:tcPr>
          <w:p>
            <w:pPr>
              <w:spacing w:after="0"/>
              <w:rPr>
                <w:sz w:val="1"/>
                <w:szCs w:val="1"/>
                <w:color w:val="auto"/>
              </w:rPr>
            </w:pPr>
          </w:p>
        </w:tc>
      </w:tr>
      <w:tr>
        <w:trPr>
          <w:trHeight w:val="73"/>
        </w:trPr>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line="259"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As of March 31, 2022, shares of our common stock with an aggregate offering price of $1.25 billion remained authorized for issuance under this program through June 11, 2024. We did not issue shares under the program during the three months ended March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As of March 31, 2022, shares of our common stock with an aggregate repurchase price of $958 million remained authorized for repurchase through December 31, 2022. We did not repurchase shares under the program during the three months ended March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months ended March 31, 2022 and 2021 (in millions):</w:t>
      </w:r>
    </w:p>
    <w:p>
      <w:pPr>
        <w:spacing w:after="0" w:line="12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6"/>
        </w:trPr>
        <w:tc>
          <w:tcPr>
            <w:tcW w:w="7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209"/>
        </w:trPr>
        <w:tc>
          <w:tcPr>
            <w:tcW w:w="7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35"/>
        </w:trPr>
        <w:tc>
          <w:tcPr>
            <w:tcW w:w="73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 securities, net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2022. Our MD&amp;A is presented in the following sections:</w:t>
      </w:r>
    </w:p>
    <w:p>
      <w:pPr>
        <w:spacing w:after="0" w:line="4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 We fund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investments primarily through collateralized borrowings structured as repurchase agreements. We operate in a manner to qualify to be taxed as a REIT under the Internal Revenue Code.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investment environment was very challenging in the first quarter as the market faced elevated geopolitical risk, growing inflation concerns, and the expectation of significantly tighter monetary policy. Against this backdrop, interest rates repriced materially higher, the yield curve flattened, and fixed income spreads to benchmark interest rates widened. These conditions led to a “risk-off” sentiment that pressured equity markets and caused unprecedented price declines across fixed income markets as evidenced by the Bloomberg Aggregate Bond Index, the broadest fixed income market measure, posting its worst quarterly performance in more than 40 years.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Major monetary policy transitions are difficult for fixed income markets broadly and the Agency MBS market specifically, given its unique role in monetary policy and the overall economy. The Federal Reserve (the “Fed”) indicated at its March meeting that the portfolio runoff plan will include an Agency RMBS cap of $35 billion per month and provided greater clarity at its May meeting that the runoff will begin on June 1, 2022 with an initial cap of $17.5 billion per month for the first three months before increasing to the previously announced $35 billion per month level. This guidance was largely in line with investor expectations. Concerns associated with the Fed’s balance sheet normalization drove Agency RMBS spreads significantly wider during the first quarter relative to interest rate swap and U.S. Treasury hedges. This mortgage spread widening was, in turn, the primary driver of AGNC’s 14.4% economic loss on tangible net asset value per common share for the quarter, which consisted of a 16.7% decline of our tangible net book value to $13.12 per common share as of March 31, 2022 and dividends declared during the quarter of $0.36 per common share.</w:t>
      </w:r>
    </w:p>
    <w:p>
      <w:pPr>
        <w:spacing w:after="0" w:line="13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result of the significant repricing of Agency RMBS over the past several quarters, we believe that risk-adjusted returns on many segments of the Agency RMBS market are now attractive on both an absolute and relative basis. However, we expect markets to remain volatile over the near-term as a result of the uncertain and rapidly shifting economic backdrop. Although Agency RMBS could experience additional valuation declines over the near-term, which may negatively impact our tangible net book value per share of common stock, we would likely view such declines as a favorable buying opportunity in light of the enhanced projected returns on new investments.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at-risk leverage remained below our historical operating levels during the first quarter as we continued to maintain a defensive position. As of the end of the first quarter, our leverage was 7.5x tangible equity, slightly lower than 7.7x as of the end of the end of the fourth quarter. Given the elevated interest rate volatility and ongoing uncertainty around quantitative tightening measures, we took additional actions to reduce our aggregate risk profile during the quarter by reducing our asset position, shifting our Agency RMBS portfolio toward higher coupon securities, and increasing our interest rate hedge position relative to our funding liabilities. As of March 31, 2022, our interest rate hedges totaled 121% of the outstanding balance of our Agency repurchase agreements, net TBA position and other debt, compared to 101% as of December 31, 2021. As of March 31, 2022, our duration gap, which is a measure of the difference between the interest rate sensitivity of our assets and liabilities, inclusive of our interest rate hedges, was 0.3 years, up slightly from 0.1 years as of December 31, 2021. Our unencumbered cash and Agency RMBS position, which excludes both unencumbered credit assets and assets held at our captive broker-dealer subsidiary, was $3.5 billion as of March 31, 2022, compared to $4.9 billion as of December 31, 2021.</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Consistent with higher interest rates, the average projected life CPR on our portfolio decreased to 7.9% as of March 31, 2022, from 10.9% as of the end of the prior quarter. Actual CPRs on our portfolio also continued to trend lower, averaging 14.5% for the first quarter. Our net interest spread for the quarter increased to 219 basis points, from 215 basis points for the fourth quarter, as the improvement in asset yields due to declining prepayment speeds, portfolio repositioning, and very strong TBA dollar roll performance more than offset a modest increase in our cost of funds. Thus, despite a smaller asset base, our net spread and dollar roll income, excluding “catch-up” premium amortization due to changes in CPR projections, remained relatively stable at $0.72 per share of common stock (a non-GAAP measure), compared to $0.75 for the prior quarter. While we anticipate that TBA dollar roll performance will moderate over time to levels more consistent with historical averages, our interest rate swap position should provide considerable protection for our cost of funds against the significant increase in short-term rates that is expected to occur over the remainder of the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the underperformance of Agency RMBS has negatively impacted our tangible net book value in the short-run, higher rates and wider spreads have significantly improved our investment outlook on both our existing portfolio and new Agency RMBS investments. We believe we are well-positioned to take advantage of favorable investment opportunities as market conditions stabilize, which should improve the long-term earnings profile of our investment portfolio.</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For information regarding non-GAAP financial measures, including reconciliations to the most comparable GAAP measure, and information regarding our average implied TBA dollar roll financing, please refer to Results of Operations included in this MD&amp;A below. For further discussion regarding the sensitivity of our tangible net book value to changes in interest rates and mortgage spreads, please refer to Item 3.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in this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interest rates and prices of generic fixed rate Agency RMBS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2022</w:t>
            </w:r>
          </w:p>
        </w:tc>
        <w:tc>
          <w:tcPr>
            <w:tcW w:w="0" w:type="dxa"/>
            <w:vAlign w:val="bottom"/>
          </w:tcPr>
          <w:p>
            <w:pPr>
              <w:spacing w:after="0"/>
              <w:rPr>
                <w:sz w:val="1"/>
                <w:szCs w:val="1"/>
                <w:color w:val="auto"/>
              </w:rPr>
            </w:pPr>
          </w:p>
        </w:tc>
      </w:tr>
      <w:tr>
        <w:trPr>
          <w:trHeight w:val="146"/>
        </w:trPr>
        <w:tc>
          <w:tcPr>
            <w:tcW w:w="536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203"/>
        </w:trPr>
        <w:tc>
          <w:tcPr>
            <w:tcW w:w="536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0" w:type="dxa"/>
            <w:vAlign w:val="bottom"/>
          </w:tcPr>
          <w:p>
            <w:pPr>
              <w:spacing w:after="0"/>
              <w:rPr>
                <w:sz w:val="1"/>
                <w:szCs w:val="1"/>
                <w:color w:val="auto"/>
              </w:rPr>
            </w:pP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0.24%</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0.74%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2.28%</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0.73%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0.97%</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$100.21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$99.79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$92.84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-$6.95</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$102.55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$103.48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$102.12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-$6.67</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$104.13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$104.61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$97.86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-$5.82</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$105.80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-$5.11</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$107.31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$106.53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$107.13</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-$4.34</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$108.91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$107.66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-$3.46</w:t>
            </w:r>
          </w:p>
        </w:tc>
        <w:tc>
          <w:tcPr>
            <w:tcW w:w="0" w:type="dxa"/>
            <w:vAlign w:val="bottom"/>
          </w:tcPr>
          <w:p>
            <w:pPr>
              <w:spacing w:after="0"/>
              <w:rPr>
                <w:sz w:val="1"/>
                <w:szCs w:val="1"/>
                <w:color w:val="auto"/>
              </w:rPr>
            </w:pPr>
          </w:p>
        </w:tc>
      </w:tr>
      <w:tr>
        <w:trPr>
          <w:trHeight w:val="19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$100.40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$100.33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-$5.52</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$102.96</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$97.11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-$5.34</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$104.06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$104.29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$103.45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$105.14</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$100.70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$106.69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$106.83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$106.56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$105.52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-$3.55</w:t>
            </w:r>
          </w:p>
        </w:tc>
        <w:tc>
          <w:tcPr>
            <w:tcW w:w="0" w:type="dxa"/>
            <w:vAlign w:val="bottom"/>
          </w:tcPr>
          <w:p>
            <w:pPr>
              <w:spacing w:after="0"/>
              <w:rPr>
                <w:sz w:val="1"/>
                <w:szCs w:val="1"/>
                <w:color w:val="auto"/>
              </w:rPr>
            </w:pPr>
          </w:p>
        </w:tc>
      </w:tr>
      <w:tr>
        <w:trPr>
          <w:trHeight w:val="188"/>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$106.34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$106.06</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-$2.97</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Prices in the table above were obtained from Barclays. Interest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t>The following table summarizes mortgage rates and credit spreads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2022</w:t>
            </w:r>
          </w:p>
        </w:tc>
        <w:tc>
          <w:tcPr>
            <w:tcW w:w="0" w:type="dxa"/>
            <w:vAlign w:val="bottom"/>
          </w:tcPr>
          <w:p>
            <w:pPr>
              <w:spacing w:after="0"/>
              <w:rPr>
                <w:sz w:val="1"/>
                <w:szCs w:val="1"/>
                <w:color w:val="auto"/>
              </w:rPr>
            </w:pPr>
          </w:p>
        </w:tc>
      </w:tr>
      <w:tr>
        <w:trPr>
          <w:trHeight w:val="146"/>
        </w:trPr>
        <w:tc>
          <w:tcPr>
            <w:tcW w:w="538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8"/>
        </w:trPr>
        <w:tc>
          <w:tcPr>
            <w:tcW w:w="538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0" w:type="dxa"/>
            <w:vAlign w:val="bottom"/>
          </w:tcPr>
          <w:p>
            <w:pPr>
              <w:spacing w:after="0"/>
              <w:rPr>
                <w:sz w:val="1"/>
                <w:szCs w:val="1"/>
                <w:color w:val="auto"/>
              </w:rPr>
            </w:pPr>
          </w:p>
        </w:tc>
      </w:tr>
      <w:tr>
        <w:trPr>
          <w:trHeight w:val="201"/>
        </w:trPr>
        <w:tc>
          <w:tcPr>
            <w:tcW w:w="522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3.18%</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Primary to Secondary Spread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+137</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8"/>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67" w:lineRule="exact"/>
        <w:rPr>
          <w:sz w:val="20"/>
          <w:szCs w:val="20"/>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Mortgage rates are sourced from Bloomberg; 30-Year Current Coupon rates represent current coupon rates for new production Agency RMBS sourced from Bloomberg; and the 30-Year Primary to Secondary Spreads represent the 30-Year Mortgage Rate and 30-Year Agency Current Coupon rate spread differential as of each date.</w:t>
      </w:r>
    </w:p>
    <w:p>
      <w:pPr>
        <w:ind w:left="660" w:hanging="328"/>
        <w:spacing w:after="0" w:line="283"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CMBS spreads are averages of JP Morgan, Bank of America and Wells Fargo. CRT spreads are discount margins. CMBS spreads are spreads to the swap curve. CDX spreads are sourced from JP Morgan.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our investment portfolio totaled $68.6 billion and $82.0 billion, respectively, consisting of: $49.1 billion and $54.4 billion investment securities, at fair value, respectively; $19.5 billion and $27.1 billion net TBA securities, at fair value, respectively; and as of December 31, 2021, $0.4 billion forward settling non-Agency securities, at fair value. The following table is a summary of our investment portfolio as of March 31, 2022 and December 31, 2021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Portfolio (Includes TBAs)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60"/>
              <w:spacing w:after="0" w:line="202" w:lineRule="exact"/>
              <w:rPr>
                <w:sz w:val="20"/>
                <w:szCs w:val="20"/>
                <w:color w:val="auto"/>
              </w:rPr>
            </w:pPr>
            <w:r>
              <w:rPr>
                <w:rFonts w:ascii="Times New Roman" w:cs="Times New Roman" w:eastAsia="Times New Roman" w:hAnsi="Times New Roman"/>
                <w:sz w:val="14"/>
                <w:szCs w:val="14"/>
                <w:color w:val="auto"/>
              </w:rPr>
              <w:t xml:space="preserve">15-year TBA securities, net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43,252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19,301</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25,128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62,553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72,156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78,730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79,429</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CMO Agency RMBS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Agency RMBS and TBA securities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69,742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66,941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79,027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79,744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2"/>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 portfolio</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71,468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68,630</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81,250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81,999</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10-Q.</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$0.4 billion of forward settling non-Agency securities as of December 31, 2021.</w:t>
      </w:r>
    </w:p>
    <w:p>
      <w:pPr>
        <w:spacing w:after="0" w:line="16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TBA and forward settling securities are recorded as derivative instruments in our accompanying consolidated financial statements, and our TBA dollar roll transactions represent a form of off-balance sheet financing. As of March 31, 2022 and December 31, 2021, our TBA position and forward settling securities had a net carrying value of $(609) million and $(44) million, respectively, reported in derivative assets/(liabilities) on our accompanying consolidated balance sheets. The net carrying value represents the difference between the fair value of the underlying security in the TBA contract or forward purchase agreement and the price to be paid or received for the underlying security.</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weighted average yield on our investment securities (excluding TBA and forward settling securities) was 2.56% and 2.43%,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fixed rate Agency RMBS portfolio, inclusive of TBA securities, as of March 31, 2022 and December 31, 2021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8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Specified Pool</w:t>
            </w:r>
          </w:p>
        </w:tc>
        <w:tc>
          <w:tcPr>
            <w:tcW w:w="2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xml:space="preserve">WAC </w:t>
            </w:r>
            <w:r>
              <w:rPr>
                <w:rFonts w:ascii="Times New Roman" w:cs="Times New Roman" w:eastAsia="Times New Roman" w:hAnsi="Times New Roman"/>
                <w:sz w:val="18"/>
                <w:szCs w:val="18"/>
                <w:b w:val="1"/>
                <w:bCs w:val="1"/>
                <w:color w:val="auto"/>
                <w:w w:val="95"/>
                <w:vertAlign w:val="superscript"/>
              </w:rPr>
              <w:t>2</w:t>
            </w:r>
          </w:p>
        </w:tc>
        <w:tc>
          <w:tcPr>
            <w:tcW w:w="140" w:type="dxa"/>
            <w:vAlign w:val="bottom"/>
          </w:tcPr>
          <w:p>
            <w:pPr>
              <w:spacing w:after="0"/>
              <w:rPr>
                <w:sz w:val="14"/>
                <w:szCs w:val="14"/>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3"/>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2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196"/>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2.69%</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105.4%</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3.02%</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4.03%</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4.5%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102.7%</w:t>
            </w: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5"/>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104.9%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3.27%</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3.28%</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3.56%</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4.51%</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107.1%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5.02%</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0"/>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63,012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65,218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62,553</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3.72%</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March 31, 2022, lower balance specified pools had a weighted average original loan balance of $122,000 and $122,000 for 15-year and 30-year securities, respectively, and HARP pools had a weighted average original LTV of 128% and 138% for 15-year and 30-year securities, respectively.</w:t>
      </w: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Specified Pool</w:t>
            </w:r>
          </w:p>
        </w:tc>
        <w:tc>
          <w:tcPr>
            <w:tcW w:w="220" w:type="dxa"/>
            <w:vAlign w:val="bottom"/>
          </w:tcPr>
          <w:p>
            <w:pPr>
              <w:spacing w:after="0"/>
              <w:rPr>
                <w:sz w:val="17"/>
                <w:szCs w:val="17"/>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08"/>
        </w:trPr>
        <w:tc>
          <w:tcPr>
            <w:tcW w:w="23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WAC </w:t>
            </w:r>
            <w:r>
              <w:rPr>
                <w:rFonts w:ascii="Times New Roman" w:cs="Times New Roman" w:eastAsia="Times New Roman" w:hAnsi="Times New Roman"/>
                <w:sz w:val="18"/>
                <w:szCs w:val="18"/>
                <w:b w:val="1"/>
                <w:bCs w:val="1"/>
                <w:color w:val="auto"/>
                <w:vertAlign w:val="superscript"/>
              </w:rPr>
              <w:t>2</w:t>
            </w:r>
          </w:p>
        </w:tc>
        <w:tc>
          <w:tcPr>
            <w:tcW w:w="14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3"/>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22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196"/>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2.68%</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1.29%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105.4%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1.16%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3.55%</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2.46%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4.03%</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2.73%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4.0%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102.9%</w:t>
            </w: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4.61%</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2.88%</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2.44%</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5"/>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20-year: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2.86%</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1.42%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1.48%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3.78%</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2.16%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4.05%</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2.95%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4.74%</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3.08%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20-year:</w:t>
            </w: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1.77%</w:t>
            </w:r>
          </w:p>
        </w:tc>
        <w:tc>
          <w:tcPr>
            <w:tcW w:w="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2.0%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2.86%</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1.92%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3.16%</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1.96%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3.61%</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2.52%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4.05%</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2.59%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2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4.51%</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2.81%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5.02%</w:t>
            </w:r>
          </w:p>
        </w:tc>
        <w:tc>
          <w:tcPr>
            <w:tcW w:w="8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3.06%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0"/>
        </w:trPr>
        <w:tc>
          <w:tcPr>
            <w:tcW w:w="2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30-year</w:t>
            </w: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70,059</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72,156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72,776</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3.71%</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2.36%</w:t>
            </w:r>
          </w:p>
        </w:tc>
        <w:tc>
          <w:tcPr>
            <w:tcW w:w="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79,429</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2.34%</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preceding table for specified pool composition. As of December 31, 2021, lower balance specified pools had a weighted average original loan balance of $119,000 and $117,000 for 15-year and 30-year securities, respectively, and HARP pools had a weighted average original LTV of 127% and 138% for 15-year and 30-year securities, respectively.</w:t>
      </w: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2021.</w:t>
      </w:r>
    </w:p>
    <w:p>
      <w:pPr>
        <w:spacing w:after="0" w:line="1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details regarding our CRT and non-Agency securities, including credit ratings, as of March 31, 2022 and December 31, 2021, please refer to Note 3 of our Consolidated Financial Statements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0" w:name="page31"/>
    <w:bookmarkEnd w:id="3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that we are required to distribute to maintain our REIT qualification status.</w:t>
      </w:r>
    </w:p>
    <w:p>
      <w:pPr>
        <w:spacing w:after="0" w:line="14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w:t>
      </w:r>
    </w:p>
    <w:p>
      <w:pPr>
        <w:spacing w:after="0" w:line="243" w:lineRule="exact"/>
        <w:rPr>
          <w:sz w:val="20"/>
          <w:szCs w:val="20"/>
          <w:color w:val="auto"/>
        </w:rPr>
      </w:pPr>
    </w:p>
    <w:p>
      <w:pPr>
        <w:ind w:right="40" w:firstLine="445"/>
        <w:spacing w:after="0" w:line="250" w:lineRule="auto"/>
        <w:rPr>
          <w:sz w:val="20"/>
          <w:szCs w:val="20"/>
          <w:color w:val="auto"/>
        </w:rPr>
      </w:pPr>
      <w:r>
        <w:rPr>
          <w:rFonts w:ascii="Times New Roman" w:cs="Times New Roman" w:eastAsia="Times New Roman" w:hAnsi="Times New Roman"/>
          <w:sz w:val="18"/>
          <w:szCs w:val="18"/>
          <w:color w:val="auto"/>
        </w:rPr>
        <w:t>The following selected financial data is derived from our interim consolidated financial statements and the notes thereto. The tables below present our condensed consolidated balance sheets as of March 31, 2022 and December 31, 2021 and condensed consolidated statements of comprehensive income and key statistics for the three months ended March 31, 2022 and 2021 (in millions, except per share amounts):</w:t>
      </w:r>
    </w:p>
    <w:p>
      <w:pPr>
        <w:spacing w:after="0" w:line="8"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2140" w:type="dxa"/>
            <w:vAlign w:val="bottom"/>
          </w:tcPr>
          <w:p>
            <w:pPr>
              <w:spacing w:after="0"/>
              <w:rPr>
                <w:sz w:val="17"/>
                <w:szCs w:val="17"/>
                <w:color w:val="auto"/>
              </w:rPr>
            </w:pPr>
          </w:p>
        </w:tc>
        <w:tc>
          <w:tcPr>
            <w:tcW w:w="11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at fair value</w:t>
            </w:r>
          </w:p>
        </w:tc>
        <w:tc>
          <w:tcPr>
            <w:tcW w:w="2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54,421</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68,149</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2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47,507</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57,858</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10,291</w:t>
            </w:r>
          </w:p>
        </w:tc>
      </w:tr>
      <w:tr>
        <w:trPr>
          <w:trHeight w:val="216"/>
        </w:trPr>
        <w:tc>
          <w:tcPr>
            <w:tcW w:w="48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1"/>
                <w:szCs w:val="21"/>
                <w:color w:val="auto"/>
                <w:vertAlign w:val="superscript"/>
              </w:rPr>
              <w:t>1</w:t>
            </w:r>
          </w:p>
        </w:tc>
        <w:tc>
          <w:tcPr>
            <w:tcW w:w="2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16.76</w:t>
            </w:r>
          </w:p>
        </w:tc>
      </w:tr>
      <w:tr>
        <w:trPr>
          <w:trHeight w:val="216"/>
        </w:trPr>
        <w:tc>
          <w:tcPr>
            <w:tcW w:w="4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1"/>
                <w:szCs w:val="21"/>
                <w:color w:val="auto"/>
                <w:vertAlign w:val="superscript"/>
              </w:rPr>
              <w:t>2</w:t>
            </w:r>
          </w:p>
        </w:tc>
        <w:tc>
          <w:tcPr>
            <w:tcW w:w="2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15.75</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tbl>
      <w:tblPr>
        <w:tblLayout w:type="fixed"/>
        <w:tblInd w:w="70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96"/>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 (Unaudited)</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1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0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6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0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533.7</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51,749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56,641</w:t>
            </w:r>
          </w:p>
        </w:tc>
      </w:tr>
      <w:tr>
        <w:trPr>
          <w:trHeight w:val="21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53,535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58,948</w:t>
            </w:r>
          </w:p>
        </w:tc>
      </w:tr>
      <w:tr>
        <w:trPr>
          <w:trHeight w:val="21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23,605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32,022</w:t>
            </w:r>
          </w:p>
        </w:tc>
      </w:tr>
      <w:tr>
        <w:trPr>
          <w:trHeight w:val="21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67,213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79,415</w:t>
            </w:r>
          </w:p>
        </w:tc>
      </w:tr>
      <w:tr>
        <w:trPr>
          <w:trHeight w:val="21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46,570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54,602</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4</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9,545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11,312</w:t>
            </w:r>
          </w:p>
        </w:tc>
      </w:tr>
    </w:tbl>
    <w:p>
      <w:pPr>
        <w:spacing w:after="0" w:line="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5</w:t>
            </w:r>
          </w:p>
        </w:tc>
        <w:tc>
          <w:tcPr>
            <w:tcW w:w="2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7.8:1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6</w:t>
            </w:r>
          </w:p>
        </w:tc>
        <w:tc>
          <w:tcPr>
            <w:tcW w:w="2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7.5:1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 unannualized </w:t>
            </w:r>
            <w:r>
              <w:rPr>
                <w:rFonts w:ascii="Times New Roman" w:cs="Times New Roman" w:eastAsia="Times New Roman" w:hAnsi="Times New Roman"/>
                <w:sz w:val="18"/>
                <w:szCs w:val="18"/>
                <w:color w:val="auto"/>
                <w:vertAlign w:val="superscript"/>
              </w:rPr>
              <w:t>7</w:t>
            </w:r>
          </w:p>
        </w:tc>
        <w:tc>
          <w:tcPr>
            <w:tcW w:w="2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(14.4)%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 - annualized</w:t>
            </w:r>
          </w:p>
        </w:tc>
        <w:tc>
          <w:tcPr>
            <w:tcW w:w="2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0.12 %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 - annualized</w:t>
            </w:r>
          </w:p>
        </w:tc>
        <w:tc>
          <w:tcPr>
            <w:tcW w:w="2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0.09 %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0.09 %</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 - annualized</w:t>
            </w:r>
          </w:p>
        </w:tc>
        <w:tc>
          <w:tcPr>
            <w:tcW w:w="2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0.88 %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0.85 %</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spacing w:after="0" w:line="3" w:lineRule="exact"/>
        <w:rPr>
          <w:sz w:val="20"/>
          <w:szCs w:val="20"/>
          <w:color w:val="auto"/>
        </w:rPr>
      </w:pPr>
    </w:p>
    <w:p>
      <w:pPr>
        <w:ind w:left="660" w:hanging="328"/>
        <w:spacing w:after="0" w:line="259"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17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excludes U.S. Treasury repurchase agreements and TBA contracts. Other debt includes debt of consolidated VIEs.</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4" w:lineRule="exact"/>
        <w:rPr>
          <w:rFonts w:ascii="Times New Roman" w:cs="Times New Roman" w:eastAsia="Times New Roman" w:hAnsi="Times New Roman"/>
          <w:sz w:val="14"/>
          <w:szCs w:val="14"/>
          <w:color w:val="auto"/>
        </w:rPr>
      </w:pPr>
    </w:p>
    <w:p>
      <w:pPr>
        <w:jc w:val="both"/>
        <w:ind w:left="660" w:hanging="328"/>
        <w:spacing w:after="0" w:line="260"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ind w:left="660" w:hanging="328"/>
        <w:spacing w:after="0" w:line="283"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2" w:name="page33"/>
    <w:bookmarkEnd w:id="32"/>
    <w:p>
      <w:pPr>
        <w:ind w:left="660" w:right="20" w:hanging="328"/>
        <w:spacing w:after="0" w:line="302"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Income and Asset Yields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economic interest income (a non-GAAP measure) for the three months ended March 31, 2022 and 2021,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79"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0.48 %</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0" w:type="dxa"/>
            <w:vAlign w:val="bottom"/>
          </w:tcPr>
          <w:p>
            <w:pPr>
              <w:spacing w:after="0"/>
              <w:rPr>
                <w:sz w:val="1"/>
                <w:szCs w:val="1"/>
                <w:color w:val="auto"/>
              </w:rPr>
            </w:pPr>
          </w:p>
        </w:tc>
      </w:tr>
      <w:tr>
        <w:trPr>
          <w:trHeight w:val="139"/>
        </w:trPr>
        <w:tc>
          <w:tcPr>
            <w:tcW w:w="42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Estimated "catch-up" premium amortization cost (benefit) due to</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93"/>
        </w:trPr>
        <w:tc>
          <w:tcPr>
            <w:tcW w:w="4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CPR forecast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9"/>
                <w:szCs w:val="9"/>
                <w:color w:val="auto"/>
              </w:rPr>
              <w:t>1,2</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23"/>
        </w:trPr>
        <w:tc>
          <w:tcPr>
            <w:tcW w:w="42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Economic interest income, excluding "catch-up" amortization (non-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0" w:type="dxa"/>
            <w:vAlign w:val="bottom"/>
          </w:tcPr>
          <w:p>
            <w:pPr>
              <w:spacing w:after="0"/>
              <w:rPr>
                <w:sz w:val="1"/>
                <w:szCs w:val="1"/>
                <w:color w:val="auto"/>
              </w:rPr>
            </w:pPr>
          </w:p>
        </w:tc>
      </w:tr>
      <w:tr>
        <w:trPr>
          <w:trHeight w:val="194"/>
        </w:trPr>
        <w:tc>
          <w:tcPr>
            <w:tcW w:w="428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GAAP measure) </w:t>
            </w:r>
            <w:r>
              <w:rPr>
                <w:rFonts w:ascii="Times New Roman" w:cs="Times New Roman" w:eastAsia="Times New Roman" w:hAnsi="Times New Roman"/>
                <w:sz w:val="18"/>
                <w:szCs w:val="18"/>
                <w:color w:val="auto"/>
                <w:vertAlign w:val="superscript"/>
              </w:rPr>
              <w:t>3</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886" w:right="339" w:bottom="1440" w:gutter="0" w:footer="0" w:header="0"/>
        </w:sectPr>
      </w:pPr>
    </w:p>
    <w:p>
      <w:pPr>
        <w:ind w:left="1640"/>
        <w:spacing w:after="0" w:line="251" w:lineRule="auto"/>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-207645</wp:posOffset>
            </wp:positionV>
            <wp:extent cx="50749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74920" cy="214630"/>
                    </a:xfrm>
                    <a:prstGeom prst="rect">
                      <a:avLst/>
                    </a:prstGeom>
                    <a:noFill/>
                  </pic:spPr>
                </pic:pic>
              </a:graphicData>
            </a:graphic>
          </wp:anchor>
        </w:drawing>
      </w:r>
    </w:p>
    <w:p>
      <w:pPr>
        <w:ind w:left="1640"/>
        <w:spacing w:after="0" w:line="251" w:lineRule="auto"/>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 period end</w:t>
      </w:r>
    </w:p>
    <w:p>
      <w:pPr>
        <w:spacing w:after="0" w:line="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-95885</wp:posOffset>
            </wp:positionV>
            <wp:extent cx="50749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74920" cy="128905"/>
                    </a:xfrm>
                    <a:prstGeom prst="rect">
                      <a:avLst/>
                    </a:prstGeom>
                    <a:noFill/>
                  </pic:spPr>
                </pic:pic>
              </a:graphicData>
            </a:graphic>
          </wp:anchor>
        </w:drawing>
      </w:r>
    </w:p>
    <w:p>
      <w:pPr>
        <w:spacing w:after="0" w:line="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10-year U.S. Treasury rate as of period end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4"/>
          <w:szCs w:val="14"/>
          <w:color w:val="auto"/>
        </w:rPr>
        <w:t>14.5 %</w:t>
      </w:r>
      <w:r>
        <w:rPr>
          <w:sz w:val="20"/>
          <w:szCs w:val="20"/>
          <w:color w:val="auto"/>
        </w:rPr>
        <w:tab/>
      </w:r>
      <w:r>
        <w:rPr>
          <w:rFonts w:ascii="Times New Roman" w:cs="Times New Roman" w:eastAsia="Times New Roman" w:hAnsi="Times New Roman"/>
          <w:sz w:val="14"/>
          <w:szCs w:val="14"/>
          <w:color w:val="auto"/>
        </w:rPr>
        <w:t>24.6 %</w:t>
      </w:r>
    </w:p>
    <w:p>
      <w:pPr>
        <w:spacing w:after="0" w:line="177" w:lineRule="exact"/>
        <w:rPr>
          <w:sz w:val="20"/>
          <w:szCs w:val="20"/>
          <w:color w:val="auto"/>
        </w:rPr>
      </w:pPr>
    </w:p>
    <w:p>
      <w:pPr>
        <w:ind w:left="60"/>
        <w:spacing w:after="0"/>
        <w:tabs>
          <w:tab w:leader="none" w:pos="1900" w:val="left"/>
        </w:tabs>
        <w:rPr>
          <w:sz w:val="20"/>
          <w:szCs w:val="20"/>
          <w:color w:val="auto"/>
        </w:rPr>
      </w:pPr>
      <w:r>
        <w:rPr>
          <w:rFonts w:ascii="Times New Roman" w:cs="Times New Roman" w:eastAsia="Times New Roman" w:hAnsi="Times New Roman"/>
          <w:sz w:val="14"/>
          <w:szCs w:val="14"/>
          <w:color w:val="auto"/>
        </w:rPr>
        <w:t>7.9 %</w:t>
      </w:r>
      <w:r>
        <w:rPr>
          <w:sz w:val="20"/>
          <w:szCs w:val="20"/>
          <w:color w:val="auto"/>
        </w:rPr>
        <w:tab/>
      </w:r>
      <w:r>
        <w:rPr>
          <w:rFonts w:ascii="Times New Roman" w:cs="Times New Roman" w:eastAsia="Times New Roman" w:hAnsi="Times New Roman"/>
          <w:sz w:val="14"/>
          <w:szCs w:val="14"/>
          <w:color w:val="auto"/>
        </w:rPr>
        <w:t>11.3 %</w:t>
      </w:r>
    </w:p>
    <w:p>
      <w:pPr>
        <w:spacing w:after="0" w:line="42"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4"/>
          <w:szCs w:val="14"/>
          <w:color w:val="auto"/>
        </w:rPr>
        <w:t>4.90 %</w:t>
      </w:r>
      <w:r>
        <w:rPr>
          <w:sz w:val="20"/>
          <w:szCs w:val="20"/>
          <w:color w:val="auto"/>
        </w:rPr>
        <w:tab/>
      </w:r>
      <w:r>
        <w:rPr>
          <w:rFonts w:ascii="Times New Roman" w:cs="Times New Roman" w:eastAsia="Times New Roman" w:hAnsi="Times New Roman"/>
          <w:sz w:val="14"/>
          <w:szCs w:val="14"/>
          <w:color w:val="auto"/>
        </w:rPr>
        <w:t>3.27 %</w:t>
      </w:r>
    </w:p>
    <w:p>
      <w:pPr>
        <w:spacing w:after="0" w:line="42"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4"/>
          <w:szCs w:val="14"/>
          <w:color w:val="auto"/>
        </w:rPr>
        <w:t>2.34 %</w:t>
      </w:r>
      <w:r>
        <w:rPr>
          <w:sz w:val="20"/>
          <w:szCs w:val="20"/>
          <w:color w:val="auto"/>
        </w:rPr>
        <w:tab/>
      </w:r>
      <w:r>
        <w:rPr>
          <w:rFonts w:ascii="Times New Roman" w:cs="Times New Roman" w:eastAsia="Times New Roman" w:hAnsi="Times New Roman"/>
          <w:sz w:val="14"/>
          <w:szCs w:val="14"/>
          <w:color w:val="auto"/>
        </w:rPr>
        <w:t>1.74 %</w:t>
      </w:r>
    </w:p>
    <w:p>
      <w:pPr>
        <w:spacing w:after="0" w:line="285" w:lineRule="exact"/>
        <w:rPr>
          <w:sz w:val="20"/>
          <w:szCs w:val="20"/>
          <w:color w:val="auto"/>
        </w:rPr>
      </w:pPr>
    </w:p>
    <w:p>
      <w:pPr>
        <w:sectPr>
          <w:pgSz w:w="11900" w:h="16838" w:orient="portrait"/>
          <w:cols w:equalWidth="0" w:num="2">
            <w:col w:w="5640" w:space="700"/>
            <w:col w:w="4900"/>
          </w:cols>
          <w:pgMar w:left="320" w:top="886" w:right="339" w:bottom="1440" w:gutter="0" w:footer="0" w:header="0"/>
          <w:type w:val="continuous"/>
        </w:sectPr>
      </w:pP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spacing w:after="0" w:line="13"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TBA balances outstanding during the period and their respective yields.</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Bloomberg</w:t>
      </w:r>
    </w:p>
    <w:p>
      <w:pPr>
        <w:spacing w:after="0" w:line="15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principal elements impacting our economic interest income are the size of our average investment portfolio and the yield on our securities. The following table includes a summary of the estimated impact of each of these elements on our economic interest income for the three months ended March 31, 2022 compared to the prior year period (in millions):</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2022 vs. March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r>
      <w:tr>
        <w:trPr>
          <w:trHeight w:val="137"/>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1"/>
                <w:szCs w:val="11"/>
                <w:color w:val="auto"/>
              </w:rPr>
            </w:pPr>
          </w:p>
        </w:tc>
        <w:tc>
          <w:tcPr>
            <w:tcW w:w="112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b w:val="1"/>
                <w:bCs w:val="1"/>
                <w:color w:val="auto"/>
              </w:rPr>
              <w:t>Asset</w:t>
            </w:r>
          </w:p>
        </w:tc>
      </w:tr>
      <w:tr>
        <w:trPr>
          <w:trHeight w:val="195"/>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201"/>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7"/>
                <w:szCs w:val="17"/>
                <w:color w:val="auto"/>
              </w:rPr>
            </w:pPr>
          </w:p>
        </w:tc>
        <w:tc>
          <w:tcPr>
            <w:tcW w:w="112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9"/>
              </w:rPr>
              <w:t>54</w:t>
            </w:r>
          </w:p>
        </w:tc>
      </w:tr>
      <w:tr>
        <w:trPr>
          <w:trHeight w:val="203"/>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9"/>
              </w:rPr>
              <w:t>23</w:t>
            </w:r>
          </w:p>
        </w:tc>
      </w:tr>
      <w:tr>
        <w:trPr>
          <w:trHeight w:val="196"/>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w w:val="99"/>
              </w:rPr>
              <w:t>37</w:t>
            </w:r>
          </w:p>
        </w:tc>
      </w:tr>
      <w:tr>
        <w:trPr>
          <w:trHeight w:val="22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9"/>
              </w:rPr>
              <w:t>60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average investment portfolio, inclusive of TBAs (at cost), decreased 15% for the three months ended March 31, 2022, compared to the prior year period, primarily due to a decline in stockholders' equity. The average yield on our investment portfolio, including TBA implied asset yields and excluding "catch-up" premium amortization, increased 26 basis points largely due to changes in asset composition and slower CPR projections.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for further discussion of TBA securities and dollar roll transactions). Repurchase agreements used to fund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6"/>
          </w:tcPr>
          <w:p>
            <w:pPr>
              <w:jc w:val="center"/>
              <w:ind w:left="472"/>
              <w:spacing w:after="0"/>
              <w:rPr>
                <w:sz w:val="20"/>
                <w:szCs w:val="20"/>
                <w:color w:val="auto"/>
              </w:rPr>
            </w:pPr>
            <w:r>
              <w:rPr>
                <w:rFonts w:ascii="Times New Roman" w:cs="Times New Roman" w:eastAsia="Times New Roman" w:hAnsi="Times New Roman"/>
                <w:sz w:val="13"/>
                <w:szCs w:val="13"/>
                <w:b w:val="1"/>
                <w:bCs w:val="1"/>
                <w:color w:val="auto"/>
                <w:w w:val="95"/>
              </w:rPr>
              <w:t>Repurchase Agreements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Tangible Net Book</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Other Debt </w:t>
            </w:r>
            <w:r>
              <w:rPr>
                <w:rFonts w:ascii="Times New Roman" w:cs="Times New Roman" w:eastAsia="Times New Roman" w:hAnsi="Times New Roman"/>
                <w:sz w:val="14"/>
                <w:szCs w:val="14"/>
                <w:b w:val="1"/>
                <w:bCs w:val="1"/>
                <w:color w:val="auto"/>
                <w:vertAlign w:val="superscript"/>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2"/>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Long/(Short) </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Average Tangible Net</w:t>
            </w:r>
          </w:p>
        </w:tc>
        <w:tc>
          <w:tcPr>
            <w:tcW w:w="13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Value "At Risk"</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Average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Ending</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Book Value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"At Risk" Leverage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as of</w:t>
            </w:r>
          </w:p>
        </w:tc>
        <w:tc>
          <w:tcPr>
            <w:tcW w:w="0" w:type="dxa"/>
            <w:vAlign w:val="bottom"/>
          </w:tcPr>
          <w:p>
            <w:pPr>
              <w:spacing w:after="0"/>
              <w:rPr>
                <w:sz w:val="1"/>
                <w:szCs w:val="1"/>
                <w:color w:val="auto"/>
              </w:rPr>
            </w:pPr>
          </w:p>
        </w:tc>
      </w:tr>
      <w:tr>
        <w:trPr>
          <w:trHeight w:val="18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160" w:type="dxa"/>
            <w:vAlign w:val="bottom"/>
          </w:tcPr>
          <w:p>
            <w:pPr>
              <w:spacing w:after="0"/>
              <w:rPr>
                <w:sz w:val="16"/>
                <w:szCs w:val="16"/>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Daily Amount</w:t>
            </w:r>
          </w:p>
        </w:tc>
        <w:tc>
          <w:tcPr>
            <w:tcW w:w="16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 xml:space="preserve">during the Period </w:t>
            </w:r>
            <w:r>
              <w:rPr>
                <w:rFonts w:ascii="Times New Roman" w:cs="Times New Roman" w:eastAsia="Times New Roman" w:hAnsi="Times New Roman"/>
                <w:sz w:val="16"/>
                <w:szCs w:val="16"/>
                <w:b w:val="1"/>
                <w:bCs w:val="1"/>
                <w:color w:val="auto"/>
                <w:w w:val="97"/>
                <w:vertAlign w:val="superscript"/>
              </w:rPr>
              <w:t>3</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 xml:space="preserve">Period End </w:t>
            </w:r>
            <w:r>
              <w:rPr>
                <w:rFonts w:ascii="Times New Roman" w:cs="Times New Roman" w:eastAsia="Times New Roman" w:hAnsi="Times New Roman"/>
                <w:sz w:val="16"/>
                <w:szCs w:val="16"/>
                <w:b w:val="1"/>
                <w:bCs w:val="1"/>
                <w:color w:val="auto"/>
                <w:w w:val="94"/>
                <w:vertAlign w:val="superscript"/>
              </w:rPr>
              <w:t>4</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47,940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23,605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20,152</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7.8:1</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9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48,524</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29,014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27,622</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7.6:1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2021</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25,355</w:t>
            </w:r>
          </w:p>
        </w:tc>
        <w:tc>
          <w:tcPr>
            <w:tcW w:w="14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8"/>
              </w:rPr>
              <w:t>8.0:1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 Includes forward settling non-Agency securities.</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69"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152" w:lineRule="exact"/>
        <w:rPr>
          <w:rFonts w:ascii="Times New Roman" w:cs="Times New Roman" w:eastAsia="Times New Roman" w:hAnsi="Times New Roman"/>
          <w:sz w:val="14"/>
          <w:szCs w:val="14"/>
          <w:color w:val="auto"/>
        </w:rPr>
      </w:pPr>
    </w:p>
    <w:p>
      <w:pPr>
        <w:jc w:val="both"/>
        <w:ind w:left="660" w:hanging="328"/>
        <w:spacing w:after="0" w:line="272"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Expense and Aggregate Cost of Funds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 summarizes our economic interest expense and aggregate cost of funds (non-GAAP measures) for the three months ended March 31, 2022 and 2021 (dollars in millions), which includes the combination of interest expense on Agency repurchase agreements and other debt (GAAP measure), implied financing cost (benefit) of our TBA securities and interest rate swap periodic cost:</w:t>
      </w:r>
    </w:p>
    <w:p>
      <w:pPr>
        <w:spacing w:after="0" w:line="2"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2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860" w:type="dxa"/>
            <w:vAlign w:val="bottom"/>
          </w:tcPr>
          <w:p>
            <w:pPr>
              <w:jc w:val="right"/>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700" w:type="dxa"/>
            <w:vAlign w:val="bottom"/>
          </w:tcPr>
          <w:p>
            <w:pPr>
              <w:jc w:val="right"/>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Cost of</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Funds</w:t>
            </w:r>
          </w:p>
        </w:tc>
        <w:tc>
          <w:tcPr>
            <w:tcW w:w="0" w:type="dxa"/>
            <w:vAlign w:val="bottom"/>
          </w:tcPr>
          <w:p>
            <w:pPr>
              <w:spacing w:after="0"/>
              <w:rPr>
                <w:sz w:val="1"/>
                <w:szCs w:val="1"/>
                <w:color w:val="auto"/>
              </w:rPr>
            </w:pPr>
          </w:p>
        </w:tc>
      </w:tr>
      <w:tr>
        <w:trPr>
          <w:trHeight w:val="129"/>
        </w:trPr>
        <w:tc>
          <w:tcPr>
            <w:tcW w:w="4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Repurchase agreement and other debt - interest expense (GAAP</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0.23 %</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0.21 %</w:t>
            </w: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measure)</w:t>
            </w: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TBA dollar roll income - implied interest expense (benefit) </w:t>
            </w:r>
            <w:r>
              <w:rPr>
                <w:rFonts w:ascii="Times New Roman" w:cs="Times New Roman" w:eastAsia="Times New Roman" w:hAnsi="Times New Roman"/>
                <w:sz w:val="18"/>
                <w:szCs w:val="18"/>
                <w:color w:val="auto"/>
                <w:vertAlign w:val="superscript"/>
              </w:rPr>
              <w:t>2,3</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115"/>
        </w:trPr>
        <w:tc>
          <w:tcPr>
            <w:tcW w:w="4260" w:type="dxa"/>
            <w:vAlign w:val="bottom"/>
            <w:gridSpan w:val="2"/>
            <w:shd w:val="clear" w:color="auto" w:fill="CCEEFF"/>
          </w:tcPr>
          <w:p>
            <w:pPr>
              <w:ind w:left="160"/>
              <w:spacing w:after="0" w:line="115" w:lineRule="exact"/>
              <w:rPr>
                <w:sz w:val="20"/>
                <w:szCs w:val="20"/>
                <w:color w:val="auto"/>
              </w:rPr>
            </w:pPr>
            <w:r>
              <w:rPr>
                <w:rFonts w:ascii="Times New Roman" w:cs="Times New Roman" w:eastAsia="Times New Roman" w:hAnsi="Times New Roman"/>
                <w:sz w:val="13"/>
                <w:szCs w:val="13"/>
                <w:color w:val="auto"/>
              </w:rPr>
              <w:t>Economic interest expense (benefit) - before interest rate swap</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periodic cost, net </w:t>
            </w:r>
            <w:r>
              <w:rPr>
                <w:rFonts w:ascii="Times New Roman" w:cs="Times New Roman" w:eastAsia="Times New Roman" w:hAnsi="Times New Roman"/>
                <w:sz w:val="9"/>
                <w:szCs w:val="9"/>
                <w:color w:val="auto"/>
              </w:rPr>
              <w:t>4</w:t>
            </w: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periodic cost (income), net </w:t>
            </w:r>
            <w:r>
              <w:rPr>
                <w:rFonts w:ascii="Times New Roman" w:cs="Times New Roman" w:eastAsia="Times New Roman" w:hAnsi="Times New Roman"/>
                <w:sz w:val="18"/>
                <w:szCs w:val="18"/>
                <w:color w:val="auto"/>
                <w:vertAlign w:val="superscript"/>
              </w:rPr>
              <w:t>2,5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0" w:type="dxa"/>
            <w:vAlign w:val="bottom"/>
          </w:tcPr>
          <w:p>
            <w:pPr>
              <w:spacing w:after="0"/>
              <w:rPr>
                <w:sz w:val="1"/>
                <w:szCs w:val="1"/>
                <w:color w:val="auto"/>
              </w:rPr>
            </w:pPr>
          </w:p>
        </w:tc>
      </w:tr>
      <w:tr>
        <w:trPr>
          <w:trHeight w:val="221"/>
        </w:trPr>
        <w:tc>
          <w:tcPr>
            <w:tcW w:w="4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economic interest expense (benefit) (non-GAAP measure)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line="259"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Times New Roman" w:cs="Times New Roman" w:eastAsia="Times New Roman" w:hAnsi="Times New Roman"/>
          <w:sz w:val="14"/>
          <w:szCs w:val="14"/>
          <w:color w:val="auto"/>
        </w:rPr>
      </w:pPr>
    </w:p>
    <w:p>
      <w:pPr>
        <w:ind w:left="660" w:hanging="328"/>
        <w:spacing w:after="0" w:line="254"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cost is measured as a percent of average mortgage borrowings outstanding for the period.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months ended March 31, 2022 compared to the prior year period (in millions):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33655</wp:posOffset>
            </wp:positionV>
            <wp:extent cx="6703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March 31, 2022 vs.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33655</wp:posOffset>
            </wp:positionV>
            <wp:extent cx="6703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Due to Change in Average</w:t>
      </w:r>
    </w:p>
    <w:p>
      <w:pPr>
        <w:spacing w:after="0" w:line="33" w:lineRule="exact"/>
        <w:rPr>
          <w:sz w:val="20"/>
          <w:szCs w:val="20"/>
          <w:color w:val="auto"/>
        </w:rPr>
      </w:pPr>
    </w:p>
    <w:tbl>
      <w:tblPr>
        <w:tblLayout w:type="fixed"/>
        <w:tblInd w:w="340" w:type="dxa"/>
        <w:tblCellMar>
          <w:top w:w="0" w:type="dxa"/>
          <w:left w:w="0" w:type="dxa"/>
          <w:bottom w:w="0" w:type="dxa"/>
          <w:right w:w="0" w:type="dxa"/>
        </w:tblCellMar>
      </w:tblPr>
      <w:tr>
        <w:trPr>
          <w:trHeight w:val="151"/>
        </w:trPr>
        <w:tc>
          <w:tcPr>
            <w:tcW w:w="6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gridSpan w:val="2"/>
            <w:shd w:val="clear" w:color="auto" w:fill="CCEEFF"/>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center"/>
              <w:ind w:right="48"/>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r>
      <w:tr>
        <w:trPr>
          <w:trHeight w:val="200"/>
        </w:trPr>
        <w:tc>
          <w:tcPr>
            <w:tcW w:w="6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189"/>
        </w:trPr>
        <w:tc>
          <w:tcPr>
            <w:tcW w:w="6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Repurchase agreements and other debt interest expense</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center"/>
              <w:ind w:left="988"/>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benefit/expense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968"/>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6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 periodic cost</w:t>
            </w: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988"/>
              <w:spacing w:after="0"/>
              <w:rPr>
                <w:sz w:val="20"/>
                <w:szCs w:val="20"/>
                <w:color w:val="auto"/>
              </w:rPr>
            </w:pPr>
            <w:r>
              <w:rPr>
                <w:rFonts w:ascii="Times New Roman" w:cs="Times New Roman" w:eastAsia="Times New Roman" w:hAnsi="Times New Roman"/>
                <w:sz w:val="14"/>
                <w:szCs w:val="14"/>
                <w:color w:val="auto"/>
              </w:rPr>
              <w:t>4</w:t>
            </w:r>
          </w:p>
        </w:tc>
      </w:tr>
      <w:tr>
        <w:trPr>
          <w:trHeight w:val="22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benefit/expense</w:t>
            </w:r>
          </w:p>
        </w:tc>
        <w:tc>
          <w:tcPr>
            <w:tcW w:w="116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average mortgage borrowings, inclusive of TBAs, decreased 19% for the three months ended March 31, 2022, compared to the prior year period, due to a decline in stockholders' equity and smaller asset base. The average interest rate on our mortgage borrowings for the three months ended March 31, 2022 was largely unchanged from the prior year period, increasing 3 basis points. The increase in our interest rate swap periodic cost for the three months ended March 31, 2022 was a function of our average swap balance outstanding and the average fixed rate paid / floating rate received. The following is a summary of our average interest rate swaps outstanding and the related average swap pay and receive rates for the three months ended March 31, 2022 and 2021 (dollars in millions). Amounts exclude forward starting swaps not yet in effect.</w:t>
      </w:r>
    </w:p>
    <w:tbl>
      <w:tblPr>
        <w:tblLayout w:type="fixed"/>
        <w:tblInd w:w="1080" w:type="dxa"/>
        <w:tblCellMar>
          <w:top w:w="0" w:type="dxa"/>
          <w:left w:w="0" w:type="dxa"/>
          <w:bottom w:w="0" w:type="dxa"/>
          <w:right w:w="0" w:type="dxa"/>
        </w:tblCellMar>
      </w:tblPr>
      <w:tr>
        <w:trPr>
          <w:trHeight w:val="154"/>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48"/>
              <w:spacing w:after="0" w:line="15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7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Agency repo and other debt outstanding</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46,570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54,602</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23,605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32,022</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70,175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86,624</w:t>
            </w:r>
          </w:p>
        </w:tc>
        <w:tc>
          <w:tcPr>
            <w:tcW w:w="0" w:type="dxa"/>
            <w:vAlign w:val="bottom"/>
          </w:tcPr>
          <w:p>
            <w:pPr>
              <w:spacing w:after="0"/>
              <w:rPr>
                <w:sz w:val="1"/>
                <w:szCs w:val="1"/>
                <w:color w:val="auto"/>
              </w:rPr>
            </w:pPr>
          </w:p>
        </w:tc>
      </w:tr>
      <w:tr>
        <w:trPr>
          <w:trHeight w:val="188"/>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52,543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45,211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235"/>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interest rate swap pay-fixed rate (excluding forward starting swaps)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0.16 %</w:t>
            </w:r>
          </w:p>
        </w:tc>
      </w:tr>
      <w:tr>
        <w:trPr>
          <w:trHeight w:val="19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28"/>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0.11 %</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we had an average forward starting swap balance of $0.1 billion and $0.3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months ended March 31, 2022 and 2021 was 75% and 53%,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Spread</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net interest spread (including the impact of TBA dollar roll income, interest rate swaps and excluding "catch-up" premium amortization) for the three months ended March 31, 2022 and 2021:</w:t>
      </w:r>
    </w:p>
    <w:p>
      <w:pPr>
        <w:spacing w:after="0" w:line="12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19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r>
      <w:tr>
        <w:trPr>
          <w:trHeight w:val="196"/>
        </w:trPr>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28"/>
        </w:trPr>
        <w:tc>
          <w:tcPr>
            <w:tcW w:w="6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net interest spread, excluding "catch-up" premium amortization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months ended March 31, 2022 and 2021 (dollars in millions):</w:t>
      </w:r>
    </w:p>
    <w:p>
      <w:pPr>
        <w:spacing w:after="0" w:line="80"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70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(GAAP measure)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03"/>
        </w:trPr>
        <w:tc>
          <w:tcPr>
            <w:tcW w:w="700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periodic cost (income), net </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interest and dollar roll income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expense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available to common stockholders (non-GAAP measure)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Estimated "catch-up" premium amortization cost (benefit) due to change in CPR forecast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15"/>
        </w:trPr>
        <w:tc>
          <w:tcPr>
            <w:tcW w:w="70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Net spread and dollar roll income, excluding "catch-up" premium amortization, available to common stockholders</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4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8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measure)</w:t>
            </w:r>
          </w:p>
        </w:tc>
        <w:tc>
          <w:tcPr>
            <w:tcW w:w="2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per common share - basic</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per common share - diluted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Investment Securities,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our net gain (loss) on investment securities for the three months ended March 31, 2022 and 2021 (in millions):</w:t>
      </w:r>
    </w:p>
    <w:p>
      <w:pPr>
        <w:spacing w:after="0" w:line="8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r>
      <w:tr>
        <w:trPr>
          <w:trHeight w:val="203"/>
        </w:trPr>
        <w:tc>
          <w:tcPr>
            <w:tcW w:w="7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of investment securities, net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7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Unrealized loss on investment securities measured at fair value through net income, net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r>
      <w:tr>
        <w:trPr>
          <w:trHeight w:val="19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investment securities measured at fair value through other comprehensive income, net</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0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loss on investment securities, net</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the three months ended March 31, 2022 and 2021 (in millions):</w:t>
      </w:r>
    </w:p>
    <w:p>
      <w:pPr>
        <w:spacing w:after="0" w:line="47"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200"/>
        </w:trPr>
        <w:tc>
          <w:tcPr>
            <w:tcW w:w="7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securities, dollar roll income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TBA securities, mark-to-market loss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periodic cost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mark-to-market gain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Payer swaptions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futures contracts - short position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3"/>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2 and 5 of our Consolidated Financial Statements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Taxable Income (Loss)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2022 and 2021, we had estimated taxable loss attributable to common stockholders of $(43) million and $(164) million, respectively, or $(0.08) and $(0.31)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reconciliation of our GAAP net income to our estimated taxable income (loss) for the three months ended March 31, 2022 and 2021 (dollars in millions, except per share amounts):</w:t>
      </w:r>
    </w:p>
    <w:p>
      <w:pPr>
        <w:spacing w:after="0" w:line="66"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6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95"/>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Book to tax differences: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Premium amortization,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95"/>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gain/loss, net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r>
      <w:tr>
        <w:trPr>
          <w:trHeight w:val="21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capital loss/(utilization of net capital loss carryforward)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5"/>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(gain)/loss, net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21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0"/>
        </w:trPr>
        <w:tc>
          <w:tcPr>
            <w:tcW w:w="6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Total book to tax differences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20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REIT taxable loss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96"/>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taxable income attributed to preferred stock</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REIT taxable loss attributed to common stock</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REIT taxable loss per common share - basic</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2"/>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REIT taxable loss per common share - diluted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net capital loss carryforward</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 (decrease) in net capital loss carryforward</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net capital loss carryforward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net capital loss carryforward per common share</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20"/>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most recent Annual Report on Form 10-K and Item</w:t>
      </w:r>
    </w:p>
    <w:p>
      <w:pPr>
        <w:spacing w:after="0" w:line="5" w:lineRule="exact"/>
        <w:rPr>
          <w:sz w:val="20"/>
          <w:szCs w:val="20"/>
          <w:color w:val="auto"/>
        </w:rPr>
      </w:pPr>
    </w:p>
    <w:p>
      <w:pPr>
        <w:jc w:val="both"/>
        <w:ind w:firstLine="8"/>
        <w:spacing w:after="0" w:line="255"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of Market Risks </w:t>
      </w:r>
      <w:r>
        <w:rPr>
          <w:rFonts w:ascii="Times New Roman" w:cs="Times New Roman" w:eastAsia="Times New Roman" w:hAnsi="Times New Roman"/>
          <w:sz w:val="18"/>
          <w:szCs w:val="18"/>
          <w:color w:val="auto"/>
        </w:rPr>
        <w:t>in this Form 10-Q. In assessing our liquidity, we consider a number of factors,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and Financing Sources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7.5x and 7.7x as of March 31, 2022 and December 31, 2021, respectively. The following table includes a summary of our mortgage borrowings outstanding as of March 31, 2022 and December 31, 2021 (dollars in millions). For additional details of our mortgage borrowings refer to Notes 2, 4 and 5 to our Consolidated Financial Statements in this Form 10-Q.</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02"/>
        </w:trPr>
        <w:tc>
          <w:tcPr>
            <w:tcW w:w="5680" w:type="dxa"/>
            <w:vAlign w:val="bottom"/>
            <w:tcBorders>
              <w:top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Repurchase agreements </w:t>
            </w:r>
            <w:r>
              <w:rPr>
                <w:rFonts w:ascii="Times New Roman" w:cs="Times New Roman" w:eastAsia="Times New Roman" w:hAnsi="Times New Roman"/>
                <w:sz w:val="18"/>
                <w:szCs w:val="18"/>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44,034</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46,911</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9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44,150</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47,037</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and forward settling non-Agency securities, at cost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22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74,659</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line="259" w:lineRule="auto"/>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41% and 42%, respectively, of our repurchase agreements were funded through the Fixed Income Clearing Corporation's GCF Repo service.</w:t>
      </w:r>
    </w:p>
    <w:p>
      <w:pPr>
        <w:spacing w:after="0" w:line="17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U.S. Treasury repurchase agreements.</w:t>
      </w:r>
    </w:p>
    <w:p>
      <w:pPr>
        <w:spacing w:after="0" w:line="1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Requirements and Unencumbered Assets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March 31, 2022, we had met all our margin requirements.</w:t>
      </w:r>
    </w:p>
    <w:p>
      <w:pPr>
        <w:spacing w:after="0" w:line="13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March 31, 2022, 31% our portfolio consisted of TBA securities, which are not subject to monthly principal pay-downs. The remainder of our portfolio, primarily consisted of Agency RMBS, which had an average one-year CPR forecast of 7%.</w:t>
      </w:r>
    </w:p>
    <w:p>
      <w:pPr>
        <w:spacing w:after="0" w:line="1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3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Haircut levels and minimum margin requirements imposed by our counterparties reduce the amount of our unencumbered assets and limit the amount we can borrow against our investment securities. During the three months ended March 31, 2022, haircuts remained stable. As of March 31, 2022, the weighted average haircut on our repurchase agreements was approximately 4.0% of the value of our collateral, compared to 3.8% as of December 31, December 31, 2021.</w:t>
      </w:r>
    </w:p>
    <w:p>
      <w:pPr>
        <w:spacing w:after="0" w:line="12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To mitigate the risk of margins calls, we seek to maintain excess liquidity by holding unencumbered liquid assets that can be used to satisfy collateral requirements, collateralize additional borrowings or sold for cash. As of March 31, 2022, our unencumbered assets totaled 59% of our tangible equity, compared to 67% as of December 31, 2021. The majority of our liquidity is held at AGNC, but we also maintain capital and excess liquidity at Bethesda Securities to meet regulatory standards, satisfy counterparty and clearing organization expectations, and for risk management purposes. As of March 31, 2022, we had cash and unencumbered Agency RMBS and U.S. Treasury securities totaling $3.5 billion, or 42% of our tangible equity, which excludes unencumbered CRT and non-Agency securities and assets held at Bethesda Securities, compared to $4.9 billion and 50%, respectively, as of December 31,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2022,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approximately 5% of our tangible stockholders' equity. As of March 31, 2022, approximately 8% of our tangible stockholder's equity was at risk with the FICC. Excluding central clearing exchanges, as of March 31, 2022, our amount at risk with any counterparty to our derivative agreements was less than 1% of our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of our specified pool securities, which is the incremental value in excess of equivalent coupon generic Agency RMBS. We attempt to manage this risk by maintaining at least a minimum level of securities that trade at or near TBA values that in our estimation enhances our portfolio liquidity across a wide range of market conditions.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10-Q for further details regarding our recent equity capital transactions,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2022,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2022, we had not guaranteed obligations of unconsolidated entities or entered into a commitment or intent to provide funding to such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68" w:lineRule="exact"/>
        <w:rPr>
          <w:sz w:val="20"/>
          <w:szCs w:val="20"/>
          <w:color w:val="auto"/>
        </w:rPr>
      </w:pPr>
    </w:p>
    <w:p>
      <w:pPr>
        <w:ind w:left="660" w:hanging="247"/>
        <w:spacing w:after="0" w:line="28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monetary policy or interest rates, including actions taken by the Fed to normalize monetary policy, to terminate its purchases of Agency RMBS and to reduce the size of its U.S. Treasury and Agency RMBS bond portfolio;</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yield curve;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mortgage prepayment rates on the loans underlying our Agency RMBS;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financing;</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from changes in net interest spreads, and changes in market liquidity or depth;</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mitigation strategies;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Agency RMBS and other mortgage securities;</w:t>
      </w:r>
    </w:p>
    <w:p>
      <w:pPr>
        <w:spacing w:after="0" w:line="63" w:lineRule="exact"/>
        <w:rPr>
          <w:rFonts w:ascii="Times New Roman" w:cs="Times New Roman" w:eastAsia="Times New Roman" w:hAnsi="Times New Roman"/>
          <w:sz w:val="18"/>
          <w:szCs w:val="18"/>
          <w:color w:val="auto"/>
        </w:rPr>
      </w:pPr>
    </w:p>
    <w:p>
      <w:pPr>
        <w:ind w:left="660" w:hanging="247"/>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of measures taken in response to the COVID-19 pandemic by various governmental authorities, businesses and other third parties;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federal, state, or local governments to stabilize the economy, the housing sector or financial markets;</w:t>
      </w:r>
    </w:p>
    <w:p>
      <w:pPr>
        <w:spacing w:after="0" w:line="63" w:lineRule="exact"/>
        <w:rPr>
          <w:rFonts w:ascii="Times New Roman" w:cs="Times New Roman" w:eastAsia="Times New Roman" w:hAnsi="Times New Roman"/>
          <w:sz w:val="18"/>
          <w:szCs w:val="18"/>
          <w:color w:val="auto"/>
        </w:rPr>
      </w:pPr>
    </w:p>
    <w:p>
      <w:pPr>
        <w:ind w:left="660" w:hanging="247"/>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that affect our status as a REIT, our exemption from the Investment Company Act of 1940 or the mortgage markets in which we participate; and</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caution readers not to place undue reliance on our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book value per common share as of March 31, 2022 and December 31, 2021 should interest rates go up or down by 25, 50 and 75 basis points, assuming instantaneous parallel shifts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the yield curve and including the impact of both duration and convexity. All values in the table below are measured as percentage changes from the base interest rate scenario. The base interest rate scenario assumes interest rates and prepayment projections as of March 31, 2022 and December 31, 2021.</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78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37"/>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0"/>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0" w:hanging="328"/>
        <w:spacing w:after="0" w:line="259"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our investment securities (excluding TBAs) had a weighted average projected CPR of 7.9% and 10.9%, respectively, and a weighted average yield of 2.56% and 2.43%,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10"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80" w:type="dxa"/>
            <w:vAlign w:val="bottom"/>
            <w:tcBorders>
              <w:top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3"/>
        </w:trPr>
        <w:tc>
          <w:tcPr>
            <w:tcW w:w="318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44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3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Asset Yield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6"/>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5"/>
        </w:trPr>
        <w:tc>
          <w:tcPr>
            <w:tcW w:w="3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2.58%</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and assumes a static portfolio. Actual results could differ materially from these estimates. Table excludes TBA securities.</w:t>
      </w:r>
    </w:p>
    <w:p>
      <w:pPr>
        <w:ind w:left="660" w:hanging="328"/>
        <w:spacing w:after="0"/>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March 31, 2022 and December 31, 2021 should spreads widen or tighten by 10, 25 and 50 basis points. The estimated impact of changes in spreads is in addition to our interest rate shock sensitivity included in the interest rate shock table above. The table below assumes a spread duration of 6.0 and 5.4 years as of March 31, 2022 and December 31, 2021,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3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72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2"/>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+29.9%</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+27.1%</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8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60" w:hanging="328"/>
        <w:spacing w:after="0"/>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7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0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2022, we believe that we have sufficient liquidity and capital resources available to execute our business strategy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in this Form 10-Q for additional details). However, should the value of our collateral or the value of our derivative instruments suddenly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2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March 31, 2022, our maximum amount at risk with any counterparty related to our repurchase agreements and derivative agreements was approximately 2% and less than 1%, respectively, of tangible stockholders' equity.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March 31, 2022. Based on the foregoing, our Chief Executive Officer and Chief Financial Officer concluded that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 Index</w:t>
      </w:r>
    </w:p>
    <w:p>
      <w:pPr>
        <w:spacing w:after="0" w:line="16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83" w:lineRule="exact"/>
        <w:rPr>
          <w:sz w:val="20"/>
          <w:szCs w:val="20"/>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63">
        <w:r>
          <w:rPr>
            <w:rFonts w:ascii="Times New Roman" w:cs="Times New Roman" w:eastAsia="Times New Roman" w:hAnsi="Times New Roman"/>
            <w:sz w:val="18"/>
            <w:szCs w:val="18"/>
            <w:color w:val="auto"/>
          </w:rPr>
          <w:t>*3.1</w:t>
        </w:r>
      </w:hyperlink>
      <w:r>
        <w:rPr>
          <w:rFonts w:ascii="Times New Roman" w:cs="Times New Roman" w:eastAsia="Times New Roman" w:hAnsi="Times New Roman"/>
          <w:sz w:val="18"/>
          <w:szCs w:val="18"/>
          <w:color w:val="auto"/>
        </w:rPr>
        <w:tab/>
      </w:r>
      <w:hyperlink r:id="rId63">
        <w:r>
          <w:rPr>
            <w:rFonts w:ascii="Times New Roman" w:cs="Times New Roman" w:eastAsia="Times New Roman" w:hAnsi="Times New Roman"/>
            <w:sz w:val="18"/>
            <w:szCs w:val="18"/>
            <w:color w:val="auto"/>
          </w:rPr>
          <w:t>AGNC Investment Corp. Amended and Restated Certificate of Incorporation, as amended, incorporated by reference from Exhibit 3.1 of Form 10-K</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auto"/>
          </w:rPr>
          <w:t>for the year ended December 31, 2021 (File No. 001-34057), filed February 23, 2022.</w:t>
        </w:r>
      </w:hyperlink>
    </w:p>
    <w:p>
      <w:pPr>
        <w:spacing w:after="0" w:line="108" w:lineRule="exact"/>
        <w:rPr>
          <w:rFonts w:ascii="Times New Roman" w:cs="Times New Roman" w:eastAsia="Times New Roman" w:hAnsi="Times New Roman"/>
          <w:sz w:val="18"/>
          <w:szCs w:val="18"/>
          <w:color w:val="auto"/>
        </w:rPr>
      </w:pPr>
    </w:p>
    <w:p>
      <w:pPr>
        <w:spacing w:after="0"/>
        <w:tabs>
          <w:tab w:leader="none" w:pos="480" w:val="left"/>
        </w:tabs>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*3.2</w:t>
        </w:r>
      </w:hyperlink>
      <w:r>
        <w:rPr>
          <w:rFonts w:ascii="Times New Roman" w:cs="Times New Roman" w:eastAsia="Times New Roman" w:hAnsi="Times New Roman"/>
          <w:sz w:val="18"/>
          <w:szCs w:val="18"/>
          <w:color w:val="auto"/>
        </w:rPr>
        <w:tab/>
      </w:r>
      <w:hyperlink r:id="rId64">
        <w:r>
          <w:rPr>
            <w:rFonts w:ascii="Times New Roman" w:cs="Times New Roman" w:eastAsia="Times New Roman" w:hAnsi="Times New Roman"/>
            <w:sz w:val="18"/>
            <w:szCs w:val="18"/>
            <w:color w:val="auto"/>
          </w:rPr>
          <w:t>AGNC Investment Corp. Fourth Amended and Restated Bylaws, as amended, incorporated herein by reference to Exhibit 3.1 of Form 8-K (File No.</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001-34057), filed March 11, 2021.</w:t>
        </w:r>
      </w:hyperlink>
    </w:p>
    <w:p>
      <w:pPr>
        <w:spacing w:after="0" w:line="153" w:lineRule="exact"/>
        <w:rPr>
          <w:sz w:val="20"/>
          <w:szCs w:val="20"/>
          <w:color w:val="auto"/>
        </w:rPr>
      </w:pPr>
    </w:p>
    <w:p>
      <w:pPr>
        <w:jc w:val="both"/>
        <w:ind w:left="520" w:hanging="1295"/>
        <w:spacing w:after="0" w:line="282" w:lineRule="auto"/>
        <w:tabs>
          <w:tab w:leader="none" w:pos="500" w:val="left"/>
        </w:tabs>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*3.3</w:t>
        </w:r>
      </w:hyperlink>
      <w:r>
        <w:rPr>
          <w:rFonts w:ascii="Times New Roman" w:cs="Times New Roman" w:eastAsia="Times New Roman" w:hAnsi="Times New Roman"/>
          <w:sz w:val="18"/>
          <w:szCs w:val="18"/>
          <w:color w:val="auto"/>
        </w:rPr>
        <w:tab/>
      </w:r>
      <w:hyperlink r:id="rId65">
        <w:r>
          <w:rPr>
            <w:rFonts w:ascii="Times New Roman" w:cs="Times New Roman" w:eastAsia="Times New Roman" w:hAnsi="Times New Roman"/>
            <w:sz w:val="18"/>
            <w:szCs w:val="18"/>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color w:val="auto"/>
          </w:rPr>
          <w:t>Exhibit 3.5 of Form 8-A (File No. 001-34057), filed August 18,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*3.4</w:t>
        </w:r>
      </w:hyperlink>
      <w:r>
        <w:rPr>
          <w:rFonts w:ascii="Times New Roman" w:cs="Times New Roman" w:eastAsia="Times New Roman" w:hAnsi="Times New Roman"/>
          <w:sz w:val="18"/>
          <w:szCs w:val="18"/>
          <w:color w:val="auto"/>
        </w:rPr>
        <w:tab/>
      </w:r>
      <w:hyperlink r:id="rId66">
        <w:r>
          <w:rPr>
            <w:rFonts w:ascii="Times New Roman" w:cs="Times New Roman" w:eastAsia="Times New Roman" w:hAnsi="Times New Roman"/>
            <w:sz w:val="18"/>
            <w:szCs w:val="18"/>
            <w:color w:val="auto"/>
          </w:rPr>
          <w:t>Certificate of Elimination of 8.000% Series A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color w:val="auto"/>
          </w:rPr>
          <w:t>(File No 001-34057), filed October 26,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67">
        <w:r>
          <w:rPr>
            <w:rFonts w:ascii="Times New Roman" w:cs="Times New Roman" w:eastAsia="Times New Roman" w:hAnsi="Times New Roman"/>
            <w:sz w:val="18"/>
            <w:szCs w:val="18"/>
            <w:color w:val="auto"/>
          </w:rPr>
          <w:t>*3.5</w:t>
        </w:r>
      </w:hyperlink>
      <w:r>
        <w:rPr>
          <w:rFonts w:ascii="Times New Roman" w:cs="Times New Roman" w:eastAsia="Times New Roman" w:hAnsi="Times New Roman"/>
          <w:sz w:val="18"/>
          <w:szCs w:val="18"/>
          <w:color w:val="auto"/>
        </w:rPr>
        <w:tab/>
      </w:r>
      <w:hyperlink r:id="rId67">
        <w:r>
          <w:rPr>
            <w:rFonts w:ascii="Times New Roman" w:cs="Times New Roman" w:eastAsia="Times New Roman" w:hAnsi="Times New Roman"/>
            <w:sz w:val="18"/>
            <w:szCs w:val="18"/>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color w:val="auto"/>
          </w:rPr>
          <w:t>Exhibit 3.5 of Form 8-A (File No 001-34057), filed March 6, 2019.</w:t>
        </w:r>
      </w:hyperlink>
    </w:p>
    <w:p>
      <w:pPr>
        <w:spacing w:after="0" w:line="108" w:lineRule="exact"/>
        <w:rPr>
          <w:rFonts w:ascii="Times New Roman" w:cs="Times New Roman" w:eastAsia="Times New Roman" w:hAnsi="Times New Roman"/>
          <w:sz w:val="18"/>
          <w:szCs w:val="18"/>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68">
        <w:r>
          <w:rPr>
            <w:rFonts w:ascii="Times New Roman" w:cs="Times New Roman" w:eastAsia="Times New Roman" w:hAnsi="Times New Roman"/>
            <w:sz w:val="18"/>
            <w:szCs w:val="18"/>
            <w:color w:val="auto"/>
          </w:rPr>
          <w:t>*3.6</w:t>
        </w:r>
      </w:hyperlink>
      <w:r>
        <w:rPr>
          <w:rFonts w:ascii="Times New Roman" w:cs="Times New Roman" w:eastAsia="Times New Roman" w:hAnsi="Times New Roman"/>
          <w:sz w:val="18"/>
          <w:szCs w:val="18"/>
          <w:color w:val="auto"/>
        </w:rPr>
        <w:tab/>
      </w:r>
      <w:hyperlink r:id="rId68">
        <w:r>
          <w:rPr>
            <w:rFonts w:ascii="Times New Roman" w:cs="Times New Roman" w:eastAsia="Times New Roman" w:hAnsi="Times New Roman"/>
            <w:sz w:val="18"/>
            <w:szCs w:val="18"/>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color w:val="auto"/>
          </w:rPr>
          <w:t>Exhibit 3.6 of Form 8-A (File No 001-34057), filed October 3, 2019.</w:t>
        </w:r>
      </w:hyperlink>
    </w:p>
    <w:p>
      <w:pPr>
        <w:spacing w:after="0" w:line="108" w:lineRule="exact"/>
        <w:rPr>
          <w:rFonts w:ascii="Times New Roman" w:cs="Times New Roman" w:eastAsia="Times New Roman" w:hAnsi="Times New Roman"/>
          <w:sz w:val="18"/>
          <w:szCs w:val="18"/>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*3.7</w:t>
        </w:r>
      </w:hyperlink>
      <w:r>
        <w:rPr>
          <w:rFonts w:ascii="Times New Roman" w:cs="Times New Roman" w:eastAsia="Times New Roman" w:hAnsi="Times New Roman"/>
          <w:sz w:val="18"/>
          <w:szCs w:val="18"/>
          <w:color w:val="auto"/>
        </w:rPr>
        <w:tab/>
      </w:r>
      <w:hyperlink r:id="rId69">
        <w:r>
          <w:rPr>
            <w:rFonts w:ascii="Times New Roman" w:cs="Times New Roman" w:eastAsia="Times New Roman" w:hAnsi="Times New Roman"/>
            <w:sz w:val="18"/>
            <w:szCs w:val="18"/>
            <w:color w:val="auto"/>
          </w:rPr>
          <w:t>Certificate of Elimination of 7.750% Series B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color w:val="auto"/>
          </w:rPr>
          <w:t>(File No 001-34057), filed December 13, 2019.</w:t>
        </w:r>
      </w:hyperlink>
    </w:p>
    <w:p>
      <w:pPr>
        <w:spacing w:after="0" w:line="108" w:lineRule="exact"/>
        <w:rPr>
          <w:rFonts w:ascii="Times New Roman" w:cs="Times New Roman" w:eastAsia="Times New Roman" w:hAnsi="Times New Roman"/>
          <w:sz w:val="18"/>
          <w:szCs w:val="18"/>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*3.8</w:t>
        </w:r>
      </w:hyperlink>
      <w:r>
        <w:rPr>
          <w:rFonts w:ascii="Times New Roman" w:cs="Times New Roman" w:eastAsia="Times New Roman" w:hAnsi="Times New Roman"/>
          <w:sz w:val="18"/>
          <w:szCs w:val="18"/>
          <w:color w:val="auto"/>
        </w:rPr>
        <w:tab/>
      </w:r>
      <w:hyperlink r:id="rId70">
        <w:r>
          <w:rPr>
            <w:rFonts w:ascii="Times New Roman" w:cs="Times New Roman" w:eastAsia="Times New Roman" w:hAnsi="Times New Roman"/>
            <w:sz w:val="18"/>
            <w:szCs w:val="18"/>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color w:val="auto"/>
          </w:rPr>
          <w:t>Exhibit 3.6 of Form 8-A (File No 001-34057), filed February 11, 2020.</w:t>
        </w:r>
      </w:hyperlink>
    </w:p>
    <w:p>
      <w:pPr>
        <w:spacing w:after="0" w:line="108" w:lineRule="exact"/>
        <w:rPr>
          <w:rFonts w:ascii="Times New Roman" w:cs="Times New Roman" w:eastAsia="Times New Roman" w:hAnsi="Times New Roman"/>
          <w:sz w:val="18"/>
          <w:szCs w:val="18"/>
          <w:color w:val="auto"/>
        </w:rPr>
      </w:pPr>
    </w:p>
    <w:p>
      <w:pPr>
        <w:jc w:val="both"/>
        <w:ind w:left="580" w:hanging="1295"/>
        <w:spacing w:after="0" w:line="275" w:lineRule="auto"/>
        <w:tabs>
          <w:tab w:leader="none" w:pos="560" w:val="left"/>
        </w:tabs>
        <w:rPr>
          <w:rFonts w:ascii="Times New Roman" w:cs="Times New Roman" w:eastAsia="Times New Roman" w:hAnsi="Times New Roman"/>
          <w:sz w:val="18"/>
          <w:szCs w:val="18"/>
          <w:color w:val="auto"/>
        </w:rPr>
      </w:pPr>
      <w:hyperlink r:id="rId63">
        <w:r>
          <w:rPr>
            <w:rFonts w:ascii="Times New Roman" w:cs="Times New Roman" w:eastAsia="Times New Roman" w:hAnsi="Times New Roman"/>
            <w:sz w:val="18"/>
            <w:szCs w:val="18"/>
            <w:color w:val="auto"/>
          </w:rPr>
          <w:t>*4.1</w:t>
        </w:r>
      </w:hyperlink>
      <w:r>
        <w:rPr>
          <w:rFonts w:ascii="Times New Roman" w:cs="Times New Roman" w:eastAsia="Times New Roman" w:hAnsi="Times New Roman"/>
          <w:sz w:val="18"/>
          <w:szCs w:val="18"/>
          <w:color w:val="auto"/>
        </w:rPr>
        <w:tab/>
      </w:r>
      <w:hyperlink r:id="rId63">
        <w:r>
          <w:rPr>
            <w:rFonts w:ascii="Times New Roman" w:cs="Times New Roman" w:eastAsia="Times New Roman" w:hAnsi="Times New Roman"/>
            <w:sz w:val="18"/>
            <w:szCs w:val="18"/>
            <w:color w:val="auto"/>
          </w:rPr>
          <w:t>Instruments defining the rights of holders of securities: See Article IV of our Amended and Restated Certificate of Incorporation, as amended,</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auto"/>
          </w:rPr>
          <w:t>incorporated herein by reference to Exhibit 3.1 of Form 10-K for the year ended December 31, 2021 (File No. 001-34057), filed February</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auto"/>
          </w:rPr>
          <w:t>23, 2022.</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both"/>
        <w:ind w:left="580" w:hanging="1295"/>
        <w:spacing w:after="0" w:line="282" w:lineRule="auto"/>
        <w:tabs>
          <w:tab w:leader="none" w:pos="560" w:val="left"/>
        </w:tabs>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*4.2</w:t>
        </w:r>
      </w:hyperlink>
      <w:r>
        <w:rPr>
          <w:rFonts w:ascii="Times New Roman" w:cs="Times New Roman" w:eastAsia="Times New Roman" w:hAnsi="Times New Roman"/>
          <w:sz w:val="18"/>
          <w:szCs w:val="18"/>
          <w:color w:val="auto"/>
        </w:rPr>
        <w:tab/>
      </w:r>
      <w:hyperlink r:id="rId64">
        <w:r>
          <w:rPr>
            <w:rFonts w:ascii="Times New Roman" w:cs="Times New Roman" w:eastAsia="Times New Roman" w:hAnsi="Times New Roman"/>
            <w:sz w:val="18"/>
            <w:szCs w:val="18"/>
            <w:color w:val="auto"/>
          </w:rPr>
          <w:t>Instruments defining the rights of holders of securities: See Article VI of our Fourth Amended and Restated Bylaws, as amended, incorporated</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color w:val="auto"/>
          </w:rPr>
          <w:t>herein by reference to Exhibit 3.1 of Form 8-K, filed March 11, 2021.</w:t>
        </w:r>
      </w:hyperlink>
    </w:p>
    <w:p>
      <w:pPr>
        <w:spacing w:after="0" w:line="108" w:lineRule="exact"/>
        <w:rPr>
          <w:rFonts w:ascii="Times New Roman" w:cs="Times New Roman" w:eastAsia="Times New Roman" w:hAnsi="Times New Roman"/>
          <w:sz w:val="18"/>
          <w:szCs w:val="18"/>
          <w:color w:val="auto"/>
        </w:rPr>
      </w:pPr>
    </w:p>
    <w:p>
      <w:pPr>
        <w:jc w:val="both"/>
        <w:ind w:left="560" w:hanging="1295"/>
        <w:spacing w:after="0" w:line="282" w:lineRule="auto"/>
        <w:tabs>
          <w:tab w:leader="none" w:pos="540" w:val="left"/>
        </w:tabs>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*4.3</w:t>
        </w:r>
      </w:hyperlink>
      <w:r>
        <w:rPr>
          <w:rFonts w:ascii="Times New Roman" w:cs="Times New Roman" w:eastAsia="Times New Roman" w:hAnsi="Times New Roman"/>
          <w:sz w:val="18"/>
          <w:szCs w:val="18"/>
          <w:color w:val="auto"/>
        </w:rPr>
        <w:tab/>
      </w:r>
      <w:hyperlink r:id="rId72">
        <w:r>
          <w:rPr>
            <w:rFonts w:ascii="Times New Roman" w:cs="Times New Roman" w:eastAsia="Times New Roman" w:hAnsi="Times New Roman"/>
            <w:sz w:val="18"/>
            <w:szCs w:val="18"/>
            <w:color w:val="auto"/>
          </w:rPr>
          <w:t>Form of Certificate for Common Stock, incorporated herein by reference to Exhibit 4.3 of Form 10-Q for the quarter ended September 30, 2016</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auto"/>
          </w:rPr>
          <w:t>(File No. 001-34057), filed November 7, 2016.</w:t>
        </w:r>
      </w:hyperlink>
    </w:p>
    <w:p>
      <w:pPr>
        <w:spacing w:after="0" w:line="108"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73">
        <w:r>
          <w:rPr>
            <w:rFonts w:ascii="Times New Roman" w:cs="Times New Roman" w:eastAsia="Times New Roman" w:hAnsi="Times New Roman"/>
            <w:sz w:val="18"/>
            <w:szCs w:val="18"/>
            <w:color w:val="auto"/>
          </w:rPr>
          <w:t>Specimen 7.00% Series C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4.1 of Form 8-A (File No. 001-34057), filed August 18, 2017.</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*4.5</w:t>
        </w:r>
      </w:hyperlink>
      <w:r>
        <w:rPr>
          <w:rFonts w:ascii="Times New Roman" w:cs="Times New Roman" w:eastAsia="Times New Roman" w:hAnsi="Times New Roman"/>
          <w:sz w:val="18"/>
          <w:szCs w:val="18"/>
          <w:color w:val="auto"/>
        </w:rPr>
        <w:tab/>
      </w:r>
      <w:hyperlink r:id="rId74">
        <w:r>
          <w:rPr>
            <w:rFonts w:ascii="Times New Roman" w:cs="Times New Roman" w:eastAsia="Times New Roman" w:hAnsi="Times New Roman"/>
            <w:sz w:val="18"/>
            <w:szCs w:val="18"/>
            <w:color w:val="auto"/>
          </w:rPr>
          <w:t>Specimen 6.875% Series D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4.1 of Form 8-A (File No. 001-34057), filed March 6, 2019.</w:t>
        </w:r>
      </w:hyperlink>
    </w:p>
    <w:p>
      <w:pPr>
        <w:spacing w:after="0" w:line="153" w:lineRule="exact"/>
        <w:rPr>
          <w:sz w:val="20"/>
          <w:szCs w:val="20"/>
          <w:color w:val="auto"/>
        </w:rPr>
      </w:pPr>
    </w:p>
    <w:p>
      <w:pPr>
        <w:spacing w:after="0"/>
        <w:tabs>
          <w:tab w:leader="none" w:pos="520" w:val="left"/>
        </w:tabs>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*4.6</w:t>
        </w:r>
      </w:hyperlink>
      <w:r>
        <w:rPr>
          <w:rFonts w:ascii="Times New Roman" w:cs="Times New Roman" w:eastAsia="Times New Roman" w:hAnsi="Times New Roman"/>
          <w:sz w:val="18"/>
          <w:szCs w:val="18"/>
          <w:color w:val="auto"/>
        </w:rPr>
        <w:tab/>
      </w:r>
      <w:hyperlink r:id="rId75">
        <w:r>
          <w:rPr>
            <w:rFonts w:ascii="Times New Roman" w:cs="Times New Roman" w:eastAsia="Times New Roman" w:hAnsi="Times New Roman"/>
            <w:sz w:val="18"/>
            <w:szCs w:val="18"/>
            <w:color w:val="auto"/>
          </w:rPr>
          <w:t>Specimen 6.50% Series E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4.1 of Form 8-A (File No. 001-34057), filed October 3, 2019.</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*4.7</w:t>
        </w:r>
      </w:hyperlink>
      <w:r>
        <w:rPr>
          <w:rFonts w:ascii="Times New Roman" w:cs="Times New Roman" w:eastAsia="Times New Roman" w:hAnsi="Times New Roman"/>
          <w:sz w:val="18"/>
          <w:szCs w:val="18"/>
          <w:color w:val="auto"/>
        </w:rPr>
        <w:tab/>
      </w:r>
      <w:hyperlink r:id="rId76">
        <w:r>
          <w:rPr>
            <w:rFonts w:ascii="Times New Roman" w:cs="Times New Roman" w:eastAsia="Times New Roman" w:hAnsi="Times New Roman"/>
            <w:sz w:val="18"/>
            <w:szCs w:val="18"/>
            <w:color w:val="auto"/>
          </w:rPr>
          <w:t>Specimen 6.125% Series F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4.1 of Form 8-A (File No 001-34057), filed February 11, 2020.</w:t>
        </w:r>
      </w:hyperlink>
    </w:p>
    <w:p>
      <w:pPr>
        <w:spacing w:after="0" w:line="153" w:lineRule="exact"/>
        <w:rPr>
          <w:sz w:val="20"/>
          <w:szCs w:val="20"/>
          <w:color w:val="auto"/>
        </w:rPr>
      </w:pPr>
    </w:p>
    <w:p>
      <w:pPr>
        <w:jc w:val="both"/>
        <w:ind w:left="580" w:hanging="1295"/>
        <w:spacing w:after="0" w:line="266" w:lineRule="auto"/>
        <w:tabs>
          <w:tab w:leader="none" w:pos="560" w:val="left"/>
        </w:tabs>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*4.8</w:t>
        </w:r>
      </w:hyperlink>
      <w:r>
        <w:rPr>
          <w:rFonts w:ascii="Times New Roman" w:cs="Times New Roman" w:eastAsia="Times New Roman" w:hAnsi="Times New Roman"/>
          <w:sz w:val="18"/>
          <w:szCs w:val="18"/>
          <w:color w:val="auto"/>
        </w:rPr>
        <w:tab/>
      </w:r>
      <w:hyperlink r:id="rId77">
        <w:r>
          <w:rPr>
            <w:rFonts w:ascii="Times New Roman" w:cs="Times New Roman" w:eastAsia="Times New Roman" w:hAnsi="Times New Roman"/>
            <w:sz w:val="18"/>
            <w:szCs w:val="18"/>
            <w:color w:val="auto"/>
          </w:rPr>
          <w:t>Deposit Agreement relating to 7.00% Series C Fixed-to-Floating Rate Cumulative Redeemable Preferred Stock, dated August 22, 2017, among</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reference to Exhibit 4.2 of Form 8-K (File No. 001-34057) filed August 22, 2017.</w:t>
        </w:r>
      </w:hyperlink>
    </w:p>
    <w:p>
      <w:pPr>
        <w:spacing w:after="0" w:line="122" w:lineRule="exact"/>
        <w:rPr>
          <w:rFonts w:ascii="Times New Roman" w:cs="Times New Roman" w:eastAsia="Times New Roman" w:hAnsi="Times New Roman"/>
          <w:sz w:val="18"/>
          <w:szCs w:val="18"/>
          <w:color w:val="auto"/>
        </w:rPr>
      </w:pPr>
    </w:p>
    <w:p>
      <w:pPr>
        <w:jc w:val="both"/>
        <w:ind w:left="540" w:hanging="1295"/>
        <w:spacing w:after="0" w:line="266" w:lineRule="auto"/>
        <w:tabs>
          <w:tab w:leader="none" w:pos="520" w:val="left"/>
        </w:tabs>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*4.9</w:t>
        </w:r>
      </w:hyperlink>
      <w:r>
        <w:rPr>
          <w:rFonts w:ascii="Times New Roman" w:cs="Times New Roman" w:eastAsia="Times New Roman" w:hAnsi="Times New Roman"/>
          <w:sz w:val="18"/>
          <w:szCs w:val="18"/>
          <w:color w:val="auto"/>
        </w:rPr>
        <w:tab/>
      </w:r>
      <w:hyperlink r:id="rId77">
        <w:r>
          <w:rPr>
            <w:rFonts w:ascii="Times New Roman" w:cs="Times New Roman" w:eastAsia="Times New Roman" w:hAnsi="Times New Roman"/>
            <w:sz w:val="18"/>
            <w:szCs w:val="18"/>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(included as part of Exhibit 4.8),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August 22, 2017.</w:t>
        </w:r>
      </w:hyperlink>
    </w:p>
    <w:p>
      <w:pPr>
        <w:spacing w:after="0" w:line="122" w:lineRule="exact"/>
        <w:rPr>
          <w:rFonts w:ascii="Times New Roman" w:cs="Times New Roman" w:eastAsia="Times New Roman" w:hAnsi="Times New Roman"/>
          <w:sz w:val="18"/>
          <w:szCs w:val="18"/>
          <w:color w:val="auto"/>
        </w:rPr>
      </w:pPr>
    </w:p>
    <w:p>
      <w:pPr>
        <w:jc w:val="both"/>
        <w:ind w:left="660" w:hanging="1295"/>
        <w:spacing w:after="0" w:line="266" w:lineRule="auto"/>
        <w:tabs>
          <w:tab w:leader="none" w:pos="640" w:val="left"/>
        </w:tabs>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*4.10</w:t>
        </w:r>
      </w:hyperlink>
      <w:r>
        <w:rPr>
          <w:rFonts w:ascii="Times New Roman" w:cs="Times New Roman" w:eastAsia="Times New Roman" w:hAnsi="Times New Roman"/>
          <w:sz w:val="18"/>
          <w:szCs w:val="18"/>
          <w:color w:val="auto"/>
        </w:rPr>
        <w:tab/>
      </w:r>
      <w:hyperlink r:id="rId78">
        <w:r>
          <w:rPr>
            <w:rFonts w:ascii="Times New Roman" w:cs="Times New Roman" w:eastAsia="Times New Roman" w:hAnsi="Times New Roman"/>
            <w:sz w:val="18"/>
            <w:szCs w:val="18"/>
            <w:color w:val="auto"/>
          </w:rPr>
          <w:t>Deposit Agreement relating to 6.875% Series D Fixed-to-Floating Rate Cumulative Redeemable Preferred Stock, dated March 6, 2019, among</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reference to Exhibit 4.2 of Form 8-K (File No. 001-34057) filed March 6, 2019.</w:t>
        </w:r>
      </w:hyperlink>
    </w:p>
    <w:p>
      <w:pPr>
        <w:spacing w:after="0" w:line="122" w:lineRule="exact"/>
        <w:rPr>
          <w:rFonts w:ascii="Times New Roman" w:cs="Times New Roman" w:eastAsia="Times New Roman" w:hAnsi="Times New Roman"/>
          <w:sz w:val="18"/>
          <w:szCs w:val="18"/>
          <w:color w:val="auto"/>
        </w:rPr>
      </w:pPr>
    </w:p>
    <w:p>
      <w:pPr>
        <w:jc w:val="both"/>
        <w:ind w:left="600" w:hanging="1295"/>
        <w:spacing w:after="0" w:line="266" w:lineRule="auto"/>
        <w:tabs>
          <w:tab w:leader="none" w:pos="580" w:val="left"/>
        </w:tabs>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*4.11</w:t>
        </w:r>
      </w:hyperlink>
      <w:r>
        <w:rPr>
          <w:rFonts w:ascii="Times New Roman" w:cs="Times New Roman" w:eastAsia="Times New Roman" w:hAnsi="Times New Roman"/>
          <w:sz w:val="18"/>
          <w:szCs w:val="18"/>
          <w:color w:val="auto"/>
        </w:rPr>
        <w:tab/>
      </w:r>
      <w:hyperlink r:id="rId78">
        <w:r>
          <w:rPr>
            <w:rFonts w:ascii="Times New Roman" w:cs="Times New Roman" w:eastAsia="Times New Roman" w:hAnsi="Times New Roman"/>
            <w:sz w:val="18"/>
            <w:szCs w:val="18"/>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(included as part of Exhibit 4.10),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March 6, 2019.</w:t>
        </w:r>
      </w:hyperlink>
    </w:p>
    <w:p>
      <w:pPr>
        <w:spacing w:after="0" w:line="122" w:lineRule="exact"/>
        <w:rPr>
          <w:rFonts w:ascii="Times New Roman" w:cs="Times New Roman" w:eastAsia="Times New Roman" w:hAnsi="Times New Roman"/>
          <w:sz w:val="18"/>
          <w:szCs w:val="18"/>
          <w:color w:val="auto"/>
        </w:rPr>
      </w:pPr>
    </w:p>
    <w:p>
      <w:pPr>
        <w:jc w:val="both"/>
        <w:ind w:left="600" w:right="320" w:hanging="1295"/>
        <w:spacing w:after="0" w:line="266" w:lineRule="auto"/>
        <w:tabs>
          <w:tab w:leader="none" w:pos="580" w:val="left"/>
        </w:tabs>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*4.12</w:t>
        </w:r>
      </w:hyperlink>
      <w:r>
        <w:rPr>
          <w:rFonts w:ascii="Times New Roman" w:cs="Times New Roman" w:eastAsia="Times New Roman" w:hAnsi="Times New Roman"/>
          <w:sz w:val="18"/>
          <w:szCs w:val="18"/>
          <w:color w:val="auto"/>
        </w:rPr>
        <w:tab/>
      </w:r>
      <w:hyperlink r:id="rId79">
        <w:r>
          <w:rPr>
            <w:rFonts w:ascii="Times New Roman" w:cs="Times New Roman" w:eastAsia="Times New Roman" w:hAnsi="Times New Roman"/>
            <w:sz w:val="18"/>
            <w:szCs w:val="18"/>
            <w:color w:val="auto"/>
          </w:rPr>
          <w:t>Deposit Agreement relating to 6.50% Series E Fixed-to-Floating Rate Cumulative Redeemable Preferred Stock, dated October 3, 2019, among</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reference to Exhibit 4.2 of Form 8-K (File No. 001-34057) filed October 3, 2019.</w:t>
        </w:r>
      </w:hyperlink>
    </w:p>
    <w:p>
      <w:pPr>
        <w:spacing w:after="0" w:line="122" w:lineRule="exact"/>
        <w:rPr>
          <w:rFonts w:ascii="Times New Roman" w:cs="Times New Roman" w:eastAsia="Times New Roman" w:hAnsi="Times New Roman"/>
          <w:sz w:val="18"/>
          <w:szCs w:val="18"/>
          <w:color w:val="auto"/>
        </w:rPr>
      </w:pPr>
    </w:p>
    <w:p>
      <w:pPr>
        <w:jc w:val="both"/>
        <w:ind w:left="600" w:right="200" w:hanging="1295"/>
        <w:spacing w:after="0" w:line="266" w:lineRule="auto"/>
        <w:tabs>
          <w:tab w:leader="none" w:pos="580" w:val="left"/>
        </w:tabs>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*4.13</w:t>
        </w:r>
      </w:hyperlink>
      <w:r>
        <w:rPr>
          <w:rFonts w:ascii="Times New Roman" w:cs="Times New Roman" w:eastAsia="Times New Roman" w:hAnsi="Times New Roman"/>
          <w:sz w:val="18"/>
          <w:szCs w:val="18"/>
          <w:color w:val="auto"/>
        </w:rPr>
        <w:tab/>
      </w:r>
      <w:hyperlink r:id="rId79">
        <w:r>
          <w:rPr>
            <w:rFonts w:ascii="Times New Roman" w:cs="Times New Roman" w:eastAsia="Times New Roman" w:hAnsi="Times New Roman"/>
            <w:sz w:val="18"/>
            <w:szCs w:val="18"/>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(included as part of Exhibit 4.12),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October 3, 2019.</w:t>
        </w:r>
      </w:hyperlink>
    </w:p>
    <w:p>
      <w:pPr>
        <w:spacing w:after="0" w:line="122" w:lineRule="exact"/>
        <w:rPr>
          <w:rFonts w:ascii="Times New Roman" w:cs="Times New Roman" w:eastAsia="Times New Roman" w:hAnsi="Times New Roman"/>
          <w:sz w:val="18"/>
          <w:szCs w:val="18"/>
          <w:color w:val="auto"/>
        </w:rPr>
      </w:pPr>
    </w:p>
    <w:p>
      <w:pPr>
        <w:ind w:left="600" w:right="140" w:hanging="1295"/>
        <w:spacing w:after="0" w:line="266" w:lineRule="auto"/>
        <w:tabs>
          <w:tab w:leader="none" w:pos="580" w:val="left"/>
        </w:tabs>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*4.14</w:t>
        </w:r>
      </w:hyperlink>
      <w:r>
        <w:rPr>
          <w:rFonts w:ascii="Times New Roman" w:cs="Times New Roman" w:eastAsia="Times New Roman" w:hAnsi="Times New Roman"/>
          <w:sz w:val="18"/>
          <w:szCs w:val="18"/>
          <w:color w:val="auto"/>
        </w:rPr>
        <w:tab/>
      </w:r>
      <w:hyperlink r:id="rId80">
        <w:r>
          <w:rPr>
            <w:rFonts w:ascii="Times New Roman" w:cs="Times New Roman" w:eastAsia="Times New Roman" w:hAnsi="Times New Roman"/>
            <w:sz w:val="18"/>
            <w:szCs w:val="18"/>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reference to Exhibit 4.1 of Form 8-K (File No. 001-34057) filed February 11, 2020.</w:t>
        </w:r>
      </w:hyperlink>
    </w:p>
    <w:p>
      <w:pPr>
        <w:spacing w:after="0" w:line="122" w:lineRule="exact"/>
        <w:rPr>
          <w:rFonts w:ascii="Times New Roman" w:cs="Times New Roman" w:eastAsia="Times New Roman" w:hAnsi="Times New Roman"/>
          <w:sz w:val="18"/>
          <w:szCs w:val="18"/>
          <w:color w:val="auto"/>
        </w:rPr>
      </w:pPr>
    </w:p>
    <w:p>
      <w:pPr>
        <w:ind w:left="600" w:right="120" w:hanging="1295"/>
        <w:spacing w:after="0" w:line="266" w:lineRule="auto"/>
        <w:tabs>
          <w:tab w:leader="none" w:pos="580" w:val="left"/>
        </w:tabs>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*4.15</w:t>
        </w:r>
      </w:hyperlink>
      <w:r>
        <w:rPr>
          <w:rFonts w:ascii="Times New Roman" w:cs="Times New Roman" w:eastAsia="Times New Roman" w:hAnsi="Times New Roman"/>
          <w:sz w:val="18"/>
          <w:szCs w:val="18"/>
          <w:color w:val="auto"/>
        </w:rPr>
        <w:tab/>
      </w:r>
      <w:hyperlink r:id="rId80">
        <w:r>
          <w:rPr>
            <w:rFonts w:ascii="Times New Roman" w:cs="Times New Roman" w:eastAsia="Times New Roman" w:hAnsi="Times New Roman"/>
            <w:sz w:val="18"/>
            <w:szCs w:val="18"/>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(included as part of Exhibit 4.14), incorporated herein by reference to Exhibit A of Exhibit 4.1 of Form 8-K (File No. 001-34057) filed</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February 11, 2020.</w:t>
        </w:r>
      </w:hyperlink>
    </w:p>
    <w:p>
      <w:pPr>
        <w:spacing w:after="0" w:line="122" w:lineRule="exact"/>
        <w:rPr>
          <w:rFonts w:ascii="Times New Roman" w:cs="Times New Roman" w:eastAsia="Times New Roman" w:hAnsi="Times New Roman"/>
          <w:sz w:val="18"/>
          <w:szCs w:val="18"/>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31.1</w:t>
        <w:tab/>
        <w:t>Certification of CEO Pursuant to Section 302(a) of the Sarbanes-Oxley Act of 2002.</w:t>
      </w:r>
    </w:p>
    <w:p>
      <w:pPr>
        <w:spacing w:after="0" w:line="171" w:lineRule="exact"/>
        <w:rPr>
          <w:rFonts w:ascii="Times New Roman" w:cs="Times New Roman" w:eastAsia="Times New Roman" w:hAnsi="Times New Roman"/>
          <w:sz w:val="18"/>
          <w:szCs w:val="18"/>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CFO Pursuant to Section 302(a) of the Sarbanes-Oxley Act of 2002.</w:t>
      </w:r>
    </w:p>
    <w:p>
      <w:pPr>
        <w:spacing w:after="0" w:line="171" w:lineRule="exact"/>
        <w:rPr>
          <w:rFonts w:ascii="Times New Roman" w:cs="Times New Roman" w:eastAsia="Times New Roman" w:hAnsi="Times New Roman"/>
          <w:sz w:val="18"/>
          <w:szCs w:val="18"/>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32</w:t>
        <w:tab/>
        <w:t>Certification of CEO and CFO Pursuant to Section 906 of the Sarbanes-Oxley Act of 2002.</w:t>
      </w:r>
    </w:p>
    <w:p>
      <w:pPr>
        <w:spacing w:after="0" w:line="171" w:lineRule="exact"/>
        <w:rPr>
          <w:rFonts w:ascii="Times New Roman" w:cs="Times New Roman" w:eastAsia="Times New Roman" w:hAnsi="Times New Roman"/>
          <w:sz w:val="18"/>
          <w:szCs w:val="18"/>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101.INS**</w:t>
        <w:tab/>
        <w:t>The instance document does not appear in the interactive data file because its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7" w:name="page48"/>
    <w:bookmarkEnd w:id="47"/>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17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17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Labels Linkbase Document</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18" w:lineRule="exact"/>
        <w:rPr>
          <w:sz w:val="20"/>
          <w:szCs w:val="20"/>
          <w:color w:val="auto"/>
        </w:rPr>
      </w:pPr>
    </w:p>
    <w:p>
      <w:pPr>
        <w:ind w:left="660" w:hanging="652"/>
        <w:spacing w:after="0" w:line="260" w:lineRule="auto"/>
        <w:tabs>
          <w:tab w:leader="none" w:pos="3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8"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the exhibits filed herewith.</w:t>
      </w:r>
    </w:p>
    <w:p>
      <w:pPr>
        <w:spacing w:after="0" w:line="207" w:lineRule="exact"/>
        <w:rPr>
          <w:sz w:val="20"/>
          <w:szCs w:val="20"/>
          <w:color w:val="auto"/>
        </w:rPr>
      </w:pPr>
    </w:p>
    <w:p>
      <w:pPr>
        <w:ind w:left="680" w:right="7140" w:hanging="227"/>
        <w:spacing w:after="0" w:line="282" w:lineRule="auto"/>
        <w:tabs>
          <w:tab w:leader="none" w:pos="8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53" w:right="69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540"/>
        <w:spacing w:after="0"/>
        <w:tabs>
          <w:tab w:leader="none" w:pos="7760" w:val="left"/>
          <w:tab w:leader="none" w:pos="8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2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w:t>
      </w: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16"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9, 2022</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Bernice E. Bell</w:t>
      </w:r>
    </w:p>
    <w:p>
      <w:pPr>
        <w:ind w:left="774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6260"/>
        <w:spacing w:after="0" w:line="201" w:lineRule="auto"/>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spacing w:after="0" w:line="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80"/>
          </w:cols>
          <w:pgMar w:left="320" w:top="887" w:right="3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Federico, certify that:</w:t>
      </w:r>
    </w:p>
    <w:p>
      <w:pPr>
        <w:spacing w:after="0" w:line="158" w:lineRule="exact"/>
        <w:rPr>
          <w:sz w:val="20"/>
          <w:szCs w:val="20"/>
          <w:color w:val="auto"/>
        </w:rPr>
      </w:pPr>
    </w:p>
    <w:p>
      <w:pPr>
        <w:ind w:left="760" w:hanging="307"/>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9, 2022</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Peter J. Federico</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p>
      <w:pPr>
        <w:ind w:left="620"/>
        <w:spacing w:after="0"/>
        <w:rPr>
          <w:sz w:val="20"/>
          <w:szCs w:val="20"/>
          <w:color w:val="auto"/>
        </w:rPr>
      </w:pPr>
      <w:r>
        <w:rPr>
          <w:rFonts w:ascii="Times New Roman" w:cs="Times New Roman" w:eastAsia="Times New Roman" w:hAnsi="Times New Roman"/>
          <w:sz w:val="18"/>
          <w:szCs w:val="18"/>
          <w:color w:val="auto"/>
        </w:rPr>
        <w:t>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9, 2022</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Bernice E. Bell</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8"/>
          <w:szCs w:val="18"/>
          <w:color w:val="auto"/>
        </w:rPr>
        <w:t>Officer (Principal Financial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108" w:lineRule="exact"/>
        <w:rPr>
          <w:sz w:val="20"/>
          <w:szCs w:val="20"/>
          <w:color w:val="auto"/>
        </w:rPr>
      </w:pPr>
    </w:p>
    <w:p>
      <w:pPr>
        <w:ind w:left="660" w:right="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r>
      <w:tr>
        <w:trPr>
          <w:trHeight w:val="493"/>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and</w:t>
            </w:r>
          </w:p>
        </w:tc>
      </w:tr>
      <w:tr>
        <w:trPr>
          <w:trHeight w:val="230"/>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r>
    </w:tbl>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7"/>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3"/>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lowerLetter"/>
      <w:start w:val="3"/>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63" Type="http://schemas.openxmlformats.org/officeDocument/2006/relationships/hyperlink" Target="http://www.sec.gov/Archives/edgar/data/1423689/000142368922000014/agncexhibit3112312110-k.htm" TargetMode="External"/><Relationship Id="rId64" Type="http://schemas.openxmlformats.org/officeDocument/2006/relationships/hyperlink" Target="http://www.sec.gov/Archives/edgar/data/1423689/000142368921000017/arbylaws-march2021vrevised.htm" TargetMode="External"/><Relationship Id="rId65" Type="http://schemas.openxmlformats.org/officeDocument/2006/relationships/hyperlink" Target="http://www.sec.gov/Archives/edgar/data/1423689/000142368917000044/ex35certificateofdesignati.htm" TargetMode="External"/><Relationship Id="rId66" Type="http://schemas.openxmlformats.org/officeDocument/2006/relationships/hyperlink" Target="http://www.sec.gov/Archives/edgar/data/1423689/000142368917000065/certificateofelimination.htm" TargetMode="External"/><Relationship Id="rId67" Type="http://schemas.openxmlformats.org/officeDocument/2006/relationships/hyperlink" Target="http://www.sec.gov/Archives/edgar/data/1423689/000142368919000019/certificateofdesignations.htm" TargetMode="External"/><Relationship Id="rId68" Type="http://schemas.openxmlformats.org/officeDocument/2006/relationships/hyperlink" Target="http://www.sec.gov/Archives/edgar/data/1423689/000142368919000064/certofdesignations.htm" TargetMode="External"/><Relationship Id="rId69" Type="http://schemas.openxmlformats.org/officeDocument/2006/relationships/hyperlink" Target="http://www.sec.gov/Archives/edgar/data/1423689/000142368919000078/certificateofeliminati.htm" TargetMode="External"/><Relationship Id="rId70" Type="http://schemas.openxmlformats.org/officeDocument/2006/relationships/hyperlink" Target="http://www.sec.gov/Archives/edgar/data/1423689/000142368920000012/certificateofdesignations-.htm" TargetMode="External"/><Relationship Id="rId72" Type="http://schemas.openxmlformats.org/officeDocument/2006/relationships/hyperlink" Target="http://www.sec.gov/Archives/edgar/data/1423689/000142368916000104/agncexhibit43.htm" TargetMode="External"/><Relationship Id="rId73" Type="http://schemas.openxmlformats.org/officeDocument/2006/relationships/hyperlink" Target="http://www.sec.gov/Archives/edgar/data/1423689/000142368917000044/exhibit41.htm" TargetMode="External"/><Relationship Id="rId74" Type="http://schemas.openxmlformats.org/officeDocument/2006/relationships/hyperlink" Target="http://www.sec.gov/Archives/edgar/data/1423689/000142368919000019/stockcertificateb98.htm" TargetMode="External"/><Relationship Id="rId75" Type="http://schemas.openxmlformats.org/officeDocument/2006/relationships/hyperlink" Target="http://www.sec.gov/Archives/edgar/data/1423689/000142368919000064/stockcertificate.htm" TargetMode="External"/><Relationship Id="rId76" Type="http://schemas.openxmlformats.org/officeDocument/2006/relationships/hyperlink" Target="http://www.sec.gov/Archives/edgar/data/1423689/000142368920000012/stockcertificate.htm" TargetMode="External"/><Relationship Id="rId77" Type="http://schemas.openxmlformats.org/officeDocument/2006/relationships/hyperlink" Target="http://www.sec.gov/Archives/edgar/data/1423689/000142368917000049/depositagreement.htm" TargetMode="External"/><Relationship Id="rId78" Type="http://schemas.openxmlformats.org/officeDocument/2006/relationships/hyperlink" Target="http://www.sec.gov/Archives/edgar/data/1423689/000142368919000021/prefddepositagmt.htm" TargetMode="External"/><Relationship Id="rId79" Type="http://schemas.openxmlformats.org/officeDocument/2006/relationships/hyperlink" Target="http://www.sec.gov/Archives/edgar/data/1423689/000142368919000068/depositagmt-prefe.htm" TargetMode="External"/><Relationship Id="rId80" Type="http://schemas.openxmlformats.org/officeDocument/2006/relationships/hyperlink" Target="http://www.sec.gov/Archives/edgar/data/1423689/000142368920000014/depositaryagmt-series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2022-05-09T08:26:54Z</dcterms:created>
  <dcterms:modified xsi:type="dcterms:W3CDTF">2022-05-09T08:26:54Z</dcterms:modified>
</cp:coreProperties>
</file>