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234950</wp:posOffset>
            </wp:positionH>
            <wp:positionV relativeFrom="page">
              <wp:posOffset>243205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-199390</wp:posOffset>
            </wp:positionV>
            <wp:extent cx="7100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56" w:lineRule="exact"/>
        <w:rPr>
          <w:sz w:val="24"/>
          <w:szCs w:val="24"/>
          <w:color w:val="auto"/>
        </w:rPr>
      </w:pPr>
    </w:p>
    <w:p>
      <w:pPr>
        <w:ind w:left="1700" w:hanging="1429"/>
        <w:spacing w:after="0"/>
        <w:tabs>
          <w:tab w:leader="none" w:pos="1700" w:val="left"/>
        </w:tabs>
        <w:numPr>
          <w:ilvl w:val="0"/>
          <w:numId w:val="1"/>
        </w:numPr>
        <w:rPr>
          <w:rFonts w:ascii="MS PGothic" w:cs="MS PGothic" w:eastAsia="MS PGothic" w:hAnsi="MS PGothic"/>
          <w:sz w:val="17"/>
          <w:szCs w:val="17"/>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2019</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71" w:lineRule="exact"/>
        <w:rPr>
          <w:sz w:val="24"/>
          <w:szCs w:val="24"/>
          <w:color w:val="auto"/>
        </w:rPr>
      </w:pPr>
    </w:p>
    <w:p>
      <w:pPr>
        <w:ind w:left="4500" w:right="1000" w:hanging="4229"/>
        <w:spacing w:after="0" w:line="511" w:lineRule="auto"/>
        <w:tabs>
          <w:tab w:leader="none" w:pos="1702"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6"/>
          <w:szCs w:val="16"/>
          <w:b w:val="1"/>
          <w:bCs w:val="1"/>
          <w:color w:val="auto"/>
        </w:rPr>
        <w:t>Commission file number 001-34057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-41275</wp:posOffset>
            </wp:positionV>
            <wp:extent cx="224663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663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AGNC INVESTMENT CORP.</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__________________________________________________</w:t>
      </w:r>
    </w:p>
    <w:p>
      <w:pPr>
        <w:sectPr>
          <w:pgSz w:w="11900" w:h="16838" w:orient="portrait"/>
          <w:cols w:equalWidth="0" w:num="1">
            <w:col w:w="11420"/>
          </w:cols>
          <w:pgMar w:left="240" w:top="499" w:right="239" w:bottom="1440" w:gutter="0" w:footer="0" w:header="0"/>
        </w:sectPr>
      </w:pPr>
    </w:p>
    <w:p>
      <w:pPr>
        <w:spacing w:after="0" w:line="156" w:lineRule="exact"/>
        <w:rPr>
          <w:sz w:val="24"/>
          <w:szCs w:val="24"/>
          <w:color w:val="auto"/>
        </w:rPr>
      </w:pPr>
    </w:p>
    <w:p>
      <w:pPr>
        <w:ind w:left="24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26-1701984</w:t>
      </w:r>
    </w:p>
    <w:p>
      <w:pPr>
        <w:spacing w:after="0" w:line="86" w:lineRule="exact"/>
        <w:rPr>
          <w:sz w:val="24"/>
          <w:szCs w:val="24"/>
          <w:color w:val="auto"/>
        </w:rPr>
      </w:pPr>
    </w:p>
    <w:p>
      <w:pPr>
        <w:sectPr>
          <w:pgSz w:w="11900" w:h="16838" w:orient="portrait"/>
          <w:cols w:equalWidth="0" w:num="2">
            <w:col w:w="7680" w:space="720"/>
            <w:col w:w="3020"/>
          </w:cols>
          <w:pgMar w:left="240" w:top="499" w:right="239" w:bottom="1440" w:gutter="0" w:footer="0" w:header="0"/>
          <w:type w:val="continuous"/>
        </w:sectPr>
      </w:pPr>
    </w:p>
    <w:p>
      <w:pPr>
        <w:ind w:left="18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86" w:lineRule="exact"/>
        <w:rPr>
          <w:sz w:val="24"/>
          <w:szCs w:val="24"/>
          <w:color w:val="auto"/>
        </w:rPr>
      </w:pPr>
    </w:p>
    <w:p>
      <w:pPr>
        <w:sectPr>
          <w:pgSz w:w="11900" w:h="16838" w:orient="portrait"/>
          <w:cols w:equalWidth="0" w:num="2">
            <w:col w:w="7520" w:space="720"/>
            <w:col w:w="3180"/>
          </w:cols>
          <w:pgMar w:left="240" w:top="49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2 Bethesda Metro Center, 12th Floor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Bethesda, Maryland 20814</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(Address of principal executive offices)</w:t>
      </w:r>
    </w:p>
    <w:p>
      <w:pPr>
        <w:jc w:val="center"/>
        <w:ind w:right="-19"/>
        <w:spacing w:after="0"/>
        <w:rPr>
          <w:sz w:val="20"/>
          <w:szCs w:val="20"/>
          <w:color w:val="auto"/>
        </w:rPr>
      </w:pPr>
      <w:r>
        <w:rPr>
          <w:rFonts w:ascii="Arial" w:cs="Arial" w:eastAsia="Arial" w:hAnsi="Arial"/>
          <w:sz w:val="16"/>
          <w:szCs w:val="16"/>
          <w:b w:val="1"/>
          <w:bCs w:val="1"/>
          <w:color w:val="auto"/>
        </w:rPr>
        <w:t>(301) 968-9315</w:t>
      </w: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1" w:lineRule="exact"/>
        <w:rPr>
          <w:sz w:val="24"/>
          <w:szCs w:val="24"/>
          <w:color w:val="auto"/>
        </w:rPr>
      </w:pPr>
    </w:p>
    <w:p>
      <w:pPr>
        <w:ind w:left="3720"/>
        <w:spacing w:after="0"/>
        <w:rPr>
          <w:sz w:val="20"/>
          <w:szCs w:val="20"/>
          <w:color w:val="auto"/>
        </w:rPr>
      </w:pPr>
      <w:r>
        <w:rPr>
          <w:rFonts w:ascii="Arial" w:cs="Arial" w:eastAsia="Arial" w:hAnsi="Arial"/>
          <w:sz w:val="14"/>
          <w:szCs w:val="14"/>
          <w:color w:val="auto"/>
        </w:rPr>
        <w:t>__________________________________________________</w:t>
      </w:r>
    </w:p>
    <w:p>
      <w:pPr>
        <w:sectPr>
          <w:pgSz w:w="11900" w:h="16838" w:orient="portrait"/>
          <w:cols w:equalWidth="0" w:num="1">
            <w:col w:w="11420"/>
          </w:cols>
          <w:pgMar w:left="240" w:top="499" w:right="239" w:bottom="1440" w:gutter="0" w:footer="0" w:header="0"/>
          <w:type w:val="continuous"/>
        </w:sectPr>
      </w:pPr>
    </w:p>
    <w:p>
      <w:pPr>
        <w:spacing w:after="0" w:line="222" w:lineRule="exact"/>
        <w:rPr>
          <w:sz w:val="24"/>
          <w:szCs w:val="24"/>
          <w:color w:val="auto"/>
        </w:rPr>
      </w:pPr>
    </w:p>
    <w:p>
      <w:pPr>
        <w:ind w:right="280" w:firstLine="324"/>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4"/>
          <w:szCs w:val="14"/>
          <w:color w:val="auto"/>
        </w:rPr>
        <w:t>☐</w:t>
      </w:r>
    </w:p>
    <w:p>
      <w:pPr>
        <w:spacing w:after="0" w:line="19" w:lineRule="exact"/>
        <w:rPr>
          <w:sz w:val="24"/>
          <w:szCs w:val="24"/>
          <w:color w:val="auto"/>
        </w:rPr>
      </w:pPr>
    </w:p>
    <w:p>
      <w:pPr>
        <w:ind w:right="14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09" w:lineRule="exact"/>
        <w:rPr>
          <w:sz w:val="24"/>
          <w:szCs w:val="24"/>
          <w:color w:val="auto"/>
        </w:rPr>
      </w:pPr>
    </w:p>
    <w:tbl>
      <w:tblPr>
        <w:tblLayout w:type="fixed"/>
        <w:tblInd w:w="40" w:type="dxa"/>
        <w:tblCellMar>
          <w:top w:w="0" w:type="dxa"/>
          <w:left w:w="0" w:type="dxa"/>
          <w:bottom w:w="0" w:type="dxa"/>
          <w:right w:w="0" w:type="dxa"/>
        </w:tblCellMar>
      </w:tblPr>
      <w:tr>
        <w:trPr>
          <w:trHeight w:val="168"/>
        </w:trPr>
        <w:tc>
          <w:tcPr>
            <w:tcW w:w="2160" w:type="dxa"/>
            <w:vAlign w:val="bottom"/>
            <w:vMerge w:val="restart"/>
          </w:tcPr>
          <w:p>
            <w:pPr>
              <w:spacing w:after="0"/>
              <w:rPr>
                <w:sz w:val="20"/>
                <w:szCs w:val="20"/>
                <w:color w:val="auto"/>
              </w:rPr>
            </w:pPr>
            <w:r>
              <w:rPr>
                <w:rFonts w:ascii="Arial" w:cs="Arial" w:eastAsia="Arial" w:hAnsi="Arial"/>
                <w:sz w:val="14"/>
                <w:szCs w:val="14"/>
                <w:color w:val="auto"/>
              </w:rPr>
              <w:t>Large accelerated filer</w:t>
            </w:r>
          </w:p>
        </w:tc>
        <w:tc>
          <w:tcPr>
            <w:tcW w:w="800" w:type="dxa"/>
            <w:vAlign w:val="bottom"/>
            <w:vMerge w:val="restart"/>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3700" w:type="dxa"/>
            <w:vAlign w:val="bottom"/>
          </w:tcPr>
          <w:p>
            <w:pPr>
              <w:spacing w:after="0"/>
              <w:rPr>
                <w:sz w:val="14"/>
                <w:szCs w:val="14"/>
                <w:color w:val="auto"/>
              </w:rPr>
            </w:pPr>
          </w:p>
        </w:tc>
        <w:tc>
          <w:tcPr>
            <w:tcW w:w="3440" w:type="dxa"/>
            <w:vAlign w:val="bottom"/>
            <w:vMerge w:val="restart"/>
          </w:tcPr>
          <w:p>
            <w:pPr>
              <w:ind w:left="960"/>
              <w:spacing w:after="0"/>
              <w:rPr>
                <w:sz w:val="20"/>
                <w:szCs w:val="20"/>
                <w:color w:val="auto"/>
              </w:rPr>
            </w:pPr>
            <w:r>
              <w:rPr>
                <w:rFonts w:ascii="Arial" w:cs="Arial" w:eastAsia="Arial" w:hAnsi="Arial"/>
                <w:sz w:val="14"/>
                <w:szCs w:val="14"/>
                <w:color w:val="auto"/>
              </w:rPr>
              <w:t>Accelerated filer</w:t>
            </w:r>
          </w:p>
        </w:tc>
        <w:tc>
          <w:tcPr>
            <w:tcW w:w="940" w:type="dxa"/>
            <w:vAlign w:val="bottom"/>
          </w:tcPr>
          <w:p>
            <w:pPr>
              <w:ind w:left="8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49"/>
        </w:trPr>
        <w:tc>
          <w:tcPr>
            <w:tcW w:w="216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3700" w:type="dxa"/>
            <w:vAlign w:val="bottom"/>
          </w:tcPr>
          <w:p>
            <w:pPr>
              <w:spacing w:after="0"/>
              <w:rPr>
                <w:sz w:val="12"/>
                <w:szCs w:val="12"/>
                <w:color w:val="auto"/>
              </w:rPr>
            </w:pPr>
          </w:p>
        </w:tc>
        <w:tc>
          <w:tcPr>
            <w:tcW w:w="344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4"/>
                <w:szCs w:val="14"/>
                <w:color w:val="auto"/>
              </w:rPr>
              <w:t>Non-accelerated filer</w:t>
            </w:r>
          </w:p>
        </w:tc>
        <w:tc>
          <w:tcPr>
            <w:tcW w:w="80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3700" w:type="dxa"/>
            <w:vAlign w:val="bottom"/>
          </w:tcPr>
          <w:p>
            <w:pPr>
              <w:ind w:left="60"/>
              <w:spacing w:after="0"/>
              <w:rPr>
                <w:sz w:val="20"/>
                <w:szCs w:val="20"/>
                <w:color w:val="auto"/>
              </w:rPr>
            </w:pPr>
            <w:r>
              <w:rPr>
                <w:rFonts w:ascii="Arial" w:cs="Arial" w:eastAsia="Arial" w:hAnsi="Arial"/>
                <w:sz w:val="14"/>
                <w:szCs w:val="14"/>
                <w:color w:val="auto"/>
              </w:rPr>
              <w:t>(Do not check if a smaller reporting company)</w:t>
            </w:r>
          </w:p>
        </w:tc>
        <w:tc>
          <w:tcPr>
            <w:tcW w:w="3440" w:type="dxa"/>
            <w:vAlign w:val="bottom"/>
          </w:tcPr>
          <w:p>
            <w:pPr>
              <w:ind w:left="960"/>
              <w:spacing w:after="0"/>
              <w:rPr>
                <w:sz w:val="20"/>
                <w:szCs w:val="20"/>
                <w:color w:val="auto"/>
              </w:rPr>
            </w:pPr>
            <w:r>
              <w:rPr>
                <w:rFonts w:ascii="Arial" w:cs="Arial" w:eastAsia="Arial" w:hAnsi="Arial"/>
                <w:sz w:val="14"/>
                <w:szCs w:val="14"/>
                <w:color w:val="auto"/>
              </w:rPr>
              <w:t>Smaller Reporting Company</w:t>
            </w:r>
          </w:p>
        </w:tc>
        <w:tc>
          <w:tcPr>
            <w:tcW w:w="940" w:type="dxa"/>
            <w:vAlign w:val="bottom"/>
          </w:tcPr>
          <w:p>
            <w:pPr>
              <w:ind w:left="8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268"/>
        </w:trPr>
        <w:tc>
          <w:tcPr>
            <w:tcW w:w="21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4500" w:type="dxa"/>
            <w:vAlign w:val="bottom"/>
            <w:gridSpan w:val="2"/>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3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7" w:lineRule="exact"/>
        <w:rPr>
          <w:sz w:val="24"/>
          <w:szCs w:val="24"/>
          <w:color w:val="auto"/>
        </w:rPr>
      </w:pPr>
    </w:p>
    <w:p>
      <w:pPr>
        <w:ind w:right="6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line="161" w:lineRule="exact"/>
        <w:tabs>
          <w:tab w:leader="none" w:pos="6980" w:val="left"/>
          <w:tab w:leader="none" w:pos="75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x</w:t>
      </w:r>
    </w:p>
    <w:p>
      <w:pPr>
        <w:spacing w:after="0" w:line="181"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100" w:type="dxa"/>
            <w:vAlign w:val="bottom"/>
          </w:tcPr>
          <w:p>
            <w:pPr>
              <w:spacing w:after="0"/>
              <w:rPr>
                <w:sz w:val="16"/>
                <w:szCs w:val="16"/>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c>
          <w:tcPr>
            <w:tcW w:w="0" w:type="dxa"/>
            <w:vAlign w:val="bottom"/>
          </w:tcPr>
          <w:p>
            <w:pPr>
              <w:spacing w:after="0"/>
              <w:rPr>
                <w:sz w:val="1"/>
                <w:szCs w:val="1"/>
                <w:color w:val="auto"/>
              </w:rPr>
            </w:pPr>
          </w:p>
        </w:tc>
      </w:tr>
      <w:tr>
        <w:trPr>
          <w:trHeight w:val="217"/>
        </w:trPr>
        <w:tc>
          <w:tcPr>
            <w:tcW w:w="58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Common Stock, par value $0.01 per share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AGNC</w:t>
            </w:r>
          </w:p>
        </w:tc>
        <w:tc>
          <w:tcPr>
            <w:tcW w:w="3880" w:type="dxa"/>
            <w:vAlign w:val="bottom"/>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257"/>
        </w:trPr>
        <w:tc>
          <w:tcPr>
            <w:tcW w:w="58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Depositary shares of 7.750% Series B Cumulative Redeemable Preferred Stock</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rPr>
              <w:t>AGNCB</w:t>
            </w:r>
          </w:p>
        </w:tc>
        <w:tc>
          <w:tcPr>
            <w:tcW w:w="3880" w:type="dxa"/>
            <w:vAlign w:val="bottom"/>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209"/>
        </w:trPr>
        <w:tc>
          <w:tcPr>
            <w:tcW w:w="584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Depositary shares of 7.000% Series C Fixed-to-Floating Rate Cumulative Redeemable Preferred</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AGNCN</w:t>
            </w:r>
          </w:p>
        </w:tc>
        <w:tc>
          <w:tcPr>
            <w:tcW w:w="3880" w:type="dxa"/>
            <w:vAlign w:val="bottom"/>
            <w:vMerge w:val="restart"/>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01"/>
        </w:trPr>
        <w:tc>
          <w:tcPr>
            <w:tcW w:w="58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Stock</w:t>
            </w:r>
          </w:p>
        </w:tc>
        <w:tc>
          <w:tcPr>
            <w:tcW w:w="1700" w:type="dxa"/>
            <w:vAlign w:val="bottom"/>
            <w:gridSpan w:val="2"/>
            <w:vMerge w:val="continue"/>
          </w:tcPr>
          <w:p>
            <w:pPr>
              <w:spacing w:after="0"/>
              <w:rPr>
                <w:sz w:val="8"/>
                <w:szCs w:val="8"/>
                <w:color w:val="auto"/>
              </w:rPr>
            </w:pPr>
          </w:p>
        </w:tc>
        <w:tc>
          <w:tcPr>
            <w:tcW w:w="3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840" w:type="dxa"/>
            <w:vAlign w:val="bottom"/>
            <w:gridSpan w:val="2"/>
            <w:vMerge w:val="continue"/>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584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Depositary shares of 6.875% Series D Fixed-to-Floating Rate Cumulative Redeemable Preferred</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AGNCM</w:t>
            </w:r>
          </w:p>
        </w:tc>
        <w:tc>
          <w:tcPr>
            <w:tcW w:w="3880" w:type="dxa"/>
            <w:vAlign w:val="bottom"/>
            <w:vMerge w:val="restart"/>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01"/>
        </w:trPr>
        <w:tc>
          <w:tcPr>
            <w:tcW w:w="58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Stock</w:t>
            </w:r>
          </w:p>
        </w:tc>
        <w:tc>
          <w:tcPr>
            <w:tcW w:w="1700" w:type="dxa"/>
            <w:vAlign w:val="bottom"/>
            <w:gridSpan w:val="2"/>
            <w:vMerge w:val="continue"/>
          </w:tcPr>
          <w:p>
            <w:pPr>
              <w:spacing w:after="0"/>
              <w:rPr>
                <w:sz w:val="8"/>
                <w:szCs w:val="8"/>
                <w:color w:val="auto"/>
              </w:rPr>
            </w:pPr>
          </w:p>
        </w:tc>
        <w:tc>
          <w:tcPr>
            <w:tcW w:w="3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840" w:type="dxa"/>
            <w:vAlign w:val="bottom"/>
            <w:gridSpan w:val="2"/>
            <w:vMerge w:val="continue"/>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584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Depositary shares of 6.50% Series E Fixed-to-Floating Rate Cumulative Redeemable Preferred</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AGNCO</w:t>
            </w:r>
          </w:p>
        </w:tc>
        <w:tc>
          <w:tcPr>
            <w:tcW w:w="3880" w:type="dxa"/>
            <w:vAlign w:val="bottom"/>
            <w:vMerge w:val="restart"/>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01"/>
        </w:trPr>
        <w:tc>
          <w:tcPr>
            <w:tcW w:w="58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Stock</w:t>
            </w:r>
          </w:p>
        </w:tc>
        <w:tc>
          <w:tcPr>
            <w:tcW w:w="1700" w:type="dxa"/>
            <w:vAlign w:val="bottom"/>
            <w:gridSpan w:val="2"/>
            <w:vMerge w:val="continue"/>
          </w:tcPr>
          <w:p>
            <w:pPr>
              <w:spacing w:after="0"/>
              <w:rPr>
                <w:sz w:val="8"/>
                <w:szCs w:val="8"/>
                <w:color w:val="auto"/>
              </w:rPr>
            </w:pPr>
          </w:p>
        </w:tc>
        <w:tc>
          <w:tcPr>
            <w:tcW w:w="3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840" w:type="dxa"/>
            <w:vAlign w:val="bottom"/>
            <w:gridSpan w:val="2"/>
            <w:vMerge w:val="continue"/>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number of shares of the issuer's common stock, $0.01 par value, outstanding as of October 31, 2019 was 540,917,953.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184150</wp:posOffset>
            </wp:positionV>
            <wp:extent cx="7100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98425</wp:posOffset>
            </wp:positionV>
            <wp:extent cx="7100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type w:val="continuous"/>
        </w:sectPr>
      </w:pPr>
    </w:p>
    <w:bookmarkStart w:id="1" w:name="page2"/>
    <w:bookmarkEnd w:id="1"/>
    <w:p>
      <w:pPr>
        <w:jc w:val="center"/>
        <w:ind w:right="-599"/>
        <w:spacing w:after="0"/>
        <w:rPr>
          <w:sz w:val="20"/>
          <w:szCs w:val="20"/>
          <w:color w:val="auto"/>
        </w:rPr>
      </w:pPr>
      <w:r>
        <w:rPr>
          <w:rFonts w:ascii="Arial" w:cs="Arial" w:eastAsia="Arial" w:hAnsi="Arial"/>
          <w:sz w:val="18"/>
          <w:szCs w:val="18"/>
          <w:b w:val="1"/>
          <w:bCs w:val="1"/>
          <w:color w:val="auto"/>
        </w:rPr>
        <w:t>AGNC INVESTMENT CORP.</w:t>
      </w:r>
    </w:p>
    <w:p>
      <w:pPr>
        <w:spacing w:after="0" w:line="90"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TABLE OF CONTENTS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gridSpan w:val="5"/>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w:t>
              </w:r>
            </w:hyperlink>
          </w:p>
        </w:tc>
        <w:tc>
          <w:tcPr>
            <w:tcW w:w="7660" w:type="dxa"/>
            <w:vAlign w:val="bottom"/>
            <w:gridSpan w:val="12"/>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FINANCIAL INFORMATION</w:t>
              </w:r>
            </w:hyperlink>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4"/>
        </w:trPr>
        <w:tc>
          <w:tcPr>
            <w:tcW w:w="460" w:type="dxa"/>
            <w:vAlign w:val="bottom"/>
            <w:tcBorders>
              <w:top w:val="single" w:sz="8" w:color="0000EE"/>
            </w:tcBorders>
          </w:tcPr>
          <w:p>
            <w:pPr>
              <w:spacing w:after="0"/>
              <w:rPr>
                <w:rFonts w:ascii="Arial" w:cs="Arial" w:eastAsia="Arial" w:hAnsi="Arial"/>
                <w:sz w:val="16"/>
                <w:szCs w:val="16"/>
                <w:color w:val="0000EE"/>
                <w:w w:val="85"/>
              </w:rPr>
            </w:pPr>
            <w:hyperlink w:anchor="page3">
              <w:r>
                <w:rPr>
                  <w:rFonts w:ascii="Arial" w:cs="Arial" w:eastAsia="Arial" w:hAnsi="Arial"/>
                  <w:sz w:val="16"/>
                  <w:szCs w:val="16"/>
                  <w:color w:val="0000EE"/>
                  <w:w w:val="85"/>
                </w:rPr>
                <w:t>Item 1.</w:t>
              </w:r>
            </w:hyperlink>
          </w:p>
        </w:tc>
        <w:tc>
          <w:tcPr>
            <w:tcW w:w="100" w:type="dxa"/>
            <w:vAlign w:val="bottom"/>
            <w:tcBorders>
              <w:top w:val="single" w:sz="8" w:color="0000EE"/>
            </w:tcBorders>
          </w:tcPr>
          <w:p>
            <w:pPr>
              <w:spacing w:after="0"/>
              <w:rPr>
                <w:sz w:val="22"/>
                <w:szCs w:val="22"/>
                <w:color w:val="auto"/>
              </w:rPr>
            </w:pPr>
          </w:p>
        </w:tc>
        <w:tc>
          <w:tcPr>
            <w:tcW w:w="480" w:type="dxa"/>
            <w:vAlign w:val="bottom"/>
            <w:gridSpan w:val="3"/>
          </w:tcPr>
          <w:p>
            <w:pPr>
              <w:spacing w:after="0"/>
              <w:rPr>
                <w:sz w:val="22"/>
                <w:szCs w:val="22"/>
                <w:color w:val="auto"/>
              </w:rPr>
            </w:pPr>
          </w:p>
        </w:tc>
        <w:tc>
          <w:tcPr>
            <w:tcW w:w="2140" w:type="dxa"/>
            <w:vAlign w:val="bottom"/>
            <w:tcBorders>
              <w:top w:val="single" w:sz="8" w:color="0000EE"/>
            </w:tcBorders>
            <w:gridSpan w:val="9"/>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c>
          <w:tcPr>
            <w:tcW w:w="5520" w:type="dxa"/>
            <w:vAlign w:val="bottom"/>
            <w:gridSpan w:val="3"/>
          </w:tcPr>
          <w:p>
            <w:pPr>
              <w:spacing w:after="0"/>
              <w:rPr>
                <w:sz w:val="22"/>
                <w:szCs w:val="22"/>
                <w:color w:val="auto"/>
              </w:rPr>
            </w:pPr>
          </w:p>
        </w:tc>
        <w:tc>
          <w:tcPr>
            <w:tcW w:w="1980" w:type="dxa"/>
            <w:vAlign w:val="bottom"/>
            <w:gridSpan w:val="2"/>
          </w:tcPr>
          <w:p>
            <w:pPr>
              <w:jc w:val="center"/>
              <w:ind w:left="1814"/>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60" w:type="dxa"/>
            <w:vAlign w:val="bottom"/>
          </w:tcPr>
          <w:p>
            <w:pPr>
              <w:spacing w:after="0"/>
              <w:rPr>
                <w:sz w:val="22"/>
                <w:szCs w:val="22"/>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6"/>
                <w:szCs w:val="16"/>
                <w:color w:val="0000EE"/>
                <w:w w:val="85"/>
              </w:rPr>
            </w:pPr>
            <w:hyperlink w:anchor="page27">
              <w:r>
                <w:rPr>
                  <w:rFonts w:ascii="Arial" w:cs="Arial" w:eastAsia="Arial" w:hAnsi="Arial"/>
                  <w:sz w:val="16"/>
                  <w:szCs w:val="16"/>
                  <w:color w:val="0000EE"/>
                  <w:w w:val="85"/>
                </w:rPr>
                <w:t>Item 2.</w:t>
              </w:r>
            </w:hyperlink>
          </w:p>
        </w:tc>
        <w:tc>
          <w:tcPr>
            <w:tcW w:w="580" w:type="dxa"/>
            <w:vAlign w:val="bottom"/>
            <w:gridSpan w:val="4"/>
          </w:tcPr>
          <w:p>
            <w:pPr>
              <w:spacing w:after="0"/>
              <w:rPr>
                <w:sz w:val="21"/>
                <w:szCs w:val="21"/>
                <w:color w:val="auto"/>
              </w:rPr>
            </w:pPr>
          </w:p>
        </w:tc>
        <w:tc>
          <w:tcPr>
            <w:tcW w:w="5800" w:type="dxa"/>
            <w:vAlign w:val="bottom"/>
            <w:gridSpan w:val="11"/>
          </w:tcPr>
          <w:p>
            <w:pPr>
              <w:spacing w:after="0"/>
              <w:rPr>
                <w:rFonts w:ascii="Arial" w:cs="Arial" w:eastAsia="Arial" w:hAnsi="Arial"/>
                <w:sz w:val="16"/>
                <w:szCs w:val="16"/>
                <w:color w:val="0000EE"/>
                <w:w w:val="91"/>
              </w:rPr>
            </w:pPr>
            <w:hyperlink w:anchor="page27">
              <w:r>
                <w:rPr>
                  <w:rFonts w:ascii="Arial" w:cs="Arial" w:eastAsia="Arial" w:hAnsi="Arial"/>
                  <w:sz w:val="16"/>
                  <w:szCs w:val="16"/>
                  <w:color w:val="0000EE"/>
                  <w:w w:val="91"/>
                </w:rPr>
                <w:t>Management's Discussion and Analysis of Financial Condition and Results of Operations</w:t>
              </w:r>
            </w:hyperlink>
          </w:p>
        </w:tc>
        <w:tc>
          <w:tcPr>
            <w:tcW w:w="1860" w:type="dxa"/>
            <w:vAlign w:val="bottom"/>
          </w:tcPr>
          <w:p>
            <w:pPr>
              <w:spacing w:after="0"/>
              <w:rPr>
                <w:sz w:val="21"/>
                <w:szCs w:val="21"/>
                <w:color w:val="auto"/>
              </w:rPr>
            </w:pPr>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26</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6"/>
                <w:szCs w:val="16"/>
                <w:color w:val="0000EE"/>
                <w:w w:val="85"/>
              </w:rPr>
            </w:pPr>
            <w:hyperlink w:anchor="page45">
              <w:r>
                <w:rPr>
                  <w:rFonts w:ascii="Arial" w:cs="Arial" w:eastAsia="Arial" w:hAnsi="Arial"/>
                  <w:sz w:val="16"/>
                  <w:szCs w:val="16"/>
                  <w:color w:val="0000EE"/>
                  <w:w w:val="85"/>
                </w:rPr>
                <w:t>Item 3.</w:t>
              </w:r>
            </w:hyperlink>
          </w:p>
        </w:tc>
        <w:tc>
          <w:tcPr>
            <w:tcW w:w="580" w:type="dxa"/>
            <w:vAlign w:val="bottom"/>
            <w:gridSpan w:val="4"/>
          </w:tcPr>
          <w:p>
            <w:pPr>
              <w:spacing w:after="0"/>
              <w:rPr>
                <w:sz w:val="21"/>
                <w:szCs w:val="21"/>
                <w:color w:val="auto"/>
              </w:rPr>
            </w:pPr>
          </w:p>
        </w:tc>
        <w:tc>
          <w:tcPr>
            <w:tcW w:w="5800" w:type="dxa"/>
            <w:vAlign w:val="bottom"/>
            <w:gridSpan w:val="11"/>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Quantitative and Qualitative Disclosures About Market Risk</w:t>
              </w:r>
            </w:hyperlink>
          </w:p>
        </w:tc>
        <w:tc>
          <w:tcPr>
            <w:tcW w:w="1860" w:type="dxa"/>
            <w:vAlign w:val="bottom"/>
          </w:tcPr>
          <w:p>
            <w:pPr>
              <w:spacing w:after="0"/>
              <w:rPr>
                <w:sz w:val="21"/>
                <w:szCs w:val="21"/>
                <w:color w:val="auto"/>
              </w:rPr>
            </w:pPr>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44</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6"/>
                <w:szCs w:val="16"/>
                <w:color w:val="0000EE"/>
                <w:w w:val="85"/>
              </w:rPr>
            </w:pPr>
            <w:hyperlink w:anchor="page49">
              <w:r>
                <w:rPr>
                  <w:rFonts w:ascii="Arial" w:cs="Arial" w:eastAsia="Arial" w:hAnsi="Arial"/>
                  <w:sz w:val="16"/>
                  <w:szCs w:val="16"/>
                  <w:color w:val="0000EE"/>
                  <w:w w:val="85"/>
                </w:rPr>
                <w:t>Item 4.</w:t>
              </w:r>
            </w:hyperlink>
          </w:p>
        </w:tc>
        <w:tc>
          <w:tcPr>
            <w:tcW w:w="580" w:type="dxa"/>
            <w:vAlign w:val="bottom"/>
            <w:gridSpan w:val="4"/>
          </w:tcPr>
          <w:p>
            <w:pPr>
              <w:spacing w:after="0"/>
              <w:rPr>
                <w:sz w:val="21"/>
                <w:szCs w:val="21"/>
                <w:color w:val="auto"/>
              </w:rPr>
            </w:pPr>
          </w:p>
        </w:tc>
        <w:tc>
          <w:tcPr>
            <w:tcW w:w="3920" w:type="dxa"/>
            <w:vAlign w:val="bottom"/>
            <w:gridSpan w:val="10"/>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Controls and Procedures</w:t>
              </w:r>
            </w:hyperlink>
          </w:p>
        </w:tc>
        <w:tc>
          <w:tcPr>
            <w:tcW w:w="3740" w:type="dxa"/>
            <w:vAlign w:val="bottom"/>
            <w:gridSpan w:val="2"/>
          </w:tcPr>
          <w:p>
            <w:pPr>
              <w:spacing w:after="0"/>
              <w:rPr>
                <w:sz w:val="21"/>
                <w:szCs w:val="21"/>
                <w:color w:val="auto"/>
              </w:rPr>
            </w:pPr>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534"/>
        </w:trPr>
        <w:tc>
          <w:tcPr>
            <w:tcW w:w="1040" w:type="dxa"/>
            <w:vAlign w:val="bottom"/>
            <w:gridSpan w:val="5"/>
          </w:tcPr>
          <w:p>
            <w:pPr>
              <w:spacing w:after="0"/>
              <w:rPr>
                <w:rFonts w:ascii="Arial" w:cs="Arial" w:eastAsia="Arial" w:hAnsi="Arial"/>
                <w:sz w:val="16"/>
                <w:szCs w:val="16"/>
                <w:b w:val="1"/>
                <w:bCs w:val="1"/>
                <w:color w:val="0000EE"/>
              </w:rPr>
            </w:pPr>
            <w:hyperlink w:anchor="page49">
              <w:r>
                <w:rPr>
                  <w:rFonts w:ascii="Arial" w:cs="Arial" w:eastAsia="Arial" w:hAnsi="Arial"/>
                  <w:sz w:val="16"/>
                  <w:szCs w:val="16"/>
                  <w:b w:val="1"/>
                  <w:bCs w:val="1"/>
                  <w:color w:val="0000EE"/>
                </w:rPr>
                <w:t>PART II.</w:t>
              </w:r>
            </w:hyperlink>
          </w:p>
        </w:tc>
        <w:tc>
          <w:tcPr>
            <w:tcW w:w="7660" w:type="dxa"/>
            <w:vAlign w:val="bottom"/>
            <w:gridSpan w:val="12"/>
          </w:tcPr>
          <w:p>
            <w:pPr>
              <w:spacing w:after="0"/>
              <w:rPr>
                <w:rFonts w:ascii="Arial" w:cs="Arial" w:eastAsia="Arial" w:hAnsi="Arial"/>
                <w:sz w:val="16"/>
                <w:szCs w:val="16"/>
                <w:b w:val="1"/>
                <w:bCs w:val="1"/>
                <w:color w:val="0000EE"/>
              </w:rPr>
            </w:pPr>
            <w:hyperlink w:anchor="page49">
              <w:r>
                <w:rPr>
                  <w:rFonts w:ascii="Arial" w:cs="Arial" w:eastAsia="Arial" w:hAnsi="Arial"/>
                  <w:sz w:val="16"/>
                  <w:szCs w:val="16"/>
                  <w:b w:val="1"/>
                  <w:bCs w:val="1"/>
                  <w:color w:val="0000EE"/>
                </w:rPr>
                <w:t>OTHER INFORMATION</w:t>
              </w:r>
            </w:hyperlink>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460" w:type="dxa"/>
            <w:vAlign w:val="bottom"/>
            <w:tcBorders>
              <w:top w:val="single" w:sz="8" w:color="0000EE"/>
            </w:tcBorders>
          </w:tcPr>
          <w:p>
            <w:pPr>
              <w:spacing w:after="0"/>
              <w:rPr>
                <w:rFonts w:ascii="Arial" w:cs="Arial" w:eastAsia="Arial" w:hAnsi="Arial"/>
                <w:sz w:val="16"/>
                <w:szCs w:val="16"/>
                <w:color w:val="0000EE"/>
                <w:w w:val="85"/>
              </w:rPr>
            </w:pPr>
            <w:hyperlink w:anchor="page49">
              <w:r>
                <w:rPr>
                  <w:rFonts w:ascii="Arial" w:cs="Arial" w:eastAsia="Arial" w:hAnsi="Arial"/>
                  <w:sz w:val="16"/>
                  <w:szCs w:val="16"/>
                  <w:color w:val="0000EE"/>
                  <w:w w:val="85"/>
                </w:rPr>
                <w:t>Item 1.</w:t>
              </w:r>
            </w:hyperlink>
          </w:p>
        </w:tc>
        <w:tc>
          <w:tcPr>
            <w:tcW w:w="220" w:type="dxa"/>
            <w:vAlign w:val="bottom"/>
            <w:tcBorders>
              <w:top w:val="single" w:sz="8" w:color="0000EE"/>
            </w:tcBorders>
            <w:gridSpan w:val="3"/>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Borders>
              <w:top w:val="single" w:sz="8" w:color="0000EE"/>
            </w:tcBorders>
            <w:gridSpan w:val="4"/>
          </w:tcPr>
          <w:p>
            <w:pPr>
              <w:spacing w:after="0"/>
              <w:rPr>
                <w:rFonts w:ascii="Arial" w:cs="Arial" w:eastAsia="Arial" w:hAnsi="Arial"/>
                <w:sz w:val="16"/>
                <w:szCs w:val="16"/>
                <w:color w:val="0000EE"/>
                <w:w w:val="85"/>
              </w:rPr>
            </w:pPr>
            <w:hyperlink w:anchor="page49">
              <w:r>
                <w:rPr>
                  <w:rFonts w:ascii="Arial" w:cs="Arial" w:eastAsia="Arial" w:hAnsi="Arial"/>
                  <w:sz w:val="16"/>
                  <w:szCs w:val="16"/>
                  <w:color w:val="0000EE"/>
                  <w:w w:val="85"/>
                </w:rPr>
                <w:t>Legal Proceedings</w:t>
              </w:r>
            </w:hyperlink>
          </w:p>
        </w:tc>
        <w:tc>
          <w:tcPr>
            <w:tcW w:w="640" w:type="dxa"/>
            <w:vAlign w:val="bottom"/>
            <w:tcBorders>
              <w:top w:val="single" w:sz="8" w:color="0000EE"/>
            </w:tcBorders>
            <w:gridSpan w:val="3"/>
          </w:tcPr>
          <w:p>
            <w:pPr>
              <w:spacing w:after="0"/>
              <w:rPr>
                <w:sz w:val="22"/>
                <w:szCs w:val="22"/>
                <w:color w:val="auto"/>
              </w:rPr>
            </w:pPr>
          </w:p>
        </w:tc>
        <w:tc>
          <w:tcPr>
            <w:tcW w:w="5840" w:type="dxa"/>
            <w:vAlign w:val="bottom"/>
            <w:gridSpan w:val="5"/>
          </w:tcPr>
          <w:p>
            <w:pPr>
              <w:spacing w:after="0"/>
              <w:rPr>
                <w:sz w:val="22"/>
                <w:szCs w:val="22"/>
                <w:color w:val="auto"/>
              </w:rPr>
            </w:pPr>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gridSpan w:val="4"/>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6"/>
                <w:szCs w:val="16"/>
                <w:color w:val="0000EE"/>
                <w:w w:val="93"/>
              </w:rPr>
            </w:pPr>
            <w:hyperlink w:anchor="page49">
              <w:r>
                <w:rPr>
                  <w:rFonts w:ascii="Arial" w:cs="Arial" w:eastAsia="Arial" w:hAnsi="Arial"/>
                  <w:sz w:val="16"/>
                  <w:szCs w:val="16"/>
                  <w:color w:val="0000EE"/>
                  <w:w w:val="93"/>
                </w:rPr>
                <w:t>Item 1A.</w:t>
              </w:r>
            </w:hyperlink>
          </w:p>
        </w:tc>
        <w:tc>
          <w:tcPr>
            <w:tcW w:w="460" w:type="dxa"/>
            <w:vAlign w:val="bottom"/>
            <w:gridSpan w:val="2"/>
          </w:tcPr>
          <w:p>
            <w:pPr>
              <w:spacing w:after="0"/>
              <w:rPr>
                <w:sz w:val="21"/>
                <w:szCs w:val="21"/>
                <w:color w:val="auto"/>
              </w:rPr>
            </w:pPr>
          </w:p>
        </w:tc>
        <w:tc>
          <w:tcPr>
            <w:tcW w:w="7660" w:type="dxa"/>
            <w:vAlign w:val="bottom"/>
            <w:gridSpan w:val="12"/>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Risk Factors</w:t>
              </w:r>
            </w:hyperlink>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r>
      <w:tr>
        <w:trPr>
          <w:trHeight w:val="237"/>
        </w:trPr>
        <w:tc>
          <w:tcPr>
            <w:tcW w:w="460" w:type="dxa"/>
            <w:vAlign w:val="bottom"/>
            <w:tcBorders>
              <w:top w:val="single" w:sz="8" w:color="0000EE"/>
            </w:tcBorders>
          </w:tcPr>
          <w:p>
            <w:pPr>
              <w:spacing w:after="0"/>
              <w:rPr>
                <w:rFonts w:ascii="Arial" w:cs="Arial" w:eastAsia="Arial" w:hAnsi="Arial"/>
                <w:sz w:val="16"/>
                <w:szCs w:val="16"/>
                <w:color w:val="0000EE"/>
                <w:w w:val="85"/>
              </w:rPr>
            </w:pPr>
            <w:hyperlink w:anchor="page50">
              <w:r>
                <w:rPr>
                  <w:rFonts w:ascii="Arial" w:cs="Arial" w:eastAsia="Arial" w:hAnsi="Arial"/>
                  <w:sz w:val="16"/>
                  <w:szCs w:val="16"/>
                  <w:color w:val="0000EE"/>
                  <w:w w:val="85"/>
                </w:rPr>
                <w:t>Item 2.</w:t>
              </w:r>
            </w:hyperlink>
          </w:p>
        </w:tc>
        <w:tc>
          <w:tcPr>
            <w:tcW w:w="120" w:type="dxa"/>
            <w:vAlign w:val="bottom"/>
            <w:tcBorders>
              <w:top w:val="single" w:sz="8" w:color="0000EE"/>
            </w:tcBorders>
            <w:gridSpan w:val="2"/>
          </w:tcPr>
          <w:p>
            <w:pPr>
              <w:spacing w:after="0"/>
              <w:rPr>
                <w:sz w:val="20"/>
                <w:szCs w:val="20"/>
                <w:color w:val="auto"/>
              </w:rPr>
            </w:pPr>
          </w:p>
        </w:tc>
        <w:tc>
          <w:tcPr>
            <w:tcW w:w="460" w:type="dxa"/>
            <w:vAlign w:val="bottom"/>
            <w:gridSpan w:val="2"/>
          </w:tcPr>
          <w:p>
            <w:pPr>
              <w:spacing w:after="0"/>
              <w:rPr>
                <w:sz w:val="20"/>
                <w:szCs w:val="20"/>
                <w:color w:val="auto"/>
              </w:rPr>
            </w:pPr>
          </w:p>
        </w:tc>
        <w:tc>
          <w:tcPr>
            <w:tcW w:w="660" w:type="dxa"/>
            <w:vAlign w:val="bottom"/>
            <w:tcBorders>
              <w:top w:val="single" w:sz="8" w:color="0000EE"/>
            </w:tcBorders>
            <w:gridSpan w:val="2"/>
          </w:tcPr>
          <w:p>
            <w:pPr>
              <w:spacing w:after="0"/>
              <w:rPr>
                <w:rFonts w:ascii="Arial" w:cs="Arial" w:eastAsia="Arial" w:hAnsi="Arial"/>
                <w:sz w:val="16"/>
                <w:szCs w:val="16"/>
                <w:color w:val="0000EE"/>
                <w:w w:val="87"/>
              </w:rPr>
            </w:pPr>
            <w:hyperlink w:anchor="page50">
              <w:r>
                <w:rPr>
                  <w:rFonts w:ascii="Arial" w:cs="Arial" w:eastAsia="Arial" w:hAnsi="Arial"/>
                  <w:sz w:val="16"/>
                  <w:szCs w:val="16"/>
                  <w:color w:val="0000EE"/>
                  <w:w w:val="87"/>
                </w:rPr>
                <w:t>Properties</w:t>
              </w:r>
            </w:hyperlink>
          </w:p>
        </w:tc>
        <w:tc>
          <w:tcPr>
            <w:tcW w:w="140" w:type="dxa"/>
            <w:vAlign w:val="bottom"/>
            <w:tcBorders>
              <w:top w:val="single" w:sz="8" w:color="0000EE"/>
            </w:tcBorders>
          </w:tcPr>
          <w:p>
            <w:pPr>
              <w:spacing w:after="0"/>
              <w:rPr>
                <w:sz w:val="20"/>
                <w:szCs w:val="20"/>
                <w:color w:val="auto"/>
              </w:rPr>
            </w:pPr>
          </w:p>
        </w:tc>
        <w:tc>
          <w:tcPr>
            <w:tcW w:w="6860" w:type="dxa"/>
            <w:vAlign w:val="bottom"/>
            <w:gridSpan w:val="9"/>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Borders>
              <w:top w:val="single" w:sz="8" w:color="0000EE"/>
            </w:tcBorders>
            <w:gridSpan w:val="2"/>
          </w:tcPr>
          <w:p>
            <w:pPr>
              <w:jc w:val="center"/>
              <w:ind w:right="20"/>
              <w:spacing w:after="0"/>
              <w:rPr>
                <w:rFonts w:ascii="Arial" w:cs="Arial" w:eastAsia="Arial" w:hAnsi="Arial"/>
                <w:sz w:val="15"/>
                <w:szCs w:val="15"/>
                <w:color w:val="0000EE"/>
                <w:w w:val="71"/>
              </w:rPr>
            </w:pPr>
            <w:hyperlink w:anchor="page50">
              <w:r>
                <w:rPr>
                  <w:rFonts w:ascii="Arial" w:cs="Arial" w:eastAsia="Arial" w:hAnsi="Arial"/>
                  <w:sz w:val="15"/>
                  <w:szCs w:val="15"/>
                  <w:color w:val="0000EE"/>
                  <w:w w:val="71"/>
                </w:rPr>
                <w:t>49</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50">
              <w:r>
                <w:rPr>
                  <w:rFonts w:ascii="Arial" w:cs="Arial" w:eastAsia="Arial" w:hAnsi="Arial"/>
                  <w:sz w:val="16"/>
                  <w:szCs w:val="16"/>
                  <w:color w:val="0000EE"/>
                  <w:w w:val="85"/>
                </w:rPr>
                <w:t>Item 3.</w:t>
              </w:r>
            </w:hyperlink>
          </w:p>
        </w:tc>
        <w:tc>
          <w:tcPr>
            <w:tcW w:w="580" w:type="dxa"/>
            <w:vAlign w:val="bottom"/>
            <w:gridSpan w:val="4"/>
          </w:tcPr>
          <w:p>
            <w:pPr>
              <w:spacing w:after="0"/>
              <w:rPr>
                <w:sz w:val="20"/>
                <w:szCs w:val="20"/>
                <w:color w:val="auto"/>
              </w:rPr>
            </w:pPr>
          </w:p>
        </w:tc>
        <w:tc>
          <w:tcPr>
            <w:tcW w:w="2060" w:type="dxa"/>
            <w:vAlign w:val="bottom"/>
            <w:gridSpan w:val="8"/>
          </w:tcPr>
          <w:p>
            <w:pPr>
              <w:spacing w:after="0"/>
              <w:rPr>
                <w:rFonts w:ascii="Arial" w:cs="Arial" w:eastAsia="Arial" w:hAnsi="Arial"/>
                <w:sz w:val="16"/>
                <w:szCs w:val="16"/>
                <w:color w:val="0000EE"/>
                <w:w w:val="91"/>
              </w:rPr>
            </w:pPr>
            <w:hyperlink w:anchor="page50">
              <w:r>
                <w:rPr>
                  <w:rFonts w:ascii="Arial" w:cs="Arial" w:eastAsia="Arial" w:hAnsi="Arial"/>
                  <w:sz w:val="16"/>
                  <w:szCs w:val="16"/>
                  <w:color w:val="0000EE"/>
                  <w:w w:val="91"/>
                </w:rPr>
                <w:t>Defaults upon Senior Securities</w:t>
              </w:r>
            </w:hyperlink>
          </w:p>
        </w:tc>
        <w:tc>
          <w:tcPr>
            <w:tcW w:w="5600" w:type="dxa"/>
            <w:vAlign w:val="bottom"/>
            <w:gridSpan w:val="4"/>
          </w:tcPr>
          <w:p>
            <w:pPr>
              <w:spacing w:after="0"/>
              <w:rPr>
                <w:sz w:val="20"/>
                <w:szCs w:val="20"/>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50">
              <w:r>
                <w:rPr>
                  <w:rFonts w:ascii="Arial" w:cs="Arial" w:eastAsia="Arial" w:hAnsi="Arial"/>
                  <w:sz w:val="16"/>
                  <w:szCs w:val="16"/>
                  <w:color w:val="0000EE"/>
                  <w:w w:val="89"/>
                </w:rPr>
                <w:t>49</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80" w:type="dxa"/>
            <w:vAlign w:val="bottom"/>
            <w:tcBorders>
              <w:left w:val="single" w:sz="8" w:color="0000EE"/>
            </w:tcBorders>
            <w:gridSpan w:val="4"/>
            <w:shd w:val="clear" w:color="auto" w:fill="0000EE"/>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50">
              <w:r>
                <w:rPr>
                  <w:rFonts w:ascii="Arial" w:cs="Arial" w:eastAsia="Arial" w:hAnsi="Arial"/>
                  <w:sz w:val="16"/>
                  <w:szCs w:val="16"/>
                  <w:color w:val="0000EE"/>
                  <w:w w:val="85"/>
                </w:rPr>
                <w:t>Item 4.</w:t>
              </w:r>
            </w:hyperlink>
          </w:p>
        </w:tc>
        <w:tc>
          <w:tcPr>
            <w:tcW w:w="580" w:type="dxa"/>
            <w:vAlign w:val="bottom"/>
            <w:gridSpan w:val="4"/>
          </w:tcPr>
          <w:p>
            <w:pPr>
              <w:spacing w:after="0"/>
              <w:rPr>
                <w:sz w:val="20"/>
                <w:szCs w:val="20"/>
                <w:color w:val="auto"/>
              </w:rPr>
            </w:pPr>
          </w:p>
        </w:tc>
        <w:tc>
          <w:tcPr>
            <w:tcW w:w="2060" w:type="dxa"/>
            <w:vAlign w:val="bottom"/>
            <w:gridSpan w:val="8"/>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Mine Safety Disclosures</w:t>
              </w:r>
            </w:hyperlink>
          </w:p>
        </w:tc>
        <w:tc>
          <w:tcPr>
            <w:tcW w:w="5600" w:type="dxa"/>
            <w:vAlign w:val="bottom"/>
            <w:gridSpan w:val="4"/>
          </w:tcPr>
          <w:p>
            <w:pPr>
              <w:spacing w:after="0"/>
              <w:rPr>
                <w:sz w:val="20"/>
                <w:szCs w:val="20"/>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50">
              <w:r>
                <w:rPr>
                  <w:rFonts w:ascii="Arial" w:cs="Arial" w:eastAsia="Arial" w:hAnsi="Arial"/>
                  <w:sz w:val="16"/>
                  <w:szCs w:val="16"/>
                  <w:color w:val="0000EE"/>
                  <w:w w:val="89"/>
                </w:rPr>
                <w:t>49</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80" w:type="dxa"/>
            <w:vAlign w:val="bottom"/>
            <w:gridSpan w:val="6"/>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50">
              <w:r>
                <w:rPr>
                  <w:rFonts w:ascii="Arial" w:cs="Arial" w:eastAsia="Arial" w:hAnsi="Arial"/>
                  <w:sz w:val="16"/>
                  <w:szCs w:val="16"/>
                  <w:color w:val="0000EE"/>
                  <w:w w:val="85"/>
                </w:rPr>
                <w:t>Item 5.</w:t>
              </w:r>
            </w:hyperlink>
          </w:p>
        </w:tc>
        <w:tc>
          <w:tcPr>
            <w:tcW w:w="580" w:type="dxa"/>
            <w:vAlign w:val="bottom"/>
            <w:gridSpan w:val="4"/>
          </w:tcPr>
          <w:p>
            <w:pPr>
              <w:spacing w:after="0"/>
              <w:rPr>
                <w:sz w:val="20"/>
                <w:szCs w:val="20"/>
                <w:color w:val="auto"/>
              </w:rPr>
            </w:pPr>
          </w:p>
        </w:tc>
        <w:tc>
          <w:tcPr>
            <w:tcW w:w="1180" w:type="dxa"/>
            <w:vAlign w:val="bottom"/>
            <w:gridSpan w:val="4"/>
          </w:tcPr>
          <w:p>
            <w:pPr>
              <w:spacing w:after="0"/>
              <w:rPr>
                <w:rFonts w:ascii="Arial" w:cs="Arial" w:eastAsia="Arial" w:hAnsi="Arial"/>
                <w:sz w:val="16"/>
                <w:szCs w:val="16"/>
                <w:color w:val="0000EE"/>
                <w:w w:val="91"/>
              </w:rPr>
            </w:pPr>
            <w:hyperlink w:anchor="page50">
              <w:r>
                <w:rPr>
                  <w:rFonts w:ascii="Arial" w:cs="Arial" w:eastAsia="Arial" w:hAnsi="Arial"/>
                  <w:sz w:val="16"/>
                  <w:szCs w:val="16"/>
                  <w:color w:val="0000EE"/>
                  <w:w w:val="91"/>
                </w:rPr>
                <w:t>Other Information</w:t>
              </w:r>
            </w:hyperlink>
          </w:p>
        </w:tc>
        <w:tc>
          <w:tcPr>
            <w:tcW w:w="400" w:type="dxa"/>
            <w:vAlign w:val="bottom"/>
            <w:gridSpan w:val="2"/>
          </w:tcPr>
          <w:p>
            <w:pPr>
              <w:spacing w:after="0"/>
              <w:rPr>
                <w:sz w:val="20"/>
                <w:szCs w:val="20"/>
                <w:color w:val="auto"/>
              </w:rPr>
            </w:pPr>
          </w:p>
        </w:tc>
        <w:tc>
          <w:tcPr>
            <w:tcW w:w="6080" w:type="dxa"/>
            <w:vAlign w:val="bottom"/>
            <w:gridSpan w:val="6"/>
          </w:tcPr>
          <w:p>
            <w:pPr>
              <w:spacing w:after="0"/>
              <w:rPr>
                <w:sz w:val="20"/>
                <w:szCs w:val="20"/>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50">
              <w:r>
                <w:rPr>
                  <w:rFonts w:ascii="Arial" w:cs="Arial" w:eastAsia="Arial" w:hAnsi="Arial"/>
                  <w:sz w:val="16"/>
                  <w:szCs w:val="16"/>
                  <w:color w:val="0000EE"/>
                  <w:w w:val="89"/>
                </w:rPr>
                <w:t>49</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480" w:type="dxa"/>
            <w:vAlign w:val="bottom"/>
            <w:gridSpan w:val="8"/>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51">
              <w:r>
                <w:rPr>
                  <w:rFonts w:ascii="Arial" w:cs="Arial" w:eastAsia="Arial" w:hAnsi="Arial"/>
                  <w:sz w:val="16"/>
                  <w:szCs w:val="16"/>
                  <w:color w:val="0000EE"/>
                  <w:w w:val="85"/>
                </w:rPr>
                <w:t>Item 6.</w:t>
              </w:r>
            </w:hyperlink>
          </w:p>
        </w:tc>
        <w:tc>
          <w:tcPr>
            <w:tcW w:w="580" w:type="dxa"/>
            <w:vAlign w:val="bottom"/>
            <w:gridSpan w:val="4"/>
          </w:tcPr>
          <w:p>
            <w:pPr>
              <w:spacing w:after="0"/>
              <w:rPr>
                <w:sz w:val="20"/>
                <w:szCs w:val="20"/>
                <w:color w:val="auto"/>
              </w:rPr>
            </w:pPr>
          </w:p>
        </w:tc>
        <w:tc>
          <w:tcPr>
            <w:tcW w:w="540" w:type="dxa"/>
            <w:vAlign w:val="bottom"/>
          </w:tcPr>
          <w:p>
            <w:pPr>
              <w:spacing w:after="0"/>
              <w:rPr>
                <w:rFonts w:ascii="Arial" w:cs="Arial" w:eastAsia="Arial" w:hAnsi="Arial"/>
                <w:sz w:val="16"/>
                <w:szCs w:val="16"/>
                <w:color w:val="0000EE"/>
                <w:w w:val="92"/>
              </w:rPr>
            </w:pPr>
            <w:hyperlink w:anchor="page51">
              <w:r>
                <w:rPr>
                  <w:rFonts w:ascii="Arial" w:cs="Arial" w:eastAsia="Arial" w:hAnsi="Arial"/>
                  <w:sz w:val="16"/>
                  <w:szCs w:val="16"/>
                  <w:color w:val="0000EE"/>
                  <w:w w:val="92"/>
                </w:rPr>
                <w:t>Exhibits</w:t>
              </w:r>
            </w:hyperlink>
          </w:p>
        </w:tc>
        <w:tc>
          <w:tcPr>
            <w:tcW w:w="640" w:type="dxa"/>
            <w:vAlign w:val="bottom"/>
            <w:gridSpan w:val="3"/>
          </w:tcPr>
          <w:p>
            <w:pPr>
              <w:spacing w:after="0"/>
              <w:rPr>
                <w:sz w:val="20"/>
                <w:szCs w:val="20"/>
                <w:color w:val="auto"/>
              </w:rPr>
            </w:pPr>
          </w:p>
        </w:tc>
        <w:tc>
          <w:tcPr>
            <w:tcW w:w="6480" w:type="dxa"/>
            <w:vAlign w:val="bottom"/>
            <w:gridSpan w:val="8"/>
          </w:tcPr>
          <w:p>
            <w:pPr>
              <w:spacing w:after="0"/>
              <w:rPr>
                <w:sz w:val="20"/>
                <w:szCs w:val="20"/>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51">
              <w:r>
                <w:rPr>
                  <w:rFonts w:ascii="Arial" w:cs="Arial" w:eastAsia="Arial" w:hAnsi="Arial"/>
                  <w:sz w:val="16"/>
                  <w:szCs w:val="16"/>
                  <w:color w:val="0000EE"/>
                  <w:w w:val="89"/>
                </w:rPr>
                <w:t>50</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534"/>
        </w:trPr>
        <w:tc>
          <w:tcPr>
            <w:tcW w:w="680" w:type="dxa"/>
            <w:vAlign w:val="bottom"/>
            <w:gridSpan w:val="4"/>
          </w:tcPr>
          <w:p>
            <w:pPr>
              <w:spacing w:after="0"/>
              <w:rPr>
                <w:sz w:val="20"/>
                <w:szCs w:val="20"/>
                <w:color w:val="auto"/>
              </w:rPr>
            </w:pPr>
            <w:r>
              <w:rPr>
                <w:rFonts w:ascii="Arial" w:cs="Arial" w:eastAsia="Arial" w:hAnsi="Arial"/>
                <w:sz w:val="16"/>
                <w:szCs w:val="16"/>
                <w:color w:val="0000EE"/>
                <w:w w:val="83"/>
              </w:rPr>
              <w:t>Signatures</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53">
              <w:r>
                <w:rPr>
                  <w:rFonts w:ascii="Arial" w:cs="Arial" w:eastAsia="Arial" w:hAnsi="Arial"/>
                  <w:sz w:val="16"/>
                  <w:szCs w:val="16"/>
                  <w:color w:val="0000EE"/>
                  <w:w w:val="89"/>
                </w:rPr>
                <w:t>52</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40"/>
          </w:cols>
          <w:pgMar w:left="280" w:top="580" w:right="8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September 30, 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5"/>
              </w:rPr>
              <w:t>December 31, 2018</w:t>
            </w:r>
          </w:p>
        </w:tc>
      </w:tr>
      <w:tr>
        <w:trPr>
          <w:trHeight w:val="237"/>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Agency securities, at fair value (including pledged securities of $93,688 and $78,619, respectively)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98,577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82,291</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Agency securities transferred to consolidated variable interest entities, at fair value (pledged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Credit risk transfer securities, at fair value (including pledged securities of $358 and $141, respectively)</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1,012</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Non-Agency securities, at fair value (including pledged securities of $0 and $45,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U.S. Treasury securities, at fair value (including pledged securities of $162 and $0, respectively)</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921</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599</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assets,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Receivable for investment securities sold (pledged securities)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489</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Receivable under reverse repurchase agreements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21,813</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526</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r>
      <w:tr>
        <w:trPr>
          <w:trHeight w:val="284"/>
        </w:trPr>
        <w:tc>
          <w:tcPr>
            <w:tcW w:w="81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109,761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109,241</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Repurchase agreements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90,612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75,717</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of consolidated variable interest entities,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Payable for investment securities purchased</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3,094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1,204</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liabilities,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Dividends payable</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106</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Obligation to return securities borrowed under reverse repurchase agreements,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21,431</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Accounts payable and other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518</w:t>
            </w:r>
          </w:p>
        </w:tc>
      </w:tr>
      <w:tr>
        <w:trPr>
          <w:trHeight w:val="33"/>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99,548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99,335</w:t>
            </w: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Stock - aggregate liquidation preference of $735 and $500,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w w:val="93"/>
              </w:rPr>
              <w:t>Common stock - $0.01 par value; 900 shares authorized; 540.9 and 536.3 shares issued and outstanding, respectively</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13,793</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Retained deficit</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(4,473)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(3,433)</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income (loss)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(943)</w:t>
            </w:r>
          </w:p>
        </w:tc>
      </w:tr>
      <w:tr>
        <w:trPr>
          <w:trHeight w:val="217"/>
        </w:trPr>
        <w:tc>
          <w:tcPr>
            <w:tcW w:w="8120" w:type="dxa"/>
            <w:vAlign w:val="bottom"/>
          </w:tcPr>
          <w:p>
            <w:pPr>
              <w:ind w:left="60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10,213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9,906</w:t>
            </w:r>
          </w:p>
        </w:tc>
      </w:tr>
      <w:tr>
        <w:trPr>
          <w:trHeight w:val="33"/>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109,761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109,241</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2"/>
              </w:rPr>
              <w:t>Three Months Ended</w:t>
            </w:r>
          </w:p>
        </w:tc>
        <w:tc>
          <w:tcPr>
            <w:tcW w:w="200" w:type="dxa"/>
            <w:vAlign w:val="bottom"/>
          </w:tcPr>
          <w:p>
            <w:pPr>
              <w:spacing w:after="0"/>
              <w:rPr>
                <w:sz w:val="17"/>
                <w:szCs w:val="17"/>
                <w:color w:val="auto"/>
              </w:rPr>
            </w:pPr>
          </w:p>
        </w:tc>
        <w:tc>
          <w:tcPr>
            <w:tcW w:w="1720" w:type="dxa"/>
            <w:vAlign w:val="bottom"/>
            <w:gridSpan w:val="4"/>
          </w:tcPr>
          <w:p>
            <w:pPr>
              <w:jc w:val="right"/>
              <w:ind w:right="170"/>
              <w:spacing w:after="0"/>
              <w:rPr>
                <w:sz w:val="20"/>
                <w:szCs w:val="20"/>
                <w:color w:val="auto"/>
              </w:rPr>
            </w:pPr>
            <w:r>
              <w:rPr>
                <w:rFonts w:ascii="Arial" w:cs="Arial" w:eastAsia="Arial" w:hAnsi="Arial"/>
                <w:sz w:val="16"/>
                <w:szCs w:val="16"/>
                <w:b w:val="1"/>
                <w:bCs w:val="1"/>
                <w:color w:val="auto"/>
                <w:w w:val="96"/>
              </w:rPr>
              <w:t>Nine Months Ended</w:t>
            </w:r>
          </w:p>
        </w:tc>
      </w:tr>
      <w:tr>
        <w:trPr>
          <w:trHeight w:val="210"/>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18"/>
                <w:szCs w:val="18"/>
                <w:color w:val="auto"/>
              </w:rPr>
            </w:pPr>
          </w:p>
        </w:tc>
        <w:tc>
          <w:tcPr>
            <w:tcW w:w="172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7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Arial" w:cs="Arial" w:eastAsia="Arial" w:hAnsi="Arial"/>
                <w:sz w:val="16"/>
                <w:szCs w:val="16"/>
                <w:b w:val="1"/>
                <w:bCs w:val="1"/>
                <w:color w:val="auto"/>
              </w:rPr>
              <w:t>2018</w:t>
            </w:r>
          </w:p>
        </w:tc>
      </w:tr>
      <w:tr>
        <w:trPr>
          <w:trHeight w:val="33"/>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2,074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1,345</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w:t>
            </w:r>
          </w:p>
        </w:tc>
      </w:tr>
      <w:tr>
        <w:trPr>
          <w:trHeight w:val="237"/>
        </w:trPr>
        <w:tc>
          <w:tcPr>
            <w:tcW w:w="7440" w:type="dxa"/>
            <w:vAlign w:val="bottom"/>
          </w:tcPr>
          <w:p>
            <w:pPr>
              <w:ind w:left="720"/>
              <w:spacing w:after="0"/>
              <w:rPr>
                <w:sz w:val="20"/>
                <w:szCs w:val="20"/>
                <w:color w:val="auto"/>
              </w:rPr>
            </w:pPr>
            <w:r>
              <w:rPr>
                <w:rFonts w:ascii="Arial" w:cs="Arial" w:eastAsia="Arial" w:hAnsi="Arial"/>
                <w:sz w:val="18"/>
                <w:szCs w:val="18"/>
                <w:color w:val="auto"/>
              </w:rPr>
              <w:t>Net interest income</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590</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gain (loss), net: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Gain (loss) on sale of investment securities, net</w:t>
            </w:r>
          </w:p>
        </w:tc>
        <w:tc>
          <w:tcPr>
            <w:tcW w:w="1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Unrealized gain (loss) on investment securities measured at fair value through net income, net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Gain (loss) on derivative instruments and other securities, net</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1,466</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fee income</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37"/>
        </w:trPr>
        <w:tc>
          <w:tcPr>
            <w:tcW w:w="7440" w:type="dxa"/>
            <w:vAlign w:val="bottom"/>
          </w:tcPr>
          <w:p>
            <w:pPr>
              <w:ind w:left="720"/>
              <w:spacing w:after="0"/>
              <w:rPr>
                <w:sz w:val="20"/>
                <w:szCs w:val="20"/>
                <w:color w:val="auto"/>
              </w:rPr>
            </w:pPr>
            <w:r>
              <w:rPr>
                <w:rFonts w:ascii="Arial" w:cs="Arial" w:eastAsia="Arial" w:hAnsi="Arial"/>
                <w:sz w:val="18"/>
                <w:szCs w:val="18"/>
                <w:color w:val="auto"/>
              </w:rPr>
              <w:t>Total other gain (loss), net:</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424</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Compensation and benefits</w:t>
            </w:r>
          </w:p>
        </w:tc>
        <w:tc>
          <w:tcPr>
            <w:tcW w:w="1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expense</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37"/>
        </w:trPr>
        <w:tc>
          <w:tcPr>
            <w:tcW w:w="7440" w:type="dxa"/>
            <w:vAlign w:val="bottom"/>
          </w:tcPr>
          <w:p>
            <w:pPr>
              <w:ind w:left="720"/>
              <w:spacing w:after="0"/>
              <w:rPr>
                <w:sz w:val="20"/>
                <w:szCs w:val="20"/>
                <w:color w:val="auto"/>
              </w:rPr>
            </w:pPr>
            <w:r>
              <w:rPr>
                <w:rFonts w:ascii="Arial" w:cs="Arial" w:eastAsia="Arial" w:hAnsi="Arial"/>
                <w:sz w:val="18"/>
                <w:szCs w:val="18"/>
                <w:color w:val="auto"/>
              </w:rPr>
              <w:t>Total operating expense</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Dividend on preferred stock</w:t>
            </w:r>
          </w:p>
        </w:tc>
        <w:tc>
          <w:tcPr>
            <w:tcW w:w="1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available (attributable) to common stockholders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906</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w:t>
            </w:r>
          </w:p>
        </w:tc>
      </w:tr>
      <w:tr>
        <w:trPr>
          <w:trHeight w:val="229"/>
        </w:trPr>
        <w:tc>
          <w:tcPr>
            <w:tcW w:w="7440" w:type="dxa"/>
            <w:vAlign w:val="bottom"/>
          </w:tcPr>
          <w:p>
            <w:pPr>
              <w:ind w:left="380"/>
              <w:spacing w:after="0"/>
              <w:rPr>
                <w:sz w:val="20"/>
                <w:szCs w:val="20"/>
                <w:color w:val="auto"/>
              </w:rPr>
            </w:pPr>
            <w:r>
              <w:rPr>
                <w:rFonts w:ascii="Arial" w:cs="Arial" w:eastAsia="Arial" w:hAnsi="Arial"/>
                <w:sz w:val="18"/>
                <w:szCs w:val="18"/>
                <w:color w:val="auto"/>
              </w:rPr>
              <w:t>Unrealized gain (loss) on investment securities measured at fair value through other</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7440" w:type="dxa"/>
            <w:vAlign w:val="bottom"/>
          </w:tcPr>
          <w:p>
            <w:pPr>
              <w:ind w:left="380"/>
              <w:spacing w:after="0"/>
              <w:rPr>
                <w:sz w:val="20"/>
                <w:szCs w:val="20"/>
                <w:color w:val="auto"/>
              </w:rPr>
            </w:pPr>
            <w:r>
              <w:rPr>
                <w:rFonts w:ascii="Arial" w:cs="Arial" w:eastAsia="Arial" w:hAnsi="Arial"/>
                <w:sz w:val="18"/>
                <w:szCs w:val="18"/>
                <w:color w:val="auto"/>
              </w:rPr>
              <w:t>comprehensive income (loss), net</w:t>
            </w:r>
          </w:p>
        </w:tc>
        <w:tc>
          <w:tcPr>
            <w:tcW w:w="18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(959)</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Dividend on preferred stock</w:t>
            </w:r>
          </w:p>
        </w:tc>
        <w:tc>
          <w:tcPr>
            <w:tcW w:w="1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 available (attributable) to common stockholders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 - basic</w:t>
            </w:r>
          </w:p>
        </w:tc>
        <w:tc>
          <w:tcPr>
            <w:tcW w:w="1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419.8</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91"/>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 - diluted</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546.4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462.7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540.3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420.1</w:t>
            </w:r>
          </w:p>
        </w:tc>
      </w:tr>
      <w:tr>
        <w:trPr>
          <w:trHeight w:val="251"/>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per common share - 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91"/>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(loss) per common share - 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w:t>
            </w:r>
          </w:p>
        </w:tc>
      </w:tr>
      <w:tr>
        <w:trPr>
          <w:trHeight w:val="251"/>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4"/>
            <w:vMerge w:val="restart"/>
          </w:tcPr>
          <w:p>
            <w:pPr>
              <w:jc w:val="right"/>
              <w:ind w:right="42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Preferred</w:t>
            </w: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8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Retained</w:t>
            </w:r>
          </w:p>
        </w:tc>
        <w:tc>
          <w:tcPr>
            <w:tcW w:w="120" w:type="dxa"/>
            <w:vAlign w:val="bottom"/>
          </w:tcPr>
          <w:p>
            <w:pPr>
              <w:spacing w:after="0"/>
              <w:rPr>
                <w:sz w:val="10"/>
                <w:szCs w:val="10"/>
                <w:color w:val="auto"/>
              </w:rPr>
            </w:pPr>
          </w:p>
        </w:tc>
        <w:tc>
          <w:tcPr>
            <w:tcW w:w="12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80" w:type="dxa"/>
            <w:vAlign w:val="bottom"/>
          </w:tcPr>
          <w:p>
            <w:pPr>
              <w:spacing w:after="0"/>
              <w:rPr>
                <w:sz w:val="10"/>
                <w:szCs w:val="10"/>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June 30,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484</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434.1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11,964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9,042</w:t>
            </w: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380"/>
              <w:spacing w:after="0"/>
              <w:rPr>
                <w:sz w:val="20"/>
                <w:szCs w:val="20"/>
                <w:color w:val="auto"/>
              </w:rPr>
            </w:pPr>
            <w:r>
              <w:rPr>
                <w:rFonts w:ascii="Arial" w:cs="Arial" w:eastAsia="Arial" w:hAnsi="Arial"/>
                <w:sz w:val="14"/>
                <w:szCs w:val="14"/>
                <w:color w:val="auto"/>
              </w:rPr>
              <w:t>Unrealized loss on available-for-sale securities, net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Issuance of common stock, net of offering cost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Preferred dividends declared</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Common dividends declared</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43"/>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September 30,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9,627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June 30, 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547.8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13,988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10,346</w:t>
            </w: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380"/>
              <w:spacing w:after="0"/>
              <w:rPr>
                <w:sz w:val="20"/>
                <w:szCs w:val="20"/>
                <w:color w:val="auto"/>
              </w:rPr>
            </w:pPr>
            <w:r>
              <w:rPr>
                <w:rFonts w:ascii="Arial" w:cs="Arial" w:eastAsia="Arial" w:hAnsi="Arial"/>
                <w:sz w:val="14"/>
                <w:szCs w:val="14"/>
                <w:color w:val="auto"/>
              </w:rPr>
              <w:t>Unrealized gain on available-for-sale securities, net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Repurchase of common stock</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Preferred dividends declared</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Common dividends declared</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43"/>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September 30,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13,888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10,213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484</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11,173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8,754</w:t>
            </w: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380"/>
              <w:spacing w:after="0"/>
              <w:rPr>
                <w:sz w:val="20"/>
                <w:szCs w:val="20"/>
                <w:color w:val="auto"/>
              </w:rPr>
            </w:pPr>
            <w:r>
              <w:rPr>
                <w:rFonts w:ascii="Arial" w:cs="Arial" w:eastAsia="Arial" w:hAnsi="Arial"/>
                <w:sz w:val="14"/>
                <w:szCs w:val="14"/>
                <w:color w:val="auto"/>
              </w:rPr>
              <w:t>Unrealized loss on available-for-sale securities, net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Issuance of common stock, net of offering cost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86.5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1,605</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Preferred dividends declared</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Common dividends declared</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243"/>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September 30,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9,627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484</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536.3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13,793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9,906</w:t>
            </w: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380"/>
              <w:spacing w:after="0"/>
              <w:rPr>
                <w:sz w:val="20"/>
                <w:szCs w:val="20"/>
                <w:color w:val="auto"/>
              </w:rPr>
            </w:pPr>
            <w:r>
              <w:rPr>
                <w:rFonts w:ascii="Arial" w:cs="Arial" w:eastAsia="Arial" w:hAnsi="Arial"/>
                <w:sz w:val="14"/>
                <w:szCs w:val="14"/>
                <w:color w:val="auto"/>
              </w:rPr>
              <w:t>Unrealized gain on available-for-sale securities, net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Issuance of preferred stock, net of offering cost</w:t>
            </w: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227.0</w:t>
            </w:r>
          </w:p>
        </w:tc>
        <w:tc>
          <w:tcPr>
            <w:tcW w:w="120" w:type="dxa"/>
            <w:vAlign w:val="bottom"/>
          </w:tcPr>
          <w:p>
            <w:pPr>
              <w:spacing w:after="0"/>
              <w:rPr>
                <w:sz w:val="22"/>
                <w:szCs w:val="2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Issuance of common stock, net of offering cost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Repurchase of common stock</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Preferred dividends declared</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Common dividends declared</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243"/>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September 30,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13,888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10,213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may not total due to rounding.</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00"/>
          </w:cols>
          <w:pgMar w:left="240" w:top="364" w:right="2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364" w:right="25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79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933</w:t>
            </w:r>
          </w:p>
        </w:tc>
      </w:tr>
      <w:tr>
        <w:trPr>
          <w:trHeight w:val="33"/>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Amortization of premiums and discounts on mortgage-backed securities, net</w:t>
            </w:r>
          </w:p>
        </w:tc>
        <w:tc>
          <w:tcPr>
            <w:tcW w:w="1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224</w:t>
            </w:r>
          </w:p>
        </w:tc>
      </w:tr>
      <w:tr>
        <w:trPr>
          <w:trHeight w:val="33"/>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loss on sale of investment securities, net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Unrealized (gain) loss on investment securities measured at fair value through net income, net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980</w:t>
            </w:r>
          </w:p>
        </w:tc>
      </w:tr>
      <w:tr>
        <w:trPr>
          <w:trHeight w:val="33"/>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loss on derivative instruments and other securities, net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(1,466)</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Increase in other assets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33"/>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accounts payable and other accrued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840</w:t>
            </w:r>
          </w:p>
        </w:tc>
      </w:tr>
      <w:tr>
        <w:trPr>
          <w:trHeight w:val="33"/>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Purchases of Agency mortgage-backed securities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(37,199)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(29,615)</w:t>
            </w:r>
          </w:p>
        </w:tc>
      </w:tr>
      <w:tr>
        <w:trPr>
          <w:trHeight w:val="33"/>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credit risk transfer and non-Agency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(1,051)</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Proceeds from sale of Agency mortgage-backed securities</w:t>
            </w:r>
          </w:p>
        </w:tc>
        <w:tc>
          <w:tcPr>
            <w:tcW w:w="1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17,620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6,696</w:t>
            </w:r>
          </w:p>
        </w:tc>
      </w:tr>
      <w:tr>
        <w:trPr>
          <w:trHeight w:val="33"/>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credit risk transfer and non-Agency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Principal collections on Agency mortgage-backed securities</w:t>
            </w:r>
          </w:p>
        </w:tc>
        <w:tc>
          <w:tcPr>
            <w:tcW w:w="1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8,508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5,317</w:t>
            </w:r>
          </w:p>
        </w:tc>
      </w:tr>
      <w:tr>
        <w:trPr>
          <w:trHeight w:val="33"/>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 collections on credit risk transfer and non-Agency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Payments on U.S. Treasury securities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(26,169)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(7,119)</w:t>
            </w:r>
          </w:p>
        </w:tc>
      </w:tr>
      <w:tr>
        <w:trPr>
          <w:trHeight w:val="33"/>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U.S. Treasury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12,381</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Net proceeds from (payments on) reverse repurchase agreements</w:t>
            </w:r>
          </w:p>
        </w:tc>
        <w:tc>
          <w:tcPr>
            <w:tcW w:w="1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(5,175)</w:t>
            </w:r>
          </w:p>
        </w:tc>
      </w:tr>
      <w:tr>
        <w:trPr>
          <w:trHeight w:val="33"/>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(payments on) derivative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1,087</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Net proceeds from other investing activity</w:t>
            </w: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33"/>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(16,957)</w:t>
            </w:r>
          </w:p>
        </w:tc>
      </w:tr>
      <w:tr>
        <w:trPr>
          <w:trHeight w:val="231"/>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repurchase arrangements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3,251,916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1,299,744</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Payments on repurchase agreements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(3,237,021)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(1,284,306)</w:t>
            </w:r>
          </w:p>
        </w:tc>
      </w:tr>
      <w:tr>
        <w:trPr>
          <w:trHeight w:val="33"/>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on debt of consolidated variable interest entities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Net proceeds from preferred stock issuance</w:t>
            </w:r>
          </w:p>
        </w:tc>
        <w:tc>
          <w:tcPr>
            <w:tcW w:w="1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common stock issuance</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1,605</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Payments for common stock repurchases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dividends paid</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(699)</w:t>
            </w: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14,304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16,281</w:t>
            </w:r>
          </w:p>
        </w:tc>
      </w:tr>
      <w:tr>
        <w:trPr>
          <w:trHeight w:val="33"/>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cash equivalents and restricted cash</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1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1,363</w:t>
            </w:r>
          </w:p>
        </w:tc>
      </w:tr>
      <w:tr>
        <w:trPr>
          <w:trHeight w:val="33"/>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1,527</w:t>
            </w:r>
          </w:p>
        </w:tc>
      </w:tr>
      <w:tr>
        <w:trPr>
          <w:trHeight w:val="20"/>
        </w:trPr>
        <w:tc>
          <w:tcPr>
            <w:tcW w:w="7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340"/>
          </w:cols>
          <w:pgMar w:left="780" w:top="580" w:right="7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unaudited interim consolidated financial statements of AGNC Investment Corp. (referred throughout this report as the "Company," "we," "us" and "our") are prepared in accordance with U.S. generally accepted accounting principles ("GAAP") for interim financial information and pursuant to the requirements for reporting on Form 10-Q and Article 10 of Regulation S-X.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In the opinion of management, all adjustments, consisting solely of normal recurring accruals, necessary for the fair presentation of financial statements for the interim period have been included. The current period’s results of operations are not necessarily indicative of results that ultimately may be achieved for the year.</w:t>
      </w:r>
    </w:p>
    <w:p>
      <w:pPr>
        <w:spacing w:after="0" w:line="11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unaudited interim consolidated financial statements include the accounts of all our wholly-owned subsidiaries and variable interest entities for which we are the primary beneficiary. Significant intercompany accounts and transactions have been eliminated.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Organization</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were organized in Delaware on January 7, 2008 and commenced operations on May 20, 2008 following the completion of our initial public offering. Our common stock is traded on The Nasdaq Global Select Market under the symbol "AGNC."</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are internally-managed, and 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to qualify to be taxed as a real estate investment trust ("REIT") under the Internal Revenue Code of 1986, as amended (the "Internal Revenue Code"). As a REIT, we are required to distribute annually 90% of our taxable income. As a REIT, we will generally not be subject to U.S. federal or state corporate taxes on our taxable income to the extent that we distribute our annual taxable income to our stockholders on a timely basis. It is our intention to distribute 100% of our taxable income, after application of available tax attributes, within the limits prescribed by the Internal Revenue Code, which may extend into the subsequent tax year.</w:t>
      </w:r>
    </w:p>
    <w:p>
      <w:pPr>
        <w:spacing w:after="0" w:line="13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in other investments in, or related to, the housing, mortgage or real estate markets. We fund our investments primarily through borrowings structured as repurchase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CRT securities are risk sharing instruments issued by the GSEs, and similarly structured transactions issued by third-party market participants, that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offset credit losses on the related loans.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jc w:val="both"/>
        <w:ind w:firstLine="405"/>
        <w:spacing w:after="0" w:line="286" w:lineRule="auto"/>
        <w:rPr>
          <w:sz w:val="20"/>
          <w:szCs w:val="20"/>
          <w:color w:val="auto"/>
        </w:rPr>
      </w:pPr>
      <w:r>
        <w:rPr>
          <w:rFonts w:ascii="Arial" w:cs="Arial" w:eastAsia="Arial" w:hAnsi="Arial"/>
          <w:sz w:val="17"/>
          <w:szCs w:val="17"/>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11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All of our securities are reported at fair value on our consolidated balance sheet. Accounting Standards Codification ("ASC") Topic 320, </w:t>
      </w:r>
      <w:r>
        <w:rPr>
          <w:rFonts w:ascii="Arial" w:cs="Arial" w:eastAsia="Arial" w:hAnsi="Arial"/>
          <w:sz w:val="17"/>
          <w:szCs w:val="17"/>
          <w:i w:val="1"/>
          <w:iCs w:val="1"/>
          <w:color w:val="auto"/>
        </w:rPr>
        <w:t>Investments—</w:t>
      </w:r>
      <w:r>
        <w:rPr>
          <w:rFonts w:ascii="Arial" w:cs="Arial" w:eastAsia="Arial" w:hAnsi="Arial"/>
          <w:sz w:val="17"/>
          <w:szCs w:val="17"/>
          <w:color w:val="auto"/>
        </w:rPr>
        <w:t xml:space="preserve"> </w:t>
      </w:r>
      <w:r>
        <w:rPr>
          <w:rFonts w:ascii="Arial" w:cs="Arial" w:eastAsia="Arial" w:hAnsi="Arial"/>
          <w:sz w:val="17"/>
          <w:szCs w:val="17"/>
          <w:i w:val="1"/>
          <w:iCs w:val="1"/>
          <w:color w:val="auto"/>
        </w:rPr>
        <w:t>Debt and Equity Securities</w:t>
      </w:r>
      <w:r>
        <w:rPr>
          <w:rFonts w:ascii="Arial" w:cs="Arial" w:eastAsia="Arial" w:hAnsi="Arial"/>
          <w:sz w:val="17"/>
          <w:szCs w:val="17"/>
          <w:color w:val="auto"/>
        </w:rPr>
        <w:t>, requires that at the time of purchase, we designate a security as held-to-maturity, available-for-sale or trading, depending on our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ability and intent to hold such security to maturity. Alternatively, we may elect the fair value option of accounting for securities pursuant to ASC Topic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Prior to fiscal year 2017, we primarily designated our investment securities as available-for-sale. On January 1, 2017, we began</w:t>
      </w:r>
      <w:r>
        <w:rPr>
          <w:rFonts w:ascii="Arial" w:cs="Arial" w:eastAsia="Arial" w:hAnsi="Arial"/>
          <w:sz w:val="17"/>
          <w:szCs w:val="17"/>
          <w:i w:val="1"/>
          <w:iCs w:val="1"/>
          <w:color w:val="auto"/>
        </w:rPr>
        <w:t xml:space="preserve"> </w:t>
      </w:r>
      <w:r>
        <w:rPr>
          <w:rFonts w:ascii="Arial" w:cs="Arial" w:eastAsia="Arial" w:hAnsi="Arial"/>
          <w:sz w:val="17"/>
          <w:szCs w:val="17"/>
          <w:color w:val="auto"/>
        </w:rPr>
        <w:t>electing the fair value option of accounting for all investment securities newly acquired after such date. Unrealized gains and losses on securities classified as available-for-sale are reported in accumulated other comprehensive income ("OCI"). Unrealized gains and losses on securities for which we elected the fair value option or are classified as trading are reported in net income through other gain (loss) during the period in which they occur. Upon the sale of a security designated as available-for-sale, we determine the cost of the security and the amount of unrealized gains or losses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as the fair value changes for these assets are presented in a manner consistent with the presentation and timing of the fair value changes of our derivative instruments.</w:t>
      </w:r>
    </w:p>
    <w:p>
      <w:pPr>
        <w:spacing w:after="0" w:line="129"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estimate the fair value of our investment securities based on prices provided by multiple third-party pricing services and non-binding dealer quotes (collectively "pricing sources"). These pricing sources use various valuation approaches, including market and income approaches, using "Level 2" inputs. The pricing sources primarily utilize a matrix pricing technique that interpolates the estimated fair value of our Agency RMBS based on observed quoted prices for forward contracts in the Agency RMBS "to-be-announced" market ("TBA securities") of the same coupon, maturity and issuer, adjusted to reflect the specific characteristics of the pool of mortgages underlying the Agency security, which may include maximum loan balance, loan vintage, loan-to-value ratio, geography and other characteristics as may be appropriate. The pricing sources may also utilize discounted cash flow model-derived pricing techniques to estimate the fair value of investment securities. Such models incorporate market-based discount rate assumptions based on observable inputs such as recent trading activity, credit data, volatility statistics, benchmark interest rate curves and other market data that are current as of the measurement date and may include certain unobservable inputs, such as assumptions of future levels of prepayment, defaults and loss severities. We review the pricing estimates obtained from the pricing sources and perform procedures to validate their reasonableness. Refer to Note 8 for further discussion of fair value measurements.</w:t>
      </w:r>
    </w:p>
    <w:p>
      <w:pPr>
        <w:spacing w:after="0" w:line="115"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evaluate our investments designated as available-for-sale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w:t>
      </w:r>
    </w:p>
    <w:p>
      <w:pPr>
        <w:jc w:val="both"/>
        <w:ind w:firstLine="8"/>
        <w:spacing w:after="0" w:line="254"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8"/>
          <w:szCs w:val="18"/>
          <w:i w:val="1"/>
          <w:iCs w:val="1"/>
          <w:color w:val="auto"/>
        </w:rPr>
        <w:t>Receivables—Nonrefundable Fees and Other Costs</w:t>
      </w:r>
      <w:r>
        <w:rPr>
          <w:rFonts w:ascii="Arial" w:cs="Arial" w:eastAsia="Arial" w:hAnsi="Arial"/>
          <w:sz w:val="18"/>
          <w:szCs w:val="18"/>
          <w:color w:val="auto"/>
        </w:rPr>
        <w:t>.</w:t>
      </w:r>
    </w:p>
    <w:p>
      <w:pPr>
        <w:spacing w:after="0" w:line="13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estimate long-term prepayment speeds of our mortgage securities using a third-party service and market data. The third-party service provider estimates prepayment speeds using models that incorporate the forward yield curve, current mortgage rates, mortgage rates of the outstanding loans, age and size of the outstanding loans, loan-to-value ratios, interest rate volatility and other factors. We review the prepayment speeds estimated by the third-party service and compare the results to market consensus prepayment speeds, if available. We also consider historical prepayment speeds and current market conditions to validate the reasonableness of the third-party estimates. We review our actual and anticipated prepayment experience on at least a quarterly basis and effective yields are recalculated when differences arise between (i) our previously estimated future prepayments and (ii) actual prepayments to date and our current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8" w:name="page9"/>
    <w:bookmarkEnd w:id="8"/>
    <w:p>
      <w:pPr>
        <w:jc w:val="both"/>
        <w:ind w:firstLine="432"/>
        <w:spacing w:after="0" w:line="293" w:lineRule="auto"/>
        <w:rPr>
          <w:sz w:val="20"/>
          <w:szCs w:val="20"/>
          <w:color w:val="auto"/>
        </w:rPr>
      </w:pPr>
      <w:r>
        <w:rPr>
          <w:rFonts w:ascii="Arial" w:cs="Arial" w:eastAsia="Arial" w:hAnsi="Arial"/>
          <w:sz w:val="16"/>
          <w:szCs w:val="16"/>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8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We finance the acquisition of securities for our investment portfolio primarily through repurchase transactions under master repurchase agreements. Pursuant to ASC Topic 860, </w:t>
      </w:r>
      <w:r>
        <w:rPr>
          <w:rFonts w:ascii="Arial" w:cs="Arial" w:eastAsia="Arial" w:hAnsi="Arial"/>
          <w:sz w:val="17"/>
          <w:szCs w:val="17"/>
          <w:i w:val="1"/>
          <w:iCs w:val="1"/>
          <w:color w:val="auto"/>
        </w:rPr>
        <w:t>Transfers and Servicing</w:t>
      </w:r>
      <w:r>
        <w:rPr>
          <w:rFonts w:ascii="Arial" w:cs="Arial" w:eastAsia="Arial" w:hAnsi="Arial"/>
          <w:sz w:val="17"/>
          <w:szCs w:val="17"/>
          <w:color w:val="auto"/>
        </w:rPr>
        <w:t>, we account for repurchase transactions as collateralized financing transactions, which are carried at their contractual amounts (cost), plus accrued interest. Our repurchase agreements typically have maturities of less than one year but may extend up to five years or more. Interest rates on our repurchase agreements generally correspond to short-term benchmark rates plus or minus a fixed spread. The fair value of our repurchase agreements is assumed to equal cost as the interest rates are considered to be at market.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 and Obligation to Return Securities Borrowed under Reverse Repurchase Agreements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We borrow securities to cover short sales of U.S. Treasury securities through reverse repurchase transactions under our master repurchase agreements (see </w:t>
      </w:r>
      <w:r>
        <w:rPr>
          <w:rFonts w:ascii="Arial" w:cs="Arial" w:eastAsia="Arial" w:hAnsi="Arial"/>
          <w:sz w:val="17"/>
          <w:szCs w:val="17"/>
          <w:i w:val="1"/>
          <w:iCs w:val="1"/>
          <w:color w:val="auto"/>
        </w:rPr>
        <w:t>Derivative Instruments</w:t>
      </w:r>
      <w:r>
        <w:rPr>
          <w:rFonts w:ascii="Arial" w:cs="Arial" w:eastAsia="Arial" w:hAnsi="Arial"/>
          <w:sz w:val="17"/>
          <w:szCs w:val="17"/>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 The fair value of our reverse repurchase agreements is assumed to equal cost as the interest rates are considered to be at market.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13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We account for derivative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3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use of derivative instruments creates exposure to credit risk relating to potential losses that could be recognized if the counterparties to these instruments fail to perform their obligations under the contracts. Our derivative agreements require that we post or receive collateral to mitigate such risk. We also attempt to minimize our risk of loss by limiting our counterparties to registered central clearing exchanges and major financial institutions with acceptable credit ratings, monitoring positions with individual counterparties and adjusting posted collateral as required.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9" w:name="page10"/>
    <w:bookmarkEnd w:id="9"/>
    <w:p>
      <w:pPr>
        <w:ind w:left="420"/>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three-month London Interbank Offered Rate ("LIBOR"), Overnight Index Swap Rate ("OIS") or Secured Overnight Financing Rate ("SOFR"). Our interest rate swaps typically have terms from one to 10 years but may extend up to 20 years or more. The majority of our interest rate swaps are centrally cleared through a registered commodities exchange. We value centrally cleared interest rate swaps using the daily settlement price, or fair value, determined by the clearing exchange based on a pricing model that references observable market inputs, including current benchmark rates and the forward yield curve. Our centrally cleared swaps require that we post an "initial margin" amount determined by the clearing exchange, which is generally intended to be set at a level sufficient to protect the exchange from the interest rate swap's maximum estimated single-day price movement.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11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value non-centrally cleared swaps using a combination of third-party valuations obtained from pricing services and the swap counterparty. The third-party valuations are model-driven using observable inputs, including short-term benchmark rates, swap rates and the forward yield curve. We also consider both our own and our counterparties' nonperformance risk in estimating the fair value of our interest rate swaps. In considering the effect of nonperformance risk, we assess the impact of netting and credit enhancements, such as collateral postings and guarantees, and have concluded that our own and our counterparty risk is not significant to the overall valuation of these agreements.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premium paid for interest rate swaptions is reported as an asset in our consolidated balance sheets. We estimate the fair value of interest rate swaptions using a combination of inputs from counterparty and third-party pricing models based on the fair value of the future interest rate swap that we have the option to enter into as well as the remaining length of time that we have to exercise the option, adjusted for non-performance risk, if any.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3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 We estimate the fair value of TBA securities based on similar methods used to value our Agency RMBS securities.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use U.S. Treasury securities and U.S. Treasury futures contracts to mitigate the potential impact of changes in interest rates on the performance of our portfolio. We borrow U.S. Treasury securities under reverse repurchase agreements to cover short sales of U.S. Treasury securities. We account for these as securities borrowing transactions and recognize an obligation to return the borrowed securities at fair value on our accompanying consolidated balance sheets based on the value of the underlying U.S. Treasury security as of the reporting date. Gains and losses associated with U.S. Treasury securities and U.S. Treasury futures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10" w:name="page11"/>
    <w:bookmarkEnd w:id="10"/>
    <w:p>
      <w:pPr>
        <w:ind w:right="880"/>
        <w:spacing w:after="0" w:line="438" w:lineRule="auto"/>
        <w:rPr>
          <w:sz w:val="20"/>
          <w:szCs w:val="20"/>
          <w:color w:val="auto"/>
        </w:rPr>
      </w:pPr>
      <w:r>
        <w:rPr>
          <w:rFonts w:ascii="Arial" w:cs="Arial" w:eastAsia="Arial" w:hAnsi="Arial"/>
          <w:sz w:val="18"/>
          <w:szCs w:val="18"/>
          <w:color w:val="auto"/>
        </w:rPr>
        <w:t xml:space="preserve">contracts are recognized in gain (loss) on derivative instruments and other securities, net in our consolidated statements of comprehensive income. </w:t>
      </w:r>
      <w:r>
        <w:rPr>
          <w:rFonts w:ascii="Arial" w:cs="Arial" w:eastAsia="Arial" w:hAnsi="Arial"/>
          <w:sz w:val="18"/>
          <w:szCs w:val="18"/>
          <w:b w:val="1"/>
          <w:bCs w:val="1"/>
          <w:i w:val="1"/>
          <w:iCs w:val="1"/>
          <w:color w:val="auto"/>
        </w:rPr>
        <w:t>Recent Accounting Pronouncements</w:t>
      </w:r>
    </w:p>
    <w:p>
      <w:pPr>
        <w:spacing w:after="0" w:line="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consider the applicability and impact of all Accounting Standards Updates ("ASUs") issued by the Financial Accounting Standards Board. ASUs not listed below were determined to be either not applicable, are not expected to have a significant impact on our consolidated financial statements when adopted or did not have a significant impact on our consolidated financial statements upon adoption.</w:t>
      </w:r>
    </w:p>
    <w:p>
      <w:pPr>
        <w:spacing w:after="0" w:line="12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i w:val="1"/>
          <w:iCs w:val="1"/>
          <w:color w:val="auto"/>
        </w:rPr>
        <w:t xml:space="preserve">ASU 2016-13, Financial Instruments - Credit Losses (Topic 326): </w:t>
      </w:r>
      <w:r>
        <w:rPr>
          <w:rFonts w:ascii="Arial" w:cs="Arial" w:eastAsia="Arial" w:hAnsi="Arial"/>
          <w:sz w:val="18"/>
          <w:szCs w:val="18"/>
          <w:color w:val="auto"/>
        </w:rPr>
        <w:t>ASU 2016-13 changes the impairment model for most financial assets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other instruments. Under ASU 2016-13, credit losses on available-for-sale investment securities are recorded as an allowance rather than as a direct reduction of amortized cost. Remaining losses unrelated to credit loss, such as due to changing interest rates, continue to be recorded through OCI. The new model also requires the estimation of lifetime expected credit losses and corresponding recognition of allowance for losses on trade and other receivables, held-to-maturity debt securities, loans, and other instruments held at amortized cost. The ASU requires certain recurring disclosures and is effective for annual periods, and interim periods within those annual periods, beginning on or after December 15, 2019, with early adoption permitted for annual periods, and interim periods within those annual periods, beginning on or after December 15, 2018. ASU 2016-13 is not expected to have a significant impact on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Securities</w:t>
      </w:r>
    </w:p>
    <w:p>
      <w:pPr>
        <w:spacing w:after="0" w:line="17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September 30, 2019 and December 31, 2018, our investment portfolio consisted of $100.7 billion and $84.3 billion of investment securities, at fair value, respectively, and $1.9 billion and $7.3 billion of net TBA securities, at fair value, respectively. Our net TBA position is reported at its net carrying value of $47 million and $70 million as of September 30, 2019 and December 31, 2018, respectively, in derivative assets / (liabilities)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w:t>
      </w:r>
    </w:p>
    <w:p>
      <w:pPr>
        <w:spacing w:after="0" w:line="1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2019 and December 31, 2018, our investment securities had a net unamortized premium balance of $3.1 billion and $2.9 billion, respectively.</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tables summarize our investment securities as of September 30, 2019 and December 31, 2018, excluding TBA securities, (dollars in millions). Details of our TBA securities as of each of the respective dates are included in Note 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3"/>
                <w:szCs w:val="13"/>
                <w:color w:val="auto"/>
              </w:rPr>
            </w:pPr>
          </w:p>
        </w:tc>
        <w:tc>
          <w:tcPr>
            <w:tcW w:w="11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3"/>
                <w:szCs w:val="13"/>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20" w:type="dxa"/>
            <w:vAlign w:val="bottom"/>
            <w:gridSpan w:val="2"/>
          </w:tcPr>
          <w:p>
            <w:pPr>
              <w:ind w:left="180"/>
              <w:spacing w:after="0"/>
              <w:rPr>
                <w:sz w:val="20"/>
                <w:szCs w:val="20"/>
                <w:color w:val="auto"/>
              </w:rPr>
            </w:pPr>
            <w:r>
              <w:rPr>
                <w:rFonts w:ascii="Arial" w:cs="Arial" w:eastAsia="Arial" w:hAnsi="Arial"/>
                <w:sz w:val="14"/>
                <w:szCs w:val="14"/>
                <w:color w:val="auto"/>
              </w:rPr>
              <w:t>Fixed rate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96,259</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98,090</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83,047</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81,753</w:t>
            </w:r>
          </w:p>
        </w:tc>
        <w:tc>
          <w:tcPr>
            <w:tcW w:w="0" w:type="dxa"/>
            <w:vAlign w:val="bottom"/>
          </w:tcPr>
          <w:p>
            <w:pPr>
              <w:spacing w:after="0"/>
              <w:rPr>
                <w:sz w:val="1"/>
                <w:szCs w:val="1"/>
                <w:color w:val="auto"/>
              </w:rPr>
            </w:pPr>
          </w:p>
        </w:tc>
      </w:tr>
      <w:tr>
        <w:trPr>
          <w:trHeight w:val="276"/>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Adjustable rate</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64"/>
        </w:trPr>
        <w:tc>
          <w:tcPr>
            <w:tcW w:w="5620" w:type="dxa"/>
            <w:vAlign w:val="bottom"/>
            <w:gridSpan w:val="2"/>
          </w:tcPr>
          <w:p>
            <w:pPr>
              <w:ind w:left="180"/>
              <w:spacing w:after="0"/>
              <w:rPr>
                <w:sz w:val="20"/>
                <w:szCs w:val="20"/>
                <w:color w:val="auto"/>
              </w:rPr>
            </w:pPr>
            <w:r>
              <w:rPr>
                <w:rFonts w:ascii="Arial" w:cs="Arial" w:eastAsia="Arial" w:hAnsi="Arial"/>
                <w:sz w:val="14"/>
                <w:szCs w:val="14"/>
                <w:color w:val="auto"/>
              </w:rPr>
              <w:t>CMO</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482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588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276"/>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Interest-only and principal-only strips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64"/>
        </w:trPr>
        <w:tc>
          <w:tcPr>
            <w:tcW w:w="5620" w:type="dxa"/>
            <w:vAlign w:val="bottom"/>
            <w:gridSpan w:val="2"/>
          </w:tcPr>
          <w:p>
            <w:pPr>
              <w:ind w:left="180"/>
              <w:spacing w:after="0"/>
              <w:rPr>
                <w:sz w:val="20"/>
                <w:szCs w:val="20"/>
                <w:color w:val="auto"/>
              </w:rPr>
            </w:pPr>
            <w:r>
              <w:rPr>
                <w:rFonts w:ascii="Arial" w:cs="Arial" w:eastAsia="Arial" w:hAnsi="Arial"/>
                <w:sz w:val="14"/>
                <w:szCs w:val="14"/>
                <w:color w:val="auto"/>
              </w:rPr>
              <w:t>Multifamily</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Agency RMBS</w:t>
            </w:r>
          </w:p>
        </w:tc>
        <w:tc>
          <w:tcPr>
            <w:tcW w:w="2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97,101</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98,970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84,019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82,727</w:t>
            </w:r>
          </w:p>
        </w:tc>
        <w:tc>
          <w:tcPr>
            <w:tcW w:w="0" w:type="dxa"/>
            <w:vAlign w:val="bottom"/>
          </w:tcPr>
          <w:p>
            <w:pPr>
              <w:spacing w:after="0"/>
              <w:rPr>
                <w:sz w:val="1"/>
                <w:szCs w:val="1"/>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color w:val="auto"/>
              </w:rPr>
              <w:t>Non-Agency RMBS</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76"/>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CMBS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CRT securities</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investment securities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98,763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100,683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85,569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84,287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6"/>
          </w:tcPr>
          <w:p>
            <w:pPr>
              <w:jc w:val="right"/>
              <w:ind w:right="57"/>
              <w:spacing w:after="0"/>
              <w:rPr>
                <w:sz w:val="20"/>
                <w:szCs w:val="20"/>
                <w:color w:val="auto"/>
              </w:rPr>
            </w:pPr>
            <w:r>
              <w:rPr>
                <w:rFonts w:ascii="Arial" w:cs="Arial" w:eastAsia="Arial" w:hAnsi="Arial"/>
                <w:sz w:val="14"/>
                <w:szCs w:val="14"/>
                <w:b w:val="1"/>
                <w:bCs w:val="1"/>
                <w:color w:val="auto"/>
                <w:w w:val="90"/>
              </w:rPr>
              <w:t>September 30, 2019</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Agency RMBS</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Non-Agency</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4"/>
              </w:rPr>
              <w:t>Fannie Mae</w:t>
            </w:r>
          </w:p>
        </w:tc>
        <w:tc>
          <w:tcPr>
            <w:tcW w:w="120" w:type="dxa"/>
            <w:vAlign w:val="bottom"/>
            <w:vMerge w:val="restart"/>
          </w:tcPr>
          <w:p>
            <w:pPr>
              <w:spacing w:after="0"/>
              <w:rPr>
                <w:sz w:val="13"/>
                <w:szCs w:val="13"/>
                <w:color w:val="auto"/>
              </w:rPr>
            </w:pP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b w:val="1"/>
                <w:bCs w:val="1"/>
                <w:color w:val="auto"/>
              </w:rPr>
              <w:t>Freddie Mac</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Ginnie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RMBS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CMBS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CRT</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Mae</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15,033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4,989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20,042</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731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284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1,015</w:t>
            </w:r>
          </w:p>
        </w:tc>
        <w:tc>
          <w:tcPr>
            <w:tcW w:w="0" w:type="dxa"/>
            <w:vAlign w:val="bottom"/>
          </w:tcPr>
          <w:p>
            <w:pPr>
              <w:spacing w:after="0"/>
              <w:rPr>
                <w:sz w:val="1"/>
                <w:szCs w:val="1"/>
                <w:color w:val="auto"/>
              </w:rPr>
            </w:pPr>
          </w:p>
        </w:tc>
      </w:tr>
      <w:tr>
        <w:trPr>
          <w:trHeight w:val="249"/>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Amortized cost</w:t>
            </w:r>
          </w:p>
        </w:tc>
        <w:tc>
          <w:tcPr>
            <w:tcW w:w="10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15,752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5,271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21,043</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available-for-sale securities, at fair value</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15,834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5,270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21,125</w:t>
            </w:r>
          </w:p>
        </w:tc>
        <w:tc>
          <w:tcPr>
            <w:tcW w:w="0" w:type="dxa"/>
            <w:vAlign w:val="bottom"/>
          </w:tcPr>
          <w:p>
            <w:pPr>
              <w:spacing w:after="0"/>
              <w:rPr>
                <w:sz w:val="1"/>
                <w:szCs w:val="1"/>
                <w:color w:val="auto"/>
              </w:rPr>
            </w:pPr>
          </w:p>
        </w:tc>
      </w:tr>
      <w:tr>
        <w:trPr>
          <w:trHeight w:val="256"/>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Securities remeasured at fair value through earnings:</w:t>
            </w: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42,642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31,305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340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1,096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75,587</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1,179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997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2,213</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00"/>
              <w:spacing w:after="0"/>
              <w:rPr>
                <w:sz w:val="20"/>
                <w:szCs w:val="20"/>
                <w:color w:val="auto"/>
              </w:rPr>
            </w:pPr>
            <w:r>
              <w:rPr>
                <w:rFonts w:ascii="Arial" w:cs="Arial" w:eastAsia="Arial" w:hAnsi="Arial"/>
                <w:sz w:val="13"/>
                <w:szCs w:val="13"/>
                <w:color w:val="auto"/>
              </w:rPr>
              <w:t>Amortized cost</w:t>
            </w:r>
          </w:p>
        </w:tc>
        <w:tc>
          <w:tcPr>
            <w:tcW w:w="10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43,757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32,300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345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1,123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77,720</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1,095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1,880</w:t>
            </w:r>
          </w:p>
        </w:tc>
        <w:tc>
          <w:tcPr>
            <w:tcW w:w="0" w:type="dxa"/>
            <w:vAlign w:val="bottom"/>
          </w:tcPr>
          <w:p>
            <w:pPr>
              <w:spacing w:after="0"/>
              <w:rPr>
                <w:sz w:val="1"/>
                <w:szCs w:val="1"/>
                <w:color w:val="auto"/>
              </w:rPr>
            </w:pPr>
          </w:p>
        </w:tc>
      </w:tr>
      <w:tr>
        <w:trPr>
          <w:trHeight w:val="264"/>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250"/>
        </w:trPr>
        <w:tc>
          <w:tcPr>
            <w:tcW w:w="42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Total securities remeasured at fair value through earnings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44,831</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33,014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209</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370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1,134</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79,558</w:t>
            </w:r>
          </w:p>
        </w:tc>
        <w:tc>
          <w:tcPr>
            <w:tcW w:w="0" w:type="dxa"/>
            <w:vAlign w:val="bottom"/>
          </w:tcPr>
          <w:p>
            <w:pPr>
              <w:spacing w:after="0"/>
              <w:rPr>
                <w:sz w:val="1"/>
                <w:szCs w:val="1"/>
                <w:color w:val="auto"/>
              </w:rPr>
            </w:pPr>
          </w:p>
        </w:tc>
      </w:tr>
      <w:tr>
        <w:trPr>
          <w:trHeight w:val="282"/>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Total securities, at fair value</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60,665</w:t>
            </w:r>
          </w:p>
        </w:tc>
        <w:tc>
          <w:tcPr>
            <w:tcW w:w="1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38,284</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21</w:t>
            </w:r>
          </w:p>
        </w:tc>
        <w:tc>
          <w:tcPr>
            <w:tcW w:w="3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209</w:t>
            </w:r>
          </w:p>
        </w:tc>
        <w:tc>
          <w:tcPr>
            <w:tcW w:w="120" w:type="dxa"/>
            <w:vAlign w:val="bottom"/>
          </w:tcPr>
          <w:p>
            <w:pPr>
              <w:spacing w:after="0"/>
              <w:rPr>
                <w:sz w:val="24"/>
                <w:szCs w:val="2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370</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1,134</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100,683</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Weighted average coupon as of September 30, 2019</w:t>
            </w: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254"/>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 xml:space="preserve">Weighted average yield as of September 30, 2019 </w:t>
            </w:r>
            <w:r>
              <w:rPr>
                <w:rFonts w:ascii="Arial" w:cs="Arial" w:eastAsia="Arial" w:hAnsi="Arial"/>
                <w:sz w:val="8"/>
                <w:szCs w:val="8"/>
                <w:color w:val="auto"/>
              </w:rPr>
              <w:t>1</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3.06%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4.45%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4.36%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13.4% based on forward rates as of September 30, 2019.</w:t>
      </w: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0"/>
              </w:rPr>
              <w:t>December 31, 2018</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Agency RMBS</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5"/>
          </w:tcPr>
          <w:p>
            <w:pPr>
              <w:jc w:val="right"/>
              <w:ind w:right="516"/>
              <w:spacing w:after="0"/>
              <w:rPr>
                <w:sz w:val="20"/>
                <w:szCs w:val="20"/>
                <w:color w:val="auto"/>
              </w:rPr>
            </w:pPr>
            <w:r>
              <w:rPr>
                <w:rFonts w:ascii="Arial" w:cs="Arial" w:eastAsia="Arial" w:hAnsi="Arial"/>
                <w:sz w:val="14"/>
                <w:szCs w:val="14"/>
                <w:b w:val="1"/>
                <w:bCs w:val="1"/>
                <w:color w:val="auto"/>
              </w:rPr>
              <w:t>Non-Agency</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Fannie</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b w:val="1"/>
                <w:bCs w:val="1"/>
                <w:color w:val="auto"/>
              </w:rPr>
              <w:t>Freddie Mac</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Ginnie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RMBS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CMBS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CRT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Mae</w:t>
            </w:r>
          </w:p>
        </w:tc>
        <w:tc>
          <w:tcPr>
            <w:tcW w:w="100" w:type="dxa"/>
            <w:vAlign w:val="bottom"/>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Mae</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Available-for-sale securities: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Par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17,591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5,673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23,295</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912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343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1,255</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Amortized cost</w:t>
            </w:r>
          </w:p>
        </w:tc>
        <w:tc>
          <w:tcPr>
            <w:tcW w:w="1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18,493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6,014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24,538</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(686)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(264)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(950)</w:t>
            </w: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available-for-sale securities, at fair value</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17,811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5,752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26</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23,595</w:t>
            </w:r>
          </w:p>
        </w:tc>
        <w:tc>
          <w:tcPr>
            <w:tcW w:w="0" w:type="dxa"/>
            <w:vAlign w:val="bottom"/>
          </w:tcPr>
          <w:p>
            <w:pPr>
              <w:spacing w:after="0"/>
              <w:rPr>
                <w:sz w:val="1"/>
                <w:szCs w:val="1"/>
                <w:color w:val="auto"/>
              </w:rPr>
            </w:pPr>
          </w:p>
        </w:tc>
      </w:tr>
      <w:tr>
        <w:trPr>
          <w:trHeight w:val="256"/>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Securities remeasured at fair value through earnings:</w:t>
            </w: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Par value</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39,453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18,428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268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59,398</w:t>
            </w:r>
          </w:p>
        </w:tc>
        <w:tc>
          <w:tcPr>
            <w:tcW w:w="0" w:type="dxa"/>
            <w:vAlign w:val="bottom"/>
          </w:tcPr>
          <w:p>
            <w:pPr>
              <w:spacing w:after="0"/>
              <w:rPr>
                <w:sz w:val="1"/>
                <w:szCs w:val="1"/>
                <w:color w:val="auto"/>
              </w:rPr>
            </w:pPr>
          </w:p>
        </w:tc>
      </w:tr>
      <w:tr>
        <w:trPr>
          <w:trHeight w:val="262"/>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Unamortized discount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Unamortized premium</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1,055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638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1,736</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Amortized cost</w:t>
            </w: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40,430</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19,057</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258</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1,006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61,031</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264"/>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Gross unrealized losses</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(386)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(642)</w:t>
            </w:r>
          </w:p>
        </w:tc>
        <w:tc>
          <w:tcPr>
            <w:tcW w:w="0" w:type="dxa"/>
            <w:vAlign w:val="bottom"/>
          </w:tcPr>
          <w:p>
            <w:pPr>
              <w:spacing w:after="0"/>
              <w:rPr>
                <w:sz w:val="1"/>
                <w:szCs w:val="1"/>
                <w:color w:val="auto"/>
              </w:rPr>
            </w:pPr>
          </w:p>
        </w:tc>
      </w:tr>
      <w:tr>
        <w:trPr>
          <w:trHeight w:val="250"/>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securities remeasured at fair value through earnings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40,267</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18,871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260</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282</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1,012</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60,692</w:t>
            </w:r>
          </w:p>
        </w:tc>
        <w:tc>
          <w:tcPr>
            <w:tcW w:w="0" w:type="dxa"/>
            <w:vAlign w:val="bottom"/>
          </w:tcPr>
          <w:p>
            <w:pPr>
              <w:spacing w:after="0"/>
              <w:rPr>
                <w:sz w:val="1"/>
                <w:szCs w:val="1"/>
                <w:color w:val="auto"/>
              </w:rPr>
            </w:pPr>
          </w:p>
        </w:tc>
      </w:tr>
      <w:tr>
        <w:trPr>
          <w:trHeight w:val="282"/>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Total securities, at fair value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58,078</w:t>
            </w:r>
          </w:p>
        </w:tc>
        <w:tc>
          <w:tcPr>
            <w:tcW w:w="1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24,623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26</w:t>
            </w:r>
          </w:p>
        </w:tc>
        <w:tc>
          <w:tcPr>
            <w:tcW w:w="3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266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282</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1,012</w:t>
            </w:r>
          </w:p>
        </w:tc>
        <w:tc>
          <w:tcPr>
            <w:tcW w:w="120" w:type="dxa"/>
            <w:vAlign w:val="bottom"/>
          </w:tcPr>
          <w:p>
            <w:pPr>
              <w:spacing w:after="0"/>
              <w:rPr>
                <w:sz w:val="24"/>
                <w:szCs w:val="2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84,287</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coupon as of December 31, 2018</w:t>
            </w: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3.37%</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w:t>
            </w:r>
          </w:p>
        </w:tc>
        <w:tc>
          <w:tcPr>
            <w:tcW w:w="0" w:type="dxa"/>
            <w:vAlign w:val="bottom"/>
          </w:tcPr>
          <w:p>
            <w:pPr>
              <w:spacing w:after="0"/>
              <w:rPr>
                <w:sz w:val="1"/>
                <w:szCs w:val="1"/>
                <w:color w:val="auto"/>
              </w:rPr>
            </w:pPr>
          </w:p>
        </w:tc>
      </w:tr>
      <w:tr>
        <w:trPr>
          <w:trHeight w:val="254"/>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 xml:space="preserve">Weighted average yield as of December 31, 2018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7.9% based on forward rates as of December 31, 2018.</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887" w:right="259" w:bottom="1440" w:gutter="0" w:footer="0" w:header="0"/>
        </w:sectPr>
      </w:pPr>
    </w:p>
    <w:bookmarkStart w:id="12" w:name="page13"/>
    <w:bookmarkEnd w:id="12"/>
    <w:p>
      <w:pPr>
        <w:ind w:left="440"/>
        <w:spacing w:after="0"/>
        <w:rPr>
          <w:sz w:val="20"/>
          <w:szCs w:val="20"/>
          <w:color w:val="auto"/>
        </w:rPr>
      </w:pPr>
      <w:r>
        <w:rPr>
          <w:rFonts w:ascii="Arial" w:cs="Arial" w:eastAsia="Arial" w:hAnsi="Arial"/>
          <w:sz w:val="18"/>
          <w:szCs w:val="18"/>
          <w:color w:val="auto"/>
        </w:rPr>
        <w:t>As of September 30, 2019 and December 31, 2018, our investments in CRT and non-Agency securities had the following credit ratings: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7"/>
              </w:rPr>
              <w:t>September 30, 2019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December 31, 2018</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CMBS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CMBS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AAA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AA</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BBB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BB</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Rated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1,134</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1,012</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0"/>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20" w:hanging="328"/>
        <w:spacing w:after="0" w:line="255"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Fitch, DBRS, Kroll Bond Rating Agency ("KBRA") and Morningstar credit ratings, stated in terms of the S&amp;P equivalent rating as of each date.</w:t>
      </w:r>
    </w:p>
    <w:p>
      <w:pPr>
        <w:spacing w:after="0" w:line="13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CRT securities reference the performance of loans underlying Agency RMBS issued by Fannie Mae or Freddie Mac, which were subject to their underwriting standards. As of September 30, 2019, our CRT securities had floating and fixed rate coupons ranging from 2.7% to 8.4%, referenced to loans originated between 2011 and 2019 with weighted average coupons ranging from 3.7% to 5.1%. As of December 31, 2018, our CRT securities had floating rate coupons ranging from 3.9% to 9.5%, referenced to loans originated between 2011 and 2018 with weighted average coupons ranging from 3.8% to 4.8%.</w:t>
      </w:r>
    </w:p>
    <w:p>
      <w:pPr>
        <w:spacing w:after="0" w:line="10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September 30, 2019 and December 31, 2018, the weighted average expected constant prepayment rate ("CPR") over the remaining life of our Agency and high credit quality non-Agency RMBS investment portfolio was 13.4% and 7.9%, respectively. Our estimates can differ materially for different securities and thus our individual holdings have a wide range of projected CPRs. The following table summarizes our investments as of September 30, 2019 and December 31, 2018 according to their estimated weighted average life classification (dollars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September 30, 2019</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 2018</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 Weighted Average Life of</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1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Coupon</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5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3 years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7,108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6,965</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3.92%</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3.12%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3.99%</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2.64%</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&gt; 3 years and ≤ 5 years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18,359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17,934</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3.81%</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3.14%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5,518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5,586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3.35%</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2.73%</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5 years and ≤10 years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75,057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73,711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3.73%</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3.06%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72,503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73,588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3.92%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3.37%</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3.61%</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3.48%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4,576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4,679</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3.57%</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3.30%</w:t>
            </w: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100,683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98,763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85,569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3.31%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gross unrealized loss and fair values of securities classified as available-for-sale by length of time that such securities have been in a continuous unrealized loss position as of September 30, 2019 and December 31, 2018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Unrealized Loss Position For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Securities Classified as Available-for-Sale</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1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3"/>
                <w:szCs w:val="13"/>
                <w:color w:val="auto"/>
              </w:rPr>
            </w:pPr>
          </w:p>
        </w:tc>
        <w:tc>
          <w:tcPr>
            <w:tcW w:w="78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September 30, 2019</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9,651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9,661</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58"/>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December 31, 2018</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4,783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18,231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(878)</w:t>
            </w:r>
          </w:p>
        </w:tc>
        <w:tc>
          <w:tcPr>
            <w:tcW w:w="12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23,014</w:t>
            </w:r>
          </w:p>
        </w:tc>
        <w:tc>
          <w:tcPr>
            <w:tcW w:w="3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did not recognize OTTI charges on our investment securities classified as available-for-sale during the periods presented on our consolidated statements of operations. As of the end of each respective reporting period, a decision had not been made to sell securities in an unrealized loss position and we did not believe it was more likely than not that we would be required to sell such securities before recovery of their amortized cost basis. The unrealized losses on our securities were not due to credit losses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3" w:name="page14"/>
    <w:bookmarkEnd w:id="13"/>
    <w:p>
      <w:pPr>
        <w:spacing w:after="0" w:line="342" w:lineRule="auto"/>
        <w:rPr>
          <w:sz w:val="20"/>
          <w:szCs w:val="20"/>
          <w:color w:val="auto"/>
        </w:rPr>
      </w:pPr>
      <w:r>
        <w:rPr>
          <w:rFonts w:ascii="Arial" w:cs="Arial" w:eastAsia="Arial" w:hAnsi="Arial"/>
          <w:sz w:val="16"/>
          <w:szCs w:val="16"/>
          <w:color w:val="auto"/>
        </w:rPr>
        <w:t>given the GSE or U.S. Government agency guarantees, but rather were due to changes in interest rates and prepayment expectations. However, as we continue to actively manage our portfolio, we may recognize additional realized losses on our investment securities upon selecting specific securities to sell.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Sale of Investment Securities</w:t>
      </w:r>
    </w:p>
    <w:p>
      <w:pPr>
        <w:spacing w:after="0" w:line="17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 is a summary of our net gain (loss) from the sale of investment securities for the three and nine months ended September 30, 2019 and 2018 by investment classification of accounting (in millions):</w:t>
      </w:r>
    </w:p>
    <w:p>
      <w:pPr>
        <w:spacing w:after="0" w:line="176"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w w:val="99"/>
              </w:rPr>
              <w:t>Three Months Ended September 30,</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3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r>
      <w:tr>
        <w:trPr>
          <w:trHeight w:val="143"/>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89"/>
              </w:rPr>
              <w:t>Available-for-</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5"/>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Sale</w:t>
            </w:r>
          </w:p>
        </w:tc>
        <w:tc>
          <w:tcPr>
            <w:tcW w:w="10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91"/>
              </w:rPr>
              <w:t>Fair Value Option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Available-for-Sale</w:t>
            </w:r>
          </w:p>
        </w:tc>
        <w:tc>
          <w:tcPr>
            <w:tcW w:w="11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Fair Value Option</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4"/>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Investment Securities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8"/>
              </w:rPr>
              <w:t xml:space="preserve">Securities </w:t>
            </w:r>
            <w:r>
              <w:rPr>
                <w:rFonts w:ascii="Arial" w:cs="Arial" w:eastAsia="Arial" w:hAnsi="Arial"/>
                <w:sz w:val="8"/>
                <w:szCs w:val="8"/>
                <w:b w:val="1"/>
                <w:bCs w:val="1"/>
                <w:color w:val="auto"/>
                <w:w w:val="88"/>
              </w:rPr>
              <w:t>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3"/>
              </w:rPr>
              <w:t>Securities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w w:val="91"/>
              </w:rPr>
              <w:t xml:space="preserve">Securities </w:t>
            </w:r>
            <w:r>
              <w:rPr>
                <w:rFonts w:ascii="Arial" w:cs="Arial" w:eastAsia="Arial" w:hAnsi="Arial"/>
                <w:sz w:val="8"/>
                <w:szCs w:val="8"/>
                <w:b w:val="1"/>
                <w:bCs w:val="1"/>
                <w:color w:val="auto"/>
                <w:w w:val="91"/>
              </w:rPr>
              <w:t>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3"/>
              </w:rPr>
              <w:t>Securities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Total</w:t>
            </w:r>
          </w:p>
        </w:tc>
      </w:tr>
      <w:tr>
        <w:trPr>
          <w:trHeight w:val="251"/>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Investment securities sold, at cost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(7,080)</w:t>
            </w: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(7,080)</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(1,965)</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(1,039)</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(3,004)</w:t>
            </w:r>
          </w:p>
        </w:tc>
      </w:tr>
      <w:tr>
        <w:trPr>
          <w:trHeight w:val="27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8"/>
                <w:szCs w:val="8"/>
                <w:color w:val="auto"/>
              </w:rPr>
              <w:t>1</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7,169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7,169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1,929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1,035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2,964</w:t>
            </w:r>
          </w:p>
        </w:tc>
      </w:tr>
      <w:tr>
        <w:trPr>
          <w:trHeight w:val="283"/>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89</w:t>
            </w: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64"/>
        </w:trPr>
        <w:tc>
          <w:tcPr>
            <w:tcW w:w="37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r>
      <w:tr>
        <w:trPr>
          <w:trHeight w:val="264"/>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Gross gain on sale of investment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90</w:t>
            </w: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3</w:t>
            </w:r>
          </w:p>
        </w:tc>
      </w:tr>
      <w:tr>
        <w:trPr>
          <w:trHeight w:val="27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loss on sale of investment securities</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243"/>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1"/>
                <w:szCs w:val="21"/>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80"/>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2"/>
              </w:rPr>
              <w:t>Nine Months Ended September 30,</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64"/>
        </w:trPr>
        <w:tc>
          <w:tcPr>
            <w:tcW w:w="3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r>
      <w:tr>
        <w:trPr>
          <w:trHeight w:val="143"/>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89"/>
              </w:rPr>
              <w:t>Available-for-</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5"/>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Sale</w:t>
            </w:r>
          </w:p>
        </w:tc>
        <w:tc>
          <w:tcPr>
            <w:tcW w:w="10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91"/>
              </w:rPr>
              <w:t>Fair Value Option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Available-for-Sale</w:t>
            </w:r>
          </w:p>
        </w:tc>
        <w:tc>
          <w:tcPr>
            <w:tcW w:w="11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Fair Value Option</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4"/>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Investment Securities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8"/>
              </w:rPr>
              <w:t xml:space="preserve">Securities </w:t>
            </w:r>
            <w:r>
              <w:rPr>
                <w:rFonts w:ascii="Arial" w:cs="Arial" w:eastAsia="Arial" w:hAnsi="Arial"/>
                <w:sz w:val="8"/>
                <w:szCs w:val="8"/>
                <w:b w:val="1"/>
                <w:bCs w:val="1"/>
                <w:color w:val="auto"/>
                <w:w w:val="88"/>
              </w:rPr>
              <w:t>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3"/>
              </w:rPr>
              <w:t>Securities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w w:val="91"/>
              </w:rPr>
              <w:t xml:space="preserve">Securities </w:t>
            </w:r>
            <w:r>
              <w:rPr>
                <w:rFonts w:ascii="Arial" w:cs="Arial" w:eastAsia="Arial" w:hAnsi="Arial"/>
                <w:sz w:val="8"/>
                <w:szCs w:val="8"/>
                <w:b w:val="1"/>
                <w:bCs w:val="1"/>
                <w:color w:val="auto"/>
                <w:w w:val="91"/>
              </w:rPr>
              <w:t>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3"/>
              </w:rPr>
              <w:t>Securities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Total</w:t>
            </w:r>
          </w:p>
        </w:tc>
      </w:tr>
      <w:tr>
        <w:trPr>
          <w:trHeight w:val="251"/>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Investment securities sold, at cost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(705)</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(19,411)</w:t>
            </w: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(20,116)</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(3,801)</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(4,017)</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(7,818)</w:t>
            </w:r>
          </w:p>
        </w:tc>
      </w:tr>
      <w:tr>
        <w:trPr>
          <w:trHeight w:val="27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8"/>
                <w:szCs w:val="8"/>
                <w:color w:val="auto"/>
              </w:rPr>
              <w:t>1</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19,701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20,397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3,746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3,956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7,702</w:t>
            </w:r>
          </w:p>
        </w:tc>
      </w:tr>
      <w:tr>
        <w:trPr>
          <w:trHeight w:val="283"/>
        </w:trPr>
        <w:tc>
          <w:tcPr>
            <w:tcW w:w="3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290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281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r>
      <w:tr>
        <w:trPr>
          <w:trHeight w:val="264"/>
        </w:trPr>
        <w:tc>
          <w:tcPr>
            <w:tcW w:w="3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64"/>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Gross gain on sale of investment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294</w:t>
            </w: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18</w:t>
            </w:r>
          </w:p>
        </w:tc>
      </w:tr>
      <w:tr>
        <w:trPr>
          <w:trHeight w:val="27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loss on sale of investment securities</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r>
      <w:tr>
        <w:trPr>
          <w:trHeight w:val="244"/>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290</w:t>
            </w: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0</wp:posOffset>
            </wp:positionV>
            <wp:extent cx="416814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8140" cy="2603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investment securities sold during the period as of period end.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See Note 10 for a summary of changes in accumulated OCI.</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September 30, 2019 and December 31, 2018, our consolidated financial statements reflect the consolidation of certain variable interest entities ("VIEs") for which we have determined we are the primary beneficiary. The consolidated VIEs consist of CMO trusts backed by fixed or adjustable-rate Agency RMBS.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the CMO trusts is the fair value of the CMO securities and interest and principal-only securities held by us, less principal amounts guaranteed by Fannie Mae and Freddie Mac.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Repurchase Agreements and Other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September 30, 2019, we had met all margin call requirements. For additional information regarding our pledged assets, please refer to Note 7.</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2019 and December 31, 2018, we had $90.6 billion and $75.7 billion, respectively, of repurchase agreements outstanding used to fund our investment portfolio and temporary holdings of U.S. Treasury securities. The terms and</w:t>
      </w:r>
    </w:p>
    <w:p>
      <w:pPr>
        <w:sectPr>
          <w:pgSz w:w="11900" w:h="16838" w:orient="portrait"/>
          <w:cols w:equalWidth="0" w:num="1">
            <w:col w:w="11420"/>
          </w:cols>
          <w:pgMar w:left="240" w:top="746"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746" w:right="239" w:bottom="1440" w:gutter="0" w:footer="0" w:header="0"/>
          <w:type w:val="continuous"/>
        </w:sectPr>
      </w:pPr>
    </w:p>
    <w:bookmarkStart w:id="14" w:name="page15"/>
    <w:bookmarkEnd w:id="14"/>
    <w:p>
      <w:pPr>
        <w:jc w:val="both"/>
        <w:spacing w:after="0" w:line="286" w:lineRule="auto"/>
        <w:rPr>
          <w:sz w:val="20"/>
          <w:szCs w:val="20"/>
          <w:color w:val="auto"/>
        </w:rPr>
      </w:pPr>
      <w:r>
        <w:rPr>
          <w:rFonts w:ascii="Arial" w:cs="Arial" w:eastAsia="Arial" w:hAnsi="Arial"/>
          <w:sz w:val="17"/>
          <w:szCs w:val="17"/>
          <w:color w:val="auto"/>
        </w:rPr>
        <w:t>conditions of our repurchase agreements are typically negotiated on a transaction-by-transaction basis. Our repurchase agreements with original maturities greater than one year have floating interest rates based on an index plus or minus a fixed spread. The following table summarizes our borrowings under repurchase agreements by their remaining maturities as of September 30, 2019 and December 31, 2018 (dollars in millions):</w:t>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 2019</w:t>
            </w:r>
          </w:p>
        </w:tc>
        <w:tc>
          <w:tcPr>
            <w:tcW w:w="12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2018</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Remaining Maturity</w:t>
            </w:r>
          </w:p>
        </w:tc>
        <w:tc>
          <w:tcPr>
            <w:tcW w:w="4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160"/>
              <w:spacing w:after="0"/>
              <w:rPr>
                <w:sz w:val="20"/>
                <w:szCs w:val="20"/>
                <w:color w:val="auto"/>
              </w:rPr>
            </w:pPr>
            <w:r>
              <w:rPr>
                <w:rFonts w:ascii="Arial" w:cs="Arial" w:eastAsia="Arial" w:hAnsi="Arial"/>
                <w:sz w:val="16"/>
                <w:szCs w:val="16"/>
                <w:color w:val="auto"/>
              </w:rPr>
              <w:t>≤ 1 month</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51,651</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48,533</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&gt; 1 to ≤ 3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14,886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20,991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60"/>
              <w:spacing w:after="0"/>
              <w:rPr>
                <w:sz w:val="20"/>
                <w:szCs w:val="20"/>
                <w:color w:val="auto"/>
              </w:rPr>
            </w:pPr>
            <w:r>
              <w:rPr>
                <w:rFonts w:ascii="Arial" w:cs="Arial" w:eastAsia="Arial" w:hAnsi="Arial"/>
                <w:sz w:val="16"/>
                <w:szCs w:val="16"/>
                <w:color w:val="auto"/>
              </w:rPr>
              <w:t>&gt; 3 to ≤ 6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17,044</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102</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&gt; 6 to ≤ 9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4,118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201</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60"/>
              <w:spacing w:after="0"/>
              <w:rPr>
                <w:sz w:val="20"/>
                <w:szCs w:val="20"/>
                <w:color w:val="auto"/>
              </w:rPr>
            </w:pPr>
            <w:r>
              <w:rPr>
                <w:rFonts w:ascii="Arial" w:cs="Arial" w:eastAsia="Arial" w:hAnsi="Arial"/>
                <w:sz w:val="16"/>
                <w:szCs w:val="16"/>
                <w:color w:val="auto"/>
              </w:rPr>
              <w:t>&gt; 9 to ≤ 12 months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&gt; 12 to ≤ 24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464</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60"/>
              <w:spacing w:after="0"/>
              <w:rPr>
                <w:sz w:val="20"/>
                <w:szCs w:val="20"/>
                <w:color w:val="auto"/>
              </w:rPr>
            </w:pPr>
            <w:r>
              <w:rPr>
                <w:rFonts w:ascii="Arial" w:cs="Arial" w:eastAsia="Arial" w:hAnsi="Arial"/>
                <w:sz w:val="16"/>
                <w:szCs w:val="16"/>
                <w:color w:val="auto"/>
              </w:rPr>
              <w:t>&gt; 24 to ≤ 36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1,600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914</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90,224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64</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75,717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1"/>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U.S. Treasury repo:</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&gt; 1 day to ≤ 1 month</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388</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90,612</w:t>
            </w:r>
          </w:p>
        </w:tc>
        <w:tc>
          <w:tcPr>
            <w:tcW w:w="12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64</w:t>
            </w:r>
          </w:p>
        </w:tc>
        <w:tc>
          <w:tcPr>
            <w:tcW w:w="4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75,717</w:t>
            </w:r>
          </w:p>
        </w:tc>
        <w:tc>
          <w:tcPr>
            <w:tcW w:w="10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As of September 30, 2019 and December 31, 2018, $10.3 billion and $19.5 billion, respectively, of our repurchase agreements had a remaining maturity of one business day and none of our repurchase agreements were due on demand. As of September 30, 2019, we had $4.0 billion of forward commitments to enter into repurchase agreements, with a weighted average forward start date of 81 days and a weighted average interest rate of 2.43%. As of December 31, 2018 we had $10.7 billion of forward commitments to enter into repurchase agreements, with a weighted average forward start date of 9 days and a weighted average interest rate of 2.90%. As of September 30, 2019 and December 31, 2018, 40% and 35%,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39% and 33% of our repurchase agreement funding outstanding as of September 30, 2019 and December 31, 2018,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September 30, 2019 and December 31, 2018, we had $6.1 billion and $21.8 billion, respectively, of reverse repurchase agreements outstanding used primarily to borrow securities to cover short sales of U.S. Treasury securities, for which we had associated obligations to return borrowed securities at fair value of $5.1 billion and $21.4 billion, respectively. As of September 30, 2019 and December 31, 2018, $5.0 billion and $4.5 billion, respectively, of our reverse repurchase agreements were with the FICC sourced through BES.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Debt</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2019 and December 31, 2018, we had debt of consolidated VIEs, at fair value, of $238 million and $275 million, respectively, which had a weighted average interest rate of LIBOR plus 43 and 40 basis points, respectively, and an estimated weighted average life of 5.4 years and 6.1 years,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and Other Hedging Instruments</w:t>
      </w:r>
    </w:p>
    <w:p>
      <w:pPr>
        <w:spacing w:after="0" w:line="17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hedge a portion of our interest rate risk primarily utilizing interest rate swaps, interest rate swaptions, U.S. Treasury securities and U.S. Treasury futures contracts. We utilize TBA securities primarily as a means of investing in the Agency securities market. For additional information regarding our derivative instruments and our overall risk management strategy, please refer to the discussion of derivative and other hedging instruments in Note 3.</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Derivative and Other Hedging Instrument Assets (Liabilities), at Fair Value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summarizes fair value information about our derivative and other hedging instrument assets/(liabilities) as of September 30,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4"/>
                <w:szCs w:val="14"/>
                <w:color w:val="auto"/>
              </w:rPr>
            </w:pPr>
          </w:p>
        </w:tc>
        <w:tc>
          <w:tcPr>
            <w:tcW w:w="422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Swaptions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 short</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44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derivative assets, at fair value</w:t>
            </w:r>
          </w:p>
        </w:tc>
        <w:tc>
          <w:tcPr>
            <w:tcW w:w="4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84"/>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U.S. Treasury futures - short</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derivative liabilities, at fair value</w:t>
            </w:r>
          </w:p>
        </w:tc>
        <w:tc>
          <w:tcPr>
            <w:tcW w:w="4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long</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at fair value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0"/>
        </w:trPr>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Obligation to return securities borrowed under reverse</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short</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repurchase agreements, at fair value</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(5,114)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(21,431)</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U.S. Treasury securities, net at fair value</w:t>
            </w:r>
          </w:p>
        </w:tc>
        <w:tc>
          <w:tcPr>
            <w:tcW w:w="4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(21,385)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summarize certain characteristics of our derivative and other hedging instruments outstanding as of September 30, 2019 and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2018 (dollars in millions):</w:t>
      </w: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September 30, 2019</w:t>
            </w:r>
          </w:p>
        </w:tc>
        <w:tc>
          <w:tcPr>
            <w:tcW w:w="10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December 31, 2018</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 Fixed / Receive Variable</w:t>
            </w: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Fixed Pay</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Receive</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Fixed Pay</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Receive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Interest Rate Swaps</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7"/>
              </w:rPr>
              <w:t xml:space="preserve">Amount </w:t>
            </w:r>
            <w:r>
              <w:rPr>
                <w:rFonts w:ascii="Arial" w:cs="Arial" w:eastAsia="Arial" w:hAnsi="Arial"/>
                <w:sz w:val="8"/>
                <w:szCs w:val="8"/>
                <w:b w:val="1"/>
                <w:bCs w:val="1"/>
                <w:color w:val="auto"/>
                <w:w w:val="97"/>
              </w:rPr>
              <w:t>1</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8"/>
                <w:szCs w:val="8"/>
                <w:b w:val="1"/>
                <w:bCs w:val="1"/>
                <w:color w:val="auto"/>
                <w:w w:val="98"/>
              </w:rPr>
              <w:t>2</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36"/>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62,900</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1.37%</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1.98%</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19,900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2.62%</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0" w:type="dxa"/>
            <w:vAlign w:val="bottom"/>
          </w:tcPr>
          <w:p>
            <w:pPr>
              <w:spacing w:after="0"/>
              <w:rPr>
                <w:sz w:val="1"/>
                <w:szCs w:val="1"/>
                <w:color w:val="auto"/>
              </w:rPr>
            </w:pPr>
          </w:p>
        </w:tc>
      </w:tr>
      <w:tr>
        <w:trPr>
          <w:trHeight w:val="237"/>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9,850</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1.17%</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1.90%</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8,425</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2.06%</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2.61%</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4.0</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7,875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6.1</w:t>
            </w:r>
          </w:p>
        </w:tc>
        <w:tc>
          <w:tcPr>
            <w:tcW w:w="0" w:type="dxa"/>
            <w:vAlign w:val="bottom"/>
          </w:tcPr>
          <w:p>
            <w:pPr>
              <w:spacing w:after="0"/>
              <w:rPr>
                <w:sz w:val="1"/>
                <w:szCs w:val="1"/>
                <w:color w:val="auto"/>
              </w:rPr>
            </w:pPr>
          </w:p>
        </w:tc>
      </w:tr>
      <w:tr>
        <w:trPr>
          <w:trHeight w:val="237"/>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3,700</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1.42%</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2.01%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10,550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2.36%</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2.64%</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8.8</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1,025</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2.12%</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16.2</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4,875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11.6</w:t>
            </w:r>
          </w:p>
        </w:tc>
        <w:tc>
          <w:tcPr>
            <w:tcW w:w="0" w:type="dxa"/>
            <w:vAlign w:val="bottom"/>
          </w:tcPr>
          <w:p>
            <w:pPr>
              <w:spacing w:after="0"/>
              <w:rPr>
                <w:sz w:val="1"/>
                <w:szCs w:val="1"/>
                <w:color w:val="auto"/>
              </w:rPr>
            </w:pPr>
          </w:p>
        </w:tc>
      </w:tr>
      <w:tr>
        <w:trPr>
          <w:trHeight w:val="244"/>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81,775</w:t>
            </w:r>
          </w:p>
        </w:tc>
        <w:tc>
          <w:tcPr>
            <w:tcW w:w="12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1.35%</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1.98%</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2.8</w:t>
            </w:r>
          </w:p>
        </w:tc>
        <w:tc>
          <w:tcPr>
            <w:tcW w:w="2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51,625</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2.11%</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2.63%</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December 31, 2018, notional amount includes forward starting swaps of $5.7 billion with an average forward start date of 0.5 years.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Average fixed pay rate as of December 31, 2018 includes forward starting swaps. Excluding forward starting swaps, the average fixed pay rate was 1.98% as of December 31, 2018.</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6" w:name="page17"/>
    <w:bookmarkEnd w:id="16"/>
    <w:tbl>
      <w:tblPr>
        <w:tblLayout w:type="fixed"/>
        <w:tblInd w:w="2160" w:type="dxa"/>
        <w:tblCellMar>
          <w:top w:w="0" w:type="dxa"/>
          <w:left w:w="0" w:type="dxa"/>
          <w:bottom w:w="0" w:type="dxa"/>
          <w:right w:w="0" w:type="dxa"/>
        </w:tblCellMar>
      </w:tblPr>
      <w:tr>
        <w:trPr>
          <w:trHeight w:val="161"/>
        </w:trPr>
        <w:tc>
          <w:tcPr>
            <w:tcW w:w="396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Pay Fixed / Receive Variable Interest Rate Swaps by Receive</w:t>
            </w:r>
          </w:p>
        </w:tc>
        <w:tc>
          <w:tcPr>
            <w:tcW w:w="150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vMerge w:val="restart"/>
          </w:tcPr>
          <w:p>
            <w:pPr>
              <w:spacing w:after="0"/>
              <w:rPr>
                <w:sz w:val="14"/>
                <w:szCs w:val="14"/>
                <w:color w:val="auto"/>
              </w:rPr>
            </w:pPr>
          </w:p>
        </w:tc>
        <w:tc>
          <w:tcPr>
            <w:tcW w:w="15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 (% of Notional Amount)</w:t>
            </w:r>
          </w:p>
        </w:tc>
        <w:tc>
          <w:tcPr>
            <w:tcW w:w="14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OIS</w:t>
            </w:r>
          </w:p>
        </w:tc>
        <w:tc>
          <w:tcPr>
            <w:tcW w:w="150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3M LIBOR</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37"/>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SOFR</w:t>
            </w:r>
          </w:p>
        </w:tc>
        <w:tc>
          <w:tcPr>
            <w:tcW w:w="15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Swaptions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Underlying Payer Swap</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Months to</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Average Fixed</w:t>
            </w:r>
          </w:p>
        </w:tc>
        <w:tc>
          <w:tcPr>
            <w:tcW w:w="1140" w:type="dxa"/>
            <w:vAlign w:val="bottom"/>
            <w:gridSpan w:val="2"/>
            <w:vMerge w:val="continue"/>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Current Option</w:t>
            </w: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14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Receive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Current Option Expiration Date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1"/>
              </w:rPr>
              <w:t>Cost Basis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Pay</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Rate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Date </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(LIBOR)</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 2019</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 1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3,950</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2.40%</w:t>
            </w: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9.0</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&gt; 1 year ≤ 2 years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4,700</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84"/>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13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8,650</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2.39%</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8"/>
              </w:rPr>
              <w:t>3M</w:t>
            </w:r>
          </w:p>
        </w:tc>
        <w:tc>
          <w:tcPr>
            <w:tcW w:w="12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9.5</w:t>
            </w:r>
          </w:p>
        </w:tc>
        <w:tc>
          <w:tcPr>
            <w:tcW w:w="0" w:type="dxa"/>
            <w:vAlign w:val="bottom"/>
          </w:tcPr>
          <w:p>
            <w:pPr>
              <w:spacing w:after="0"/>
              <w:rPr>
                <w:sz w:val="1"/>
                <w:szCs w:val="1"/>
                <w:color w:val="auto"/>
              </w:rPr>
            </w:pPr>
          </w:p>
        </w:tc>
      </w:tr>
      <w:tr>
        <w:trPr>
          <w:trHeight w:val="284"/>
        </w:trPr>
        <w:tc>
          <w:tcPr>
            <w:tcW w:w="3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2018</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1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7.0</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&gt; 1 year ≤ 2 years</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2.78%</w:t>
            </w: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2.93%</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7.4</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September 30, 2019 and December 31, 2018, ≤ 1 year notional amount includes $700 million of Bermudan swaptions where the options may be exercised on predetermined dates up to their final exercise date, which is six months prior to the underlying swaps' maturity date.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Treasury Securities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4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Face Amount</w:t>
            </w:r>
          </w:p>
        </w:tc>
        <w:tc>
          <w:tcPr>
            <w:tcW w:w="200" w:type="dxa"/>
            <w:vAlign w:val="bottom"/>
          </w:tcPr>
          <w:p>
            <w:pPr>
              <w:spacing w:after="0"/>
              <w:rPr>
                <w:sz w:val="13"/>
                <w:szCs w:val="13"/>
                <w:color w:val="auto"/>
              </w:rPr>
            </w:pPr>
          </w:p>
        </w:tc>
        <w:tc>
          <w:tcPr>
            <w:tcW w:w="10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6"/>
              </w:rPr>
              <w:t xml:space="preserve">Cost Basis </w:t>
            </w:r>
            <w:r>
              <w:rPr>
                <w:rFonts w:ascii="Arial" w:cs="Arial" w:eastAsia="Arial" w:hAnsi="Arial"/>
                <w:sz w:val="8"/>
                <w:szCs w:val="8"/>
                <w:b w:val="1"/>
                <w:bCs w:val="1"/>
                <w:color w:val="auto"/>
                <w:w w:val="96"/>
              </w:rPr>
              <w:t>1</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Face Amount</w:t>
            </w:r>
          </w:p>
        </w:tc>
        <w:tc>
          <w:tcPr>
            <w:tcW w:w="200" w:type="dxa"/>
            <w:vAlign w:val="bottom"/>
          </w:tcPr>
          <w:p>
            <w:pPr>
              <w:spacing w:after="0"/>
              <w:rPr>
                <w:sz w:val="13"/>
                <w:szCs w:val="13"/>
                <w:color w:val="auto"/>
              </w:rPr>
            </w:pPr>
          </w:p>
        </w:tc>
        <w:tc>
          <w:tcPr>
            <w:tcW w:w="10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4"/>
              </w:rPr>
              <w:t xml:space="preserve">Cost Basis </w:t>
            </w:r>
            <w:r>
              <w:rPr>
                <w:rFonts w:ascii="Arial" w:cs="Arial" w:eastAsia="Arial" w:hAnsi="Arial"/>
                <w:sz w:val="8"/>
                <w:szCs w:val="8"/>
                <w:b w:val="1"/>
                <w:bCs w:val="1"/>
                <w:color w:val="auto"/>
                <w:w w:val="94"/>
              </w:rPr>
              <w:t>1</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Long/(Short)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9"/>
              </w:rPr>
              <w:t>Long/(Short)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5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7 years</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(14,357)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(14,410)</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 years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(4,622)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(6,262)</w:t>
            </w:r>
          </w:p>
        </w:tc>
        <w:tc>
          <w:tcPr>
            <w:tcW w:w="0" w:type="dxa"/>
            <w:vAlign w:val="bottom"/>
          </w:tcPr>
          <w:p>
            <w:pPr>
              <w:spacing w:after="0"/>
              <w:rPr>
                <w:sz w:val="1"/>
                <w:szCs w:val="1"/>
                <w:color w:val="auto"/>
              </w:rPr>
            </w:pPr>
          </w:p>
        </w:tc>
      </w:tr>
      <w:tr>
        <w:trPr>
          <w:trHeight w:val="24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Total U.S. Treasury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(4,424)</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(4,508)</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(4,899)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(21,300)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(21,255)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(21,385)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55"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of September 30, 2019 and December 31, 2018, our short U.S. Treasury securities had a weighted average yield of 2.67% and 2.66%, respectively, and our long U.S. Treasury securities had a weighted average yield of 2.21% and 2.98%, respectively.</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U.S. Treasury Futures</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tcPr>
          <w:p>
            <w:pPr>
              <w:ind w:left="10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43"/>
        </w:trPr>
        <w:tc>
          <w:tcPr>
            <w:tcW w:w="2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88"/>
              </w:rPr>
              <w:t>Notional</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1"/>
                <w:szCs w:val="11"/>
                <w:color w:val="auto"/>
              </w:rPr>
            </w:pPr>
          </w:p>
        </w:tc>
        <w:tc>
          <w:tcPr>
            <w:tcW w:w="8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Net Carrying</w:t>
            </w: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rPr>
              <w:t>Fair</w:t>
            </w: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Net Carrying</w:t>
            </w:r>
          </w:p>
        </w:tc>
      </w:tr>
      <w:tr>
        <w:trPr>
          <w:trHeight w:val="17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Maturity</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3"/>
                <w:szCs w:val="13"/>
                <w:b w:val="1"/>
                <w:bCs w:val="1"/>
                <w:color w:val="auto"/>
                <w:w w:val="89"/>
              </w:rPr>
              <w:t>Long (Short)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Basis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54"/>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8"/>
              </w:rPr>
              <w:t xml:space="preserve">Value </w:t>
            </w:r>
            <w:r>
              <w:rPr>
                <w:rFonts w:ascii="Arial" w:cs="Arial" w:eastAsia="Arial" w:hAnsi="Arial"/>
                <w:sz w:val="8"/>
                <w:szCs w:val="8"/>
                <w:b w:val="1"/>
                <w:bCs w:val="1"/>
                <w:color w:val="auto"/>
                <w:w w:val="88"/>
              </w:rPr>
              <w:t>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87"/>
              </w:rPr>
              <w:t>Long (Short)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34"/>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w w:val="88"/>
              </w:rPr>
              <w:t xml:space="preserve">Value </w:t>
            </w:r>
            <w:r>
              <w:rPr>
                <w:rFonts w:ascii="Arial" w:cs="Arial" w:eastAsia="Arial" w:hAnsi="Arial"/>
                <w:sz w:val="8"/>
                <w:szCs w:val="8"/>
                <w:b w:val="1"/>
                <w:bCs w:val="1"/>
                <w:color w:val="auto"/>
                <w:w w:val="88"/>
              </w:rPr>
              <w:t>1</w:t>
            </w:r>
          </w:p>
        </w:tc>
      </w:tr>
      <w:tr>
        <w:trPr>
          <w:trHeight w:val="243"/>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10 years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(1,303)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7"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43"/>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88"/>
              </w:rPr>
              <w:t>Notional</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Carrying</w:t>
            </w: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Fair</w:t>
            </w:r>
          </w:p>
        </w:tc>
        <w:tc>
          <w:tcPr>
            <w:tcW w:w="900" w:type="dxa"/>
            <w:vAlign w:val="bottom"/>
            <w:gridSpan w:val="2"/>
          </w:tcPr>
          <w:p>
            <w:pPr>
              <w:jc w:val="right"/>
              <w:ind w:right="9"/>
              <w:spacing w:after="0" w:line="135" w:lineRule="exact"/>
              <w:rPr>
                <w:sz w:val="20"/>
                <w:szCs w:val="20"/>
                <w:color w:val="auto"/>
              </w:rPr>
            </w:pPr>
            <w:r>
              <w:rPr>
                <w:rFonts w:ascii="Arial" w:cs="Arial" w:eastAsia="Arial" w:hAnsi="Arial"/>
                <w:sz w:val="13"/>
                <w:szCs w:val="13"/>
                <w:b w:val="1"/>
                <w:bCs w:val="1"/>
                <w:color w:val="auto"/>
              </w:rPr>
              <w:t>Net Carrying</w:t>
            </w:r>
          </w:p>
        </w:tc>
      </w:tr>
      <w:tr>
        <w:trPr>
          <w:trHeight w:val="17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TBA Securities by Coupon</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89"/>
              </w:rPr>
              <w:t>Long (Short)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Basis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87"/>
              </w:rPr>
              <w:t>Long (Short)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r>
      <w:tr>
        <w:trPr>
          <w:trHeight w:val="27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15-Year TBA securities: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2740" w:type="dxa"/>
            <w:vAlign w:val="bottom"/>
          </w:tcPr>
          <w:p>
            <w:pPr>
              <w:ind w:left="200"/>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1,122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1,120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567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557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w:t>
            </w:r>
          </w:p>
        </w:tc>
      </w:tr>
      <w:tr>
        <w:trPr>
          <w:trHeight w:val="264"/>
        </w:trPr>
        <w:tc>
          <w:tcPr>
            <w:tcW w:w="2740" w:type="dxa"/>
            <w:vAlign w:val="bottom"/>
          </w:tcPr>
          <w:p>
            <w:pPr>
              <w:ind w:left="200"/>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330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1,706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1,708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1,726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18</w:t>
            </w:r>
          </w:p>
        </w:tc>
      </w:tr>
      <w:tr>
        <w:trPr>
          <w:trHeight w:val="270"/>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1,370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w:t>
            </w:r>
          </w:p>
        </w:tc>
      </w:tr>
      <w:tr>
        <w:trPr>
          <w:trHeight w:val="250"/>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15-Year TBA securities</w:t>
            </w: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1,771</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1,817</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1,814</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3,623</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3,635</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3,673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38</w:t>
            </w:r>
          </w:p>
        </w:tc>
      </w:tr>
      <w:tr>
        <w:trPr>
          <w:trHeight w:val="27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30-Year TBA securities: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2880" w:type="dxa"/>
            <w:vAlign w:val="bottom"/>
            <w:gridSpan w:val="2"/>
          </w:tcPr>
          <w:p>
            <w:pPr>
              <w:ind w:left="200"/>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6,994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7,008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7,054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1,028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981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1,003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22</w:t>
            </w:r>
          </w:p>
        </w:tc>
      </w:tr>
      <w:tr>
        <w:trPr>
          <w:trHeight w:val="276"/>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(4,050)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(4,155)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64"/>
        </w:trPr>
        <w:tc>
          <w:tcPr>
            <w:tcW w:w="2740" w:type="dxa"/>
            <w:vAlign w:val="bottom"/>
          </w:tcPr>
          <w:p>
            <w:pPr>
              <w:ind w:left="200"/>
              <w:spacing w:after="0"/>
              <w:rPr>
                <w:sz w:val="20"/>
                <w:szCs w:val="20"/>
                <w:color w:val="auto"/>
              </w:rPr>
            </w:pPr>
            <w:r>
              <w:rPr>
                <w:rFonts w:ascii="Arial" w:cs="Arial" w:eastAsia="Arial" w:hAnsi="Arial"/>
                <w:sz w:val="14"/>
                <w:szCs w:val="14"/>
                <w:color w:val="auto"/>
              </w:rPr>
              <w:t>4.0%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(3,170)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(3,291)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(3,290)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3,030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3,073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3,089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16</w:t>
            </w:r>
          </w:p>
        </w:tc>
      </w:tr>
      <w:tr>
        <w:trPr>
          <w:trHeight w:val="270"/>
        </w:trPr>
        <w:tc>
          <w:tcPr>
            <w:tcW w:w="2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 4.5%</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422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444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444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2,506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w:t>
            </w:r>
          </w:p>
        </w:tc>
      </w:tr>
      <w:tr>
        <w:trPr>
          <w:trHeight w:val="250"/>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30-Year TBA securities, net</w:t>
            </w: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196</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3,529</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3,617</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3,649</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32</w:t>
            </w:r>
          </w:p>
        </w:tc>
      </w:tr>
      <w:tr>
        <w:trPr>
          <w:trHeight w:val="243"/>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TBA securities,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1,967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1,820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1,867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7,152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7,252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7,322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70</w:t>
            </w: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left="60" w:firstLine="648"/>
        <w:spacing w:after="0" w:line="277" w:lineRule="auto"/>
        <w:rPr>
          <w:sz w:val="20"/>
          <w:szCs w:val="20"/>
          <w:color w:val="auto"/>
        </w:rPr>
      </w:pPr>
      <w:r>
        <w:rPr>
          <w:rFonts w:ascii="Arial" w:cs="Arial" w:eastAsia="Arial" w:hAnsi="Arial"/>
          <w:sz w:val="18"/>
          <w:szCs w:val="18"/>
          <w:color w:val="auto"/>
        </w:rPr>
        <w:t>The following table summarizes changes in our derivative and other hedge portfolio and their effect on our consolidated statements of comprehensive income for the three and nine months ended September 30, 2019 and 2018 (in millions):</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Settlement,</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42"/>
              <w:spacing w:after="0" w:line="145" w:lineRule="exact"/>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Beginning</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240" w:type="dxa"/>
            <w:vAlign w:val="bottom"/>
          </w:tcPr>
          <w:p>
            <w:pPr>
              <w:spacing w:after="0"/>
              <w:rPr>
                <w:sz w:val="12"/>
                <w:szCs w:val="12"/>
                <w:color w:val="auto"/>
              </w:rPr>
            </w:pPr>
          </w:p>
        </w:tc>
        <w:tc>
          <w:tcPr>
            <w:tcW w:w="120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Ending</w:t>
            </w:r>
          </w:p>
        </w:tc>
        <w:tc>
          <w:tcPr>
            <w:tcW w:w="140" w:type="dxa"/>
            <w:vAlign w:val="bottom"/>
          </w:tcPr>
          <w:p>
            <w:pPr>
              <w:spacing w:after="0"/>
              <w:rPr>
                <w:sz w:val="12"/>
                <w:szCs w:val="12"/>
                <w:color w:val="auto"/>
              </w:rPr>
            </w:pPr>
          </w:p>
        </w:tc>
        <w:tc>
          <w:tcPr>
            <w:tcW w:w="12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Instruments and</w:t>
            </w:r>
          </w:p>
        </w:tc>
        <w:tc>
          <w:tcPr>
            <w:tcW w:w="0" w:type="dxa"/>
            <w:vAlign w:val="bottom"/>
          </w:tcPr>
          <w:p>
            <w:pPr>
              <w:spacing w:after="0"/>
              <w:rPr>
                <w:sz w:val="1"/>
                <w:szCs w:val="1"/>
                <w:color w:val="auto"/>
              </w:rPr>
            </w:pPr>
          </w:p>
        </w:tc>
      </w:tr>
      <w:tr>
        <w:trPr>
          <w:trHeight w:val="149"/>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2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3"/>
              </w:rPr>
              <w:t>Other Securities, Net</w:t>
            </w:r>
          </w:p>
        </w:tc>
        <w:tc>
          <w:tcPr>
            <w:tcW w:w="0" w:type="dxa"/>
            <w:vAlign w:val="bottom"/>
          </w:tcPr>
          <w:p>
            <w:pPr>
              <w:spacing w:after="0"/>
              <w:rPr>
                <w:sz w:val="1"/>
                <w:szCs w:val="1"/>
                <w:color w:val="auto"/>
              </w:rPr>
            </w:pPr>
          </w:p>
        </w:tc>
      </w:tr>
      <w:tr>
        <w:trPr>
          <w:trHeight w:val="162"/>
        </w:trPr>
        <w:tc>
          <w:tcPr>
            <w:tcW w:w="43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Notional Amount</w:t>
            </w:r>
          </w:p>
        </w:tc>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Notional Amount</w:t>
            </w:r>
          </w:p>
        </w:tc>
        <w:tc>
          <w:tcPr>
            <w:tcW w:w="220" w:type="dxa"/>
            <w:vAlign w:val="bottom"/>
            <w:tcBorders>
              <w:bottom w:val="single" w:sz="8" w:color="CCEEFF"/>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62"/>
              <w:spacing w:after="0"/>
              <w:rPr>
                <w:sz w:val="20"/>
                <w:szCs w:val="20"/>
                <w:color w:val="auto"/>
              </w:rPr>
            </w:pPr>
            <w:r>
              <w:rPr>
                <w:rFonts w:ascii="Arial" w:cs="Arial" w:eastAsia="Arial" w:hAnsi="Arial"/>
                <w:sz w:val="9"/>
                <w:szCs w:val="9"/>
                <w:b w:val="1"/>
                <w:bCs w:val="1"/>
                <w:color w:val="auto"/>
                <w:w w:val="78"/>
              </w:rPr>
              <w:t>1</w:t>
            </w: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September 30, 2019:</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11,043</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24,305</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(33,381)</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1,967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74,950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82,625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(75,800)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81,775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4,400</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8,650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Receiver swaptions</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(7,245)</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2,710</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(4,633)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1,134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1,650</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Three months ended September 30, 2018:</w:t>
            </w: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19,805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55,702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(66,233)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9,274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47,875</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2,150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(1,350)</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48,675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5,600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(13,394)</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(4,402)</w:t>
            </w:r>
          </w:p>
        </w:tc>
        <w:tc>
          <w:tcPr>
            <w:tcW w:w="1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1,583</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(16,213)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(1,650)</w:t>
            </w:r>
          </w:p>
        </w:tc>
        <w:tc>
          <w:tcPr>
            <w:tcW w:w="1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1,650</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968" w:right="239" w:bottom="1440" w:gutter="0" w:footer="0" w:header="0"/>
        </w:sectPr>
      </w:pPr>
    </w:p>
    <w:bookmarkStart w:id="18" w:name="page19"/>
    <w:bookmarkEnd w:id="18"/>
    <w:tbl>
      <w:tblPr>
        <w:tblLayout w:type="fixed"/>
        <w:tblInd w:w="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Settlement,</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42"/>
              <w:spacing w:after="0" w:line="145" w:lineRule="exact"/>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Beginning</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240" w:type="dxa"/>
            <w:vAlign w:val="bottom"/>
          </w:tcPr>
          <w:p>
            <w:pPr>
              <w:spacing w:after="0"/>
              <w:rPr>
                <w:sz w:val="12"/>
                <w:szCs w:val="12"/>
                <w:color w:val="auto"/>
              </w:rPr>
            </w:pPr>
          </w:p>
        </w:tc>
        <w:tc>
          <w:tcPr>
            <w:tcW w:w="120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Ending</w:t>
            </w:r>
          </w:p>
        </w:tc>
        <w:tc>
          <w:tcPr>
            <w:tcW w:w="140" w:type="dxa"/>
            <w:vAlign w:val="bottom"/>
          </w:tcPr>
          <w:p>
            <w:pPr>
              <w:spacing w:after="0"/>
              <w:rPr>
                <w:sz w:val="12"/>
                <w:szCs w:val="12"/>
                <w:color w:val="auto"/>
              </w:rPr>
            </w:pPr>
          </w:p>
        </w:tc>
        <w:tc>
          <w:tcPr>
            <w:tcW w:w="12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Instruments and</w:t>
            </w:r>
          </w:p>
        </w:tc>
        <w:tc>
          <w:tcPr>
            <w:tcW w:w="0" w:type="dxa"/>
            <w:vAlign w:val="bottom"/>
          </w:tcPr>
          <w:p>
            <w:pPr>
              <w:spacing w:after="0"/>
              <w:rPr>
                <w:sz w:val="1"/>
                <w:szCs w:val="1"/>
                <w:color w:val="auto"/>
              </w:rPr>
            </w:pPr>
          </w:p>
        </w:tc>
      </w:tr>
      <w:tr>
        <w:trPr>
          <w:trHeight w:val="149"/>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2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3"/>
              </w:rPr>
              <w:t>Other Securities, Net</w:t>
            </w:r>
          </w:p>
        </w:tc>
        <w:tc>
          <w:tcPr>
            <w:tcW w:w="0" w:type="dxa"/>
            <w:vAlign w:val="bottom"/>
          </w:tcPr>
          <w:p>
            <w:pPr>
              <w:spacing w:after="0"/>
              <w:rPr>
                <w:sz w:val="1"/>
                <w:szCs w:val="1"/>
                <w:color w:val="auto"/>
              </w:rPr>
            </w:pPr>
          </w:p>
        </w:tc>
      </w:tr>
      <w:tr>
        <w:trPr>
          <w:trHeight w:val="162"/>
        </w:trPr>
        <w:tc>
          <w:tcPr>
            <w:tcW w:w="43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Notional Amount</w:t>
            </w:r>
          </w:p>
        </w:tc>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Notional Amount</w:t>
            </w:r>
          </w:p>
        </w:tc>
        <w:tc>
          <w:tcPr>
            <w:tcW w:w="220" w:type="dxa"/>
            <w:vAlign w:val="bottom"/>
            <w:tcBorders>
              <w:bottom w:val="single" w:sz="8" w:color="CCEEFF"/>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62"/>
              <w:spacing w:after="0"/>
              <w:rPr>
                <w:sz w:val="20"/>
                <w:szCs w:val="20"/>
                <w:color w:val="auto"/>
              </w:rPr>
            </w:pPr>
            <w:r>
              <w:rPr>
                <w:rFonts w:ascii="Arial" w:cs="Arial" w:eastAsia="Arial" w:hAnsi="Arial"/>
                <w:sz w:val="9"/>
                <w:szCs w:val="9"/>
                <w:b w:val="1"/>
                <w:bCs w:val="1"/>
                <w:color w:val="auto"/>
                <w:w w:val="78"/>
              </w:rPr>
              <w:t>1</w:t>
            </w: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2019:</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7,152</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70,606</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(75,791)</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1,967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51,625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152,975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(122,825)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81,775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(2,097)</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3,500</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7,150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8,650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Receiver swaptions</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(21,345)</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(7,404)</w:t>
            </w:r>
          </w:p>
        </w:tc>
        <w:tc>
          <w:tcPr>
            <w:tcW w:w="1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24,116</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(4,633)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(4,300)</w:t>
            </w:r>
          </w:p>
        </w:tc>
        <w:tc>
          <w:tcPr>
            <w:tcW w:w="1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4,950</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(2,979)</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Nine months ended September 30, 2018:</w:t>
            </w: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15,474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163,777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(169,977)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9,274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43,700</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9,800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(4,825)</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48,675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6,650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5,600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(10,699)</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(10,693)</w:t>
            </w:r>
          </w:p>
        </w:tc>
        <w:tc>
          <w:tcPr>
            <w:tcW w:w="1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5,179</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(16,213)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1,841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(2,910)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(6,209)</w:t>
            </w:r>
          </w:p>
        </w:tc>
        <w:tc>
          <w:tcPr>
            <w:tcW w:w="10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7,469</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1,455</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60"/>
        <w:spacing w:after="0"/>
        <w:rPr>
          <w:sz w:val="20"/>
          <w:szCs w:val="20"/>
          <w:color w:val="auto"/>
        </w:rPr>
      </w:pPr>
      <w:r>
        <w:rPr>
          <w:rFonts w:ascii="Arial" w:cs="Arial" w:eastAsia="Arial" w:hAnsi="Arial"/>
          <w:sz w:val="11"/>
          <w:szCs w:val="11"/>
          <w:color w:val="auto"/>
        </w:rPr>
        <w:t>________________________________</w:t>
      </w:r>
    </w:p>
    <w:p>
      <w:pPr>
        <w:spacing w:after="0" w:line="40" w:lineRule="exact"/>
        <w:rPr>
          <w:sz w:val="20"/>
          <w:szCs w:val="20"/>
          <w:color w:val="auto"/>
        </w:rPr>
      </w:pPr>
    </w:p>
    <w:p>
      <w:pPr>
        <w:ind w:left="660" w:right="20" w:hanging="328"/>
        <w:spacing w:after="0" w:line="273"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Amounts exclude other miscellaneous gains and losses recognized in gain (loss) on derivative instruments and other securities, net in our consolidated statements of comprehensive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Pledged Assets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brokerage and custody agreements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2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w:t>
      </w:r>
    </w:p>
    <w:p>
      <w:pPr>
        <w:spacing w:after="0" w:line="1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September 30, 2019, our maximum amount at risk with any counterparty related to our repurchase agreements, excluding the Fixed Income Clearing Corporation, was less than 4% of our tangible stockholders' equity (measured as the excess of the value of collateral pledged over the amount of our repurchase liabilities). As of September 30, 2019, approximately 11% of our tangible stockholder's equity was at risk with the Fixed Income Clearing Corporation.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2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summarize our assets pledged as collateral under our funding, derivative and brokerage and clearing agreements by type, including securities pledged related to securities sold but not yet settled, as of September 30, 2019 and December 31, 2018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center"/>
              <w:ind w:left="368"/>
              <w:spacing w:after="0"/>
              <w:rPr>
                <w:sz w:val="20"/>
                <w:szCs w:val="20"/>
                <w:color w:val="auto"/>
              </w:rPr>
            </w:pPr>
            <w:r>
              <w:rPr>
                <w:rFonts w:ascii="Arial" w:cs="Arial" w:eastAsia="Arial" w:hAnsi="Arial"/>
                <w:sz w:val="14"/>
                <w:szCs w:val="14"/>
                <w:b w:val="1"/>
                <w:bCs w:val="1"/>
                <w:color w:val="auto"/>
                <w:w w:val="91"/>
              </w:rPr>
              <w:t>September 30, 2019</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Brokerage and</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8"/>
                <w:szCs w:val="8"/>
                <w:b w:val="1"/>
                <w:bCs w:val="1"/>
                <w:color w:val="auto"/>
              </w:rPr>
              <w:t>1</w:t>
            </w:r>
          </w:p>
        </w:tc>
        <w:tc>
          <w:tcPr>
            <w:tcW w:w="120" w:type="dxa"/>
            <w:vAlign w:val="bottom"/>
            <w:vMerge w:val="restart"/>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Repurchase Agreements</w:t>
            </w: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Debt of Consolidated</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Clearing</w:t>
            </w:r>
          </w:p>
        </w:tc>
        <w:tc>
          <w:tcPr>
            <w:tcW w:w="260" w:type="dxa"/>
            <w:vAlign w:val="bottom"/>
          </w:tcPr>
          <w:p>
            <w:pPr>
              <w:spacing w:after="0"/>
              <w:rPr>
                <w:sz w:val="16"/>
                <w:szCs w:val="16"/>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91"/>
              <w:spacing w:after="0"/>
              <w:rPr>
                <w:sz w:val="20"/>
                <w:szCs w:val="20"/>
                <w:color w:val="auto"/>
              </w:rPr>
            </w:pPr>
            <w:r>
              <w:rPr>
                <w:rFonts w:ascii="Arial" w:cs="Arial" w:eastAsia="Arial" w:hAnsi="Arial"/>
                <w:sz w:val="9"/>
                <w:szCs w:val="9"/>
                <w:b w:val="1"/>
                <w:bCs w:val="1"/>
                <w:color w:val="auto"/>
                <w:w w:val="78"/>
              </w:rPr>
              <w:t>2</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VIEs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 xml:space="preserve">Agreements </w:t>
            </w:r>
            <w:r>
              <w:rPr>
                <w:rFonts w:ascii="Arial" w:cs="Arial" w:eastAsia="Arial" w:hAnsi="Arial"/>
                <w:sz w:val="8"/>
                <w:szCs w:val="8"/>
                <w:b w:val="1"/>
                <w:bCs w:val="1"/>
                <w:color w:val="auto"/>
                <w:w w:val="91"/>
              </w:rPr>
              <w:t>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 - fair value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93,333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94,347</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CRT - fair value</w:t>
            </w:r>
          </w:p>
        </w:tc>
        <w:tc>
          <w:tcPr>
            <w:tcW w:w="44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 fair value</w:t>
            </w:r>
          </w:p>
        </w:tc>
        <w:tc>
          <w:tcPr>
            <w:tcW w:w="4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U.S. Treasury securities - fair value</w:t>
            </w:r>
          </w:p>
        </w:tc>
        <w:tc>
          <w:tcPr>
            <w:tcW w:w="44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Restricted cash and cash equivalents</w:t>
            </w:r>
          </w:p>
        </w:tc>
        <w:tc>
          <w:tcPr>
            <w:tcW w:w="44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94,819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96,420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left="368"/>
              <w:spacing w:after="0"/>
              <w:rPr>
                <w:sz w:val="20"/>
                <w:szCs w:val="20"/>
                <w:color w:val="auto"/>
              </w:rPr>
            </w:pPr>
            <w:r>
              <w:rPr>
                <w:rFonts w:ascii="Arial" w:cs="Arial" w:eastAsia="Arial" w:hAnsi="Arial"/>
                <w:sz w:val="14"/>
                <w:szCs w:val="14"/>
                <w:b w:val="1"/>
                <w:bCs w:val="1"/>
                <w:color w:val="auto"/>
                <w:w w:val="91"/>
              </w:rPr>
              <w:t>December 31, 2018</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Brokerage and</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8"/>
                <w:szCs w:val="8"/>
                <w:b w:val="1"/>
                <w:bCs w:val="1"/>
                <w:color w:val="auto"/>
              </w:rPr>
              <w:t>1</w:t>
            </w:r>
          </w:p>
        </w:tc>
        <w:tc>
          <w:tcPr>
            <w:tcW w:w="120" w:type="dxa"/>
            <w:vAlign w:val="bottom"/>
            <w:vMerge w:val="restart"/>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Repurchase Agreements</w:t>
            </w: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Debt of Consolidated</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Clearing</w:t>
            </w:r>
          </w:p>
        </w:tc>
        <w:tc>
          <w:tcPr>
            <w:tcW w:w="260" w:type="dxa"/>
            <w:vAlign w:val="bottom"/>
          </w:tcPr>
          <w:p>
            <w:pPr>
              <w:spacing w:after="0"/>
              <w:rPr>
                <w:sz w:val="16"/>
                <w:szCs w:val="16"/>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91"/>
              <w:spacing w:after="0"/>
              <w:rPr>
                <w:sz w:val="20"/>
                <w:szCs w:val="20"/>
                <w:color w:val="auto"/>
              </w:rPr>
            </w:pPr>
            <w:r>
              <w:rPr>
                <w:rFonts w:ascii="Arial" w:cs="Arial" w:eastAsia="Arial" w:hAnsi="Arial"/>
                <w:sz w:val="9"/>
                <w:szCs w:val="9"/>
                <w:b w:val="1"/>
                <w:bCs w:val="1"/>
                <w:color w:val="auto"/>
                <w:w w:val="78"/>
              </w:rPr>
              <w:t>2</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VIEs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 xml:space="preserve">Agreements </w:t>
            </w:r>
            <w:r>
              <w:rPr>
                <w:rFonts w:ascii="Arial" w:cs="Arial" w:eastAsia="Arial" w:hAnsi="Arial"/>
                <w:sz w:val="8"/>
                <w:szCs w:val="8"/>
                <w:b w:val="1"/>
                <w:bCs w:val="1"/>
                <w:color w:val="auto"/>
                <w:w w:val="91"/>
              </w:rPr>
              <w:t>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 - fair value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78,997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79,740</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CRT - fair value</w:t>
            </w:r>
          </w:p>
        </w:tc>
        <w:tc>
          <w:tcPr>
            <w:tcW w:w="44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 fair value</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U.S. Treasury securities - fair value</w:t>
            </w:r>
          </w:p>
        </w:tc>
        <w:tc>
          <w:tcPr>
            <w:tcW w:w="44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Restricted cash and cash equivalents</w:t>
            </w:r>
          </w:p>
        </w:tc>
        <w:tc>
          <w:tcPr>
            <w:tcW w:w="44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79,943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81,210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repledged assets received as collateral from counterparties.</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$161 million and $163 million of retained interests in our consolidated VIEs pledged as collateral under repurchase agreements as of September 30, 2019 and December 31, 2018, respectively.</w:t>
      </w: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margin for TBAs cleared through prime brokers and other clearing deposits.</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Securities transferred to our consolidated VIEs can only be used to settle the obligations of each respective VIE. However, we may pledge our retained interests in our consolidated VIEs as collateral under our repurchase agreements and derivative contracts. Please refer to Note 4 for additional information regarding our consolidated VIEs.</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summarizes our securities pledged as collateral under our repurchase agreements by the remaining maturity of our borrowings, including securities pledged related to sold but not yet settled securities, as of September 30, 2019 and December 31, 2018 (in millions). For the corresponding borrowings associated with the following amounts and the interest rates thereon, refer to Note 5</w:t>
      </w:r>
      <w:r>
        <w:rPr>
          <w:rFonts w:ascii="Arial" w:cs="Arial" w:eastAsia="Arial" w:hAnsi="Arial"/>
          <w:sz w:val="18"/>
          <w:szCs w:val="18"/>
          <w:i w:val="1"/>
          <w:iCs w:val="1"/>
          <w:color w:val="auto"/>
        </w:rPr>
        <w: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88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Securities Pledged by Remaining Maturity of Repurchase</w:t>
            </w:r>
          </w:p>
        </w:tc>
        <w:tc>
          <w:tcPr>
            <w:tcW w:w="160" w:type="dxa"/>
            <w:vAlign w:val="bottom"/>
          </w:tcPr>
          <w:p>
            <w:pPr>
              <w:spacing w:after="0"/>
              <w:rPr>
                <w:sz w:val="12"/>
                <w:szCs w:val="12"/>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Fair Value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Interest on</w:t>
            </w:r>
          </w:p>
        </w:tc>
        <w:tc>
          <w:tcPr>
            <w:tcW w:w="160" w:type="dxa"/>
            <w:vAlign w:val="bottom"/>
          </w:tcPr>
          <w:p>
            <w:pPr>
              <w:spacing w:after="0"/>
              <w:rPr>
                <w:sz w:val="12"/>
                <w:szCs w:val="12"/>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9"/>
              </w:rPr>
              <w:t>Fair Value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Interest on</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Pledged</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8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Pledged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8"/>
                <w:szCs w:val="8"/>
                <w:b w:val="1"/>
                <w:bCs w:val="1"/>
                <w:color w:val="auto"/>
              </w:rPr>
              <w:t>1,2</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30 days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53,407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52,325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49,944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50,654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64"/>
        </w:trPr>
        <w:tc>
          <w:tcPr>
            <w:tcW w:w="4020" w:type="dxa"/>
            <w:vAlign w:val="bottom"/>
            <w:gridSpan w:val="2"/>
          </w:tcPr>
          <w:p>
            <w:pPr>
              <w:ind w:left="100"/>
              <w:spacing w:after="0"/>
              <w:rPr>
                <w:sz w:val="20"/>
                <w:szCs w:val="20"/>
                <w:color w:val="auto"/>
              </w:rPr>
            </w:pPr>
            <w:r>
              <w:rPr>
                <w:rFonts w:ascii="Arial" w:cs="Arial" w:eastAsia="Arial" w:hAnsi="Arial"/>
                <w:sz w:val="14"/>
                <w:szCs w:val="14"/>
                <w:color w:val="auto"/>
              </w:rPr>
              <w:t>&gt; 30 and ≤ 60 days</w:t>
            </w:r>
          </w:p>
        </w:tc>
        <w:tc>
          <w:tcPr>
            <w:tcW w:w="16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10,087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9,915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14,586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14,810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&gt; 60 and ≤ 90 days</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5,603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7,770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7,843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&gt; 90 days</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24,757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24,264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6,882</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7,079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93,854</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92,021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79,182</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80,386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20" w:name="page21"/>
    <w:bookmarkEnd w:id="20"/>
    <w:p>
      <w:pPr>
        <w:ind w:left="660" w:right="320" w:hanging="328"/>
        <w:spacing w:after="0" w:line="250"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$161 million and $163 million of retained interests in our consolidated VIEs pledged as collateral under repurchase agreements as of September 30, 2019 and December 31, 2018, respectively.</w:t>
      </w:r>
    </w:p>
    <w:p>
      <w:pPr>
        <w:ind w:left="660" w:hanging="328"/>
        <w:spacing w:after="0"/>
        <w:tabs>
          <w:tab w:leader="none" w:pos="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Excludes $542 million and $437 million of repledged U.S. Treasury securities received as collateral from counterparties as of September 30, 2019 and December 31, 2018,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September 30, 2019 and December 31, 2018, we had assets pledged to us from counterparties as collateral under our reverse repurchase and derivative agreements summarized in the tables below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September 30, 2019</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Reverse</w:t>
            </w:r>
          </w:p>
        </w:tc>
        <w:tc>
          <w:tcPr>
            <w:tcW w:w="14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3"/>
                <w:szCs w:val="13"/>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2"/>
              </w:rPr>
              <w:t>Repurchase</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Reverse</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3"/>
                <w:szCs w:val="13"/>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2"/>
              </w:rPr>
              <w:t>Repurchase</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Assets Pledged to AGNC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Repurchase</w:t>
            </w: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Repurchase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1"/>
              </w:rPr>
              <w:t>Agreements</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1"/>
              </w:rPr>
              <w:t>Agreements</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Treasury securities -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6,067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6,075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21,876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21,948</w:t>
            </w:r>
          </w:p>
        </w:tc>
        <w:tc>
          <w:tcPr>
            <w:tcW w:w="0" w:type="dxa"/>
            <w:vAlign w:val="bottom"/>
          </w:tcPr>
          <w:p>
            <w:pPr>
              <w:spacing w:after="0"/>
              <w:rPr>
                <w:sz w:val="1"/>
                <w:szCs w:val="1"/>
                <w:color w:val="auto"/>
              </w:rPr>
            </w:pP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Cash</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tcPr>
          <w:p>
            <w:pPr>
              <w:ind w:left="640"/>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3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64"/>
        </w:trPr>
        <w:tc>
          <w:tcPr>
            <w:tcW w:w="24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6,067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63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3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6,149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21,876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3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22,077</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$542 million and $437 million of repledged U.S. Treasury securities received as collateral from counterparties as of September 30, 2019 and December 31, 2018, respectively.</w:t>
      </w:r>
    </w:p>
    <w:p>
      <w:pPr>
        <w:spacing w:after="0" w:line="17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U.S Treasury securities received as collateral under our reverse repurchase agreements for which we use to cover short sales of U.S. Treasury securities are accounted for as securities borrowing transactions. We recognize a corresponding obligation to return the borrowed securities at fair value on the accompanying consolidated balance sheets based on the value of the underlying borrowed securities as of the reporting date.</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collateral received is recognized in cash and cash equivalents with a corresponding amount recognized in accounts payable and other accrued liabilities on the accompanying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September 30, 2019 and December 31, 2018 (in millions):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9"/>
          </w:tcPr>
          <w:p>
            <w:pPr>
              <w:jc w:val="right"/>
              <w:ind w:right="28"/>
              <w:spacing w:after="0"/>
              <w:rPr>
                <w:sz w:val="20"/>
                <w:szCs w:val="20"/>
                <w:color w:val="auto"/>
              </w:rPr>
            </w:pPr>
            <w:r>
              <w:rPr>
                <w:rFonts w:ascii="Arial" w:cs="Arial" w:eastAsia="Arial" w:hAnsi="Arial"/>
                <w:sz w:val="14"/>
                <w:szCs w:val="14"/>
                <w:b w:val="1"/>
                <w:bCs w:val="1"/>
                <w:color w:val="auto"/>
                <w:w w:val="92"/>
              </w:rPr>
              <w:t>Offsetting of Financial and Derivative Assets</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Assets Presented</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4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10"/>
                <w:szCs w:val="10"/>
                <w:color w:val="auto"/>
              </w:rPr>
            </w:pPr>
          </w:p>
        </w:tc>
        <w:tc>
          <w:tcPr>
            <w:tcW w:w="9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6"/>
              </w:rPr>
              <w:t>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10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Financial</w:t>
            </w:r>
          </w:p>
        </w:tc>
        <w:tc>
          <w:tcPr>
            <w:tcW w:w="180" w:type="dxa"/>
            <w:vAlign w:val="bottom"/>
          </w:tcPr>
          <w:p>
            <w:pPr>
              <w:spacing w:after="0"/>
              <w:rPr>
                <w:sz w:val="13"/>
                <w:szCs w:val="13"/>
                <w:color w:val="auto"/>
              </w:rPr>
            </w:pPr>
          </w:p>
        </w:tc>
        <w:tc>
          <w:tcPr>
            <w:tcW w:w="10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7"/>
              </w:rPr>
              <w:t>Instruments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4"/>
              </w:rPr>
              <w:t xml:space="preserve">Received </w:t>
            </w:r>
            <w:r>
              <w:rPr>
                <w:rFonts w:ascii="Arial" w:cs="Arial" w:eastAsia="Arial" w:hAnsi="Arial"/>
                <w:sz w:val="8"/>
                <w:szCs w:val="8"/>
                <w:b w:val="1"/>
                <w:bCs w:val="1"/>
                <w:color w:val="auto"/>
                <w:w w:val="94"/>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6,093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6,093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1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6,251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21,813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21,813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43"/>
        </w:trPr>
        <w:tc>
          <w:tcPr>
            <w:tcW w:w="41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22,086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(17,276)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9"/>
          </w:tcPr>
          <w:p>
            <w:pPr>
              <w:ind w:left="920"/>
              <w:spacing w:after="0"/>
              <w:rPr>
                <w:sz w:val="20"/>
                <w:szCs w:val="20"/>
                <w:color w:val="auto"/>
              </w:rPr>
            </w:pPr>
            <w:r>
              <w:rPr>
                <w:rFonts w:ascii="Arial" w:cs="Arial" w:eastAsia="Arial" w:hAnsi="Arial"/>
                <w:sz w:val="14"/>
                <w:szCs w:val="14"/>
                <w:b w:val="1"/>
                <w:bCs w:val="1"/>
                <w:color w:val="auto"/>
                <w:w w:val="95"/>
              </w:rPr>
              <w:t>Offsetting of Financial and Derivative Liabilities</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gridSpan w:val="3"/>
            <w:vMerge w:val="restart"/>
          </w:tcPr>
          <w:p>
            <w:pPr>
              <w:jc w:val="center"/>
              <w:ind w:left="768"/>
              <w:spacing w:after="0" w:line="149" w:lineRule="exact"/>
              <w:rPr>
                <w:sz w:val="20"/>
                <w:szCs w:val="20"/>
                <w:color w:val="auto"/>
              </w:rPr>
            </w:pPr>
            <w:r>
              <w:rPr>
                <w:rFonts w:ascii="Arial" w:cs="Arial" w:eastAsia="Arial" w:hAnsi="Arial"/>
                <w:sz w:val="14"/>
                <w:szCs w:val="14"/>
                <w:b w:val="1"/>
                <w:bCs w:val="1"/>
                <w:color w:val="auto"/>
                <w:w w:val="90"/>
              </w:rPr>
              <w:t>in the</w:t>
            </w: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7"/>
                <w:szCs w:val="7"/>
                <w:color w:val="auto"/>
              </w:rPr>
            </w:pPr>
          </w:p>
        </w:tc>
        <w:tc>
          <w:tcPr>
            <w:tcW w:w="11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140" w:type="dxa"/>
            <w:vAlign w:val="bottom"/>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center"/>
              <w:ind w:right="14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124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Financial</w:t>
            </w:r>
          </w:p>
        </w:tc>
        <w:tc>
          <w:tcPr>
            <w:tcW w:w="200" w:type="dxa"/>
            <w:vAlign w:val="bottom"/>
          </w:tcPr>
          <w:p>
            <w:pPr>
              <w:spacing w:after="0"/>
              <w:rPr>
                <w:sz w:val="13"/>
                <w:szCs w:val="13"/>
                <w:color w:val="auto"/>
              </w:rPr>
            </w:pPr>
          </w:p>
        </w:tc>
        <w:tc>
          <w:tcPr>
            <w:tcW w:w="10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Collateral</w:t>
            </w:r>
          </w:p>
        </w:tc>
        <w:tc>
          <w:tcPr>
            <w:tcW w:w="140" w:type="dxa"/>
            <w:vAlign w:val="bottom"/>
          </w:tcPr>
          <w:p>
            <w:pPr>
              <w:spacing w:after="0"/>
              <w:rPr>
                <w:sz w:val="13"/>
                <w:szCs w:val="13"/>
                <w:color w:val="auto"/>
              </w:rPr>
            </w:pPr>
          </w:p>
        </w:tc>
        <w:tc>
          <w:tcPr>
            <w:tcW w:w="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7"/>
              </w:rPr>
              <w:t>Instruments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8"/>
              </w:rPr>
              <w:t xml:space="preserve">Pledged </w:t>
            </w:r>
            <w:r>
              <w:rPr>
                <w:rFonts w:ascii="Arial" w:cs="Arial" w:eastAsia="Arial" w:hAnsi="Arial"/>
                <w:sz w:val="8"/>
                <w:szCs w:val="8"/>
                <w:b w:val="1"/>
                <w:bCs w:val="1"/>
                <w:color w:val="auto"/>
                <w:w w:val="98"/>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90,612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90,612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90,634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90,634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75,717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75,717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(58,481)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75,757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(17,276)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(58,481)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320" w:hanging="328"/>
        <w:spacing w:after="0" w:line="241"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6 for a reconciliation of derivative assets / liabilities, at fair value to their sub-components.</w:t>
      </w:r>
    </w:p>
    <w:p>
      <w:pPr>
        <w:ind w:left="660" w:right="160" w:hanging="328"/>
        <w:spacing w:after="0" w:line="255"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17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determine the fair value of our financial instruments based on our estimate of the price that would be received to sell the asset or paid to transfer the liability in an orderly transaction between market participants at the measurement date. We typically obtain price estimates from multiple third-party pricing services and dealers or, if applicable, the clearing exchange (see Note 3 for further details.) We utilize a three-level valuation hierarchy for disclosure of fair value measurements. The valuation hierarchy is based upon the transparency of inputs to the valuation of an asset or liability as of the measurement date. A financial instrument's categorization within the hierarchy is based upon the lowest level of input that is significant to the fair value measurement.</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three levels of valuation hierarchy are defined as follows:</w:t>
      </w:r>
    </w:p>
    <w:p>
      <w:pPr>
        <w:spacing w:after="0" w:line="171"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171" w:lineRule="exact"/>
        <w:rPr>
          <w:sz w:val="20"/>
          <w:szCs w:val="20"/>
          <w:color w:val="auto"/>
        </w:rPr>
      </w:pPr>
    </w:p>
    <w:p>
      <w:pPr>
        <w:jc w:val="both"/>
        <w:ind w:left="60" w:firstLine="432"/>
        <w:spacing w:after="0" w:line="259" w:lineRule="auto"/>
        <w:rPr>
          <w:sz w:val="20"/>
          <w:szCs w:val="20"/>
          <w:color w:val="auto"/>
        </w:rPr>
      </w:pPr>
      <w:r>
        <w:rPr>
          <w:rFonts w:ascii="Arial" w:cs="Arial" w:eastAsia="Arial" w:hAnsi="Arial"/>
          <w:sz w:val="18"/>
          <w:szCs w:val="18"/>
          <w:color w:val="auto"/>
        </w:rPr>
        <w:t>The availability of observable inputs can vary by instrument and is affected by a wide variety of factors, including the type of instrument, whether the instrument is new and not yet established in the marketplace and other characteristics particular to the instrument. Third-party pricing sources may also use certain unobservable inputs, such as assumptions of future levels of prepayment, defaults and loss severities, especially when estimating fair values for securities with lower levels of recent trading activity.</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make inquiries of third-party pricing sources to understand the significant inputs and assumptions they used to determine their prices.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 would indicate and we cannot obtain an understanding from the third-party source as to the significant inputs used to determine the price.</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validation procedures described above also influence our determination of the appropriate fair value measurement categorization. The following table provides a summary of our assets and liabilities that are measured at fair value on a recurring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87"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basis as of September 30, 2019 and December 31, 2018 based on their categorization within the valuation hierarchy (in millions). There were no transfers between valuation hierarchy levels during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2019</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228"/>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70"/>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Agency securities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98,577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82,291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Agency securities transferred to consolidated VIEs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Credit risk transfer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Non-Agency securities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U.S. Treasury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Swaptions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U.S. Treasury futures</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100,841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84,560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5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Debt of consolidated VIEs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580" w:type="dxa"/>
            <w:vAlign w:val="bottom"/>
          </w:tcPr>
          <w:p>
            <w:pPr>
              <w:ind w:left="200"/>
              <w:spacing w:after="0" w:line="157" w:lineRule="exact"/>
              <w:rPr>
                <w:sz w:val="20"/>
                <w:szCs w:val="20"/>
                <w:color w:val="auto"/>
              </w:rPr>
            </w:pPr>
            <w:r>
              <w:rPr>
                <w:rFonts w:ascii="Arial" w:cs="Arial" w:eastAsia="Arial" w:hAnsi="Arial"/>
                <w:sz w:val="14"/>
                <w:szCs w:val="14"/>
                <w:color w:val="auto"/>
              </w:rPr>
              <w:t>Obligation to return U.S. Treasury securities borrowed under reverse</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580" w:type="dxa"/>
            <w:vAlign w:val="bottom"/>
          </w:tcPr>
          <w:p>
            <w:pPr>
              <w:ind w:left="200"/>
              <w:spacing w:after="0"/>
              <w:rPr>
                <w:sz w:val="20"/>
                <w:szCs w:val="20"/>
                <w:color w:val="auto"/>
              </w:rPr>
            </w:pPr>
            <w:r>
              <w:rPr>
                <w:rFonts w:ascii="Arial" w:cs="Arial" w:eastAsia="Arial" w:hAnsi="Arial"/>
                <w:sz w:val="14"/>
                <w:szCs w:val="14"/>
                <w:color w:val="auto"/>
              </w:rPr>
              <w:t>repurchase agreements</w:t>
            </w:r>
          </w:p>
        </w:tc>
        <w:tc>
          <w:tcPr>
            <w:tcW w:w="20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5,114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21,431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 Treasury futures</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5,114</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21,475</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Excluded from the table above are financial instruments, including cash and cash equivalents, restricted cash and cash equivalents, receivables, payables and borrowings under repurchase agreements, which are presented in our consolidated financial statements at cost. The cost basis of these instruments is determined to approximate fair value due to their short duration or, in the case of longer-term repo, due to floating rates of interest corresponding on an index plus or minus a fixed spread which is consistent with fixed spreads demanded in the market. We estimate the fair value of these instruments using "Level 1" or "Level 2"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Net Income (Loss) Per Common Share</w:t>
      </w:r>
    </w:p>
    <w:p>
      <w:pPr>
        <w:spacing w:after="0" w:line="22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Basic net income (loss) per common share is computed by dividing net income (loss) available (attributable) to common stockholders by the sum of our weighted-average number of common shares outstanding and the weighted-average number of vested but not yet issued time and performance-based restricted stock units (collectively "RSUs") outstanding for the respective period. Diluted earnings per common share includes the impact of dilutive potential common shares outstanding during the period using the treasury stock method. Dilutive potential common shares include unvested RSUs. Vested and unvested RSUs outstanding were granted under our long-term incentive program to employees and non-employee Board of Directors. The following table presents the computations of basic and diluted net income per common share for the periods indicated (shares and dollars in millions):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3" w:name="page24"/>
    <w:bookmarkEnd w:id="23"/>
    <w:tbl>
      <w:tblPr>
        <w:tblLayout w:type="fixed"/>
        <w:tblInd w:w="56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74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74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3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r>
      <w:tr>
        <w:trPr>
          <w:trHeight w:val="256"/>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issued and outstanding</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546.0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539.9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419.7</w:t>
            </w:r>
          </w:p>
        </w:tc>
      </w:tr>
      <w:tr>
        <w:trPr>
          <w:trHeight w:val="264"/>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fully vested RSUs outstanding</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r>
      <w:tr>
        <w:trPr>
          <w:trHeight w:val="256"/>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546.4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419.8</w:t>
            </w:r>
          </w:p>
        </w:tc>
      </w:tr>
      <w:tr>
        <w:trPr>
          <w:trHeight w:val="264"/>
        </w:trPr>
        <w:tc>
          <w:tcPr>
            <w:tcW w:w="6320" w:type="dxa"/>
            <w:vAlign w:val="bottom"/>
          </w:tcPr>
          <w:p>
            <w:pPr>
              <w:ind w:left="20"/>
              <w:spacing w:after="0"/>
              <w:rPr>
                <w:sz w:val="20"/>
                <w:szCs w:val="20"/>
                <w:color w:val="auto"/>
              </w:rPr>
            </w:pPr>
            <w:r>
              <w:rPr>
                <w:rFonts w:ascii="Arial" w:cs="Arial" w:eastAsia="Arial" w:hAnsi="Arial"/>
                <w:sz w:val="14"/>
                <w:szCs w:val="14"/>
                <w:color w:val="auto"/>
              </w:rPr>
              <w:t>Weighted average number of dilutive unvested RSUs outstanding</w:t>
            </w:r>
          </w:p>
        </w:tc>
        <w:tc>
          <w:tcPr>
            <w:tcW w:w="2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0.3</w:t>
            </w:r>
          </w:p>
        </w:tc>
      </w:tr>
      <w:tr>
        <w:trPr>
          <w:trHeight w:val="243"/>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420.1</w:t>
            </w:r>
          </w:p>
        </w:tc>
      </w:tr>
      <w:tr>
        <w:trPr>
          <w:trHeight w:val="20"/>
        </w:trPr>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 available (attributable) to common stockholders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906</w:t>
            </w:r>
          </w:p>
        </w:tc>
      </w:tr>
      <w:tr>
        <w:trPr>
          <w:trHeight w:val="21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per common share - basic</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2.16</w:t>
            </w:r>
          </w:p>
        </w:tc>
      </w:tr>
      <w:tr>
        <w:trPr>
          <w:trHeight w:val="20"/>
        </w:trPr>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4"/>
                <w:szCs w:val="14"/>
                <w:color w:val="auto"/>
              </w:rPr>
              <w:t>Net income (loss) per common share - diluted</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2.16</w:t>
            </w:r>
          </w:p>
        </w:tc>
      </w:tr>
      <w:tr>
        <w:trPr>
          <w:trHeight w:val="20"/>
        </w:trPr>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For the three and nine months ended September 30, 2019, 0.7 million and 0.6 million, respectively, of potentially dilutive RSUs outstanding were excluded from the computation of diluted net income (loss) per common share because to do so would have been anti-dilutive for such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are authorized to designate and issue up to 10.0 million shares of preferred stock in one or more classes or series. As of September 30, 2019 and December 31, 2018, 8,050 shares were designated as 7.750% Series B Cumulative Redeemable Preferred Stock ("Series B Preferred Stock") and 13,800 shares were designated as 7.00% Series C Fixed-to-Floating Rate Cumulative Redeemable Preferred Stock ("Series C Preferred Stock"). During March 2019, we designated an additional 9,400 shares as 6.875% Series D Fixed-to-Floating Rate Cumulative Redeemable Preferred Stock ("Series D Preferred Stock"). Each share of Series B, C, and D Preferred Stock is represented by 1,000 depositary shares.</w:t>
      </w:r>
    </w:p>
    <w:p>
      <w:pPr>
        <w:spacing w:after="0" w:line="1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ranks on parity with each 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such shares will be redeemable at $25.00 per depositary share, plus accumulated and unpaid dividends (whether or not declared), exclusively at our option.</w:t>
      </w:r>
    </w:p>
    <w:p>
      <w:pPr>
        <w:spacing w:after="0" w:line="13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following is a summary of our preferred stock issued and outstanding as of September 30, 2019 (dollars and shares in millions). Please see Note 11, </w:t>
      </w:r>
      <w:r>
        <w:rPr>
          <w:rFonts w:ascii="Arial" w:cs="Arial" w:eastAsia="Arial" w:hAnsi="Arial"/>
          <w:sz w:val="18"/>
          <w:szCs w:val="18"/>
          <w:i w:val="1"/>
          <w:iCs w:val="1"/>
          <w:color w:val="auto"/>
        </w:rPr>
        <w:t xml:space="preserve">Subsequent Events, </w:t>
      </w:r>
      <w:r>
        <w:rPr>
          <w:rFonts w:ascii="Arial" w:cs="Arial" w:eastAsia="Arial" w:hAnsi="Arial"/>
          <w:sz w:val="18"/>
          <w:szCs w:val="18"/>
          <w:color w:val="auto"/>
        </w:rPr>
        <w:t>for additional information related to our preferred stock.</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Depositary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Fixed-to-Floating</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Issued</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0"/>
              <w:spacing w:after="0" w:line="149" w:lineRule="exact"/>
              <w:rPr>
                <w:sz w:val="20"/>
                <w:szCs w:val="20"/>
                <w:color w:val="auto"/>
              </w:rPr>
            </w:pPr>
            <w:r>
              <w:rPr>
                <w:rFonts w:ascii="Arial" w:cs="Arial" w:eastAsia="Arial" w:hAnsi="Arial"/>
                <w:sz w:val="14"/>
                <w:szCs w:val="14"/>
                <w:b w:val="1"/>
                <w:bCs w:val="1"/>
                <w:color w:val="auto"/>
                <w:w w:val="86"/>
              </w:rPr>
              <w:t>Aggregate</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Optional</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Rate</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Issuance</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and</w:t>
            </w:r>
          </w:p>
        </w:tc>
        <w:tc>
          <w:tcPr>
            <w:tcW w:w="18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900" w:type="dxa"/>
            <w:vAlign w:val="bottom"/>
          </w:tcPr>
          <w:p>
            <w:pPr>
              <w:jc w:val="center"/>
              <w:ind w:right="50"/>
              <w:spacing w:after="0" w:line="149" w:lineRule="exact"/>
              <w:rPr>
                <w:sz w:val="20"/>
                <w:szCs w:val="20"/>
                <w:color w:val="auto"/>
              </w:rPr>
            </w:pPr>
            <w:r>
              <w:rPr>
                <w:rFonts w:ascii="Arial" w:cs="Arial" w:eastAsia="Arial" w:hAnsi="Arial"/>
                <w:sz w:val="14"/>
                <w:szCs w:val="14"/>
                <w:b w:val="1"/>
                <w:bCs w:val="1"/>
                <w:color w:val="auto"/>
                <w:w w:val="92"/>
              </w:rPr>
              <w:t>Liquidation</w:t>
            </w: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Fixed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Redemption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Conversion</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Floating</w:t>
            </w:r>
          </w:p>
        </w:tc>
        <w:tc>
          <w:tcPr>
            <w:tcW w:w="0" w:type="dxa"/>
            <w:vAlign w:val="bottom"/>
          </w:tcPr>
          <w:p>
            <w:pPr>
              <w:spacing w:after="0"/>
              <w:rPr>
                <w:sz w:val="1"/>
                <w:szCs w:val="1"/>
                <w:color w:val="auto"/>
              </w:rPr>
            </w:pPr>
          </w:p>
        </w:tc>
      </w:tr>
      <w:tr>
        <w:trPr>
          <w:trHeight w:val="188"/>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88"/>
              </w:rPr>
              <w:t>Preference</w:t>
            </w:r>
          </w:p>
        </w:tc>
        <w:tc>
          <w:tcPr>
            <w:tcW w:w="1000" w:type="dxa"/>
            <w:vAlign w:val="bottom"/>
            <w:tcBorders>
              <w:bottom w:val="single" w:sz="8" w:color="auto"/>
            </w:tcBorders>
          </w:tcPr>
          <w:p>
            <w:pPr>
              <w:jc w:val="center"/>
              <w:ind w:left="50"/>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xml:space="preserve">Date </w:t>
            </w:r>
            <w:r>
              <w:rPr>
                <w:rFonts w:ascii="Arial" w:cs="Arial" w:eastAsia="Arial" w:hAnsi="Arial"/>
                <w:sz w:val="11"/>
                <w:szCs w:val="11"/>
                <w:b w:val="1"/>
                <w:bCs w:val="1"/>
                <w:color w:val="auto"/>
                <w:w w:val="89"/>
              </w:rPr>
              <w:t>2</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Annual Rate</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960" w:type="dxa"/>
            <w:vAlign w:val="bottom"/>
            <w:gridSpan w:val="2"/>
          </w:tcPr>
          <w:p>
            <w:pPr>
              <w:ind w:left="180"/>
              <w:spacing w:after="0"/>
              <w:rPr>
                <w:sz w:val="20"/>
                <w:szCs w:val="20"/>
                <w:color w:val="auto"/>
              </w:rPr>
            </w:pPr>
            <w:r>
              <w:rPr>
                <w:rFonts w:ascii="Arial" w:cs="Arial" w:eastAsia="Arial" w:hAnsi="Arial"/>
                <w:sz w:val="14"/>
                <w:szCs w:val="14"/>
                <w:color w:val="auto"/>
              </w:rPr>
              <w:t>Series B</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May 8, 2014</w:t>
            </w: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8"/>
                <w:szCs w:val="18"/>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175</w:t>
            </w:r>
          </w:p>
        </w:tc>
        <w:tc>
          <w:tcPr>
            <w:tcW w:w="1000" w:type="dxa"/>
            <w:vAlign w:val="bottom"/>
          </w:tcPr>
          <w:p>
            <w:pPr>
              <w:jc w:val="center"/>
              <w:ind w:left="30"/>
              <w:spacing w:after="0"/>
              <w:rPr>
                <w:sz w:val="20"/>
                <w:szCs w:val="20"/>
                <w:color w:val="auto"/>
              </w:rPr>
            </w:pPr>
            <w:r>
              <w:rPr>
                <w:rFonts w:ascii="Arial" w:cs="Arial" w:eastAsia="Arial" w:hAnsi="Arial"/>
                <w:sz w:val="14"/>
                <w:szCs w:val="14"/>
                <w:color w:val="auto"/>
                <w:w w:val="88"/>
              </w:rPr>
              <w:t>7.750%</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May 8, 2019</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124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53"/>
        </w:trPr>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Fixed-to-Floating Rate </w:t>
            </w:r>
            <w:r>
              <w:rPr>
                <w:rFonts w:ascii="Arial" w:cs="Arial" w:eastAsia="Arial" w:hAnsi="Arial"/>
                <w:sz w:val="11"/>
                <w:szCs w:val="11"/>
                <w:b w:val="1"/>
                <w:bCs w:val="1"/>
                <w:color w:val="auto"/>
              </w:rPr>
              <w:t>1</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1960" w:type="dxa"/>
            <w:vAlign w:val="bottom"/>
            <w:gridSpan w:val="2"/>
            <w:vMerge w:val="restart"/>
          </w:tcPr>
          <w:p>
            <w:pPr>
              <w:ind w:left="180"/>
              <w:spacing w:after="0"/>
              <w:rPr>
                <w:sz w:val="20"/>
                <w:szCs w:val="20"/>
                <w:color w:val="auto"/>
              </w:rPr>
            </w:pPr>
            <w:r>
              <w:rPr>
                <w:rFonts w:ascii="Arial" w:cs="Arial" w:eastAsia="Arial" w:hAnsi="Arial"/>
                <w:sz w:val="14"/>
                <w:szCs w:val="14"/>
                <w:color w:val="auto"/>
              </w:rPr>
              <w:t>Series C</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0"/>
              </w:rPr>
              <w:t>August 22, 2017</w:t>
            </w:r>
          </w:p>
        </w:tc>
        <w:tc>
          <w:tcPr>
            <w:tcW w:w="1040" w:type="dxa"/>
            <w:vAlign w:val="bottom"/>
            <w:vMerge w:val="restart"/>
          </w:tcPr>
          <w:p>
            <w:pPr>
              <w:jc w:val="right"/>
              <w:ind w:right="50"/>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325</w:t>
            </w:r>
          </w:p>
        </w:tc>
        <w:tc>
          <w:tcPr>
            <w:tcW w:w="1000" w:type="dxa"/>
            <w:vAlign w:val="bottom"/>
            <w:vMerge w:val="restart"/>
          </w:tcPr>
          <w:p>
            <w:pPr>
              <w:jc w:val="center"/>
              <w:ind w:left="30"/>
              <w:spacing w:after="0"/>
              <w:rPr>
                <w:sz w:val="20"/>
                <w:szCs w:val="20"/>
                <w:color w:val="auto"/>
              </w:rPr>
            </w:pPr>
            <w:r>
              <w:rPr>
                <w:rFonts w:ascii="Arial" w:cs="Arial" w:eastAsia="Arial" w:hAnsi="Arial"/>
                <w:sz w:val="14"/>
                <w:szCs w:val="14"/>
                <w:color w:val="auto"/>
                <w:w w:val="88"/>
              </w:rPr>
              <w:t>7.000%</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8"/>
              </w:rPr>
              <w:t>October 15, 2022</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8"/>
              </w:rPr>
              <w:t>October 15, 2022</w:t>
            </w:r>
          </w:p>
        </w:tc>
        <w:tc>
          <w:tcPr>
            <w:tcW w:w="1240" w:type="dxa"/>
            <w:vAlign w:val="bottom"/>
          </w:tcPr>
          <w:p>
            <w:pPr>
              <w:jc w:val="center"/>
              <w:spacing w:after="0"/>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97"/>
        </w:trPr>
        <w:tc>
          <w:tcPr>
            <w:tcW w:w="1960" w:type="dxa"/>
            <w:vAlign w:val="bottom"/>
            <w:gridSpan w:val="2"/>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88"/>
              </w:rPr>
              <w:t>5.111%</w:t>
            </w:r>
          </w:p>
        </w:tc>
        <w:tc>
          <w:tcPr>
            <w:tcW w:w="0" w:type="dxa"/>
            <w:vAlign w:val="bottom"/>
          </w:tcPr>
          <w:p>
            <w:pPr>
              <w:spacing w:after="0"/>
              <w:rPr>
                <w:sz w:val="1"/>
                <w:szCs w:val="1"/>
                <w:color w:val="auto"/>
              </w:rPr>
            </w:pPr>
          </w:p>
        </w:tc>
      </w:tr>
      <w:tr>
        <w:trPr>
          <w:trHeight w:val="87"/>
        </w:trPr>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96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Series D</w:t>
            </w:r>
          </w:p>
        </w:tc>
        <w:tc>
          <w:tcPr>
            <w:tcW w:w="12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9"/>
              </w:rPr>
              <w:t>March 6, 2019</w:t>
            </w: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235</w:t>
            </w:r>
          </w:p>
        </w:tc>
        <w:tc>
          <w:tcPr>
            <w:tcW w:w="1000" w:type="dxa"/>
            <w:vAlign w:val="bottom"/>
            <w:vMerge w:val="restart"/>
            <w:shd w:val="clear" w:color="auto" w:fill="CCEEFF"/>
          </w:tcPr>
          <w:p>
            <w:pPr>
              <w:jc w:val="center"/>
              <w:ind w:left="30"/>
              <w:spacing w:after="0"/>
              <w:rPr>
                <w:sz w:val="20"/>
                <w:szCs w:val="20"/>
                <w:color w:val="auto"/>
              </w:rPr>
            </w:pPr>
            <w:r>
              <w:rPr>
                <w:rFonts w:ascii="Arial" w:cs="Arial" w:eastAsia="Arial" w:hAnsi="Arial"/>
                <w:sz w:val="14"/>
                <w:szCs w:val="14"/>
                <w:color w:val="auto"/>
                <w:w w:val="88"/>
              </w:rPr>
              <w:t>6.875%</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2"/>
              </w:rPr>
              <w:t>April 15, 2024</w:t>
            </w:r>
          </w:p>
        </w:tc>
        <w:tc>
          <w:tcPr>
            <w:tcW w:w="1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4"/>
              </w:rPr>
              <w:t>April 15, 2024</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97"/>
        </w:trPr>
        <w:tc>
          <w:tcPr>
            <w:tcW w:w="1960" w:type="dxa"/>
            <w:vAlign w:val="bottom"/>
            <w:gridSpan w:val="2"/>
            <w:vMerge w:val="continue"/>
            <w:shd w:val="clear" w:color="auto" w:fill="CCEEFF"/>
          </w:tcPr>
          <w:p>
            <w:pPr>
              <w:spacing w:after="0"/>
              <w:rPr>
                <w:sz w:val="8"/>
                <w:szCs w:val="8"/>
                <w:color w:val="auto"/>
              </w:rPr>
            </w:pPr>
          </w:p>
        </w:tc>
        <w:tc>
          <w:tcPr>
            <w:tcW w:w="1280" w:type="dxa"/>
            <w:vAlign w:val="bottom"/>
            <w:gridSpan w:val="2"/>
            <w:vMerge w:val="continue"/>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4.332%</w:t>
            </w:r>
          </w:p>
        </w:tc>
        <w:tc>
          <w:tcPr>
            <w:tcW w:w="0" w:type="dxa"/>
            <w:vAlign w:val="bottom"/>
          </w:tcPr>
          <w:p>
            <w:pPr>
              <w:spacing w:after="0"/>
              <w:rPr>
                <w:sz w:val="1"/>
                <w:szCs w:val="1"/>
                <w:color w:val="auto"/>
              </w:rPr>
            </w:pPr>
          </w:p>
        </w:tc>
      </w:tr>
      <w:tr>
        <w:trPr>
          <w:trHeight w:val="87"/>
        </w:trPr>
        <w:tc>
          <w:tcPr>
            <w:tcW w:w="1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96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17"/>
                <w:szCs w:val="17"/>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711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735</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24765</wp:posOffset>
            </wp:positionV>
            <wp:extent cx="211836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18360" cy="2603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Fixed-to-floating rate redeemable preferred stock accrue dividends at an annual fixed rate of the $25.00 liquidation preference per depositary share from the issuance date up to, but not including, the fixed-to-floating rate conversion date; thereafter, dividends will accrue on a floating rate basis equal to 3-month LIBOR plus a fixed spread.</w:t>
      </w:r>
    </w:p>
    <w:p>
      <w:pPr>
        <w:ind w:left="660" w:hanging="328"/>
        <w:spacing w:after="0"/>
        <w:tabs>
          <w:tab w:leader="none" w:pos="6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Shares may be redeemed prior to our optional redemption date under certain circumstances intended to preserve our qualification as a REIT for U.S federal income tax purposes.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Common Stock Offering</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May 2018, we completed a public offering in which 34.5 million shares of our common stock were sold to the underwriters for proceeds of $633 million, or $18.35 per common share, net of offering costs. In August 2018, we completed a follow-on public offering of 43.7 million shares of our common stock for proceeds of $817 million, or $18.68 per common share, net of estimated offering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are authorized by our Board of Directors to enter into agreements with sales agents to publicly offer and sell shares of our common stock in privately negotiated and/or at-the-market transactions from time-to-time up to a maximum aggregate offering price of our common stock through June 14, 2021. During the three months ended September 30, 2019 and September 30, 2018 we did not sell any shares of common stock under the sales agreements. During the nine months ended September 30, 2019, we sold 11.4 million shares of our common stock under the sales agreements for proceeds of $190 million, or $16.67 per common share, net of offering costs. During the nine months ended September 30, 2018, we sold 8.3 million shares of our common stock under the sales agreements for proceeds of $155 million, or $18.73 per common share, net of offering costs. As of September 30, 2019, shares of our common stock with an aggregate offering price of $466 million remained authorized for issuance under this program.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July 2019, our Board of Directors authorized the repurchase of up to $1 billion of our outstanding shares of common stock through December 31, 2020. During the three months ended September 30, 2019, we repurchased 6.9 million shares, or $103 million, of our common stock for an average repurchase price of $14.90 per common share, inclusive of transaction costs. As of September 30, 2019, we had $0.9 billion of common stock remaining available for repurchase.</w:t>
      </w:r>
    </w:p>
    <w:p>
      <w:pPr>
        <w:spacing w:after="0" w:line="1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may repurchase shares in the open market or through privately negotiated transactions or pursuant to a trading plan that may be adopted in accordance with Rule 10b5-1 of the Securities and Exchange Act of 1934, as amended. We intend to repurchase shares under the stock repurchase program only when the repurchase price is less than our then-current estimate of our tangible net book value per common share.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changes to accumulated OCI for the three and nine months ended September 30, 2019 and 2018 (in millions):</w:t>
      </w:r>
    </w:p>
    <w:p>
      <w:pPr>
        <w:spacing w:after="0" w:line="24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8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68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r>
      <w:tr>
        <w:trPr>
          <w:trHeight w:val="250"/>
        </w:trPr>
        <w:tc>
          <w:tcPr>
            <w:tcW w:w="5840" w:type="dxa"/>
            <w:vAlign w:val="bottom"/>
            <w:gridSpan w:val="2"/>
          </w:tcPr>
          <w:p>
            <w:pPr>
              <w:ind w:left="20"/>
              <w:spacing w:after="0"/>
              <w:rPr>
                <w:sz w:val="20"/>
                <w:szCs w:val="20"/>
                <w:color w:val="auto"/>
              </w:rPr>
            </w:pPr>
            <w:r>
              <w:rPr>
                <w:rFonts w:ascii="Arial" w:cs="Arial" w:eastAsia="Arial" w:hAnsi="Arial"/>
                <w:sz w:val="14"/>
                <w:szCs w:val="14"/>
                <w:b w:val="1"/>
                <w:bCs w:val="1"/>
                <w:color w:val="auto"/>
              </w:rPr>
              <w:t>Beginning Balance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(1,111)</w:t>
            </w:r>
          </w:p>
        </w:tc>
        <w:tc>
          <w:tcPr>
            <w:tcW w:w="120" w:type="dxa"/>
            <w:vAlign w:val="bottom"/>
          </w:tcPr>
          <w:p>
            <w:pPr>
              <w:spacing w:after="0"/>
              <w:rPr>
                <w:sz w:val="21"/>
                <w:szCs w:val="21"/>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(943)</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(345)</w:t>
            </w:r>
          </w:p>
        </w:tc>
      </w:tr>
      <w:tr>
        <w:trPr>
          <w:trHeight w:val="27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OCI before reclassifications</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w:t>
            </w:r>
          </w:p>
        </w:tc>
      </w:tr>
      <w:tr>
        <w:trPr>
          <w:trHeight w:val="157"/>
        </w:trPr>
        <w:tc>
          <w:tcPr>
            <w:tcW w:w="584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(Gain) loss amounts for available-for-sale securities reclassified from accumulated OCI to</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88"/>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realized gain (loss) on sale of investment securities</w:t>
            </w:r>
          </w:p>
        </w:tc>
        <w:tc>
          <w:tcPr>
            <w:tcW w:w="18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55</w:t>
            </w:r>
          </w:p>
        </w:tc>
      </w:tr>
      <w:tr>
        <w:trPr>
          <w:trHeight w:val="243"/>
        </w:trPr>
        <w:tc>
          <w:tcPr>
            <w:tcW w:w="5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(1,304)</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Offering</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October 3, 2019, we issued $403 million, or 16.1 million depositary shares, of 6.50% Series E Fixed-to-Floating Rate Cumulative Redeemable Preferred Stock ("Series E Preferred Stock"), for net proceeds of $390 million. Each depositary share represents a 1/1,000th interest in a share of Series E Preferred Stock. At the conclusion of the Series E fixed rate period on October 15, 2024, the Series E Preferred Stock dividend will accrue at a floating rate equal to three-month LIBOR plus a spread of 4.993% per annum, and commencing on such date, the Series E Preferred Stock is redeemable at our option at the liquidation preference of $25.00 per depositary share, plus any accrued and unpaid dividends.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Preferred Stock</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October 25, 2019, we announced that we will redeem all 7,000 outstanding shares of our Series B Preferred Stock and the corresponding 7.0 million depositary shares, each representing a 1/1,000th interest in a share of the Series B Preferred Stock, on November 26, 2019 (the "Redemption Date"). The Series B Preferred Stock will be redeemed at the redemption amount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5" w:name="page26"/>
    <w:bookmarkEnd w:id="25"/>
    <w:p>
      <w:pPr>
        <w:ind w:right="1260"/>
        <w:spacing w:after="0" w:line="438" w:lineRule="auto"/>
        <w:rPr>
          <w:sz w:val="20"/>
          <w:szCs w:val="20"/>
          <w:color w:val="auto"/>
        </w:rPr>
      </w:pPr>
      <w:r>
        <w:rPr>
          <w:rFonts w:ascii="Arial" w:cs="Arial" w:eastAsia="Arial" w:hAnsi="Arial"/>
          <w:sz w:val="18"/>
          <w:szCs w:val="18"/>
          <w:color w:val="auto"/>
        </w:rPr>
        <w:t xml:space="preserve">$25.00 per depositary share, plus $0.22066 per depositary share of accrued and unpaid dividends to, but not including, the Redemption Date. </w:t>
      </w:r>
      <w:r>
        <w:rPr>
          <w:rFonts w:ascii="Arial" w:cs="Arial" w:eastAsia="Arial" w:hAnsi="Arial"/>
          <w:sz w:val="18"/>
          <w:szCs w:val="18"/>
          <w:b w:val="1"/>
          <w:bCs w:val="1"/>
          <w:i w:val="1"/>
          <w:iCs w:val="1"/>
          <w:color w:val="auto"/>
        </w:rPr>
        <w:t>Common Stock Dividend Declaration</w:t>
      </w:r>
    </w:p>
    <w:p>
      <w:pPr>
        <w:spacing w:after="0" w:line="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October 10, 2019, our Board of Directors declared a monthly dividend of $0.16 per common share payable on November 12, 2019 to common stockholders of record as of October 31, 2019.</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September 30, 2019. Our MD&amp;A is presented in six sections:</w:t>
      </w:r>
    </w:p>
    <w:p>
      <w:pPr>
        <w:spacing w:after="0" w:line="5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an internally-managed Real Estate Investment Trust ("REIT"). We commenced operations on May 20, 2008 following the completion of our initial public offering. Our common stock is traded on The Nasdaq Global Select Market under the symbol "AGNC."</w:t>
      </w:r>
    </w:p>
    <w:p>
      <w:pPr>
        <w:spacing w:after="0" w:line="11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As a REIT, we are required to distribute annually 90% of our taxable income. As a REIT, we will generally not be subject to U.S. federal or state corporate taxes on our taxable income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spacing w:after="0" w:line="9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Federal National Mortgage Association ("Fannie Mae") and Federal Home Loan Mortgage Corporation ("Freddie Mac," and together with Fannie Mae, the "GSEs"), or by a U.S. Government agency, such as Government National Mortgage Association ("Ginnie Mae"). We also invest in other types of mortgage and mortgage-related residential and commercial mortgage-backed securities where repayment of principal and interest is not guaranteed by a GSE or U.S. Government agency and in other investments in, or related to, the housing, mortgage or real estate markets.</w:t>
      </w:r>
    </w:p>
    <w:p>
      <w:pPr>
        <w:spacing w:after="0" w:line="11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 We fund our investments primarily through borrowings structured as repurchase agreements.</w:t>
      </w:r>
    </w:p>
    <w:p>
      <w:pPr>
        <w:spacing w:after="0" w:line="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size and composition of our investment portfolio depends on the investment strategies we implement, availability of attractively priced investments, suitable financing to appropriately leverage our investment portfolio and overall market conditions.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31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first three quarters of 2019, weaker global economic growth, ongoing trade tensions, and benign inflation indicators led to a sharp decline in U.S. Treasury and swap rates as many major central banks initiated short-term rate cuts and other forms of monetary policy accommodation. Consistent with this slowing global growth, the U.S. Federal Reserve (the "Fed") pivoted sharply from its multi-year campaign of raising short-term interest rates and began lowering short-term rates through 25 basis point rate cuts at each of its July, September, and October 2019 meetings. These cuts represented the first reductions in the federal funds target rate since 2008.</w:t>
      </w:r>
    </w:p>
    <w:p>
      <w:pPr>
        <w:spacing w:after="0" w:line="13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August 2019, the Fed also suspended the runoff of its U.S. Treasury portfolio and subsequently began redeploying up to $20 billion per month of paydowns from its Agency RMBS portfolio into Treasury securities, with any excess reinvested into Agency RMBS, thus maintaining a larger balance sheet than the market previously expected. Despite the Fed’s more accommodative stance, a confluence of events led to a large spike in overnight repo rates in mid-September of 2019. The pronounced and widely publicized disruption in the repo market prompted the Fed to immediately reinstitute daily open market repurchase operations. These overnight and term operations added significant liquidity to the repo market and quickly reduced funding levels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sectPr>
      </w:pPr>
    </w:p>
    <w:bookmarkStart w:id="27" w:name="page28"/>
    <w:bookmarkEnd w:id="27"/>
    <w:p>
      <w:pPr>
        <w:jc w:val="both"/>
        <w:spacing w:after="0" w:line="279" w:lineRule="auto"/>
        <w:rPr>
          <w:sz w:val="20"/>
          <w:szCs w:val="20"/>
          <w:color w:val="auto"/>
        </w:rPr>
      </w:pPr>
      <w:r>
        <w:rPr>
          <w:rFonts w:ascii="Arial" w:cs="Arial" w:eastAsia="Arial" w:hAnsi="Arial"/>
          <w:sz w:val="17"/>
          <w:szCs w:val="17"/>
          <w:color w:val="auto"/>
        </w:rPr>
        <w:t>to more normalized levels. Additionally, in mid-October, the Fed announced its plan to purchase approximately $60 billion of Treasury bills per month for at least six months and to upsize its overnight and term open market operations to $120 billion and $45 billion, respectively. Together, these actions could add more than $500 billion of liquidity to the system over the next six months. As such, we expect that the elevated repo funding levels, especially relative to other short-term rates, that AGNC has experienced throughout 2019 will likely begin to abate and return to more normal levels in 2020.</w:t>
      </w:r>
    </w:p>
    <w:p>
      <w:pPr>
        <w:spacing w:after="0" w:line="11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U.S. equities and other risk assets performed well during the first three quarters of the year as the expectations of greater central bank accommodation outweighed concerns over global economic weakness. The performance of Agency RMBS, however, was mixed. Agency RMBS outperformed U.S. Treasury and interest rate swap hedges in the first quarter but underperformed in the second and third quarters due to elevated prepayment concerns and the flattening of the yield curve. Despite spread widening and increased interest rate volatility, tangible net book value per common share remained stable due to our significant holdings of pools with favorable pre-payment characteristics and the positioning of our hedge portfolio. For the first, second and third quarters of 2019, our economic return on tangible common equity was 7.3%, -0.9% and 2.7%, respectively, for a cumulative year-to-date economic return of 9.1%.</w:t>
      </w:r>
    </w:p>
    <w:p>
      <w:pPr>
        <w:spacing w:after="0" w:line="11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net spread and dollar roll income was $0.52, $0.49 and $0.59 per common share for the first, second and third quarters of 2019, respectively, excluding "catch-up" premium amortization cost associated with changes in projected CPR estimates. The third quarter improvement in our net spread and dollar roll income, excluding “catch-up” premium amortization cost, was largely due to hedge repositioning, while ongoing elevated repo funding costs and higher amortization expense from faster prepayment expectations due to declining rates negatively impacted earnings.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net interest spread, which represents the difference in the yield on our assets (excluding “catch-up” amortization and including TBA securities) and our cost of funds, was 1.06%, 1.00% and 1.31% for the first, second and third quarters of 2019, respectively. Our tangible net book value "at risk" leverage increased to 9.8x as of September 30, 2019, from 9.0x as of December 31, 2018, while our average quarterly “at risk” leverage was 9.3x, 10.0x and 10.0x for the first, second and third quarters of 2019, respectively.</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Forecasted CPRs increased during the first three quarters of the year to 13.4% as of September 30, 2019, from 7.9% as of December 31, 2018, as a result of the decline in interest rates. Our actual CPRs also increased over the period, averaging 6.3%, 10.0% and 13.5% for the first, second and third quarters, respectively. These prepayment levels were well below those observed on other generic, higher coupon Agency RMBS due to the favorable prepayment characteristics of the majority of our holdings.</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funding cost associated with our repurchase agreements was largely unchanged for the first two quarters of 2019, averaging 2.64% and 2.62% for the first and second quarters, respectively. In the third quarter, our repo funding cost decreased only 14 basis points, for an average of 2.48% for the third quarter, despite more significant declines in the fed funds target and other short-term benchmark rates. Our total cost of funds, which includes the cost of repurchase agreements, the implied funding costs of TBA securities and periodic interest settlements associated with our interest rate swap hedges, was 2.27%, 2.24% and 1.85% for the first, second and third quarters, respectively.</w:t>
      </w:r>
    </w:p>
    <w:p>
      <w:pPr>
        <w:spacing w:after="0" w:line="13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The notional value of our interest rate hedge portfolio represented 77% of our aggregate funding liabilities as of the end of the first quarter of 2019, down from 94% as of December 31, 2018, in response to the sharp decline in interest rates during the quarter. During the second quarter, material repricing actions in the swap market led us to significantly alter the size and composition of our hedge portfolio to lock-in more attractive funding levels. During the second and third quarters, we increased our swap portfolio through the addition of shorter-dated swaps and correspondingly reduced our U.S. Treasury hedges. We also added payer swaptions, or option-based hedges, to provide incremental protection against extension risk in the event of a sudden rise in interest rates. In aggregate, our interest rate hedge portfolio was 91% and 101% of our funding liabilities as of June 30 and September 30, 2019, respectively. Our duration gap, which is a measure of the mismatch between the interest sensitivity of our assets and liabilities, inclusive of interest rate hedges, remained relatively stable at 0.2, -0.1 and 0.0 years as of the end of the first, second and third quarters of 2019, respectively, despite the significant decline in rates and associated reduction in our asset duration. (For additional information regarding our interest rate and spread sensitivity please refer to Item 3. </w:t>
      </w:r>
      <w:r>
        <w:rPr>
          <w:rFonts w:ascii="Arial" w:cs="Arial" w:eastAsia="Arial" w:hAnsi="Arial"/>
          <w:sz w:val="17"/>
          <w:szCs w:val="17"/>
          <w:i w:val="1"/>
          <w:iCs w:val="1"/>
          <w:color w:val="auto"/>
        </w:rPr>
        <w:t>Quantitative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Qualitative Disclosures about Market Risk </w:t>
      </w:r>
      <w:r>
        <w:rPr>
          <w:rFonts w:ascii="Arial" w:cs="Arial" w:eastAsia="Arial" w:hAnsi="Arial"/>
          <w:sz w:val="17"/>
          <w:szCs w:val="17"/>
          <w:color w:val="auto"/>
        </w:rPr>
        <w:t>of this Form 10-Q.)</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3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interest rates and prices of generic fixed rate Agency RMBS as of each date presented below:</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 30,</w:t>
            </w: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 31,</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Mar. 31,</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30,</w:t>
            </w: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 30,</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Sept. 30, 2019</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Sept. 30, 2019</w:t>
            </w:r>
          </w:p>
        </w:tc>
        <w:tc>
          <w:tcPr>
            <w:tcW w:w="0" w:type="dxa"/>
            <w:vAlign w:val="bottom"/>
          </w:tcPr>
          <w:p>
            <w:pPr>
              <w:spacing w:after="0"/>
              <w:rPr>
                <w:sz w:val="1"/>
                <w:szCs w:val="1"/>
                <w:color w:val="auto"/>
              </w:rPr>
            </w:pPr>
          </w:p>
        </w:tc>
      </w:tr>
      <w:tr>
        <w:trPr>
          <w:trHeight w:val="149"/>
        </w:trPr>
        <w:tc>
          <w:tcPr>
            <w:tcW w:w="30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8"/>
                <w:szCs w:val="8"/>
                <w:b w:val="1"/>
                <w:bCs w:val="1"/>
                <w:color w:val="auto"/>
              </w:rPr>
              <w:t>1</w:t>
            </w:r>
          </w:p>
        </w:tc>
        <w:tc>
          <w:tcPr>
            <w:tcW w:w="100" w:type="dxa"/>
            <w:vAlign w:val="bottom"/>
            <w:vMerge w:val="restart"/>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vs</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vs</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June 31, 2019</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Dec. 31, 2018</w:t>
            </w:r>
          </w:p>
        </w:tc>
        <w:tc>
          <w:tcPr>
            <w:tcW w:w="0" w:type="dxa"/>
            <w:vAlign w:val="bottom"/>
          </w:tcPr>
          <w:p>
            <w:pPr>
              <w:spacing w:after="0"/>
              <w:rPr>
                <w:sz w:val="1"/>
                <w:szCs w:val="1"/>
                <w:color w:val="auto"/>
              </w:rPr>
            </w:pPr>
          </w:p>
        </w:tc>
      </w:tr>
      <w:tr>
        <w:trPr>
          <w:trHeight w:val="270"/>
        </w:trPr>
        <w:tc>
          <w:tcPr>
            <w:tcW w:w="31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LIBOR:</w:t>
            </w: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40" w:type="dxa"/>
            <w:vAlign w:val="bottom"/>
            <w:gridSpan w:val="2"/>
          </w:tcPr>
          <w:p>
            <w:pPr>
              <w:ind w:left="200"/>
              <w:spacing w:after="0"/>
              <w:rPr>
                <w:sz w:val="20"/>
                <w:szCs w:val="20"/>
                <w:color w:val="auto"/>
              </w:rPr>
            </w:pPr>
            <w:r>
              <w:rPr>
                <w:rFonts w:ascii="Arial" w:cs="Arial" w:eastAsia="Arial" w:hAnsi="Arial"/>
                <w:sz w:val="14"/>
                <w:szCs w:val="14"/>
                <w:color w:val="auto"/>
              </w:rPr>
              <w:t>1-Month</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2.26%</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5"/>
              </w:rPr>
              <w:t>2.50%</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2.49%</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2.40%</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2.02%</w:t>
            </w:r>
          </w:p>
        </w:tc>
        <w:tc>
          <w:tcPr>
            <w:tcW w:w="100" w:type="dxa"/>
            <w:vAlign w:val="bottom"/>
          </w:tcPr>
          <w:p>
            <w:pPr>
              <w:spacing w:after="0"/>
              <w:rPr>
                <w:sz w:val="22"/>
                <w:szCs w:val="22"/>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rPr>
              <w:t>-0.38 bps</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-0.48 bps</w:t>
            </w:r>
          </w:p>
        </w:tc>
        <w:tc>
          <w:tcPr>
            <w:tcW w:w="0" w:type="dxa"/>
            <w:vAlign w:val="bottom"/>
          </w:tcPr>
          <w:p>
            <w:pPr>
              <w:spacing w:after="0"/>
              <w:rPr>
                <w:sz w:val="1"/>
                <w:szCs w:val="1"/>
                <w:color w:val="auto"/>
              </w:rPr>
            </w:pPr>
          </w:p>
        </w:tc>
      </w:tr>
      <w:tr>
        <w:trPr>
          <w:trHeight w:val="276"/>
        </w:trPr>
        <w:tc>
          <w:tcPr>
            <w:tcW w:w="3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3-Month</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2.40%</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2.32%</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2.09%</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-0.23 bps</w:t>
            </w: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-0.72 bps</w:t>
            </w:r>
          </w:p>
        </w:tc>
        <w:tc>
          <w:tcPr>
            <w:tcW w:w="0" w:type="dxa"/>
            <w:vAlign w:val="bottom"/>
          </w:tcPr>
          <w:p>
            <w:pPr>
              <w:spacing w:after="0"/>
              <w:rPr>
                <w:sz w:val="1"/>
                <w:szCs w:val="1"/>
                <w:color w:val="auto"/>
              </w:rPr>
            </w:pPr>
          </w:p>
        </w:tc>
      </w:tr>
      <w:tr>
        <w:trPr>
          <w:trHeight w:val="264"/>
        </w:trPr>
        <w:tc>
          <w:tcPr>
            <w:tcW w:w="3140" w:type="dxa"/>
            <w:vAlign w:val="bottom"/>
            <w:gridSpan w:val="2"/>
          </w:tcPr>
          <w:p>
            <w:pPr>
              <w:ind w:left="40"/>
              <w:spacing w:after="0"/>
              <w:rPr>
                <w:sz w:val="20"/>
                <w:szCs w:val="20"/>
                <w:color w:val="auto"/>
              </w:rPr>
            </w:pPr>
            <w:r>
              <w:rPr>
                <w:rFonts w:ascii="Arial" w:cs="Arial" w:eastAsia="Arial" w:hAnsi="Arial"/>
                <w:sz w:val="14"/>
                <w:szCs w:val="14"/>
                <w:b w:val="1"/>
                <w:bCs w:val="1"/>
                <w:color w:val="auto"/>
              </w:rPr>
              <w:t>U.S. Treasury Security Rate:</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2-Year U.S. Treasury</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2.82%</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2.49%</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2.26%</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1.75%</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1.62%</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-0.13 bps</w:t>
            </w: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-0.87 bps</w:t>
            </w:r>
          </w:p>
        </w:tc>
        <w:tc>
          <w:tcPr>
            <w:tcW w:w="0" w:type="dxa"/>
            <w:vAlign w:val="bottom"/>
          </w:tcPr>
          <w:p>
            <w:pPr>
              <w:spacing w:after="0"/>
              <w:rPr>
                <w:sz w:val="1"/>
                <w:szCs w:val="1"/>
                <w:color w:val="auto"/>
              </w:rPr>
            </w:pPr>
          </w:p>
        </w:tc>
      </w:tr>
      <w:tr>
        <w:trPr>
          <w:trHeight w:val="264"/>
        </w:trPr>
        <w:tc>
          <w:tcPr>
            <w:tcW w:w="3140" w:type="dxa"/>
            <w:vAlign w:val="bottom"/>
            <w:gridSpan w:val="2"/>
          </w:tcPr>
          <w:p>
            <w:pPr>
              <w:ind w:left="200"/>
              <w:spacing w:after="0"/>
              <w:rPr>
                <w:sz w:val="20"/>
                <w:szCs w:val="20"/>
                <w:color w:val="auto"/>
              </w:rPr>
            </w:pPr>
            <w:r>
              <w:rPr>
                <w:rFonts w:ascii="Arial" w:cs="Arial" w:eastAsia="Arial" w:hAnsi="Arial"/>
                <w:sz w:val="14"/>
                <w:szCs w:val="14"/>
                <w:color w:val="auto"/>
              </w:rPr>
              <w:t>5-Year U.S. Treasury</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2.95%</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5"/>
              </w:rPr>
              <w:t>2.51%</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2.23%</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1.77%</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1.54%</w:t>
            </w:r>
          </w:p>
        </w:tc>
        <w:tc>
          <w:tcPr>
            <w:tcW w:w="100" w:type="dxa"/>
            <w:vAlign w:val="bottom"/>
          </w:tcPr>
          <w:p>
            <w:pPr>
              <w:spacing w:after="0"/>
              <w:rPr>
                <w:sz w:val="22"/>
                <w:szCs w:val="22"/>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rPr>
              <w:t>-0.23 bps</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-0.97 bps</w:t>
            </w:r>
          </w:p>
        </w:tc>
        <w:tc>
          <w:tcPr>
            <w:tcW w:w="0" w:type="dxa"/>
            <w:vAlign w:val="bottom"/>
          </w:tcPr>
          <w:p>
            <w:pPr>
              <w:spacing w:after="0"/>
              <w:rPr>
                <w:sz w:val="1"/>
                <w:szCs w:val="1"/>
                <w:color w:val="auto"/>
              </w:rPr>
            </w:pPr>
          </w:p>
        </w:tc>
      </w:tr>
      <w:tr>
        <w:trPr>
          <w:trHeight w:val="276"/>
        </w:trPr>
        <w:tc>
          <w:tcPr>
            <w:tcW w:w="3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10-Year U.S. Treasury</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3.06%</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2.68%</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2.41%</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2.01%</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1.66%</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-0.35 bps</w:t>
            </w: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-1.02 bps</w:t>
            </w:r>
          </w:p>
        </w:tc>
        <w:tc>
          <w:tcPr>
            <w:tcW w:w="0" w:type="dxa"/>
            <w:vAlign w:val="bottom"/>
          </w:tcPr>
          <w:p>
            <w:pPr>
              <w:spacing w:after="0"/>
              <w:rPr>
                <w:sz w:val="1"/>
                <w:szCs w:val="1"/>
                <w:color w:val="auto"/>
              </w:rPr>
            </w:pPr>
          </w:p>
        </w:tc>
      </w:tr>
      <w:tr>
        <w:trPr>
          <w:trHeight w:val="264"/>
        </w:trPr>
        <w:tc>
          <w:tcPr>
            <w:tcW w:w="3140" w:type="dxa"/>
            <w:vAlign w:val="bottom"/>
            <w:gridSpan w:val="2"/>
          </w:tcPr>
          <w:p>
            <w:pPr>
              <w:ind w:left="200"/>
              <w:spacing w:after="0"/>
              <w:rPr>
                <w:sz w:val="20"/>
                <w:szCs w:val="20"/>
                <w:color w:val="auto"/>
              </w:rPr>
            </w:pPr>
            <w:r>
              <w:rPr>
                <w:rFonts w:ascii="Arial" w:cs="Arial" w:eastAsia="Arial" w:hAnsi="Arial"/>
                <w:sz w:val="14"/>
                <w:szCs w:val="14"/>
                <w:color w:val="auto"/>
              </w:rPr>
              <w:t>30-Year U.S. Treasury</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3.21%</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5"/>
              </w:rPr>
              <w:t>3.01%</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2.81%</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2.53%</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2.11%</w:t>
            </w:r>
          </w:p>
        </w:tc>
        <w:tc>
          <w:tcPr>
            <w:tcW w:w="100" w:type="dxa"/>
            <w:vAlign w:val="bottom"/>
          </w:tcPr>
          <w:p>
            <w:pPr>
              <w:spacing w:after="0"/>
              <w:rPr>
                <w:sz w:val="22"/>
                <w:szCs w:val="22"/>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rPr>
              <w:t>-0.42 bps</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-0.90 bps</w:t>
            </w:r>
          </w:p>
        </w:tc>
        <w:tc>
          <w:tcPr>
            <w:tcW w:w="0" w:type="dxa"/>
            <w:vAlign w:val="bottom"/>
          </w:tcPr>
          <w:p>
            <w:pPr>
              <w:spacing w:after="0"/>
              <w:rPr>
                <w:sz w:val="1"/>
                <w:szCs w:val="1"/>
                <w:color w:val="auto"/>
              </w:rPr>
            </w:pPr>
          </w:p>
        </w:tc>
      </w:tr>
      <w:tr>
        <w:trPr>
          <w:trHeight w:val="276"/>
        </w:trPr>
        <w:tc>
          <w:tcPr>
            <w:tcW w:w="31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Interest Rate Swap Rate:</w:t>
            </w: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40" w:type="dxa"/>
            <w:vAlign w:val="bottom"/>
            <w:gridSpan w:val="2"/>
          </w:tcPr>
          <w:p>
            <w:pPr>
              <w:ind w:left="200"/>
              <w:spacing w:after="0"/>
              <w:rPr>
                <w:sz w:val="20"/>
                <w:szCs w:val="20"/>
                <w:color w:val="auto"/>
              </w:rPr>
            </w:pPr>
            <w:r>
              <w:rPr>
                <w:rFonts w:ascii="Arial" w:cs="Arial" w:eastAsia="Arial" w:hAnsi="Arial"/>
                <w:sz w:val="14"/>
                <w:szCs w:val="14"/>
                <w:color w:val="auto"/>
              </w:rPr>
              <w:t>2-Year Swap</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2.99%</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5"/>
              </w:rPr>
              <w:t>2.66%</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2.38%</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1.81%</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1.63%</w:t>
            </w:r>
          </w:p>
        </w:tc>
        <w:tc>
          <w:tcPr>
            <w:tcW w:w="100" w:type="dxa"/>
            <w:vAlign w:val="bottom"/>
          </w:tcPr>
          <w:p>
            <w:pPr>
              <w:spacing w:after="0"/>
              <w:rPr>
                <w:sz w:val="22"/>
                <w:szCs w:val="22"/>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rPr>
              <w:t>-0.18 bps</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-1.03 bps</w:t>
            </w:r>
          </w:p>
        </w:tc>
        <w:tc>
          <w:tcPr>
            <w:tcW w:w="0" w:type="dxa"/>
            <w:vAlign w:val="bottom"/>
          </w:tcPr>
          <w:p>
            <w:pPr>
              <w:spacing w:after="0"/>
              <w:rPr>
                <w:sz w:val="1"/>
                <w:szCs w:val="1"/>
                <w:color w:val="auto"/>
              </w:rPr>
            </w:pPr>
          </w:p>
        </w:tc>
      </w:tr>
      <w:tr>
        <w:trPr>
          <w:trHeight w:val="276"/>
        </w:trPr>
        <w:tc>
          <w:tcPr>
            <w:tcW w:w="3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5-Year Swap</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3.07%</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2.28%</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1.77%</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1.50%</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-0.27 bps</w:t>
            </w: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-1.07 bps</w:t>
            </w:r>
          </w:p>
        </w:tc>
        <w:tc>
          <w:tcPr>
            <w:tcW w:w="0" w:type="dxa"/>
            <w:vAlign w:val="bottom"/>
          </w:tcPr>
          <w:p>
            <w:pPr>
              <w:spacing w:after="0"/>
              <w:rPr>
                <w:sz w:val="1"/>
                <w:szCs w:val="1"/>
                <w:color w:val="auto"/>
              </w:rPr>
            </w:pPr>
          </w:p>
        </w:tc>
      </w:tr>
      <w:tr>
        <w:trPr>
          <w:trHeight w:val="264"/>
        </w:trPr>
        <w:tc>
          <w:tcPr>
            <w:tcW w:w="3140" w:type="dxa"/>
            <w:vAlign w:val="bottom"/>
            <w:gridSpan w:val="2"/>
          </w:tcPr>
          <w:p>
            <w:pPr>
              <w:ind w:left="200"/>
              <w:spacing w:after="0"/>
              <w:rPr>
                <w:sz w:val="20"/>
                <w:szCs w:val="20"/>
                <w:color w:val="auto"/>
              </w:rPr>
            </w:pPr>
            <w:r>
              <w:rPr>
                <w:rFonts w:ascii="Arial" w:cs="Arial" w:eastAsia="Arial" w:hAnsi="Arial"/>
                <w:sz w:val="14"/>
                <w:szCs w:val="14"/>
                <w:color w:val="auto"/>
              </w:rPr>
              <w:t>10-Year Swap</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3.12%</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5"/>
              </w:rPr>
              <w:t>2.71%</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2.41%</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1.96%</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1.56%</w:t>
            </w:r>
          </w:p>
        </w:tc>
        <w:tc>
          <w:tcPr>
            <w:tcW w:w="100" w:type="dxa"/>
            <w:vAlign w:val="bottom"/>
          </w:tcPr>
          <w:p>
            <w:pPr>
              <w:spacing w:after="0"/>
              <w:rPr>
                <w:sz w:val="22"/>
                <w:szCs w:val="22"/>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rPr>
              <w:t>-0.40 bps</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-1.15 bps</w:t>
            </w:r>
          </w:p>
        </w:tc>
        <w:tc>
          <w:tcPr>
            <w:tcW w:w="0" w:type="dxa"/>
            <w:vAlign w:val="bottom"/>
          </w:tcPr>
          <w:p>
            <w:pPr>
              <w:spacing w:after="0"/>
              <w:rPr>
                <w:sz w:val="1"/>
                <w:szCs w:val="1"/>
                <w:color w:val="auto"/>
              </w:rPr>
            </w:pPr>
          </w:p>
        </w:tc>
      </w:tr>
      <w:tr>
        <w:trPr>
          <w:trHeight w:val="276"/>
        </w:trPr>
        <w:tc>
          <w:tcPr>
            <w:tcW w:w="3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30-Year Swap</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3.13%</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2.84%</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2.58%</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2.21%</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1.71%</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-0.50 bps</w:t>
            </w: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-1.13 bps</w:t>
            </w:r>
          </w:p>
        </w:tc>
        <w:tc>
          <w:tcPr>
            <w:tcW w:w="0" w:type="dxa"/>
            <w:vAlign w:val="bottom"/>
          </w:tcPr>
          <w:p>
            <w:pPr>
              <w:spacing w:after="0"/>
              <w:rPr>
                <w:sz w:val="1"/>
                <w:szCs w:val="1"/>
                <w:color w:val="auto"/>
              </w:rPr>
            </w:pPr>
          </w:p>
        </w:tc>
      </w:tr>
      <w:tr>
        <w:trPr>
          <w:trHeight w:val="264"/>
        </w:trPr>
        <w:tc>
          <w:tcPr>
            <w:tcW w:w="3140" w:type="dxa"/>
            <w:vAlign w:val="bottom"/>
            <w:gridSpan w:val="2"/>
          </w:tcPr>
          <w:p>
            <w:pPr>
              <w:ind w:left="40"/>
              <w:spacing w:after="0"/>
              <w:rPr>
                <w:sz w:val="20"/>
                <w:szCs w:val="20"/>
                <w:color w:val="auto"/>
              </w:rPr>
            </w:pPr>
            <w:r>
              <w:rPr>
                <w:rFonts w:ascii="Arial" w:cs="Arial" w:eastAsia="Arial" w:hAnsi="Arial"/>
                <w:sz w:val="14"/>
                <w:szCs w:val="14"/>
                <w:b w:val="1"/>
                <w:bCs w:val="1"/>
                <w:color w:val="auto"/>
              </w:rPr>
              <w:t>30-Year Fixed Rate Agency Price:</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$95.67</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$97.54</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$99.55</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$100.84</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$101.51</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+$0.67</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64"/>
        </w:trPr>
        <w:tc>
          <w:tcPr>
            <w:tcW w:w="3040" w:type="dxa"/>
            <w:vAlign w:val="bottom"/>
          </w:tcPr>
          <w:p>
            <w:pPr>
              <w:ind w:left="20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$98.41</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88"/>
              </w:rPr>
              <w:t>$99.95</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$101.35</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$102.24</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$102.58</w:t>
            </w:r>
          </w:p>
        </w:tc>
        <w:tc>
          <w:tcPr>
            <w:tcW w:w="100" w:type="dxa"/>
            <w:vAlign w:val="bottom"/>
          </w:tcPr>
          <w:p>
            <w:pPr>
              <w:spacing w:after="0"/>
              <w:rPr>
                <w:sz w:val="22"/>
                <w:szCs w:val="22"/>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+$0.34</w:t>
            </w:r>
          </w:p>
        </w:tc>
        <w:tc>
          <w:tcPr>
            <w:tcW w:w="120" w:type="dxa"/>
            <w:vAlign w:val="bottom"/>
          </w:tcPr>
          <w:p>
            <w:pPr>
              <w:spacing w:after="0"/>
              <w:rPr>
                <w:sz w:val="22"/>
                <w:szCs w:val="22"/>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76"/>
        </w:trPr>
        <w:tc>
          <w:tcPr>
            <w:tcW w:w="3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$100.97</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$101.94</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$102.86</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$103.36</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$103.77</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+$0.41</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64"/>
        </w:trPr>
        <w:tc>
          <w:tcPr>
            <w:tcW w:w="3040" w:type="dxa"/>
            <w:vAlign w:val="bottom"/>
          </w:tcPr>
          <w:p>
            <w:pPr>
              <w:ind w:left="200"/>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$103.16</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0"/>
              </w:rPr>
              <w:t>$103.53</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$104.20</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$104.49</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$105.29</w:t>
            </w:r>
          </w:p>
        </w:tc>
        <w:tc>
          <w:tcPr>
            <w:tcW w:w="100" w:type="dxa"/>
            <w:vAlign w:val="bottom"/>
          </w:tcPr>
          <w:p>
            <w:pPr>
              <w:spacing w:after="0"/>
              <w:rPr>
                <w:sz w:val="22"/>
                <w:szCs w:val="22"/>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+$0.80</w:t>
            </w:r>
          </w:p>
        </w:tc>
        <w:tc>
          <w:tcPr>
            <w:tcW w:w="120" w:type="dxa"/>
            <w:vAlign w:val="bottom"/>
          </w:tcPr>
          <w:p>
            <w:pPr>
              <w:spacing w:after="0"/>
              <w:rPr>
                <w:sz w:val="22"/>
                <w:szCs w:val="22"/>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76"/>
        </w:trPr>
        <w:tc>
          <w:tcPr>
            <w:tcW w:w="31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15-Year Fixed Rate Agency Price:</w:t>
            </w: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040" w:type="dxa"/>
            <w:vAlign w:val="bottom"/>
          </w:tcPr>
          <w:p>
            <w:pPr>
              <w:ind w:left="200"/>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$96.47</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88"/>
              </w:rPr>
              <w:t>$97.70</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$99.39</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$100.67</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$100.85</w:t>
            </w:r>
          </w:p>
        </w:tc>
        <w:tc>
          <w:tcPr>
            <w:tcW w:w="100" w:type="dxa"/>
            <w:vAlign w:val="bottom"/>
          </w:tcPr>
          <w:p>
            <w:pPr>
              <w:spacing w:after="0"/>
              <w:rPr>
                <w:sz w:val="22"/>
                <w:szCs w:val="22"/>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22"/>
                <w:szCs w:val="22"/>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76"/>
        </w:trPr>
        <w:tc>
          <w:tcPr>
            <w:tcW w:w="3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$98.77</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$99.80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$100.89</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$101.95</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$102.21</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64"/>
        </w:trPr>
        <w:tc>
          <w:tcPr>
            <w:tcW w:w="3040" w:type="dxa"/>
            <w:vAlign w:val="bottom"/>
          </w:tcPr>
          <w:p>
            <w:pPr>
              <w:ind w:left="20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$100.51</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0"/>
              </w:rPr>
              <w:t>$101.23</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$102.28</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$103.20</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$103.42</w:t>
            </w:r>
          </w:p>
        </w:tc>
        <w:tc>
          <w:tcPr>
            <w:tcW w:w="100" w:type="dxa"/>
            <w:vAlign w:val="bottom"/>
          </w:tcPr>
          <w:p>
            <w:pPr>
              <w:spacing w:after="0"/>
              <w:rPr>
                <w:sz w:val="22"/>
                <w:szCs w:val="22"/>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+$0.22</w:t>
            </w:r>
          </w:p>
        </w:tc>
        <w:tc>
          <w:tcPr>
            <w:tcW w:w="120" w:type="dxa"/>
            <w:vAlign w:val="bottom"/>
          </w:tcPr>
          <w:p>
            <w:pPr>
              <w:spacing w:after="0"/>
              <w:rPr>
                <w:sz w:val="22"/>
                <w:szCs w:val="22"/>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76"/>
        </w:trPr>
        <w:tc>
          <w:tcPr>
            <w:tcW w:w="3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$101.98</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$102.34</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$103.00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$103.84</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$104.08</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+$0.24</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67"/>
        </w:trPr>
        <w:tc>
          <w:tcPr>
            <w:tcW w:w="3040" w:type="dxa"/>
            <w:vAlign w:val="bottom"/>
          </w:tcPr>
          <w:p>
            <w:pPr>
              <w:spacing w:after="0"/>
              <w:rPr>
                <w:sz w:val="20"/>
                <w:szCs w:val="20"/>
                <w:color w:val="auto"/>
              </w:rPr>
            </w:pPr>
            <w:r>
              <w:rPr>
                <w:rFonts w:ascii="Arial" w:cs="Arial" w:eastAsia="Arial" w:hAnsi="Arial"/>
                <w:sz w:val="11"/>
                <w:szCs w:val="11"/>
                <w:color w:val="auto"/>
              </w:rPr>
              <w:t>________________________________</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660" w:hanging="328"/>
        <w:spacing w:after="0" w:line="273"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Prices and interest rates in the table above were obtained from Barclays. LIBOR rates were obtained from Bloomberg.</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As of September 30, 2019 and December 31, 2018, our investment portfolio consisted of $100.7 billion and $84.3 billion of investment securities, at fair value, respectively, and $1.9 billion and $7.3 billion of TBA securities, at fair value, respectively. The following table is a summary of our investment portfolio as of September 30, 2019 and December 31, 2018 (dollars in millions):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September 30, 2019</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2018</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 Portfolio (Includes TBAs)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3"/>
                <w:szCs w:val="13"/>
                <w:color w:val="auto"/>
              </w:rPr>
            </w:pPr>
          </w:p>
        </w:tc>
        <w:tc>
          <w:tcPr>
            <w:tcW w:w="11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Average</w:t>
            </w:r>
          </w:p>
        </w:tc>
        <w:tc>
          <w:tcPr>
            <w:tcW w:w="6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3"/>
                <w:szCs w:val="13"/>
                <w:color w:val="auto"/>
              </w:rPr>
            </w:pPr>
          </w:p>
        </w:tc>
        <w:tc>
          <w:tcPr>
            <w:tcW w:w="10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Average</w:t>
            </w:r>
          </w:p>
        </w:tc>
        <w:tc>
          <w:tcPr>
            <w:tcW w:w="5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Coupon</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Coupon</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Fixed rate Agency RMBS and TBA securities: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40" w:type="dxa"/>
            <w:vAlign w:val="bottom"/>
            <w:gridSpan w:val="2"/>
          </w:tcPr>
          <w:p>
            <w:pPr>
              <w:ind w:left="140"/>
              <w:spacing w:after="0"/>
              <w:rPr>
                <w:sz w:val="20"/>
                <w:szCs w:val="20"/>
                <w:color w:val="auto"/>
              </w:rPr>
            </w:pPr>
            <w:r>
              <w:rPr>
                <w:rFonts w:ascii="Arial" w:cs="Arial" w:eastAsia="Arial" w:hAnsi="Arial"/>
                <w:sz w:val="14"/>
                <w:szCs w:val="14"/>
                <w:color w:val="auto"/>
              </w:rPr>
              <w:t>≤ 15-year:</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64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 15-year RMBS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7,101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7,212</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3.32 %</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7,294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 xml:space="preserve">15-year TBA securities, net </w:t>
            </w:r>
            <w:r>
              <w:rPr>
                <w:rFonts w:ascii="Arial" w:cs="Arial" w:eastAsia="Arial" w:hAnsi="Arial"/>
                <w:sz w:val="8"/>
                <w:szCs w:val="8"/>
                <w:color w:val="auto"/>
              </w:rPr>
              <w:t>1</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1,814</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3.12 %</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3,635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3,673</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6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Total ≤ 15-year</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9,026</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3.28 %</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11,021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10,967</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40" w:type="dxa"/>
            <w:vAlign w:val="bottom"/>
            <w:gridSpan w:val="2"/>
          </w:tcPr>
          <w:p>
            <w:pPr>
              <w:ind w:left="100"/>
              <w:spacing w:after="0"/>
              <w:rPr>
                <w:sz w:val="20"/>
                <w:szCs w:val="20"/>
                <w:color w:val="auto"/>
              </w:rPr>
            </w:pPr>
            <w:r>
              <w:rPr>
                <w:rFonts w:ascii="Arial" w:cs="Arial" w:eastAsia="Arial" w:hAnsi="Arial"/>
                <w:sz w:val="14"/>
                <w:szCs w:val="14"/>
                <w:color w:val="auto"/>
              </w:rPr>
              <w:t>20-year RMBS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809</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3.87 %</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6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30-year:</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40" w:type="dxa"/>
            <w:vAlign w:val="bottom"/>
            <w:gridSpan w:val="2"/>
          </w:tcPr>
          <w:p>
            <w:pPr>
              <w:ind w:left="280"/>
              <w:spacing w:after="0"/>
              <w:rPr>
                <w:sz w:val="20"/>
                <w:szCs w:val="20"/>
                <w:color w:val="auto"/>
              </w:rPr>
            </w:pPr>
            <w:r>
              <w:rPr>
                <w:rFonts w:ascii="Arial" w:cs="Arial" w:eastAsia="Arial" w:hAnsi="Arial"/>
                <w:sz w:val="14"/>
                <w:szCs w:val="14"/>
                <w:color w:val="auto"/>
              </w:rPr>
              <w:t>30-year RMBS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88,371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90,069</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3.76 %</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74,883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73,685</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30-year TBA securities, net </w:t>
            </w:r>
            <w:r>
              <w:rPr>
                <w:rFonts w:ascii="Arial" w:cs="Arial" w:eastAsia="Arial" w:hAnsi="Arial"/>
                <w:sz w:val="8"/>
                <w:szCs w:val="8"/>
                <w:color w:val="auto"/>
              </w:rPr>
              <w:t>1</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(25.66)%</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3,617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3,649</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Total 30-year</w:t>
            </w: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88,374</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90,122</w:t>
            </w:r>
          </w:p>
        </w:tc>
        <w:tc>
          <w:tcPr>
            <w:tcW w:w="10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3.69 %</w:t>
            </w:r>
          </w:p>
        </w:tc>
        <w:tc>
          <w:tcPr>
            <w:tcW w:w="120" w:type="dxa"/>
            <w:vAlign w:val="bottom"/>
            <w:tcBorders>
              <w:bottom w:val="single" w:sz="8" w:color="CCEEFF"/>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88 %</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78,500</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77,334</w:t>
            </w:r>
          </w:p>
        </w:tc>
        <w:tc>
          <w:tcPr>
            <w:tcW w:w="10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fixed rate Agency RMBS and TBA securities</w:t>
            </w: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98,079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99,957</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3.65 %</w:t>
            </w:r>
          </w:p>
        </w:tc>
        <w:tc>
          <w:tcPr>
            <w:tcW w:w="12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97 %</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90,299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89,075</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2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Adjustable rate Agency RMBS</w:t>
            </w: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3.11 %</w:t>
            </w:r>
          </w:p>
        </w:tc>
        <w:tc>
          <w:tcPr>
            <w:tcW w:w="12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Multifamily</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3.37 %</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CMO Agency RMBS:</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CMO</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3.46 %</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40" w:type="dxa"/>
            <w:vAlign w:val="bottom"/>
            <w:gridSpan w:val="2"/>
          </w:tcPr>
          <w:p>
            <w:pPr>
              <w:ind w:left="280"/>
              <w:spacing w:after="0"/>
              <w:rPr>
                <w:sz w:val="20"/>
                <w:szCs w:val="20"/>
                <w:color w:val="auto"/>
              </w:rPr>
            </w:pPr>
            <w:r>
              <w:rPr>
                <w:rFonts w:ascii="Arial" w:cs="Arial" w:eastAsia="Arial" w:hAnsi="Arial"/>
                <w:sz w:val="14"/>
                <w:szCs w:val="14"/>
                <w:color w:val="auto"/>
              </w:rPr>
              <w:t>Interest-only strips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4.03 %</w:t>
            </w:r>
          </w:p>
        </w:tc>
        <w:tc>
          <w:tcPr>
            <w:tcW w:w="12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Principal-only strips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CMO Agency RMBS</w:t>
            </w: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634</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666</w:t>
            </w:r>
          </w:p>
        </w:tc>
        <w:tc>
          <w:tcPr>
            <w:tcW w:w="10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3.39 %</w:t>
            </w:r>
          </w:p>
        </w:tc>
        <w:tc>
          <w:tcPr>
            <w:tcW w:w="120" w:type="dxa"/>
            <w:vAlign w:val="bottom"/>
            <w:tcBorders>
              <w:bottom w:val="single" w:sz="8" w:color="CCEEFF"/>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760</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761</w:t>
            </w:r>
          </w:p>
        </w:tc>
        <w:tc>
          <w:tcPr>
            <w:tcW w:w="10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3.21%</w:t>
            </w:r>
          </w:p>
        </w:tc>
        <w:tc>
          <w:tcPr>
            <w:tcW w:w="12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Agency RMBS and TBA securities</w:t>
            </w: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98,921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100,837</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3.65 %</w:t>
            </w:r>
          </w:p>
        </w:tc>
        <w:tc>
          <w:tcPr>
            <w:tcW w:w="12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98 %</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91,271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90,049</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2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Non-Agency RMBS</w:t>
            </w: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4.06 %</w:t>
            </w:r>
          </w:p>
        </w:tc>
        <w:tc>
          <w:tcPr>
            <w:tcW w:w="12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3.83%</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4.57 %</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CRT</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1,134</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5.18 %</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1,012</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investment portfolio</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100,583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102,550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3.67 %</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92,821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91,609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jc w:val="right"/>
              <w:ind w:right="1748"/>
              <w:spacing w:after="0"/>
              <w:rPr>
                <w:sz w:val="20"/>
                <w:szCs w:val="20"/>
                <w:color w:val="auto"/>
              </w:rPr>
            </w:pPr>
            <w:r>
              <w:rPr>
                <w:rFonts w:ascii="Arial" w:cs="Arial" w:eastAsia="Arial" w:hAnsi="Arial"/>
                <w:sz w:val="11"/>
                <w:szCs w:val="11"/>
                <w:color w:val="auto"/>
                <w:w w:val="87"/>
              </w:rPr>
              <w:t>________________________________</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jc w:val="both"/>
        <w:ind w:left="660" w:hanging="328"/>
        <w:spacing w:after="0" w:line="245"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TBA securities are presented net of long and short positions. As of September 30, 2019, 30-year TBA securities consisted of $8.6 billion long and $(8.5) billion short TBA securities (at fair value) at an average coupon of 2.95% and 3.63%, respectively, and 15-year TBA securities consisted of $1.9 billion long and $(0.1) billion short TBA securities at an average coupon of 3.14% and 3.50%, respectively. As of December 31, 2018, 30-year TBA securities consisted of $6.9 billion long and $(3.3) billion short TBA securities at an average coupon of 4.03% and 3.56%, respectively, and 15-year TBA securities consisted entirely of long TBA securities at an average coupon of 3.61%. For further details of our TBA securities held as of each date refer to Note 6 of the accompanying consolidated financial statements.</w:t>
      </w:r>
    </w:p>
    <w:p>
      <w:pPr>
        <w:spacing w:after="0" w:line="14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TBA securities are recorded as derivative instruments in our accompanying consolidated financial statements and our TBA dollar roll transactions represent a form of off-balance sheet financing. As of September 30, 2019 and December 31, 2018, our TBA positions had a net carrying value of $47 million and $70 million, respectively, reported in derivative assets /(liabilities) on our accompanying consolidated balance sheets. The net carrying value represents the difference between the fair value of the underlying Agency security in the TBA contract and the contract price to be paid or received for the underlying Agency security.</w:t>
      </w:r>
    </w:p>
    <w:p>
      <w:pPr>
        <w:spacing w:after="0" w:line="13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September 30, 2019 and December 31, 2018, the weighted average yield on our investment securities (excluding TBA securities) was 3.08% and 3.31%,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2" w:right="239" w:bottom="1440" w:gutter="0" w:footer="0" w:header="0"/>
        </w:sectPr>
      </w:pPr>
    </w:p>
    <w:bookmarkStart w:id="30" w:name="page31"/>
    <w:bookmarkEnd w:id="30"/>
    <w:p>
      <w:pPr>
        <w:ind w:left="440"/>
        <w:spacing w:after="0"/>
        <w:rPr>
          <w:sz w:val="20"/>
          <w:szCs w:val="20"/>
          <w:color w:val="auto"/>
        </w:rPr>
      </w:pPr>
      <w:r>
        <w:rPr>
          <w:rFonts w:ascii="Arial" w:cs="Arial" w:eastAsia="Arial" w:hAnsi="Arial"/>
          <w:sz w:val="17"/>
          <w:szCs w:val="17"/>
          <w:color w:val="auto"/>
        </w:rPr>
        <w:t>The following tables summarize certain characteristics of our fixed rate Agency RMBS portfolio, inclusive of TBAs, as of September 30,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(dollars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September 30, 2019</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Fixed Rate Agency RMBS and TBA</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96"/>
              </w:rPr>
              <w:t>Specified</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Amortized</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71"/>
        </w:trPr>
        <w:tc>
          <w:tcPr>
            <w:tcW w:w="24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2</w:t>
            </w:r>
          </w:p>
        </w:tc>
        <w:tc>
          <w:tcPr>
            <w:tcW w:w="100" w:type="dxa"/>
            <w:vAlign w:val="bottom"/>
            <w:vMerge w:val="restart"/>
          </w:tcPr>
          <w:p>
            <w:pPr>
              <w:spacing w:after="0"/>
              <w:rPr>
                <w:sz w:val="6"/>
                <w:szCs w:val="6"/>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3</w:t>
            </w:r>
          </w:p>
        </w:tc>
        <w:tc>
          <w:tcPr>
            <w:tcW w:w="100" w:type="dxa"/>
            <w:vAlign w:val="bottom"/>
            <w:vMerge w:val="restart"/>
          </w:tcPr>
          <w:p>
            <w:pPr>
              <w:spacing w:after="0"/>
              <w:rPr>
                <w:sz w:val="6"/>
                <w:szCs w:val="6"/>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xml:space="preserve">Pool % </w:t>
            </w:r>
            <w:r>
              <w:rPr>
                <w:rFonts w:ascii="Arial" w:cs="Arial" w:eastAsia="Arial" w:hAnsi="Arial"/>
                <w:sz w:val="8"/>
                <w:szCs w:val="8"/>
                <w:b w:val="1"/>
                <w:bCs w:val="1"/>
                <w:color w:val="auto"/>
              </w:rPr>
              <w:t>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32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2"/>
              </w:rPr>
              <w:t>62%</w:t>
            </w:r>
          </w:p>
        </w:tc>
        <w:tc>
          <w:tcPr>
            <w:tcW w:w="1340" w:type="dxa"/>
            <w:vAlign w:val="bottom"/>
            <w:gridSpan w:val="3"/>
            <w:shd w:val="clear" w:color="auto" w:fill="CCEEFF"/>
          </w:tcPr>
          <w:p>
            <w:pPr>
              <w:jc w:val="center"/>
              <w:ind w:left="248"/>
              <w:spacing w:after="0"/>
              <w:rPr>
                <w:sz w:val="20"/>
                <w:szCs w:val="20"/>
                <w:color w:val="auto"/>
              </w:rPr>
            </w:pPr>
            <w:r>
              <w:rPr>
                <w:rFonts w:ascii="Arial" w:cs="Arial" w:eastAsia="Arial" w:hAnsi="Arial"/>
                <w:sz w:val="14"/>
                <w:szCs w:val="14"/>
                <w:color w:val="auto"/>
                <w:w w:val="96"/>
              </w:rPr>
              <w:t>101.1%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3,045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3,063</w:t>
            </w:r>
          </w:p>
        </w:tc>
        <w:tc>
          <w:tcPr>
            <w:tcW w:w="100" w:type="dxa"/>
            <w:vAlign w:val="bottom"/>
          </w:tcPr>
          <w:p>
            <w:pPr>
              <w:spacing w:after="0"/>
              <w:rPr>
                <w:sz w:val="22"/>
                <w:szCs w:val="22"/>
                <w:color w:val="auto"/>
              </w:rPr>
            </w:pPr>
          </w:p>
        </w:tc>
        <w:tc>
          <w:tcPr>
            <w:tcW w:w="800" w:type="dxa"/>
            <w:vAlign w:val="bottom"/>
          </w:tcPr>
          <w:p>
            <w:pPr>
              <w:jc w:val="center"/>
              <w:ind w:left="28"/>
              <w:spacing w:after="0"/>
              <w:rPr>
                <w:sz w:val="20"/>
                <w:szCs w:val="20"/>
                <w:color w:val="auto"/>
              </w:rPr>
            </w:pPr>
            <w:r>
              <w:rPr>
                <w:rFonts w:ascii="Arial" w:cs="Arial" w:eastAsia="Arial" w:hAnsi="Arial"/>
                <w:sz w:val="14"/>
                <w:szCs w:val="14"/>
                <w:color w:val="auto"/>
                <w:w w:val="92"/>
              </w:rPr>
              <w:t>58%</w:t>
            </w:r>
          </w:p>
        </w:tc>
        <w:tc>
          <w:tcPr>
            <w:tcW w:w="1340" w:type="dxa"/>
            <w:vAlign w:val="bottom"/>
            <w:gridSpan w:val="3"/>
          </w:tcPr>
          <w:p>
            <w:pPr>
              <w:jc w:val="center"/>
              <w:ind w:left="248"/>
              <w:spacing w:after="0"/>
              <w:rPr>
                <w:sz w:val="20"/>
                <w:szCs w:val="20"/>
                <w:color w:val="auto"/>
              </w:rPr>
            </w:pPr>
            <w:r>
              <w:rPr>
                <w:rFonts w:ascii="Arial" w:cs="Arial" w:eastAsia="Arial" w:hAnsi="Arial"/>
                <w:sz w:val="14"/>
                <w:szCs w:val="14"/>
                <w:color w:val="auto"/>
                <w:w w:val="96"/>
              </w:rPr>
              <w:t>101.6%</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3.52%</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3,363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2"/>
              </w:rPr>
              <w:t>53%</w:t>
            </w:r>
          </w:p>
        </w:tc>
        <w:tc>
          <w:tcPr>
            <w:tcW w:w="1340" w:type="dxa"/>
            <w:vAlign w:val="bottom"/>
            <w:gridSpan w:val="3"/>
            <w:shd w:val="clear" w:color="auto" w:fill="CCEEFF"/>
          </w:tcPr>
          <w:p>
            <w:pPr>
              <w:jc w:val="center"/>
              <w:ind w:left="248"/>
              <w:spacing w:after="0"/>
              <w:rPr>
                <w:sz w:val="20"/>
                <w:szCs w:val="20"/>
                <w:color w:val="auto"/>
              </w:rPr>
            </w:pPr>
            <w:r>
              <w:rPr>
                <w:rFonts w:ascii="Arial" w:cs="Arial" w:eastAsia="Arial" w:hAnsi="Arial"/>
                <w:sz w:val="14"/>
                <w:szCs w:val="14"/>
                <w:color w:val="auto"/>
                <w:w w:val="96"/>
              </w:rPr>
              <w:t>102.3%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17%</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1,254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1,284</w:t>
            </w:r>
          </w:p>
        </w:tc>
        <w:tc>
          <w:tcPr>
            <w:tcW w:w="100" w:type="dxa"/>
            <w:vAlign w:val="bottom"/>
          </w:tcPr>
          <w:p>
            <w:pPr>
              <w:spacing w:after="0"/>
              <w:rPr>
                <w:sz w:val="22"/>
                <w:szCs w:val="22"/>
                <w:color w:val="auto"/>
              </w:rPr>
            </w:pPr>
          </w:p>
        </w:tc>
        <w:tc>
          <w:tcPr>
            <w:tcW w:w="800" w:type="dxa"/>
            <w:vAlign w:val="bottom"/>
          </w:tcPr>
          <w:p>
            <w:pPr>
              <w:jc w:val="center"/>
              <w:ind w:left="28"/>
              <w:spacing w:after="0"/>
              <w:rPr>
                <w:sz w:val="20"/>
                <w:szCs w:val="20"/>
                <w:color w:val="auto"/>
              </w:rPr>
            </w:pPr>
            <w:r>
              <w:rPr>
                <w:rFonts w:ascii="Arial" w:cs="Arial" w:eastAsia="Arial" w:hAnsi="Arial"/>
                <w:sz w:val="14"/>
                <w:szCs w:val="14"/>
                <w:color w:val="auto"/>
                <w:w w:val="92"/>
              </w:rPr>
              <w:t>80%</w:t>
            </w:r>
          </w:p>
        </w:tc>
        <w:tc>
          <w:tcPr>
            <w:tcW w:w="1340" w:type="dxa"/>
            <w:vAlign w:val="bottom"/>
            <w:gridSpan w:val="3"/>
          </w:tcPr>
          <w:p>
            <w:pPr>
              <w:jc w:val="center"/>
              <w:ind w:left="248"/>
              <w:spacing w:after="0"/>
              <w:rPr>
                <w:sz w:val="20"/>
                <w:szCs w:val="20"/>
                <w:color w:val="auto"/>
              </w:rPr>
            </w:pPr>
            <w:r>
              <w:rPr>
                <w:rFonts w:ascii="Arial" w:cs="Arial" w:eastAsia="Arial" w:hAnsi="Arial"/>
                <w:sz w:val="14"/>
                <w:szCs w:val="14"/>
                <w:color w:val="auto"/>
                <w:w w:val="96"/>
              </w:rPr>
              <w:t>103.1%</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4.60%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15%</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2"/>
              </w:rPr>
              <w:t>98%</w:t>
            </w:r>
          </w:p>
        </w:tc>
        <w:tc>
          <w:tcPr>
            <w:tcW w:w="1340" w:type="dxa"/>
            <w:vAlign w:val="bottom"/>
            <w:gridSpan w:val="3"/>
            <w:shd w:val="clear" w:color="auto" w:fill="CCEEFF"/>
          </w:tcPr>
          <w:p>
            <w:pPr>
              <w:jc w:val="center"/>
              <w:ind w:left="248"/>
              <w:spacing w:after="0"/>
              <w:rPr>
                <w:sz w:val="20"/>
                <w:szCs w:val="20"/>
                <w:color w:val="auto"/>
              </w:rPr>
            </w:pPr>
            <w:r>
              <w:rPr>
                <w:rFonts w:ascii="Arial" w:cs="Arial" w:eastAsia="Arial" w:hAnsi="Arial"/>
                <w:sz w:val="14"/>
                <w:szCs w:val="14"/>
                <w:color w:val="auto"/>
                <w:w w:val="96"/>
              </w:rPr>
              <w:t>103.6%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w w:val="94"/>
              </w:rPr>
              <w:t>100%</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102.0%</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6.57%</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4.57%</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143</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15%</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8,729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8,918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9,026</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2"/>
              </w:rPr>
              <w:t>60%</w:t>
            </w:r>
          </w:p>
        </w:tc>
        <w:tc>
          <w:tcPr>
            <w:tcW w:w="1340" w:type="dxa"/>
            <w:vAlign w:val="bottom"/>
            <w:gridSpan w:val="3"/>
            <w:shd w:val="clear" w:color="auto" w:fill="CCEEFF"/>
          </w:tcPr>
          <w:p>
            <w:pPr>
              <w:jc w:val="center"/>
              <w:ind w:left="248"/>
              <w:spacing w:after="0"/>
              <w:rPr>
                <w:sz w:val="20"/>
                <w:szCs w:val="20"/>
                <w:color w:val="auto"/>
              </w:rPr>
            </w:pPr>
            <w:r>
              <w:rPr>
                <w:rFonts w:ascii="Arial" w:cs="Arial" w:eastAsia="Arial" w:hAnsi="Arial"/>
                <w:sz w:val="14"/>
                <w:szCs w:val="14"/>
                <w:color w:val="auto"/>
                <w:w w:val="96"/>
              </w:rPr>
              <w:t>102.1%</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3.86%</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8"/>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4"/>
              </w:rPr>
              <w:t>100%</w:t>
            </w:r>
          </w:p>
        </w:tc>
        <w:tc>
          <w:tcPr>
            <w:tcW w:w="1340" w:type="dxa"/>
            <w:vAlign w:val="bottom"/>
            <w:gridSpan w:val="3"/>
            <w:shd w:val="clear" w:color="auto" w:fill="CCEEFF"/>
          </w:tcPr>
          <w:p>
            <w:pPr>
              <w:jc w:val="center"/>
              <w:ind w:left="248"/>
              <w:spacing w:after="0"/>
              <w:rPr>
                <w:sz w:val="20"/>
                <w:szCs w:val="20"/>
                <w:color w:val="auto"/>
              </w:rPr>
            </w:pPr>
            <w:r>
              <w:rPr>
                <w:rFonts w:ascii="Arial" w:cs="Arial" w:eastAsia="Arial" w:hAnsi="Arial"/>
                <w:sz w:val="14"/>
                <w:szCs w:val="14"/>
                <w:color w:val="auto"/>
                <w:w w:val="96"/>
              </w:rPr>
              <w:t>103.3%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3.78%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22"/>
                <w:szCs w:val="22"/>
                <w:color w:val="auto"/>
              </w:rPr>
            </w:pPr>
          </w:p>
        </w:tc>
        <w:tc>
          <w:tcPr>
            <w:tcW w:w="800" w:type="dxa"/>
            <w:vAlign w:val="bottom"/>
          </w:tcPr>
          <w:p>
            <w:pPr>
              <w:jc w:val="center"/>
              <w:ind w:left="28"/>
              <w:spacing w:after="0"/>
              <w:rPr>
                <w:sz w:val="20"/>
                <w:szCs w:val="20"/>
                <w:color w:val="auto"/>
              </w:rPr>
            </w:pPr>
            <w:r>
              <w:rPr>
                <w:rFonts w:ascii="Arial" w:cs="Arial" w:eastAsia="Arial" w:hAnsi="Arial"/>
                <w:sz w:val="14"/>
                <w:szCs w:val="14"/>
                <w:color w:val="auto"/>
                <w:w w:val="92"/>
              </w:rPr>
              <w:t>81%</w:t>
            </w:r>
          </w:p>
        </w:tc>
        <w:tc>
          <w:tcPr>
            <w:tcW w:w="1340" w:type="dxa"/>
            <w:vAlign w:val="bottom"/>
            <w:gridSpan w:val="3"/>
          </w:tcPr>
          <w:p>
            <w:pPr>
              <w:jc w:val="center"/>
              <w:ind w:left="248"/>
              <w:spacing w:after="0"/>
              <w:rPr>
                <w:sz w:val="20"/>
                <w:szCs w:val="20"/>
                <w:color w:val="auto"/>
              </w:rPr>
            </w:pPr>
            <w:r>
              <w:rPr>
                <w:rFonts w:ascii="Arial" w:cs="Arial" w:eastAsia="Arial" w:hAnsi="Arial"/>
                <w:sz w:val="14"/>
                <w:szCs w:val="14"/>
                <w:color w:val="auto"/>
                <w:w w:val="96"/>
              </w:rPr>
              <w:t>102.0%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4.05%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74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2"/>
              </w:rPr>
              <w:t>92%</w:t>
            </w:r>
          </w:p>
        </w:tc>
        <w:tc>
          <w:tcPr>
            <w:tcW w:w="1340" w:type="dxa"/>
            <w:vAlign w:val="bottom"/>
            <w:gridSpan w:val="3"/>
            <w:shd w:val="clear" w:color="auto" w:fill="CCEEFF"/>
          </w:tcPr>
          <w:p>
            <w:pPr>
              <w:jc w:val="center"/>
              <w:ind w:left="248"/>
              <w:spacing w:after="0"/>
              <w:rPr>
                <w:sz w:val="20"/>
                <w:szCs w:val="20"/>
                <w:color w:val="auto"/>
              </w:rPr>
            </w:pPr>
            <w:r>
              <w:rPr>
                <w:rFonts w:ascii="Arial" w:cs="Arial" w:eastAsia="Arial" w:hAnsi="Arial"/>
                <w:sz w:val="14"/>
                <w:szCs w:val="14"/>
                <w:color w:val="auto"/>
                <w:w w:val="96"/>
              </w:rPr>
              <w:t>103.3%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4.44%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2"/>
                <w:szCs w:val="22"/>
                <w:color w:val="auto"/>
              </w:rPr>
            </w:pPr>
          </w:p>
        </w:tc>
        <w:tc>
          <w:tcPr>
            <w:tcW w:w="800" w:type="dxa"/>
            <w:vAlign w:val="bottom"/>
          </w:tcPr>
          <w:p>
            <w:pPr>
              <w:jc w:val="center"/>
              <w:ind w:left="28"/>
              <w:spacing w:after="0"/>
              <w:rPr>
                <w:sz w:val="20"/>
                <w:szCs w:val="20"/>
                <w:color w:val="auto"/>
              </w:rPr>
            </w:pPr>
            <w:r>
              <w:rPr>
                <w:rFonts w:ascii="Arial" w:cs="Arial" w:eastAsia="Arial" w:hAnsi="Arial"/>
                <w:sz w:val="14"/>
                <w:szCs w:val="14"/>
                <w:color w:val="auto"/>
                <w:w w:val="94"/>
              </w:rPr>
              <w:t>100%</w:t>
            </w:r>
          </w:p>
        </w:tc>
        <w:tc>
          <w:tcPr>
            <w:tcW w:w="1340" w:type="dxa"/>
            <w:vAlign w:val="bottom"/>
            <w:gridSpan w:val="3"/>
          </w:tcPr>
          <w:p>
            <w:pPr>
              <w:jc w:val="center"/>
              <w:ind w:left="248"/>
              <w:spacing w:after="0"/>
              <w:rPr>
                <w:sz w:val="20"/>
                <w:szCs w:val="20"/>
                <w:color w:val="auto"/>
              </w:rPr>
            </w:pPr>
            <w:r>
              <w:rPr>
                <w:rFonts w:ascii="Arial" w:cs="Arial" w:eastAsia="Arial" w:hAnsi="Arial"/>
                <w:sz w:val="14"/>
                <w:szCs w:val="14"/>
                <w:color w:val="auto"/>
                <w:w w:val="96"/>
              </w:rPr>
              <w:t>104.8%</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5.00%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15%</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center"/>
              <w:ind w:left="28"/>
              <w:spacing w:after="0"/>
              <w:rPr>
                <w:sz w:val="20"/>
                <w:szCs w:val="20"/>
                <w:color w:val="auto"/>
              </w:rPr>
            </w:pPr>
            <w:r>
              <w:rPr>
                <w:rFonts w:ascii="Arial" w:cs="Arial" w:eastAsia="Arial" w:hAnsi="Arial"/>
                <w:sz w:val="14"/>
                <w:szCs w:val="14"/>
                <w:color w:val="auto"/>
                <w:w w:val="98"/>
              </w:rPr>
              <w:t>—%</w:t>
            </w: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105.2%</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5.94%</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137</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18%</w:t>
            </w:r>
          </w:p>
        </w:tc>
        <w:tc>
          <w:tcPr>
            <w:tcW w:w="0" w:type="dxa"/>
            <w:vAlign w:val="bottom"/>
          </w:tcPr>
          <w:p>
            <w:pPr>
              <w:spacing w:after="0"/>
              <w:rPr>
                <w:sz w:val="1"/>
                <w:szCs w:val="1"/>
                <w:color w:val="auto"/>
              </w:rPr>
            </w:pPr>
          </w:p>
        </w:tc>
      </w:tr>
      <w:tr>
        <w:trPr>
          <w:trHeight w:val="250"/>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809</w:t>
            </w:r>
          </w:p>
        </w:tc>
        <w:tc>
          <w:tcPr>
            <w:tcW w:w="100" w:type="dxa"/>
            <w:vAlign w:val="bottom"/>
          </w:tcPr>
          <w:p>
            <w:pPr>
              <w:spacing w:after="0"/>
              <w:rPr>
                <w:sz w:val="21"/>
                <w:szCs w:val="21"/>
                <w:color w:val="auto"/>
              </w:rPr>
            </w:pPr>
          </w:p>
        </w:tc>
        <w:tc>
          <w:tcPr>
            <w:tcW w:w="800" w:type="dxa"/>
            <w:vAlign w:val="bottom"/>
          </w:tcPr>
          <w:p>
            <w:pPr>
              <w:jc w:val="center"/>
              <w:ind w:left="28"/>
              <w:spacing w:after="0"/>
              <w:rPr>
                <w:sz w:val="20"/>
                <w:szCs w:val="20"/>
                <w:color w:val="auto"/>
              </w:rPr>
            </w:pPr>
            <w:r>
              <w:rPr>
                <w:rFonts w:ascii="Arial" w:cs="Arial" w:eastAsia="Arial" w:hAnsi="Arial"/>
                <w:sz w:val="14"/>
                <w:szCs w:val="14"/>
                <w:color w:val="auto"/>
                <w:w w:val="92"/>
              </w:rPr>
              <w:t>90%</w:t>
            </w:r>
          </w:p>
        </w:tc>
        <w:tc>
          <w:tcPr>
            <w:tcW w:w="1340" w:type="dxa"/>
            <w:vAlign w:val="bottom"/>
            <w:gridSpan w:val="3"/>
          </w:tcPr>
          <w:p>
            <w:pPr>
              <w:jc w:val="center"/>
              <w:ind w:left="248"/>
              <w:spacing w:after="0"/>
              <w:rPr>
                <w:sz w:val="20"/>
                <w:szCs w:val="20"/>
                <w:color w:val="auto"/>
              </w:rPr>
            </w:pPr>
            <w:r>
              <w:rPr>
                <w:rFonts w:ascii="Arial" w:cs="Arial" w:eastAsia="Arial" w:hAnsi="Arial"/>
                <w:sz w:val="14"/>
                <w:szCs w:val="14"/>
                <w:color w:val="auto"/>
                <w:w w:val="96"/>
              </w:rPr>
              <w:t>103.2%</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4.40%</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46</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22,273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22,528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22,597</w:t>
            </w:r>
          </w:p>
        </w:tc>
        <w:tc>
          <w:tcPr>
            <w:tcW w:w="100" w:type="dxa"/>
            <w:vAlign w:val="bottom"/>
          </w:tcPr>
          <w:p>
            <w:pPr>
              <w:spacing w:after="0"/>
              <w:rPr>
                <w:sz w:val="22"/>
                <w:szCs w:val="22"/>
                <w:color w:val="auto"/>
              </w:rPr>
            </w:pPr>
          </w:p>
        </w:tc>
        <w:tc>
          <w:tcPr>
            <w:tcW w:w="800" w:type="dxa"/>
            <w:vAlign w:val="bottom"/>
          </w:tcPr>
          <w:p>
            <w:pPr>
              <w:jc w:val="center"/>
              <w:ind w:left="48"/>
              <w:spacing w:after="0"/>
              <w:rPr>
                <w:sz w:val="20"/>
                <w:szCs w:val="20"/>
                <w:color w:val="auto"/>
              </w:rPr>
            </w:pPr>
            <w:r>
              <w:rPr>
                <w:rFonts w:ascii="Arial" w:cs="Arial" w:eastAsia="Arial" w:hAnsi="Arial"/>
                <w:sz w:val="14"/>
                <w:szCs w:val="14"/>
                <w:color w:val="auto"/>
                <w:w w:val="98"/>
              </w:rPr>
              <w:t>2%</w:t>
            </w:r>
          </w:p>
        </w:tc>
        <w:tc>
          <w:tcPr>
            <w:tcW w:w="1340" w:type="dxa"/>
            <w:vAlign w:val="bottom"/>
            <w:gridSpan w:val="3"/>
          </w:tcPr>
          <w:p>
            <w:pPr>
              <w:jc w:val="center"/>
              <w:ind w:left="248"/>
              <w:spacing w:after="0"/>
              <w:rPr>
                <w:sz w:val="20"/>
                <w:szCs w:val="20"/>
                <w:color w:val="auto"/>
              </w:rPr>
            </w:pPr>
            <w:r>
              <w:rPr>
                <w:rFonts w:ascii="Arial" w:cs="Arial" w:eastAsia="Arial" w:hAnsi="Arial"/>
                <w:sz w:val="14"/>
                <w:szCs w:val="14"/>
                <w:color w:val="auto"/>
                <w:w w:val="96"/>
              </w:rPr>
              <w:t>101.6%</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3.89%</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21,751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22,157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2"/>
              </w:rPr>
              <w:t>70%</w:t>
            </w:r>
          </w:p>
        </w:tc>
        <w:tc>
          <w:tcPr>
            <w:tcW w:w="1340" w:type="dxa"/>
            <w:vAlign w:val="bottom"/>
            <w:gridSpan w:val="3"/>
            <w:shd w:val="clear" w:color="auto" w:fill="CCEEFF"/>
          </w:tcPr>
          <w:p>
            <w:pPr>
              <w:jc w:val="center"/>
              <w:ind w:left="248"/>
              <w:spacing w:after="0"/>
              <w:rPr>
                <w:sz w:val="20"/>
                <w:szCs w:val="20"/>
                <w:color w:val="auto"/>
              </w:rPr>
            </w:pPr>
            <w:r>
              <w:rPr>
                <w:rFonts w:ascii="Arial" w:cs="Arial" w:eastAsia="Arial" w:hAnsi="Arial"/>
                <w:sz w:val="14"/>
                <w:szCs w:val="14"/>
                <w:color w:val="auto"/>
                <w:w w:val="96"/>
              </w:rPr>
              <w:t>102.9%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28,359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29,465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30,264</w:t>
            </w:r>
          </w:p>
        </w:tc>
        <w:tc>
          <w:tcPr>
            <w:tcW w:w="100" w:type="dxa"/>
            <w:vAlign w:val="bottom"/>
          </w:tcPr>
          <w:p>
            <w:pPr>
              <w:spacing w:after="0"/>
              <w:rPr>
                <w:sz w:val="22"/>
                <w:szCs w:val="22"/>
                <w:color w:val="auto"/>
              </w:rPr>
            </w:pPr>
          </w:p>
        </w:tc>
        <w:tc>
          <w:tcPr>
            <w:tcW w:w="800" w:type="dxa"/>
            <w:vAlign w:val="bottom"/>
          </w:tcPr>
          <w:p>
            <w:pPr>
              <w:jc w:val="center"/>
              <w:ind w:left="28"/>
              <w:spacing w:after="0"/>
              <w:rPr>
                <w:sz w:val="20"/>
                <w:szCs w:val="20"/>
                <w:color w:val="auto"/>
              </w:rPr>
            </w:pPr>
            <w:r>
              <w:rPr>
                <w:rFonts w:ascii="Arial" w:cs="Arial" w:eastAsia="Arial" w:hAnsi="Arial"/>
                <w:sz w:val="14"/>
                <w:szCs w:val="14"/>
                <w:color w:val="auto"/>
                <w:w w:val="92"/>
              </w:rPr>
              <w:t>84%</w:t>
            </w:r>
          </w:p>
        </w:tc>
        <w:tc>
          <w:tcPr>
            <w:tcW w:w="1340" w:type="dxa"/>
            <w:vAlign w:val="bottom"/>
            <w:gridSpan w:val="3"/>
          </w:tcPr>
          <w:p>
            <w:pPr>
              <w:jc w:val="center"/>
              <w:ind w:left="248"/>
              <w:spacing w:after="0"/>
              <w:rPr>
                <w:sz w:val="20"/>
                <w:szCs w:val="20"/>
                <w:color w:val="auto"/>
              </w:rPr>
            </w:pPr>
            <w:r>
              <w:rPr>
                <w:rFonts w:ascii="Arial" w:cs="Arial" w:eastAsia="Arial" w:hAnsi="Arial"/>
                <w:sz w:val="14"/>
                <w:szCs w:val="14"/>
                <w:color w:val="auto"/>
                <w:w w:val="96"/>
              </w:rPr>
              <w:t>103.9%</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4.52%</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14,118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14,584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2"/>
              </w:rPr>
              <w:t>92%</w:t>
            </w:r>
          </w:p>
        </w:tc>
        <w:tc>
          <w:tcPr>
            <w:tcW w:w="1340" w:type="dxa"/>
            <w:vAlign w:val="bottom"/>
            <w:gridSpan w:val="3"/>
            <w:shd w:val="clear" w:color="auto" w:fill="CCEEFF"/>
          </w:tcPr>
          <w:p>
            <w:pPr>
              <w:jc w:val="center"/>
              <w:ind w:left="248"/>
              <w:spacing w:after="0"/>
              <w:rPr>
                <w:sz w:val="20"/>
                <w:szCs w:val="20"/>
                <w:color w:val="auto"/>
              </w:rPr>
            </w:pPr>
            <w:r>
              <w:rPr>
                <w:rFonts w:ascii="Arial" w:cs="Arial" w:eastAsia="Arial" w:hAnsi="Arial"/>
                <w:sz w:val="14"/>
                <w:szCs w:val="14"/>
                <w:color w:val="auto"/>
                <w:w w:val="96"/>
              </w:rPr>
              <w:t>105.0%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15%</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408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22"/>
                <w:szCs w:val="22"/>
                <w:color w:val="auto"/>
              </w:rPr>
            </w:pPr>
          </w:p>
        </w:tc>
        <w:tc>
          <w:tcPr>
            <w:tcW w:w="800" w:type="dxa"/>
            <w:vAlign w:val="bottom"/>
          </w:tcPr>
          <w:p>
            <w:pPr>
              <w:jc w:val="center"/>
              <w:ind w:left="28"/>
              <w:spacing w:after="0"/>
              <w:rPr>
                <w:sz w:val="20"/>
                <w:szCs w:val="20"/>
                <w:color w:val="auto"/>
              </w:rPr>
            </w:pPr>
            <w:r>
              <w:rPr>
                <w:rFonts w:ascii="Arial" w:cs="Arial" w:eastAsia="Arial" w:hAnsi="Arial"/>
                <w:sz w:val="14"/>
                <w:szCs w:val="14"/>
                <w:color w:val="auto"/>
                <w:w w:val="92"/>
              </w:rPr>
              <w:t>92%</w:t>
            </w:r>
          </w:p>
        </w:tc>
        <w:tc>
          <w:tcPr>
            <w:tcW w:w="1340" w:type="dxa"/>
            <w:vAlign w:val="bottom"/>
            <w:gridSpan w:val="3"/>
          </w:tcPr>
          <w:p>
            <w:pPr>
              <w:jc w:val="center"/>
              <w:ind w:left="248"/>
              <w:spacing w:after="0"/>
              <w:rPr>
                <w:sz w:val="20"/>
                <w:szCs w:val="20"/>
                <w:color w:val="auto"/>
              </w:rPr>
            </w:pPr>
            <w:r>
              <w:rPr>
                <w:rFonts w:ascii="Arial" w:cs="Arial" w:eastAsia="Arial" w:hAnsi="Arial"/>
                <w:sz w:val="14"/>
                <w:szCs w:val="14"/>
                <w:color w:val="auto"/>
                <w:w w:val="96"/>
              </w:rPr>
              <w:t>107.9%</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5.50%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15%</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center"/>
              <w:ind w:left="28"/>
              <w:spacing w:after="0"/>
              <w:rPr>
                <w:sz w:val="20"/>
                <w:szCs w:val="20"/>
                <w:color w:val="auto"/>
              </w:rPr>
            </w:pPr>
            <w:r>
              <w:rPr>
                <w:rFonts w:ascii="Arial" w:cs="Arial" w:eastAsia="Arial" w:hAnsi="Arial"/>
                <w:sz w:val="14"/>
                <w:szCs w:val="14"/>
                <w:color w:val="auto"/>
                <w:w w:val="92"/>
              </w:rPr>
              <w:t>49%</w:t>
            </w: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109.5%</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6.18%</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155</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85,674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88,374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90,122</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w w:val="92"/>
              </w:rPr>
              <w:t>61%</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103.4%</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4.35%</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3.09%</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30</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95,165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98,079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99,957</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2"/>
              </w:rPr>
              <w:t>62%</w:t>
            </w:r>
          </w:p>
        </w:tc>
        <w:tc>
          <w:tcPr>
            <w:tcW w:w="1340" w:type="dxa"/>
            <w:vAlign w:val="bottom"/>
            <w:gridSpan w:val="3"/>
            <w:shd w:val="clear" w:color="auto" w:fill="CCEEFF"/>
          </w:tcPr>
          <w:p>
            <w:pPr>
              <w:jc w:val="center"/>
              <w:ind w:left="248"/>
              <w:spacing w:after="0"/>
              <w:rPr>
                <w:sz w:val="20"/>
                <w:szCs w:val="20"/>
                <w:color w:val="auto"/>
              </w:rPr>
            </w:pPr>
            <w:r>
              <w:rPr>
                <w:rFonts w:ascii="Arial" w:cs="Arial" w:eastAsia="Arial" w:hAnsi="Arial"/>
                <w:sz w:val="14"/>
                <w:szCs w:val="14"/>
                <w:color w:val="auto"/>
                <w:w w:val="96"/>
              </w:rPr>
              <w:t>103.3%</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4.32%</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jc w:val="both"/>
        <w:ind w:left="660" w:hanging="328"/>
        <w:spacing w:after="0" w:line="241"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September 30, 2019, lower balance specified pools have a weighted average original loan balance of $113,000 and $118,000 for 15-year and 30-year securities, respectively, and HARP pools have a weighted average original LTV of 119% and 136% for 15-year and 30-year securities, respectively.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September 30, 2019.</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2018</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8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Fixed Rate Agency RMBS and TBA</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99"/>
              </w:rPr>
              <w:t>Specified</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Amortized</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71"/>
        </w:trPr>
        <w:tc>
          <w:tcPr>
            <w:tcW w:w="24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6"/>
                <w:szCs w:val="6"/>
                <w:color w:val="auto"/>
              </w:rPr>
            </w:pPr>
          </w:p>
        </w:tc>
        <w:tc>
          <w:tcPr>
            <w:tcW w:w="8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2</w:t>
            </w:r>
          </w:p>
        </w:tc>
        <w:tc>
          <w:tcPr>
            <w:tcW w:w="100" w:type="dxa"/>
            <w:vAlign w:val="bottom"/>
            <w:vMerge w:val="restart"/>
          </w:tcPr>
          <w:p>
            <w:pPr>
              <w:spacing w:after="0"/>
              <w:rPr>
                <w:sz w:val="6"/>
                <w:szCs w:val="6"/>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3</w:t>
            </w:r>
          </w:p>
        </w:tc>
        <w:tc>
          <w:tcPr>
            <w:tcW w:w="100" w:type="dxa"/>
            <w:vAlign w:val="bottom"/>
            <w:vMerge w:val="restart"/>
          </w:tcPr>
          <w:p>
            <w:pPr>
              <w:spacing w:after="0"/>
              <w:rPr>
                <w:sz w:val="6"/>
                <w:szCs w:val="6"/>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xml:space="preserve">Pool % </w:t>
            </w:r>
            <w:r>
              <w:rPr>
                <w:rFonts w:ascii="Arial" w:cs="Arial" w:eastAsia="Arial" w:hAnsi="Arial"/>
                <w:sz w:val="8"/>
                <w:szCs w:val="8"/>
                <w:b w:val="1"/>
                <w:bCs w:val="1"/>
                <w:color w:val="auto"/>
              </w:rPr>
              <w:t>1</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58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1,139</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75%</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101.2%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2,651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2,677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2,650</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75%</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101.7%</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3.51%</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4,498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4,502</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43%</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101.9%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2,449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2,509</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40%</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103.5%</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4.47%</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99%</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104.0%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4"/>
              </w:rPr>
              <w:t>100%</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102.4%</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6.55%</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4.57%</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134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10,863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10,967</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54%</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102.0%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3.82%</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58"/>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80%</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102.0%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91%</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103.4%</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100%</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105.2%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5.00%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8"/>
              </w:rPr>
              <w:t>—%</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105.7%</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5.94%</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3.34%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128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20-year: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774</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89%</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103.4%</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4.46%</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44</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58"/>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3,108</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8"/>
              </w:rPr>
              <w:t>3%</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100.1%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22,410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23,258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22,496</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71%</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103.2%</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4.06%</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38,564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38,147</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61%</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103.8%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4.54%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12,777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13,319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13,361</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69%</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104.7%</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4.99%</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117%</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106.8%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5.53%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2"/>
              </w:rPr>
              <w:t>49%</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110.5%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6.17%</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3.35%</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147</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50"/>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75,803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78,500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77,334</w:t>
            </w:r>
          </w:p>
        </w:tc>
        <w:tc>
          <w:tcPr>
            <w:tcW w:w="10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92"/>
              </w:rPr>
              <w:t>63%</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103.6%</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4.41%</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28</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87,418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90,299</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89,075</w:t>
            </w:r>
          </w:p>
        </w:tc>
        <w:tc>
          <w:tcPr>
            <w:tcW w:w="100" w:type="dxa"/>
            <w:vAlign w:val="bottom"/>
          </w:tcPr>
          <w:p>
            <w:pPr>
              <w:spacing w:after="0"/>
              <w:rPr>
                <w:sz w:val="21"/>
                <w:szCs w:val="21"/>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62%</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103.5%</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4.36%</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30</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980" w:hanging="648"/>
        <w:spacing w:after="0" w:line="247" w:lineRule="auto"/>
        <w:tabs>
          <w:tab w:leader="none" w:pos="6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See Note 1 of preceding table for specified pool composition. As of December 31, 2018, lower balance specified pools have a weighted average original loan balance of $102,000 and $113,000 for 15-year and 30-year securities, respectively, and HARP pools have a weighted average original LTV of 119% and 136% for 15-year and 30-year securities, respectively.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December 31, 2018.</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2019 and December 31, 2018, our investments in CRT and non-Agency securities had the following credit ratings: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6"/>
              </w:rPr>
              <w:t>September 30, 2019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December 31, 2018</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8"/>
                <w:szCs w:val="8"/>
                <w:b w:val="1"/>
                <w:bCs w:val="1"/>
                <w:color w:val="auto"/>
              </w:rPr>
              <w:t>1</w:t>
            </w:r>
          </w:p>
        </w:tc>
        <w:tc>
          <w:tcPr>
            <w:tcW w:w="2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CMBS</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CMBS</w:t>
            </w: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AAA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64"/>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AA</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237</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76"/>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BBB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6"/>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BB</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Rated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1,134</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370</w:t>
            </w:r>
          </w:p>
        </w:tc>
        <w:tc>
          <w:tcPr>
            <w:tcW w:w="2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1,012</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40"/>
              <w:spacing w:after="0"/>
              <w:rPr>
                <w:sz w:val="20"/>
                <w:szCs w:val="20"/>
                <w:color w:val="auto"/>
              </w:rPr>
            </w:pPr>
            <w:r>
              <w:rPr>
                <w:rFonts w:ascii="Arial" w:cs="Arial" w:eastAsia="Arial" w:hAnsi="Arial"/>
                <w:sz w:val="11"/>
                <w:szCs w:val="11"/>
                <w:color w:val="auto"/>
              </w:rPr>
              <w:t>________________________________</w:t>
            </w: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6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20" w:hanging="328"/>
        <w:spacing w:after="0" w:line="255"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Fitch, DBRS, Kroll Bond Rating Agency ("KBRA") and Morningstar credit ratings, stated in terms of the S&amp;P equivalent rating as of each date.</w:t>
      </w:r>
    </w:p>
    <w:p>
      <w:pPr>
        <w:spacing w:after="0" w:line="13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CRT securities reference the performance of loans underlying Agency RMBS issued by Fannie Mae or Freddie Mac, which were subject to their underwriting standards. As of September 30, 2019, our CRT securities had floating and fixed rate coupons ranging from 2.7% to 8.4%, referenced to loans originated between 2011 and 2019 with weighted average coupons ranging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968" w:right="239" w:bottom="1440" w:gutter="0" w:footer="0" w:header="0"/>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color w:val="auto"/>
        </w:rPr>
        <w:t>from 3.7% to 5.1%. As of December 31, 2018, our CRT securities had floating rate coupons ranging from 3.9% to 9.5%, referenced to loans originated between 2011 and 2018 with weighted average coupons ranging from 3.8% to 4.8%.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the results presented in accordance with GAAP, our results of operations discussed below include certain non-GAAP financial information, including "economic interest income," "economic interest expense," "net spread and dollar roll income," "net spread and dollar roll income, excluding 'catch-up' premium amortization," "estimated taxable income" and the related per common share measures and certain financial metrics derived from such non-GAAP information, such as "cost of funds" and "net interest spread."</w:t>
      </w:r>
    </w:p>
    <w:p>
      <w:pPr>
        <w:spacing w:after="0" w:line="13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"Economic interest income" is measured as interest income (GAAP measure), adjusted (i) to exclude "catch-up" premium amortization associated with changes in CPR estimates and (ii) to include TBA dollar roll implied interest income. "Economic interest expense" is measured as interest expense (GAAP measure) adjusted to include TBA dollar roll implied interest expense and interest rate swap periodic income/(cost). "Net spread and dollar roll income, excluding "catch-up" premium amortization" includes (i) the components of economic interest income and economic interest expense and other interest and dividend income (referred to as "adjusted net interest and dollar roll income"), less (ii) total operating expenses (GAAP measure), net of management fee income (GAAP measure), adjusted, as applicable, to exclude one-time expenses and non-recurring termination fee income recognized in connection with the sale of MTGE Investment Corp. and corresponding termination of the Company's management agreement with MTGE.</w:t>
      </w:r>
    </w:p>
    <w:p>
      <w:pPr>
        <w:spacing w:after="0" w:line="11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3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Specifically, in the case of "adjusted net interest and dollar roll income,"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in "economic interest expense" is meaningful as interest rate swaps are the primary instrument we use to economically hedge against fluctuations in our borrowing costs and it is more indicative of our total cost of funds than interest expense alone. In the case of "economic interest income" and "net spread and dollar roll income, excluding 'catch-up' premium amortization," we believe the exclusion of "catch-up" adjustments to premium amortization cost or benefit is meaningful as it excludes the cumulative effect from prior reporting periods due to current changes in future prepayment expectations and, therefore, exclusion of such cost or benefit is more indicative of the current earnings potential of our investment portfolio. In the case of estimated taxable income, we believe it is meaningful information because it directly relates to the amount of dividends we are required to distribute to maintain our REIT qualification status.</w:t>
      </w:r>
    </w:p>
    <w:p>
      <w:pPr>
        <w:spacing w:after="0" w:line="12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Financial Data</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selected financial data is derived from our interim consolidated financial statements and the notes thereto. The tables below present our condensed consolidated balance sheets as of September 30, 2019 and December 31, 2018 and our condensed consolidated statements of comprehensive income and key statistics for the three and nine months ended September 30, 2019 and 2018 (in millions, except per share amounts):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6"/>
        </w:trPr>
        <w:tc>
          <w:tcPr>
            <w:tcW w:w="700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 Except Per Share Amounts)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Sheet Data</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92"/>
        </w:trPr>
        <w:tc>
          <w:tcPr>
            <w:tcW w:w="70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6"/>
          </w:tcPr>
          <w:p>
            <w:pPr>
              <w:jc w:val="right"/>
              <w:ind w:right="420"/>
              <w:spacing w:after="0"/>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Investment securities, at fair value</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188"/>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3"/>
              </w:rPr>
              <w:t>100,683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84,287</w:t>
            </w: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3"/>
          </w:tcPr>
          <w:p>
            <w:pPr>
              <w:jc w:val="right"/>
              <w:ind w:right="18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w w:val="93"/>
              </w:rPr>
              <w:t>109,761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109,241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Repurchase agreements and other debt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88"/>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90,850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75,992</w:t>
            </w: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3"/>
          </w:tcPr>
          <w:p>
            <w:pPr>
              <w:jc w:val="right"/>
              <w:ind w:right="18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99,548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99,335</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88"/>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10,213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9,906</w:t>
            </w:r>
          </w:p>
        </w:tc>
        <w:tc>
          <w:tcPr>
            <w:tcW w:w="0" w:type="dxa"/>
            <w:vAlign w:val="bottom"/>
          </w:tcPr>
          <w:p>
            <w:pPr>
              <w:spacing w:after="0"/>
              <w:rPr>
                <w:sz w:val="1"/>
                <w:szCs w:val="1"/>
                <w:color w:val="auto"/>
              </w:rPr>
            </w:pPr>
          </w:p>
        </w:tc>
      </w:tr>
      <w:tr>
        <w:trPr>
          <w:trHeight w:val="270"/>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 xml:space="preserve">Net book value per common share </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gridSpan w:val="3"/>
          </w:tcPr>
          <w:p>
            <w:pPr>
              <w:jc w:val="right"/>
              <w:ind w:right="18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17.52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17.54</w:t>
            </w:r>
          </w:p>
        </w:tc>
        <w:tc>
          <w:tcPr>
            <w:tcW w:w="0" w:type="dxa"/>
            <w:vAlign w:val="bottom"/>
          </w:tcPr>
          <w:p>
            <w:pPr>
              <w:spacing w:after="0"/>
              <w:rPr>
                <w:sz w:val="1"/>
                <w:szCs w:val="1"/>
                <w:color w:val="auto"/>
              </w:rPr>
            </w:pPr>
          </w:p>
        </w:tc>
      </w:tr>
      <w:tr>
        <w:trPr>
          <w:trHeight w:val="270"/>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Tangible net book value per common share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18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16.55</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16.56</w:t>
            </w:r>
          </w:p>
        </w:tc>
        <w:tc>
          <w:tcPr>
            <w:tcW w:w="0" w:type="dxa"/>
            <w:vAlign w:val="bottom"/>
          </w:tcPr>
          <w:p>
            <w:pPr>
              <w:spacing w:after="0"/>
              <w:rPr>
                <w:sz w:val="1"/>
                <w:szCs w:val="1"/>
                <w:color w:val="auto"/>
              </w:rPr>
            </w:pPr>
          </w:p>
        </w:tc>
      </w:tr>
      <w:tr>
        <w:trPr>
          <w:trHeight w:val="288"/>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9"/>
          </w:tcPr>
          <w:p>
            <w:pPr>
              <w:ind w:left="100"/>
              <w:spacing w:after="0"/>
              <w:rPr>
                <w:sz w:val="20"/>
                <w:szCs w:val="20"/>
                <w:color w:val="auto"/>
              </w:rPr>
            </w:pPr>
            <w:r>
              <w:rPr>
                <w:rFonts w:ascii="Arial" w:cs="Arial" w:eastAsia="Arial" w:hAnsi="Arial"/>
                <w:sz w:val="14"/>
                <w:szCs w:val="14"/>
                <w:b w:val="1"/>
                <w:bCs w:val="1"/>
                <w:color w:val="auto"/>
              </w:rPr>
              <w:t>Three Months Ended September</w:t>
            </w:r>
          </w:p>
        </w:tc>
        <w:tc>
          <w:tcPr>
            <w:tcW w:w="120" w:type="dxa"/>
            <w:vAlign w:val="bottom"/>
          </w:tcPr>
          <w:p>
            <w:pPr>
              <w:spacing w:after="0"/>
              <w:rPr>
                <w:sz w:val="24"/>
                <w:szCs w:val="24"/>
                <w:color w:val="auto"/>
              </w:rPr>
            </w:pPr>
          </w:p>
        </w:tc>
        <w:tc>
          <w:tcPr>
            <w:tcW w:w="2020" w:type="dxa"/>
            <w:vAlign w:val="bottom"/>
            <w:gridSpan w:val="7"/>
          </w:tcPr>
          <w:p>
            <w:pPr>
              <w:jc w:val="right"/>
              <w:spacing w:after="0"/>
              <w:rPr>
                <w:sz w:val="20"/>
                <w:szCs w:val="20"/>
                <w:color w:val="auto"/>
              </w:rPr>
            </w:pPr>
            <w:r>
              <w:rPr>
                <w:rFonts w:ascii="Arial" w:cs="Arial" w:eastAsia="Arial" w:hAnsi="Arial"/>
                <w:sz w:val="14"/>
                <w:szCs w:val="14"/>
                <w:b w:val="1"/>
                <w:bCs w:val="1"/>
                <w:color w:val="auto"/>
                <w:w w:val="92"/>
              </w:rPr>
              <w:t>Nine Months Ended September</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w w:val="81"/>
              </w:rPr>
              <w:t>30,</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Statement of Comprehensive Income Data (Unaudited)</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40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2,074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1,668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250"/>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interest income</w:t>
            </w: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50"/>
        </w:trPr>
        <w:tc>
          <w:tcPr>
            <w:tcW w:w="7000" w:type="dxa"/>
            <w:vAlign w:val="bottom"/>
            <w:gridSpan w:val="2"/>
          </w:tcPr>
          <w:p>
            <w:pPr>
              <w:ind w:left="40"/>
              <w:spacing w:after="0"/>
              <w:rPr>
                <w:sz w:val="20"/>
                <w:szCs w:val="20"/>
                <w:color w:val="auto"/>
              </w:rPr>
            </w:pPr>
            <w:r>
              <w:rPr>
                <w:rFonts w:ascii="Arial" w:cs="Arial" w:eastAsia="Arial" w:hAnsi="Arial"/>
                <w:sz w:val="14"/>
                <w:szCs w:val="14"/>
                <w:color w:val="auto"/>
              </w:rPr>
              <w:t>Other gain (loss), net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3"/>
          </w:tcPr>
          <w:p>
            <w:pPr>
              <w:jc w:val="right"/>
              <w:ind w:right="28"/>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4"/>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70"/>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50"/>
        </w:trPr>
        <w:tc>
          <w:tcPr>
            <w:tcW w:w="7000" w:type="dxa"/>
            <w:vAlign w:val="bottom"/>
            <w:gridSpan w:val="2"/>
          </w:tcPr>
          <w:p>
            <w:pPr>
              <w:ind w:left="40"/>
              <w:spacing w:after="0"/>
              <w:rPr>
                <w:sz w:val="20"/>
                <w:szCs w:val="20"/>
                <w:color w:val="auto"/>
              </w:rPr>
            </w:pPr>
            <w:r>
              <w:rPr>
                <w:rFonts w:ascii="Arial" w:cs="Arial" w:eastAsia="Arial" w:hAnsi="Arial"/>
                <w:sz w:val="14"/>
                <w:szCs w:val="14"/>
                <w:color w:val="auto"/>
              </w:rPr>
              <w:t>Net income (loss)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3"/>
          </w:tcPr>
          <w:p>
            <w:pPr>
              <w:jc w:val="right"/>
              <w:ind w:right="28"/>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4"/>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270"/>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Dividend on preferred stock</w:t>
            </w: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96"/>
        </w:trPr>
        <w:tc>
          <w:tcPr>
            <w:tcW w:w="7000" w:type="dxa"/>
            <w:vAlign w:val="bottom"/>
            <w:gridSpan w:val="2"/>
          </w:tcPr>
          <w:p>
            <w:pPr>
              <w:ind w:left="40"/>
              <w:spacing w:after="0"/>
              <w:rPr>
                <w:sz w:val="20"/>
                <w:szCs w:val="20"/>
                <w:color w:val="auto"/>
              </w:rPr>
            </w:pPr>
            <w:r>
              <w:rPr>
                <w:rFonts w:ascii="Arial" w:cs="Arial" w:eastAsia="Arial" w:hAnsi="Arial"/>
                <w:sz w:val="14"/>
                <w:szCs w:val="14"/>
                <w:color w:val="auto"/>
              </w:rPr>
              <w:t>Net income (loss) available (attributable) to common stockholders</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w:t>
            </w:r>
          </w:p>
        </w:tc>
        <w:tc>
          <w:tcPr>
            <w:tcW w:w="40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28"/>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24"/>
                <w:szCs w:val="24"/>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00" w:type="dxa"/>
            <w:vAlign w:val="bottom"/>
            <w:gridSpan w:val="4"/>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78"/>
        </w:trPr>
        <w:tc>
          <w:tcPr>
            <w:tcW w:w="68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00" w:type="dxa"/>
            <w:vAlign w:val="bottom"/>
            <w:gridSpan w:val="2"/>
          </w:tcPr>
          <w:p>
            <w:pPr>
              <w:ind w:left="40"/>
              <w:spacing w:after="0"/>
              <w:rPr>
                <w:sz w:val="20"/>
                <w:szCs w:val="20"/>
                <w:color w:val="auto"/>
              </w:rPr>
            </w:pPr>
            <w:r>
              <w:rPr>
                <w:rFonts w:ascii="Arial" w:cs="Arial" w:eastAsia="Arial" w:hAnsi="Arial"/>
                <w:sz w:val="14"/>
                <w:szCs w:val="14"/>
                <w:color w:val="auto"/>
              </w:rPr>
              <w:t>Net income (loss)</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40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28"/>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2"/>
                <w:szCs w:val="22"/>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00" w:type="dxa"/>
            <w:vAlign w:val="bottom"/>
            <w:gridSpan w:val="4"/>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270"/>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w:t>
            </w: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0" w:type="dxa"/>
            <w:vAlign w:val="bottom"/>
          </w:tcPr>
          <w:p>
            <w:pPr>
              <w:spacing w:after="0"/>
              <w:rPr>
                <w:sz w:val="1"/>
                <w:szCs w:val="1"/>
                <w:color w:val="auto"/>
              </w:rPr>
            </w:pPr>
          </w:p>
        </w:tc>
      </w:tr>
      <w:tr>
        <w:trPr>
          <w:trHeight w:val="250"/>
        </w:trPr>
        <w:tc>
          <w:tcPr>
            <w:tcW w:w="7000" w:type="dxa"/>
            <w:vAlign w:val="bottom"/>
            <w:gridSpan w:val="2"/>
          </w:tcPr>
          <w:p>
            <w:pPr>
              <w:ind w:left="40"/>
              <w:spacing w:after="0"/>
              <w:rPr>
                <w:sz w:val="20"/>
                <w:szCs w:val="20"/>
                <w:color w:val="auto"/>
              </w:rPr>
            </w:pPr>
            <w:r>
              <w:rPr>
                <w:rFonts w:ascii="Arial" w:cs="Arial" w:eastAsia="Arial" w:hAnsi="Arial"/>
                <w:sz w:val="14"/>
                <w:szCs w:val="14"/>
                <w:color w:val="auto"/>
              </w:rPr>
              <w:t>Comprehensive income (loss)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3"/>
          </w:tcPr>
          <w:p>
            <w:pPr>
              <w:jc w:val="right"/>
              <w:ind w:right="28"/>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842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70"/>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Dividend on preferred stock</w:t>
            </w: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96"/>
        </w:trPr>
        <w:tc>
          <w:tcPr>
            <w:tcW w:w="7000" w:type="dxa"/>
            <w:vAlign w:val="bottom"/>
            <w:gridSpan w:val="2"/>
          </w:tcPr>
          <w:p>
            <w:pPr>
              <w:ind w:left="40"/>
              <w:spacing w:after="0"/>
              <w:rPr>
                <w:sz w:val="20"/>
                <w:szCs w:val="20"/>
                <w:color w:val="auto"/>
              </w:rPr>
            </w:pPr>
            <w:r>
              <w:rPr>
                <w:rFonts w:ascii="Arial" w:cs="Arial" w:eastAsia="Arial" w:hAnsi="Arial"/>
                <w:sz w:val="14"/>
                <w:szCs w:val="14"/>
                <w:color w:val="auto"/>
              </w:rPr>
              <w:t>Comprehensive income (loss) available (attributable) to common stockholders</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229</w:t>
            </w:r>
          </w:p>
        </w:tc>
        <w:tc>
          <w:tcPr>
            <w:tcW w:w="40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28"/>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4"/>
                <w:szCs w:val="24"/>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806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78"/>
        </w:trPr>
        <w:tc>
          <w:tcPr>
            <w:tcW w:w="68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Weighted average number of common shares outstanding - basic</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546.4</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6"/>
                <w:szCs w:val="16"/>
                <w:color w:val="auto"/>
              </w:rPr>
              <w:t>462.3</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540.3</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419.8</w:t>
            </w:r>
          </w:p>
        </w:tc>
        <w:tc>
          <w:tcPr>
            <w:tcW w:w="0" w:type="dxa"/>
            <w:vAlign w:val="bottom"/>
          </w:tcPr>
          <w:p>
            <w:pPr>
              <w:spacing w:after="0"/>
              <w:rPr>
                <w:sz w:val="1"/>
                <w:szCs w:val="1"/>
                <w:color w:val="auto"/>
              </w:rPr>
            </w:pPr>
          </w:p>
        </w:tc>
      </w:tr>
      <w:tr>
        <w:trPr>
          <w:trHeight w:val="237"/>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outstanding - diluted</w:t>
            </w: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546.4</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462.7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540.3</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420.1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0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income (loss) per common share - basic</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6"/>
                <w:szCs w:val="16"/>
                <w:color w:val="auto"/>
              </w:rPr>
              <w:t>0.45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(0.41)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37"/>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 per common share - diluted</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0.45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0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Comprehensive income (loss) per common share - basic and diluted</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37"/>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Dividends declared per common share</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40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0.54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06"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5"/>
          </w:tcPr>
          <w:p>
            <w:pPr>
              <w:ind w:left="40"/>
              <w:spacing w:after="0"/>
              <w:rPr>
                <w:sz w:val="20"/>
                <w:szCs w:val="20"/>
                <w:color w:val="auto"/>
              </w:rPr>
            </w:pPr>
            <w:r>
              <w:rPr>
                <w:rFonts w:ascii="Arial" w:cs="Arial" w:eastAsia="Arial" w:hAnsi="Arial"/>
                <w:sz w:val="14"/>
                <w:szCs w:val="14"/>
                <w:b w:val="1"/>
                <w:bCs w:val="1"/>
                <w:color w:val="auto"/>
                <w:w w:val="98"/>
              </w:rPr>
              <w:t>Three Months Ended September</w:t>
            </w:r>
          </w:p>
        </w:tc>
        <w:tc>
          <w:tcPr>
            <w:tcW w:w="200" w:type="dxa"/>
            <w:vAlign w:val="bottom"/>
          </w:tcPr>
          <w:p>
            <w:pPr>
              <w:spacing w:after="0"/>
              <w:rPr>
                <w:sz w:val="14"/>
                <w:szCs w:val="14"/>
                <w:color w:val="auto"/>
              </w:rPr>
            </w:pPr>
          </w:p>
        </w:tc>
        <w:tc>
          <w:tcPr>
            <w:tcW w:w="210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Nine Months Ended September</w:t>
            </w:r>
          </w:p>
        </w:tc>
      </w:tr>
      <w:tr>
        <w:trPr>
          <w:trHeight w:val="192"/>
        </w:trPr>
        <w:tc>
          <w:tcPr>
            <w:tcW w:w="6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2"/>
              </w:rPr>
              <w:t>30,</w:t>
            </w:r>
          </w:p>
        </w:tc>
        <w:tc>
          <w:tcPr>
            <w:tcW w:w="840" w:type="dxa"/>
            <w:vAlign w:val="bottom"/>
            <w:tcBorders>
              <w:bottom w:val="single" w:sz="8" w:color="auto"/>
            </w:tcBorders>
          </w:tcPr>
          <w:p>
            <w:pPr>
              <w:spacing w:after="0"/>
              <w:rPr>
                <w:sz w:val="16"/>
                <w:szCs w:val="16"/>
                <w:color w:val="auto"/>
              </w:rPr>
            </w:pPr>
          </w:p>
        </w:tc>
      </w:tr>
      <w:tr>
        <w:trPr>
          <w:trHeight w:val="264"/>
        </w:trPr>
        <w:tc>
          <w:tcPr>
            <w:tcW w:w="6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Other Data (Unaudited) *</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r>
      <w:tr>
        <w:trPr>
          <w:trHeight w:val="256"/>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investment securities - at par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89,741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61,696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88,783</w:t>
            </w:r>
          </w:p>
        </w:tc>
        <w:tc>
          <w:tcPr>
            <w:tcW w:w="3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56,179</w:t>
            </w:r>
          </w:p>
        </w:tc>
      </w:tr>
      <w:tr>
        <w:trPr>
          <w:trHeight w:val="264"/>
        </w:trPr>
        <w:tc>
          <w:tcPr>
            <w:tcW w:w="6780" w:type="dxa"/>
            <w:vAlign w:val="bottom"/>
            <w:gridSpan w:val="2"/>
          </w:tcPr>
          <w:p>
            <w:pPr>
              <w:ind w:left="40"/>
              <w:spacing w:after="0"/>
              <w:rPr>
                <w:sz w:val="20"/>
                <w:szCs w:val="20"/>
                <w:color w:val="auto"/>
              </w:rPr>
            </w:pPr>
            <w:r>
              <w:rPr>
                <w:rFonts w:ascii="Arial" w:cs="Arial" w:eastAsia="Arial" w:hAnsi="Arial"/>
                <w:sz w:val="14"/>
                <w:szCs w:val="14"/>
                <w:color w:val="auto"/>
              </w:rPr>
              <w:t>Average investment securities - at cost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92,764</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64,346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91,736</w:t>
            </w:r>
          </w:p>
        </w:tc>
        <w:tc>
          <w:tcPr>
            <w:tcW w:w="380" w:type="dxa"/>
            <w:vAlign w:val="bottom"/>
            <w:gridSpan w:val="2"/>
          </w:tcPr>
          <w:p>
            <w:pPr>
              <w:jc w:val="center"/>
              <w:ind w:right="6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58,705</w:t>
            </w:r>
          </w:p>
        </w:tc>
      </w:tr>
      <w:tr>
        <w:trPr>
          <w:trHeight w:val="276"/>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net TBA portfolio - at cost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10,146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18,270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10,012</w:t>
            </w:r>
          </w:p>
        </w:tc>
        <w:tc>
          <w:tcPr>
            <w:tcW w:w="3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16,932</w:t>
            </w:r>
          </w:p>
        </w:tc>
      </w:tr>
      <w:tr>
        <w:trPr>
          <w:trHeight w:val="264"/>
        </w:trPr>
        <w:tc>
          <w:tcPr>
            <w:tcW w:w="6780" w:type="dxa"/>
            <w:vAlign w:val="bottom"/>
            <w:gridSpan w:val="2"/>
          </w:tcPr>
          <w:p>
            <w:pPr>
              <w:ind w:left="40"/>
              <w:spacing w:after="0"/>
              <w:rPr>
                <w:sz w:val="20"/>
                <w:szCs w:val="20"/>
                <w:color w:val="auto"/>
              </w:rPr>
            </w:pPr>
            <w:r>
              <w:rPr>
                <w:rFonts w:ascii="Arial" w:cs="Arial" w:eastAsia="Arial" w:hAnsi="Arial"/>
                <w:sz w:val="14"/>
                <w:szCs w:val="14"/>
                <w:color w:val="auto"/>
              </w:rPr>
              <w:t>Average total assets - at fair value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104,819</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82,169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111,059</w:t>
            </w:r>
          </w:p>
        </w:tc>
        <w:tc>
          <w:tcPr>
            <w:tcW w:w="380" w:type="dxa"/>
            <w:vAlign w:val="bottom"/>
            <w:gridSpan w:val="2"/>
          </w:tcPr>
          <w:p>
            <w:pPr>
              <w:jc w:val="center"/>
              <w:ind w:right="6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73,236</w:t>
            </w:r>
          </w:p>
        </w:tc>
      </w:tr>
      <w:tr>
        <w:trPr>
          <w:trHeight w:val="276"/>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Average Agency repurchase agreements and other debt outstanding </w:t>
            </w:r>
            <w:r>
              <w:rPr>
                <w:rFonts w:ascii="Arial" w:cs="Arial" w:eastAsia="Arial" w:hAnsi="Arial"/>
                <w:sz w:val="8"/>
                <w:szCs w:val="8"/>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87,938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56,265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85,406</w:t>
            </w:r>
          </w:p>
        </w:tc>
        <w:tc>
          <w:tcPr>
            <w:tcW w:w="3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51,243</w:t>
            </w:r>
          </w:p>
        </w:tc>
      </w:tr>
      <w:tr>
        <w:trPr>
          <w:trHeight w:val="264"/>
        </w:trPr>
        <w:tc>
          <w:tcPr>
            <w:tcW w:w="6780" w:type="dxa"/>
            <w:vAlign w:val="bottom"/>
            <w:gridSpan w:val="2"/>
          </w:tcPr>
          <w:p>
            <w:pPr>
              <w:ind w:left="40"/>
              <w:spacing w:after="0"/>
              <w:rPr>
                <w:sz w:val="20"/>
                <w:szCs w:val="20"/>
                <w:color w:val="auto"/>
              </w:rPr>
            </w:pPr>
            <w:r>
              <w:rPr>
                <w:rFonts w:ascii="Arial" w:cs="Arial" w:eastAsia="Arial" w:hAnsi="Arial"/>
                <w:sz w:val="14"/>
                <w:szCs w:val="14"/>
                <w:color w:val="auto"/>
              </w:rPr>
              <w:t xml:space="preserve">Average stockholders' equity </w:t>
            </w:r>
            <w:r>
              <w:rPr>
                <w:rFonts w:ascii="Arial" w:cs="Arial" w:eastAsia="Arial" w:hAnsi="Arial"/>
                <w:sz w:val="8"/>
                <w:szCs w:val="8"/>
                <w:color w:val="auto"/>
              </w:rPr>
              <w:t>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10,347</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9,345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10,277</w:t>
            </w:r>
          </w:p>
        </w:tc>
        <w:tc>
          <w:tcPr>
            <w:tcW w:w="380" w:type="dxa"/>
            <w:vAlign w:val="bottom"/>
            <w:gridSpan w:val="2"/>
          </w:tcPr>
          <w:p>
            <w:pPr>
              <w:jc w:val="center"/>
              <w:ind w:right="6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8,875</w:t>
            </w:r>
          </w:p>
        </w:tc>
      </w:tr>
      <w:tr>
        <w:trPr>
          <w:trHeight w:val="276"/>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Average tangible net book value "at risk" leverage </w:t>
            </w:r>
            <w:r>
              <w:rPr>
                <w:rFonts w:ascii="Arial" w:cs="Arial" w:eastAsia="Arial" w:hAnsi="Arial"/>
                <w:sz w:val="8"/>
                <w:szCs w:val="8"/>
                <w:color w:val="auto"/>
              </w:rPr>
              <w:t>5</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10.0:1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9.8:1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8.2:1</w:t>
            </w:r>
          </w:p>
        </w:tc>
      </w:tr>
      <w:tr>
        <w:trPr>
          <w:trHeight w:val="264"/>
        </w:trPr>
        <w:tc>
          <w:tcPr>
            <w:tcW w:w="6780" w:type="dxa"/>
            <w:vAlign w:val="bottom"/>
            <w:gridSpan w:val="2"/>
          </w:tcPr>
          <w:p>
            <w:pPr>
              <w:ind w:left="40"/>
              <w:spacing w:after="0"/>
              <w:rPr>
                <w:sz w:val="20"/>
                <w:szCs w:val="20"/>
                <w:color w:val="auto"/>
              </w:rPr>
            </w:pPr>
            <w:r>
              <w:rPr>
                <w:rFonts w:ascii="Arial" w:cs="Arial" w:eastAsia="Arial" w:hAnsi="Arial"/>
                <w:sz w:val="14"/>
                <w:szCs w:val="14"/>
                <w:color w:val="auto"/>
              </w:rPr>
              <w:t xml:space="preserve">Tangible net book value "at risk" leverage </w:t>
            </w:r>
            <w:r>
              <w:rPr>
                <w:rFonts w:ascii="Arial" w:cs="Arial" w:eastAsia="Arial" w:hAnsi="Arial"/>
                <w:sz w:val="14"/>
                <w:szCs w:val="14"/>
                <w:i w:val="1"/>
                <w:iCs w:val="1"/>
                <w:color w:val="auto"/>
              </w:rPr>
              <w:t>(as of period end)</w:t>
            </w:r>
            <w:r>
              <w:rPr>
                <w:rFonts w:ascii="Arial" w:cs="Arial" w:eastAsia="Arial" w:hAnsi="Arial"/>
                <w:sz w:val="14"/>
                <w:szCs w:val="14"/>
                <w:color w:val="auto"/>
              </w:rPr>
              <w:t xml:space="preserve"> </w:t>
            </w:r>
            <w:r>
              <w:rPr>
                <w:rFonts w:ascii="Arial" w:cs="Arial" w:eastAsia="Arial" w:hAnsi="Arial"/>
                <w:sz w:val="8"/>
                <w:szCs w:val="8"/>
                <w:color w:val="auto"/>
              </w:rPr>
              <w:t>6</w:t>
            </w:r>
          </w:p>
        </w:tc>
        <w:tc>
          <w:tcPr>
            <w:tcW w:w="160" w:type="dxa"/>
            <w:vAlign w:val="bottom"/>
          </w:tcPr>
          <w:p>
            <w:pPr>
              <w:spacing w:after="0"/>
              <w:rPr>
                <w:sz w:val="22"/>
                <w:szCs w:val="22"/>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9.8:1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9.8:1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140"/>
              <w:spacing w:after="0"/>
              <w:rPr>
                <w:sz w:val="20"/>
                <w:szCs w:val="20"/>
                <w:color w:val="auto"/>
              </w:rPr>
            </w:pPr>
            <w:r>
              <w:rPr>
                <w:rFonts w:ascii="Arial" w:cs="Arial" w:eastAsia="Arial" w:hAnsi="Arial"/>
                <w:sz w:val="16"/>
                <w:szCs w:val="16"/>
                <w:color w:val="auto"/>
              </w:rPr>
              <w:t>8.2:1</w:t>
            </w:r>
          </w:p>
        </w:tc>
      </w:tr>
      <w:tr>
        <w:trPr>
          <w:trHeight w:val="276"/>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Economic return on tangible common equity </w:t>
            </w:r>
            <w:r>
              <w:rPr>
                <w:rFonts w:ascii="Arial" w:cs="Arial" w:eastAsia="Arial" w:hAnsi="Arial"/>
                <w:sz w:val="8"/>
                <w:szCs w:val="8"/>
                <w:color w:val="auto"/>
              </w:rPr>
              <w:t>7</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64"/>
        </w:trPr>
        <w:tc>
          <w:tcPr>
            <w:tcW w:w="6780" w:type="dxa"/>
            <w:vAlign w:val="bottom"/>
            <w:gridSpan w:val="2"/>
          </w:tcPr>
          <w:p>
            <w:pPr>
              <w:ind w:left="40"/>
              <w:spacing w:after="0"/>
              <w:rPr>
                <w:sz w:val="20"/>
                <w:szCs w:val="20"/>
                <w:color w:val="auto"/>
              </w:rPr>
            </w:pPr>
            <w:r>
              <w:rPr>
                <w:rFonts w:ascii="Arial" w:cs="Arial" w:eastAsia="Arial" w:hAnsi="Arial"/>
                <w:sz w:val="14"/>
                <w:szCs w:val="14"/>
                <w:color w:val="auto"/>
              </w:rPr>
              <w:t>Expenses % of average total assets</w:t>
            </w: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0.10 %</w:t>
            </w:r>
          </w:p>
        </w:tc>
      </w:tr>
      <w:tr>
        <w:trPr>
          <w:trHeight w:val="276"/>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Expenses % of average assets, including average net TBA position</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0.08 %</w:t>
            </w:r>
          </w:p>
        </w:tc>
      </w:tr>
      <w:tr>
        <w:trPr>
          <w:trHeight w:val="258"/>
        </w:trPr>
        <w:tc>
          <w:tcPr>
            <w:tcW w:w="6780" w:type="dxa"/>
            <w:vAlign w:val="bottom"/>
            <w:gridSpan w:val="2"/>
          </w:tcPr>
          <w:p>
            <w:pPr>
              <w:ind w:left="40"/>
              <w:spacing w:after="0"/>
              <w:rPr>
                <w:sz w:val="20"/>
                <w:szCs w:val="20"/>
                <w:color w:val="auto"/>
              </w:rPr>
            </w:pPr>
            <w:r>
              <w:rPr>
                <w:rFonts w:ascii="Arial" w:cs="Arial" w:eastAsia="Arial" w:hAnsi="Arial"/>
                <w:sz w:val="14"/>
                <w:szCs w:val="14"/>
                <w:color w:val="auto"/>
              </w:rPr>
              <w:t>Expenses % of average stockholders' equity</w:t>
            </w: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0.73%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0.81%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0.83 %</w:t>
            </w:r>
          </w:p>
        </w:tc>
      </w:tr>
      <w:tr>
        <w:trPr>
          <w:trHeight w:val="127"/>
        </w:trPr>
        <w:tc>
          <w:tcPr>
            <w:tcW w:w="6660" w:type="dxa"/>
            <w:vAlign w:val="bottom"/>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r>
    </w:tbl>
    <w:p>
      <w:pPr>
        <w:ind w:left="34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w:t>
      </w:r>
    </w:p>
    <w:p>
      <w:pPr>
        <w:spacing w:after="0" w:line="1" w:lineRule="exact"/>
        <w:rPr>
          <w:sz w:val="20"/>
          <w:szCs w:val="20"/>
          <w:color w:val="auto"/>
        </w:rPr>
      </w:pPr>
    </w:p>
    <w:p>
      <w:pPr>
        <w:ind w:left="980" w:hanging="648"/>
        <w:spacing w:after="0" w:line="241" w:lineRule="auto"/>
        <w:tabs>
          <w:tab w:leader="none" w:pos="6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Net book value per common share is calculated as total stockholders' equity, less preferred stock liquidation preference, divided by number of common shares outstanding as of period end.</w:t>
      </w: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Tangible net book value per common share excludes goodwill.</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 includes repurchase agreements for non-Agency securities. Amount excludes U.S. Treasury repurchase agreements and TBA contracts. Other debt includes debt of consolidated VIEs.</w:t>
      </w: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Average stockholders' equity calculated as average month-ended stockholders' equity during the period.</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Average tangible net book value "at risk" leverage is calculated by dividing the sum of daily weighted average mortgage borrowings outstanding (Agency repo, other debt and TBA securities (at cost)) for the period by the sum of average stockholders' equity adjusted to exclude goodwill and other intangible assets for the period. Leverage excludes U.S. Treasury repurchase agreements.</w:t>
      </w:r>
    </w:p>
    <w:p>
      <w:pPr>
        <w:spacing w:after="0" w:line="1" w:lineRule="exact"/>
        <w:rPr>
          <w:rFonts w:ascii="Arial" w:cs="Arial" w:eastAsia="Arial" w:hAnsi="Arial"/>
          <w:sz w:val="14"/>
          <w:szCs w:val="14"/>
          <w:color w:val="auto"/>
        </w:rPr>
      </w:pPr>
    </w:p>
    <w:p>
      <w:pPr>
        <w:ind w:left="980" w:right="20" w:hanging="648"/>
        <w:spacing w:after="0" w:line="241" w:lineRule="auto"/>
        <w:tabs>
          <w:tab w:leader="none" w:pos="6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"At risk" leverage as of period end is calculated by dividing the sum of mortgage borrowings outstanding and receivable/payable for unsettled investment securities as of period end (at cost) by the sum of total stockholders' equity adjusted to exclude goodwill as of period end. Leverage excludes U.S. Treasury repurchase agreements.</w:t>
      </w:r>
    </w:p>
    <w:p>
      <w:pPr>
        <w:ind w:left="980" w:right="20" w:hanging="648"/>
        <w:spacing w:after="0" w:line="255" w:lineRule="auto"/>
        <w:tabs>
          <w:tab w:leader="none" w:pos="6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Economic return on tangible common equity represents the sum of the change in tangible net book value per common share and dividends declared on common stock during the period over beginning tangible net book value per common share.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Income and Asset Yields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table summarizes our economic interest income (a non-GAAP measure) for the three and nine months ended September 30, 2019 and 2018, which includes the combination of interest income (a GAAP measure) on our holdings reported as investment securities on our consolidated balance sheets, adjusted to exclude estimated "catch-up" premium amortization adjustments for the cumulative effect from prior reporting periods of changes in our CPR forecast, and implied interest income on our TBA securities (dollars in millions):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9"/>
          </w:tcPr>
          <w:p>
            <w:pPr>
              <w:ind w:left="620"/>
              <w:spacing w:after="0"/>
              <w:rPr>
                <w:sz w:val="20"/>
                <w:szCs w:val="20"/>
                <w:color w:val="auto"/>
              </w:rPr>
            </w:pPr>
            <w:r>
              <w:rPr>
                <w:rFonts w:ascii="Arial" w:cs="Arial" w:eastAsia="Arial" w:hAnsi="Arial"/>
                <w:sz w:val="14"/>
                <w:szCs w:val="14"/>
                <w:b w:val="1"/>
                <w:bCs w:val="1"/>
                <w:color w:val="auto"/>
                <w:w w:val="94"/>
              </w:rPr>
              <w:t>Three Months Ended September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9"/>
          </w:tcPr>
          <w:p>
            <w:pPr>
              <w:ind w:left="640"/>
              <w:spacing w:after="0"/>
              <w:rPr>
                <w:sz w:val="20"/>
                <w:szCs w:val="20"/>
                <w:color w:val="auto"/>
              </w:rPr>
            </w:pPr>
            <w:r>
              <w:rPr>
                <w:rFonts w:ascii="Arial" w:cs="Arial" w:eastAsia="Arial" w:hAnsi="Arial"/>
                <w:sz w:val="14"/>
                <w:szCs w:val="14"/>
                <w:b w:val="1"/>
                <w:bCs w:val="1"/>
                <w:color w:val="auto"/>
                <w:w w:val="96"/>
              </w:rPr>
              <w:t>Nine Months Ended September 30,</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22"/>
                <w:szCs w:val="22"/>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22"/>
                <w:szCs w:val="22"/>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22"/>
                <w:szCs w:val="22"/>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Pr>
          <w:p>
            <w:pPr>
              <w:jc w:val="right"/>
              <w:ind w:right="18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264"/>
        </w:trPr>
        <w:tc>
          <w:tcPr>
            <w:tcW w:w="39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Cash/coupon 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3.87 %</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3.78 %</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2,591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3.87 %</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1,569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3.72 %</w:t>
            </w: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Net premium amortization</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(0.67)%</w:t>
            </w:r>
          </w:p>
        </w:tc>
        <w:tc>
          <w:tcPr>
            <w:tcW w:w="0" w:type="dxa"/>
            <w:vAlign w:val="bottom"/>
          </w:tcPr>
          <w:p>
            <w:pPr>
              <w:spacing w:after="0"/>
              <w:rPr>
                <w:sz w:val="1"/>
                <w:szCs w:val="1"/>
                <w:color w:val="auto"/>
              </w:rPr>
            </w:pPr>
          </w:p>
        </w:tc>
      </w:tr>
      <w:tr>
        <w:trPr>
          <w:trHeight w:val="25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3.11 %</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2,074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1,345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3.05 %</w:t>
            </w:r>
          </w:p>
        </w:tc>
        <w:tc>
          <w:tcPr>
            <w:tcW w:w="0" w:type="dxa"/>
            <w:vAlign w:val="bottom"/>
          </w:tcPr>
          <w:p>
            <w:pPr>
              <w:spacing w:after="0"/>
              <w:rPr>
                <w:sz w:val="1"/>
                <w:szCs w:val="1"/>
                <w:color w:val="auto"/>
              </w:rPr>
            </w:pPr>
          </w:p>
        </w:tc>
      </w:tr>
      <w:tr>
        <w:trPr>
          <w:trHeight w:val="157"/>
        </w:trPr>
        <w:tc>
          <w:tcPr>
            <w:tcW w:w="3920" w:type="dxa"/>
            <w:vAlign w:val="bottom"/>
          </w:tcPr>
          <w:p>
            <w:pPr>
              <w:ind w:left="100"/>
              <w:spacing w:after="0" w:line="157" w:lineRule="exact"/>
              <w:rPr>
                <w:sz w:val="20"/>
                <w:szCs w:val="20"/>
                <w:color w:val="auto"/>
              </w:rPr>
            </w:pPr>
            <w:r>
              <w:rPr>
                <w:rFonts w:ascii="Arial" w:cs="Arial" w:eastAsia="Arial" w:hAnsi="Arial"/>
                <w:sz w:val="14"/>
                <w:szCs w:val="14"/>
                <w:color w:val="auto"/>
                <w:w w:val="95"/>
              </w:rPr>
              <w:t>Estimated "catch-up" premium amortization cost (benefit) due to</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change in CPR forecast</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0.24 %</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0.23 %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5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3.07 %</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2,226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1,306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2.97 %</w:t>
            </w: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 xml:space="preserve">TBA dollar roll income - implied interest income </w:t>
            </w:r>
            <w:r>
              <w:rPr>
                <w:rFonts w:ascii="Arial" w:cs="Arial" w:eastAsia="Arial" w:hAnsi="Arial"/>
                <w:sz w:val="8"/>
                <w:szCs w:val="8"/>
                <w:color w:val="auto"/>
              </w:rPr>
              <w:t>1,2</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3.19 %</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3.54 %</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3.28 %</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3.35 %</w:t>
            </w:r>
          </w:p>
        </w:tc>
        <w:tc>
          <w:tcPr>
            <w:tcW w:w="0" w:type="dxa"/>
            <w:vAlign w:val="bottom"/>
          </w:tcPr>
          <w:p>
            <w:pPr>
              <w:spacing w:after="0"/>
              <w:rPr>
                <w:sz w:val="1"/>
                <w:szCs w:val="1"/>
                <w:color w:val="auto"/>
              </w:rPr>
            </w:pPr>
          </w:p>
        </w:tc>
      </w:tr>
      <w:tr>
        <w:trPr>
          <w:trHeight w:val="143"/>
        </w:trPr>
        <w:tc>
          <w:tcPr>
            <w:tcW w:w="39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Economic interest income, excluding "catch-up" amortization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812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3.16 %</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656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3.18 %</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2,474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3.24 %</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1,732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3.05 %</w:t>
            </w:r>
          </w:p>
        </w:tc>
        <w:tc>
          <w:tcPr>
            <w:tcW w:w="0" w:type="dxa"/>
            <w:vAlign w:val="bottom"/>
          </w:tcPr>
          <w:p>
            <w:pPr>
              <w:spacing w:after="0"/>
              <w:rPr>
                <w:sz w:val="1"/>
                <w:szCs w:val="1"/>
                <w:color w:val="auto"/>
              </w:rPr>
            </w:pPr>
          </w:p>
        </w:tc>
      </w:tr>
      <w:tr>
        <w:trPr>
          <w:trHeight w:val="181"/>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(non-GAAP measure) </w:t>
            </w:r>
            <w:r>
              <w:rPr>
                <w:rFonts w:ascii="Arial" w:cs="Arial" w:eastAsia="Arial" w:hAnsi="Arial"/>
                <w:sz w:val="8"/>
                <w:szCs w:val="8"/>
                <w:color w:val="auto"/>
              </w:rPr>
              <w:t>3</w:t>
            </w: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39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97"/>
              </w:rPr>
              <w:t>Weighted average actual portfolio CPR for investment securities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held during the period</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920" w:type="dxa"/>
            <w:vAlign w:val="bottom"/>
          </w:tcPr>
          <w:p>
            <w:pPr>
              <w:ind w:left="20"/>
              <w:spacing w:after="0" w:line="157" w:lineRule="exact"/>
              <w:rPr>
                <w:sz w:val="20"/>
                <w:szCs w:val="20"/>
                <w:color w:val="auto"/>
              </w:rPr>
            </w:pPr>
            <w:r>
              <w:rPr>
                <w:rFonts w:ascii="Arial" w:cs="Arial" w:eastAsia="Arial" w:hAnsi="Arial"/>
                <w:sz w:val="14"/>
                <w:szCs w:val="14"/>
                <w:color w:val="auto"/>
              </w:rPr>
              <w:t>Weighted average projected CPR for the remaining life of</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20" w:type="dxa"/>
            <w:vAlign w:val="bottom"/>
          </w:tcPr>
          <w:p>
            <w:pPr>
              <w:ind w:left="20"/>
              <w:spacing w:after="0"/>
              <w:rPr>
                <w:sz w:val="20"/>
                <w:szCs w:val="20"/>
                <w:color w:val="auto"/>
              </w:rPr>
            </w:pPr>
            <w:r>
              <w:rPr>
                <w:rFonts w:ascii="Arial" w:cs="Arial" w:eastAsia="Arial" w:hAnsi="Arial"/>
                <w:sz w:val="14"/>
                <w:szCs w:val="14"/>
                <w:color w:val="auto"/>
              </w:rPr>
              <w:t>investment securities held as of period end</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8"/>
                <w:szCs w:val="8"/>
                <w:color w:val="auto"/>
              </w:rPr>
              <w:t>4</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920" w:type="dxa"/>
            <w:vAlign w:val="bottom"/>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26" w:right="239" w:bottom="1440" w:gutter="0" w:footer="0" w:header="0"/>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726" w:right="239"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Reported in gain (loss) on derivatives instruments and other securities, net in the accompanying consolidated statements of operations.</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Implied interest income from TBA dollar roll transactions is computed as the sum of (i) TBA dollar roll income and (ii) estimated TBA implied funding cost (see </w:t>
      </w:r>
      <w:r>
        <w:rPr>
          <w:rFonts w:ascii="Arial" w:cs="Arial" w:eastAsia="Arial" w:hAnsi="Arial"/>
          <w:sz w:val="14"/>
          <w:szCs w:val="14"/>
          <w:i w:val="1"/>
          <w:iCs w:val="1"/>
          <w:color w:val="auto"/>
        </w:rPr>
        <w:t>Economic Interest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Expense and Aggregate Cost of Funds </w:t>
      </w:r>
      <w:r>
        <w:rPr>
          <w:rFonts w:ascii="Arial" w:cs="Arial" w:eastAsia="Arial" w:hAnsi="Arial"/>
          <w:sz w:val="14"/>
          <w:szCs w:val="14"/>
          <w:color w:val="auto"/>
        </w:rPr>
        <w:t>below). TBA dollar roll income represents the price differential, or "price drop," between the TBA price for current month settlement versus the</w:t>
      </w:r>
      <w:r>
        <w:rPr>
          <w:rFonts w:ascii="Arial" w:cs="Arial" w:eastAsia="Arial" w:hAnsi="Arial"/>
          <w:sz w:val="14"/>
          <w:szCs w:val="14"/>
          <w:i w:val="1"/>
          <w:iCs w:val="1"/>
          <w:color w:val="auto"/>
        </w:rPr>
        <w:t xml:space="preserve"> </w:t>
      </w:r>
      <w:r>
        <w:rPr>
          <w:rFonts w:ascii="Arial" w:cs="Arial" w:eastAsia="Arial" w:hAnsi="Arial"/>
          <w:sz w:val="14"/>
          <w:szCs w:val="14"/>
          <w:color w:val="auto"/>
        </w:rPr>
        <w:t>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combined asset yield is calculated on a weighted average basis based on our average investment and TBA balances outstanding during the period and their respective yields.</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principal elements impacting our economic interest income are the size of our average investment portfolio and the yield (actual and implied) on our securities. The following table includes a summary of the estimated impact of each of these elements on our economic interest income for the three and nine months ended September 30, 2019 compared to corresponding the prior year period (in millions):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Periods ended September 30, 2019 vs.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Due to Change in Average</w:t>
            </w:r>
          </w:p>
        </w:tc>
      </w:tr>
      <w:tr>
        <w:trPr>
          <w:trHeight w:val="153"/>
        </w:trPr>
        <w:tc>
          <w:tcPr>
            <w:tcW w:w="6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280" w:type="dxa"/>
            <w:vAlign w:val="bottom"/>
          </w:tcPr>
          <w:p>
            <w:pPr>
              <w:spacing w:after="0"/>
              <w:rPr>
                <w:sz w:val="13"/>
                <w:szCs w:val="13"/>
                <w:color w:val="auto"/>
              </w:rPr>
            </w:pPr>
          </w:p>
        </w:tc>
        <w:tc>
          <w:tcPr>
            <w:tcW w:w="13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3"/>
              </w:rPr>
              <w:t>Portfolio</w:t>
            </w:r>
          </w:p>
        </w:tc>
        <w:tc>
          <w:tcPr>
            <w:tcW w:w="340" w:type="dxa"/>
            <w:vAlign w:val="bottom"/>
          </w:tcPr>
          <w:p>
            <w:pPr>
              <w:spacing w:after="0"/>
              <w:rPr>
                <w:sz w:val="13"/>
                <w:szCs w:val="13"/>
                <w:color w:val="auto"/>
              </w:rPr>
            </w:pPr>
          </w:p>
        </w:tc>
        <w:tc>
          <w:tcPr>
            <w:tcW w:w="1120" w:type="dxa"/>
            <w:vAlign w:val="bottom"/>
          </w:tcPr>
          <w:p>
            <w:pPr>
              <w:jc w:val="right"/>
              <w:ind w:right="488"/>
              <w:spacing w:after="0" w:line="153" w:lineRule="exact"/>
              <w:rPr>
                <w:sz w:val="20"/>
                <w:szCs w:val="20"/>
                <w:color w:val="auto"/>
              </w:rPr>
            </w:pPr>
            <w:r>
              <w:rPr>
                <w:rFonts w:ascii="Arial" w:cs="Arial" w:eastAsia="Arial" w:hAnsi="Arial"/>
                <w:sz w:val="14"/>
                <w:szCs w:val="14"/>
                <w:b w:val="1"/>
                <w:bCs w:val="1"/>
                <w:color w:val="auto"/>
              </w:rPr>
              <w:t>Asset</w:t>
            </w:r>
          </w:p>
        </w:tc>
      </w:tr>
      <w:tr>
        <w:trPr>
          <w:trHeight w:val="192"/>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(Decrease)</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Size</w:t>
            </w:r>
          </w:p>
        </w:tc>
        <w:tc>
          <w:tcPr>
            <w:tcW w:w="34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Yield</w:t>
            </w: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 (GAAP measure)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61</w:t>
            </w:r>
          </w:p>
        </w:tc>
      </w:tr>
      <w:tr>
        <w:trPr>
          <w:trHeight w:val="256"/>
        </w:trPr>
        <w:tc>
          <w:tcPr>
            <w:tcW w:w="6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income, excluding "catch-up" premium amortization</w:t>
            </w:r>
          </w:p>
        </w:tc>
        <w:tc>
          <w:tcPr>
            <w:tcW w:w="18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237</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221</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TBA dollar roll income - implied interest income</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6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Interest Income (GAAP measure)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729</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757</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w:t>
            </w:r>
          </w:p>
        </w:tc>
      </w:tr>
      <w:tr>
        <w:trPr>
          <w:trHeight w:val="250"/>
        </w:trPr>
        <w:tc>
          <w:tcPr>
            <w:tcW w:w="6760" w:type="dxa"/>
            <w:vAlign w:val="bottom"/>
          </w:tcPr>
          <w:p>
            <w:pPr>
              <w:ind w:left="40"/>
              <w:spacing w:after="0"/>
              <w:rPr>
                <w:sz w:val="20"/>
                <w:szCs w:val="20"/>
                <w:color w:val="auto"/>
              </w:rPr>
            </w:pPr>
            <w:r>
              <w:rPr>
                <w:rFonts w:ascii="Arial" w:cs="Arial" w:eastAsia="Arial" w:hAnsi="Arial"/>
                <w:sz w:val="14"/>
                <w:szCs w:val="14"/>
                <w:color w:val="auto"/>
              </w:rPr>
              <w:t>Interest income, excluding "catch-up" premium amortization</w:t>
            </w: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920</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757</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163</w:t>
            </w: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TBA dollar roll income - implied interest income</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43"/>
        </w:trPr>
        <w:tc>
          <w:tcPr>
            <w:tcW w:w="6760" w:type="dxa"/>
            <w:vAlign w:val="bottom"/>
          </w:tcPr>
          <w:p>
            <w:pPr>
              <w:ind w:left="4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742</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w:t>
            </w: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average investment portfolio, inclusive of TBAs, increased 25% and 35% (at cost) for the three and nine months ended September 30, 2019, respectively, compared to the corresponding prior year period, as a function of the deployment of new equity capital and an increase in our tangible equity "at risk" leverage ratio. The increase in our average asset yield, excluding "catch-up" amortization and including TBAs, over the corresponding prior year period was due to changes in asset composition, which was partly offset by an increase in premium amortization expense as a result of faster CPR projections.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8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primary measure of leverage is our tangible net book value "at risk" leverage ratio, which is measured as the sum of our repurchase agreements and other debt used to fund our investment securities and net TBA position (at cost) (together referred to as "mortgage borrowings") and our net receivable/payable for unsettled investment securities, divided by our total stockholders' equity adjusted to exclude goodwill and other intangible assets.</w:t>
      </w:r>
    </w:p>
    <w:p>
      <w:pPr>
        <w:spacing w:after="0" w:line="9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for further discussion of TBA securities and dollar roll transactions). Repurchase agreements used to fund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U.S. Treasury securities ("U.S. Treasury repo") are excluded from our measure of leverage due to the temporary and highly liquid nature of these investments.</w:t>
      </w:r>
    </w:p>
    <w:p>
      <w:pPr>
        <w:spacing w:after="0" w:line="13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leverage varies depending on market conditions and our assessment of risks and returns, but we generally would expect our leverage to be within six to twelve times the amount of our tangible net book value. As of September 30, 2019, our tangible net book value "at risk" leverage was 9.8x, compared to 9.0x as of December 31, 2018. The table below presents a summary of our leverage ratios for the periods listed (dollars in millions):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7" w:right="239" w:bottom="1440" w:gutter="0" w:footer="0" w:header="0"/>
        </w:sectPr>
      </w:pPr>
    </w:p>
    <w:bookmarkStart w:id="36" w:name="page37"/>
    <w:bookmarkEnd w:id="36"/>
    <w:tbl>
      <w:tblPr>
        <w:tblLayout w:type="fixed"/>
        <w:tblInd w:w="80" w:type="dxa"/>
        <w:tblCellMar>
          <w:top w:w="0" w:type="dxa"/>
          <w:left w:w="0" w:type="dxa"/>
          <w:bottom w:w="0" w:type="dxa"/>
          <w:right w:w="0" w:type="dxa"/>
        </w:tblCellMar>
      </w:tblPr>
      <w:tr>
        <w:trPr>
          <w:trHeight w:val="153"/>
        </w:trPr>
        <w:tc>
          <w:tcPr>
            <w:tcW w:w="2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80" w:type="dxa"/>
            <w:vAlign w:val="bottom"/>
            <w:gridSpan w:val="6"/>
          </w:tcPr>
          <w:p>
            <w:pPr>
              <w:jc w:val="center"/>
              <w:spacing w:after="0"/>
              <w:rPr>
                <w:sz w:val="20"/>
                <w:szCs w:val="20"/>
                <w:color w:val="auto"/>
              </w:rPr>
            </w:pPr>
            <w:r>
              <w:rPr>
                <w:rFonts w:ascii="Arial" w:cs="Arial" w:eastAsia="Arial" w:hAnsi="Arial"/>
                <w:sz w:val="13"/>
                <w:szCs w:val="13"/>
                <w:b w:val="1"/>
                <w:bCs w:val="1"/>
                <w:color w:val="auto"/>
                <w:w w:val="84"/>
              </w:rPr>
              <w:t>Repurchase Agreements</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4"/>
          </w:tcPr>
          <w:p>
            <w:pPr>
              <w:jc w:val="right"/>
              <w:ind w:right="490"/>
              <w:spacing w:after="0"/>
              <w:rPr>
                <w:sz w:val="20"/>
                <w:szCs w:val="20"/>
                <w:color w:val="auto"/>
              </w:rPr>
            </w:pPr>
            <w:r>
              <w:rPr>
                <w:rFonts w:ascii="Arial" w:cs="Arial" w:eastAsia="Arial" w:hAnsi="Arial"/>
                <w:sz w:val="13"/>
                <w:szCs w:val="13"/>
                <w:b w:val="1"/>
                <w:bCs w:val="1"/>
                <w:color w:val="auto"/>
              </w:rPr>
              <w:t>Net TBA Position</w:t>
            </w: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5"/>
              </w:rPr>
              <w:t>Tangible Net Book</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 xml:space="preserve">and Other Debt </w:t>
            </w:r>
            <w:r>
              <w:rPr>
                <w:rFonts w:ascii="Arial" w:cs="Arial" w:eastAsia="Arial" w:hAnsi="Arial"/>
                <w:sz w:val="8"/>
                <w:szCs w:val="8"/>
                <w:b w:val="1"/>
                <w:bCs w:val="1"/>
                <w:color w:val="auto"/>
                <w:w w:val="90"/>
              </w:rPr>
              <w:t>1</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gridSpan w:val="4"/>
          </w:tcPr>
          <w:p>
            <w:pPr>
              <w:jc w:val="right"/>
              <w:ind w:right="590"/>
              <w:spacing w:after="0" w:line="135" w:lineRule="exact"/>
              <w:rPr>
                <w:sz w:val="20"/>
                <w:szCs w:val="20"/>
                <w:color w:val="auto"/>
              </w:rPr>
            </w:pPr>
            <w:r>
              <w:rPr>
                <w:rFonts w:ascii="Arial" w:cs="Arial" w:eastAsia="Arial" w:hAnsi="Arial"/>
                <w:sz w:val="13"/>
                <w:szCs w:val="13"/>
                <w:b w:val="1"/>
                <w:bCs w:val="1"/>
                <w:color w:val="auto"/>
              </w:rPr>
              <w:t xml:space="preserve">Long/(Short) </w:t>
            </w:r>
            <w:r>
              <w:rPr>
                <w:rFonts w:ascii="Arial" w:cs="Arial" w:eastAsia="Arial" w:hAnsi="Arial"/>
                <w:sz w:val="8"/>
                <w:szCs w:val="8"/>
                <w:b w:val="1"/>
                <w:bCs w:val="1"/>
                <w:color w:val="auto"/>
              </w:rPr>
              <w:t>2</w:t>
            </w:r>
          </w:p>
        </w:tc>
        <w:tc>
          <w:tcPr>
            <w:tcW w:w="120" w:type="dxa"/>
            <w:vAlign w:val="bottom"/>
          </w:tcPr>
          <w:p>
            <w:pPr>
              <w:spacing w:after="0"/>
              <w:rPr>
                <w:sz w:val="11"/>
                <w:szCs w:val="11"/>
                <w:color w:val="auto"/>
              </w:rPr>
            </w:pPr>
          </w:p>
        </w:tc>
        <w:tc>
          <w:tcPr>
            <w:tcW w:w="14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Average Tangible Net</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Value "At Risk"</w:t>
            </w:r>
          </w:p>
        </w:tc>
        <w:tc>
          <w:tcPr>
            <w:tcW w:w="0" w:type="dxa"/>
            <w:vAlign w:val="bottom"/>
          </w:tcPr>
          <w:p>
            <w:pPr>
              <w:spacing w:after="0"/>
              <w:rPr>
                <w:sz w:val="1"/>
                <w:szCs w:val="1"/>
                <w:color w:val="auto"/>
              </w:rPr>
            </w:pPr>
          </w:p>
        </w:tc>
      </w:tr>
      <w:tr>
        <w:trPr>
          <w:trHeight w:val="54"/>
        </w:trPr>
        <w:tc>
          <w:tcPr>
            <w:tcW w:w="2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gridSpan w:val="2"/>
            <w:vMerge w:val="restart"/>
          </w:tcPr>
          <w:p>
            <w:pPr>
              <w:jc w:val="center"/>
              <w:ind w:right="100"/>
              <w:spacing w:after="0" w:line="117" w:lineRule="exact"/>
              <w:rPr>
                <w:sz w:val="20"/>
                <w:szCs w:val="20"/>
                <w:color w:val="auto"/>
              </w:rPr>
            </w:pPr>
            <w:r>
              <w:rPr>
                <w:rFonts w:ascii="Arial" w:cs="Arial" w:eastAsia="Arial" w:hAnsi="Arial"/>
                <w:sz w:val="13"/>
                <w:szCs w:val="13"/>
                <w:b w:val="1"/>
                <w:bCs w:val="1"/>
                <w:color w:val="auto"/>
                <w:w w:val="87"/>
              </w:rPr>
              <w:t>Book Value</w:t>
            </w:r>
          </w:p>
        </w:tc>
        <w:tc>
          <w:tcPr>
            <w:tcW w:w="134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7"/>
              </w:rPr>
              <w:t>Leverage</w:t>
            </w:r>
          </w:p>
        </w:tc>
        <w:tc>
          <w:tcPr>
            <w:tcW w:w="0" w:type="dxa"/>
            <w:vAlign w:val="bottom"/>
          </w:tcPr>
          <w:p>
            <w:pPr>
              <w:spacing w:after="0"/>
              <w:rPr>
                <w:sz w:val="1"/>
                <w:szCs w:val="1"/>
                <w:color w:val="auto"/>
              </w:rPr>
            </w:pPr>
          </w:p>
        </w:tc>
      </w:tr>
      <w:tr>
        <w:trPr>
          <w:trHeight w:val="43"/>
        </w:trPr>
        <w:tc>
          <w:tcPr>
            <w:tcW w:w="2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8"/>
              </w:rPr>
              <w:t>Average Daily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Maximum</w:t>
            </w:r>
          </w:p>
        </w:tc>
        <w:tc>
          <w:tcPr>
            <w:tcW w:w="160" w:type="dxa"/>
            <w:vAlign w:val="bottom"/>
          </w:tcPr>
          <w:p>
            <w:pPr>
              <w:spacing w:after="0"/>
              <w:rPr>
                <w:sz w:val="11"/>
                <w:szCs w:val="11"/>
                <w:color w:val="auto"/>
              </w:rPr>
            </w:pPr>
          </w:p>
        </w:tc>
        <w:tc>
          <w:tcPr>
            <w:tcW w:w="92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Ending</w:t>
            </w:r>
          </w:p>
        </w:tc>
        <w:tc>
          <w:tcPr>
            <w:tcW w:w="120" w:type="dxa"/>
            <w:vAlign w:val="bottom"/>
          </w:tcPr>
          <w:p>
            <w:pPr>
              <w:spacing w:after="0"/>
              <w:rPr>
                <w:sz w:val="11"/>
                <w:szCs w:val="11"/>
                <w:color w:val="auto"/>
              </w:rPr>
            </w:pPr>
          </w:p>
        </w:tc>
        <w:tc>
          <w:tcPr>
            <w:tcW w:w="9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Average Daily</w:t>
            </w:r>
          </w:p>
        </w:tc>
        <w:tc>
          <w:tcPr>
            <w:tcW w:w="200" w:type="dxa"/>
            <w:vAlign w:val="bottom"/>
          </w:tcPr>
          <w:p>
            <w:pPr>
              <w:spacing w:after="0"/>
              <w:rPr>
                <w:sz w:val="11"/>
                <w:szCs w:val="11"/>
                <w:color w:val="auto"/>
              </w:rPr>
            </w:pPr>
          </w:p>
        </w:tc>
        <w:tc>
          <w:tcPr>
            <w:tcW w:w="800" w:type="dxa"/>
            <w:vAlign w:val="bottom"/>
          </w:tcPr>
          <w:p>
            <w:pPr>
              <w:jc w:val="right"/>
              <w:ind w:right="230"/>
              <w:spacing w:after="0" w:line="135" w:lineRule="exact"/>
              <w:rPr>
                <w:sz w:val="20"/>
                <w:szCs w:val="20"/>
                <w:color w:val="auto"/>
              </w:rPr>
            </w:pPr>
            <w:r>
              <w:rPr>
                <w:rFonts w:ascii="Arial" w:cs="Arial" w:eastAsia="Arial" w:hAnsi="Arial"/>
                <w:sz w:val="13"/>
                <w:szCs w:val="13"/>
                <w:b w:val="1"/>
                <w:bCs w:val="1"/>
                <w:color w:val="auto"/>
              </w:rPr>
              <w:t>Ending</w:t>
            </w:r>
          </w:p>
        </w:tc>
        <w:tc>
          <w:tcPr>
            <w:tcW w:w="120" w:type="dxa"/>
            <w:vAlign w:val="bottom"/>
          </w:tcPr>
          <w:p>
            <w:pPr>
              <w:spacing w:after="0"/>
              <w:rPr>
                <w:sz w:val="11"/>
                <w:szCs w:val="11"/>
                <w:color w:val="auto"/>
              </w:rPr>
            </w:pPr>
          </w:p>
        </w:tc>
        <w:tc>
          <w:tcPr>
            <w:tcW w:w="14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"At Risk" Leverage</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as of</w:t>
            </w:r>
          </w:p>
        </w:tc>
        <w:tc>
          <w:tcPr>
            <w:tcW w:w="0" w:type="dxa"/>
            <w:vAlign w:val="bottom"/>
          </w:tcPr>
          <w:p>
            <w:pPr>
              <w:spacing w:after="0"/>
              <w:rPr>
                <w:sz w:val="1"/>
                <w:szCs w:val="1"/>
                <w:color w:val="auto"/>
              </w:rPr>
            </w:pPr>
          </w:p>
        </w:tc>
      </w:tr>
      <w:tr>
        <w:trPr>
          <w:trHeight w:val="174"/>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Quarter Ended</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0"/>
              </w:rPr>
              <w:t>Daily Amount</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 xml:space="preserve">during the Period </w:t>
            </w:r>
            <w:r>
              <w:rPr>
                <w:rFonts w:ascii="Arial" w:cs="Arial" w:eastAsia="Arial" w:hAnsi="Arial"/>
                <w:sz w:val="8"/>
                <w:szCs w:val="8"/>
                <w:b w:val="1"/>
                <w:bCs w:val="1"/>
                <w:color w:val="auto"/>
                <w:w w:val="88"/>
              </w:rPr>
              <w:t>3</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Period End </w:t>
            </w:r>
            <w:r>
              <w:rPr>
                <w:rFonts w:ascii="Arial" w:cs="Arial" w:eastAsia="Arial" w:hAnsi="Arial"/>
                <w:sz w:val="8"/>
                <w:szCs w:val="8"/>
                <w:b w:val="1"/>
                <w:bCs w:val="1"/>
                <w:color w:val="auto"/>
                <w:w w:val="91"/>
              </w:rPr>
              <w:t>4</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September 30, 2019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87,938</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92,420</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90,462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10,146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1,820</w:t>
            </w:r>
          </w:p>
        </w:tc>
        <w:tc>
          <w:tcPr>
            <w:tcW w:w="146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2"/>
              </w:rPr>
              <w:t>10.0:1</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9.8:1</w:t>
            </w:r>
          </w:p>
        </w:tc>
        <w:tc>
          <w:tcPr>
            <w:tcW w:w="0" w:type="dxa"/>
            <w:vAlign w:val="bottom"/>
          </w:tcPr>
          <w:p>
            <w:pPr>
              <w:spacing w:after="0"/>
              <w:rPr>
                <w:sz w:val="1"/>
                <w:szCs w:val="1"/>
                <w:color w:val="auto"/>
              </w:rPr>
            </w:pPr>
          </w:p>
        </w:tc>
      </w:tr>
      <w:tr>
        <w:trPr>
          <w:trHeight w:val="264"/>
        </w:trPr>
        <w:tc>
          <w:tcPr>
            <w:tcW w:w="2840" w:type="dxa"/>
            <w:vAlign w:val="bottom"/>
            <w:gridSpan w:val="2"/>
          </w:tcPr>
          <w:p>
            <w:pPr>
              <w:ind w:left="40"/>
              <w:spacing w:after="0"/>
              <w:rPr>
                <w:sz w:val="20"/>
                <w:szCs w:val="20"/>
                <w:color w:val="auto"/>
              </w:rPr>
            </w:pPr>
            <w:r>
              <w:rPr>
                <w:rFonts w:ascii="Arial" w:cs="Arial" w:eastAsia="Arial" w:hAnsi="Arial"/>
                <w:sz w:val="14"/>
                <w:szCs w:val="14"/>
                <w:color w:val="auto"/>
              </w:rPr>
              <w:t>June 30, 2019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86,147</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86,969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85,367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11,864</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11,086</w:t>
            </w:r>
          </w:p>
        </w:tc>
        <w:tc>
          <w:tcPr>
            <w:tcW w:w="1460" w:type="dxa"/>
            <w:vAlign w:val="bottom"/>
            <w:gridSpan w:val="2"/>
          </w:tcPr>
          <w:p>
            <w:pPr>
              <w:jc w:val="center"/>
              <w:ind w:left="28"/>
              <w:spacing w:after="0"/>
              <w:rPr>
                <w:sz w:val="20"/>
                <w:szCs w:val="20"/>
                <w:color w:val="auto"/>
              </w:rPr>
            </w:pPr>
            <w:r>
              <w:rPr>
                <w:rFonts w:ascii="Arial" w:cs="Arial" w:eastAsia="Arial" w:hAnsi="Arial"/>
                <w:sz w:val="14"/>
                <w:szCs w:val="14"/>
                <w:color w:val="auto"/>
                <w:w w:val="92"/>
              </w:rPr>
              <w:t>10.0:1</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6"/>
              </w:rPr>
              <w:t>9.8:1</w:t>
            </w:r>
          </w:p>
        </w:tc>
        <w:tc>
          <w:tcPr>
            <w:tcW w:w="0" w:type="dxa"/>
            <w:vAlign w:val="bottom"/>
          </w:tcPr>
          <w:p>
            <w:pPr>
              <w:spacing w:after="0"/>
              <w:rPr>
                <w:sz w:val="1"/>
                <w:szCs w:val="1"/>
                <w:color w:val="auto"/>
              </w:rPr>
            </w:pPr>
          </w:p>
        </w:tc>
      </w:tr>
      <w:tr>
        <w:trPr>
          <w:trHeight w:val="276"/>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82,070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87,877</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86,590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8,002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6,885</w:t>
            </w:r>
          </w:p>
        </w:tc>
        <w:tc>
          <w:tcPr>
            <w:tcW w:w="14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9.3:1</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9.4:1</w:t>
            </w:r>
          </w:p>
        </w:tc>
        <w:tc>
          <w:tcPr>
            <w:tcW w:w="0" w:type="dxa"/>
            <w:vAlign w:val="bottom"/>
          </w:tcPr>
          <w:p>
            <w:pPr>
              <w:spacing w:after="0"/>
              <w:rPr>
                <w:sz w:val="1"/>
                <w:szCs w:val="1"/>
                <w:color w:val="auto"/>
              </w:rPr>
            </w:pPr>
          </w:p>
        </w:tc>
      </w:tr>
      <w:tr>
        <w:trPr>
          <w:trHeight w:val="264"/>
        </w:trPr>
        <w:tc>
          <w:tcPr>
            <w:tcW w:w="2840" w:type="dxa"/>
            <w:vAlign w:val="bottom"/>
            <w:gridSpan w:val="2"/>
          </w:tcPr>
          <w:p>
            <w:pPr>
              <w:ind w:left="40"/>
              <w:spacing w:after="0"/>
              <w:rPr>
                <w:sz w:val="20"/>
                <w:szCs w:val="20"/>
                <w:color w:val="auto"/>
              </w:rPr>
            </w:pPr>
            <w:r>
              <w:rPr>
                <w:rFonts w:ascii="Arial" w:cs="Arial" w:eastAsia="Arial" w:hAnsi="Arial"/>
                <w:sz w:val="14"/>
                <w:szCs w:val="14"/>
                <w:color w:val="auto"/>
              </w:rPr>
              <w:t>December 31, 2018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68,499</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77,442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75,992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8,066</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7,252</w:t>
            </w:r>
          </w:p>
        </w:tc>
        <w:tc>
          <w:tcPr>
            <w:tcW w:w="146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8.4:1</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6"/>
              </w:rPr>
              <w:t>9.0:1</w:t>
            </w:r>
          </w:p>
        </w:tc>
        <w:tc>
          <w:tcPr>
            <w:tcW w:w="0" w:type="dxa"/>
            <w:vAlign w:val="bottom"/>
          </w:tcPr>
          <w:p>
            <w:pPr>
              <w:spacing w:after="0"/>
              <w:rPr>
                <w:sz w:val="1"/>
                <w:szCs w:val="1"/>
                <w:color w:val="auto"/>
              </w:rPr>
            </w:pPr>
          </w:p>
        </w:tc>
      </w:tr>
      <w:tr>
        <w:trPr>
          <w:trHeight w:val="276"/>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September 30, 2018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56,265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66,969</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65,975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18,270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9,436</w:t>
            </w:r>
          </w:p>
        </w:tc>
        <w:tc>
          <w:tcPr>
            <w:tcW w:w="14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8.5:1</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8.2:1</w:t>
            </w:r>
          </w:p>
        </w:tc>
        <w:tc>
          <w:tcPr>
            <w:tcW w:w="0" w:type="dxa"/>
            <w:vAlign w:val="bottom"/>
          </w:tcPr>
          <w:p>
            <w:pPr>
              <w:spacing w:after="0"/>
              <w:rPr>
                <w:sz w:val="1"/>
                <w:szCs w:val="1"/>
                <w:color w:val="auto"/>
              </w:rPr>
            </w:pPr>
          </w:p>
        </w:tc>
      </w:tr>
      <w:tr>
        <w:trPr>
          <w:trHeight w:val="258"/>
        </w:trPr>
        <w:tc>
          <w:tcPr>
            <w:tcW w:w="2840" w:type="dxa"/>
            <w:vAlign w:val="bottom"/>
            <w:gridSpan w:val="2"/>
          </w:tcPr>
          <w:p>
            <w:pPr>
              <w:ind w:left="40"/>
              <w:spacing w:after="0"/>
              <w:rPr>
                <w:sz w:val="20"/>
                <w:szCs w:val="20"/>
                <w:color w:val="auto"/>
              </w:rPr>
            </w:pPr>
            <w:r>
              <w:rPr>
                <w:rFonts w:ascii="Arial" w:cs="Arial" w:eastAsia="Arial" w:hAnsi="Arial"/>
                <w:sz w:val="14"/>
                <w:szCs w:val="14"/>
                <w:color w:val="auto"/>
              </w:rPr>
              <w:t>June 30, 2018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47,823</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49,892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49,152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16,912</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19,898</w:t>
            </w:r>
          </w:p>
        </w:tc>
        <w:tc>
          <w:tcPr>
            <w:tcW w:w="146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8.0:1</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6"/>
              </w:rPr>
              <w:t>8.3:1</w:t>
            </w:r>
          </w:p>
        </w:tc>
        <w:tc>
          <w:tcPr>
            <w:tcW w:w="0" w:type="dxa"/>
            <w:vAlign w:val="bottom"/>
          </w:tcPr>
          <w:p>
            <w:pPr>
              <w:spacing w:after="0"/>
              <w:rPr>
                <w:sz w:val="1"/>
                <w:szCs w:val="1"/>
                <w:color w:val="auto"/>
              </w:rPr>
            </w:pPr>
          </w:p>
        </w:tc>
      </w:tr>
      <w:tr>
        <w:trPr>
          <w:trHeight w:val="270"/>
        </w:trPr>
        <w:tc>
          <w:tcPr>
            <w:tcW w:w="2840" w:type="dxa"/>
            <w:vAlign w:val="bottom"/>
            <w:gridSpan w:val="2"/>
          </w:tcPr>
          <w:p>
            <w:pPr>
              <w:ind w:left="40"/>
              <w:spacing w:after="0"/>
              <w:rPr>
                <w:sz w:val="20"/>
                <w:szCs w:val="20"/>
                <w:color w:val="auto"/>
              </w:rPr>
            </w:pPr>
            <w:r>
              <w:rPr>
                <w:rFonts w:ascii="Arial" w:cs="Arial" w:eastAsia="Arial" w:hAnsi="Arial"/>
                <w:sz w:val="14"/>
                <w:szCs w:val="14"/>
                <w:color w:val="auto"/>
              </w:rPr>
              <w:t>March 31, 2018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49,567</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50,645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49,292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15,585</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13,529</w:t>
            </w:r>
          </w:p>
        </w:tc>
        <w:tc>
          <w:tcPr>
            <w:tcW w:w="146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8.2:1</w:t>
            </w:r>
          </w:p>
        </w:tc>
        <w:tc>
          <w:tcPr>
            <w:tcW w:w="10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6"/>
              </w:rPr>
              <w:t>8.2:1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-163195</wp:posOffset>
            </wp:positionV>
            <wp:extent cx="714375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Other debt includes debt of consolidated VIEs. Amounts exclude U.S. Treasury repo agreements.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Average Tangible "at risk" leverage during the period represents the sum of our daily weighted average repurchase agreements and other debt used to fund acquisitions of investment securities and net TBA position outstanding divided by the sum of our average month-ended stockholders' equity, adjusted to exclude goodwill, other intangible asset and investment in REIT equity securities for the period.</w:t>
      </w:r>
    </w:p>
    <w:p>
      <w:pPr>
        <w:spacing w:after="0" w:line="1" w:lineRule="exact"/>
        <w:rPr>
          <w:rFonts w:ascii="Arial" w:cs="Arial" w:eastAsia="Arial" w:hAnsi="Arial"/>
          <w:sz w:val="14"/>
          <w:szCs w:val="14"/>
          <w:color w:val="auto"/>
        </w:rPr>
      </w:pPr>
    </w:p>
    <w:p>
      <w:pPr>
        <w:jc w:val="both"/>
        <w:ind w:left="660" w:hanging="328"/>
        <w:spacing w:after="0" w:line="248"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Tangible net book value "at risk" leverage as of period end represents the sum of our repurchase agreements and other debt used to fund acquisitions of investments securities, net TBA position (at cost) and net receivable/payable for unsettled investment securities outstanding as of period end divided by total stockholders' equity, adjusted to exclude goodwill, other intangible asset and investment in REIT equity securities as of period end.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Expense and Aggregate Cost of Funds</w:t>
      </w:r>
    </w:p>
    <w:p>
      <w:pPr>
        <w:spacing w:after="0" w:line="18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following table summarizes our economic interest expense and aggregate cost of funds (non-GAAP measures) for the three and nine months ended September 30, 2019 and 2018 (dollars in millions), which includes the combination of interest expense on Agency repurchase agreements and other debt (GAAP measure), implied interest expense on our TBA securities and interest rate swap periodic interest (income) cost:</w:t>
      </w:r>
    </w:p>
    <w:p>
      <w:pPr>
        <w:spacing w:after="0" w:line="171"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11"/>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3020" w:type="dxa"/>
            <w:vAlign w:val="bottom"/>
            <w:gridSpan w:val="10"/>
          </w:tcPr>
          <w:p>
            <w:pPr>
              <w:jc w:val="right"/>
              <w:ind w:right="40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3"/>
        </w:trPr>
        <w:tc>
          <w:tcPr>
            <w:tcW w:w="2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28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w w:val="99"/>
              </w:rPr>
              <w:t>Economic Interest Expense and Aggregate</w:t>
            </w:r>
          </w:p>
        </w:tc>
        <w:tc>
          <w:tcPr>
            <w:tcW w:w="100" w:type="dxa"/>
            <w:vAlign w:val="bottom"/>
          </w:tcPr>
          <w:p>
            <w:pPr>
              <w:spacing w:after="0"/>
              <w:rPr>
                <w:sz w:val="13"/>
                <w:szCs w:val="13"/>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6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3"/>
                <w:szCs w:val="13"/>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6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3"/>
                <w:szCs w:val="13"/>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7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Cost of</w:t>
            </w:r>
          </w:p>
        </w:tc>
        <w:tc>
          <w:tcPr>
            <w:tcW w:w="80" w:type="dxa"/>
            <w:vAlign w:val="bottom"/>
          </w:tcPr>
          <w:p>
            <w:pPr>
              <w:spacing w:after="0"/>
              <w:rPr>
                <w:sz w:val="13"/>
                <w:szCs w:val="13"/>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58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w w:val="87"/>
              </w:rPr>
              <w:t>Cost of</w:t>
            </w:r>
          </w:p>
        </w:tc>
        <w:tc>
          <w:tcPr>
            <w:tcW w:w="0" w:type="dxa"/>
            <w:vAlign w:val="bottom"/>
          </w:tcPr>
          <w:p>
            <w:pPr>
              <w:spacing w:after="0"/>
              <w:rPr>
                <w:sz w:val="1"/>
                <w:szCs w:val="1"/>
                <w:color w:val="auto"/>
              </w:rPr>
            </w:pPr>
          </w:p>
        </w:tc>
      </w:tr>
      <w:tr>
        <w:trPr>
          <w:trHeight w:val="192"/>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Cost of Funds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Funds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Funds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9"/>
              </w:rPr>
              <w:t>Funds</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Funds</w:t>
            </w:r>
          </w:p>
        </w:tc>
        <w:tc>
          <w:tcPr>
            <w:tcW w:w="0" w:type="dxa"/>
            <w:vAlign w:val="bottom"/>
          </w:tcPr>
          <w:p>
            <w:pPr>
              <w:spacing w:after="0"/>
              <w:rPr>
                <w:sz w:val="1"/>
                <w:szCs w:val="1"/>
                <w:color w:val="auto"/>
              </w:rPr>
            </w:pPr>
          </w:p>
        </w:tc>
      </w:tr>
      <w:tr>
        <w:trPr>
          <w:trHeight w:val="156"/>
        </w:trPr>
        <w:tc>
          <w:tcPr>
            <w:tcW w:w="28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w w:val="95"/>
              </w:rPr>
              <w:t>Repurchase agreement and other debt - interest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 (GAAP measure)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1,668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2.58 %</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1.97 %</w:t>
            </w:r>
          </w:p>
        </w:tc>
        <w:tc>
          <w:tcPr>
            <w:tcW w:w="0" w:type="dxa"/>
            <w:vAlign w:val="bottom"/>
          </w:tcPr>
          <w:p>
            <w:pPr>
              <w:spacing w:after="0"/>
              <w:rPr>
                <w:sz w:val="1"/>
                <w:szCs w:val="1"/>
                <w:color w:val="auto"/>
              </w:rPr>
            </w:pPr>
          </w:p>
        </w:tc>
      </w:tr>
      <w:tr>
        <w:trPr>
          <w:trHeight w:val="157"/>
        </w:trPr>
        <w:tc>
          <w:tcPr>
            <w:tcW w:w="28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TBA dollar roll income - implied interest</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88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 xml:space="preserve">expense </w:t>
            </w:r>
            <w:r>
              <w:rPr>
                <w:rFonts w:ascii="Arial" w:cs="Arial" w:eastAsia="Arial" w:hAnsi="Arial"/>
                <w:sz w:val="8"/>
                <w:szCs w:val="8"/>
                <w:color w:val="auto"/>
              </w:rPr>
              <w:t>2,3</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2.00 %</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2.05 %</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178</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2.32 %</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226</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1.78 %</w:t>
            </w:r>
          </w:p>
        </w:tc>
        <w:tc>
          <w:tcPr>
            <w:tcW w:w="0" w:type="dxa"/>
            <w:vAlign w:val="bottom"/>
          </w:tcPr>
          <w:p>
            <w:pPr>
              <w:spacing w:after="0"/>
              <w:rPr>
                <w:sz w:val="1"/>
                <w:szCs w:val="1"/>
                <w:color w:val="auto"/>
              </w:rPr>
            </w:pPr>
          </w:p>
        </w:tc>
      </w:tr>
      <w:tr>
        <w:trPr>
          <w:trHeight w:val="143"/>
        </w:trPr>
        <w:tc>
          <w:tcPr>
            <w:tcW w:w="2880" w:type="dxa"/>
            <w:vAlign w:val="bottom"/>
            <w:gridSpan w:val="2"/>
            <w:shd w:val="clear" w:color="auto" w:fill="CCEEFF"/>
          </w:tcPr>
          <w:p>
            <w:pPr>
              <w:ind w:left="200"/>
              <w:spacing w:after="0" w:line="143" w:lineRule="exact"/>
              <w:rPr>
                <w:sz w:val="20"/>
                <w:szCs w:val="20"/>
                <w:color w:val="auto"/>
              </w:rPr>
            </w:pPr>
            <w:r>
              <w:rPr>
                <w:rFonts w:ascii="Arial" w:cs="Arial" w:eastAsia="Arial" w:hAnsi="Arial"/>
                <w:sz w:val="14"/>
                <w:szCs w:val="14"/>
                <w:color w:val="auto"/>
                <w:w w:val="98"/>
              </w:rPr>
              <w:t>Economic interest expense - before interest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 xml:space="preserve">rate swap periodic (income) costs, net </w:t>
            </w:r>
            <w:r>
              <w:rPr>
                <w:rFonts w:ascii="Arial" w:cs="Arial" w:eastAsia="Arial" w:hAnsi="Arial"/>
                <w:sz w:val="8"/>
                <w:szCs w:val="8"/>
                <w:color w:val="auto"/>
              </w:rPr>
              <w:t>4</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2.55 %</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1.92 %</w:t>
            </w:r>
          </w:p>
        </w:tc>
        <w:tc>
          <w:tcPr>
            <w:tcW w:w="0" w:type="dxa"/>
            <w:vAlign w:val="bottom"/>
          </w:tcPr>
          <w:p>
            <w:pPr>
              <w:spacing w:after="0"/>
              <w:rPr>
                <w:sz w:val="1"/>
                <w:szCs w:val="1"/>
                <w:color w:val="auto"/>
              </w:rPr>
            </w:pPr>
          </w:p>
        </w:tc>
      </w:tr>
      <w:tr>
        <w:trPr>
          <w:trHeight w:val="157"/>
        </w:trPr>
        <w:tc>
          <w:tcPr>
            <w:tcW w:w="28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Interest rate swap periodic interest (income)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8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cost, net </w:t>
            </w:r>
            <w:r>
              <w:rPr>
                <w:rFonts w:ascii="Arial" w:cs="Arial" w:eastAsia="Arial" w:hAnsi="Arial"/>
                <w:sz w:val="8"/>
                <w:szCs w:val="8"/>
                <w:color w:val="auto"/>
              </w:rPr>
              <w:t>2,5</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(0.44)%</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143"/>
        </w:trPr>
        <w:tc>
          <w:tcPr>
            <w:tcW w:w="2880" w:type="dxa"/>
            <w:vAlign w:val="bottom"/>
            <w:gridSpan w:val="2"/>
            <w:shd w:val="clear" w:color="auto" w:fill="CCEEFF"/>
          </w:tcPr>
          <w:p>
            <w:pPr>
              <w:ind w:left="200"/>
              <w:spacing w:after="0" w:line="143" w:lineRule="exact"/>
              <w:rPr>
                <w:sz w:val="20"/>
                <w:szCs w:val="20"/>
                <w:color w:val="auto"/>
              </w:rPr>
            </w:pPr>
            <w:r>
              <w:rPr>
                <w:rFonts w:ascii="Arial" w:cs="Arial" w:eastAsia="Arial" w:hAnsi="Arial"/>
                <w:sz w:val="14"/>
                <w:szCs w:val="14"/>
                <w:color w:val="auto"/>
              </w:rPr>
              <w:t>Total economic interest expense (non-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1.85 %</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1.88 %</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1,529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2.11 %</w:t>
            </w:r>
          </w:p>
        </w:tc>
        <w:tc>
          <w:tcPr>
            <w:tcW w:w="12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893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0" w:type="dxa"/>
            <w:vAlign w:val="bottom"/>
          </w:tcPr>
          <w:p>
            <w:pPr>
              <w:spacing w:after="0"/>
              <w:rPr>
                <w:sz w:val="1"/>
                <w:szCs w:val="1"/>
                <w:color w:val="auto"/>
              </w:rPr>
            </w:pPr>
          </w:p>
        </w:tc>
      </w:tr>
      <w:tr>
        <w:trPr>
          <w:trHeight w:val="181"/>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GAAP measure)</w:t>
            </w: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8890</wp:posOffset>
            </wp:positionV>
            <wp:extent cx="40049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exclude interest rate swap termination fees and variation margin settlements paid or received, forward starting swaps and the impact of other supplemental hedges, such as swaptions and U.S. Treasury positions.</w:t>
      </w: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implied funding cost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for all TBA transactions is weighted based on our daily average TBA balance outstanding for the period.</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combined cost of funds for total mortgage borrowings outstanding, before interest rate swap costs, is calculated on a weighted average basis based on average repo, other debt and TBA balances outstanding during the period and their respective cost of funds.</w:t>
      </w: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Interest rate swap periodic interest (income) cost is measured as a percent of average mortgage borrowings outstanding for the period.</w:t>
      </w:r>
    </w:p>
    <w:p>
      <w:pPr>
        <w:spacing w:after="0" w:line="21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principal elements impacting our economic interest expense are (i) the size of our average mortgage borrowings and interest rate swap portfolio outstanding during the period, (ii) the average interest rate (actual and implied) on our mortgage borrowings and (iii) the average net interest rate paid/received on our interest rate swaps. The following table includes a summary of the estimated impact of these elements on our economic interest expense for the three and nine months ended September 30, 2019 compared to the corresponding prior year period (in millions):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2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4"/>
          <w:szCs w:val="14"/>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23495</wp:posOffset>
            </wp:positionV>
            <wp:extent cx="6835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Periods ended September 30, 2019 vs.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23495</wp:posOffset>
            </wp:positionV>
            <wp:extent cx="68351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103"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Due to Change in Average</w:t>
            </w:r>
          </w:p>
        </w:tc>
      </w:tr>
      <w:tr>
        <w:trPr>
          <w:trHeight w:val="153"/>
        </w:trPr>
        <w:tc>
          <w:tcPr>
            <w:tcW w:w="6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100" w:type="dxa"/>
            <w:vAlign w:val="bottom"/>
          </w:tcPr>
          <w:p>
            <w:pPr>
              <w:spacing w:after="0"/>
              <w:rPr>
                <w:sz w:val="13"/>
                <w:szCs w:val="13"/>
                <w:color w:val="auto"/>
              </w:rPr>
            </w:pPr>
          </w:p>
        </w:tc>
        <w:tc>
          <w:tcPr>
            <w:tcW w:w="13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Borrowing / Swap</w:t>
            </w:r>
          </w:p>
        </w:tc>
        <w:tc>
          <w:tcPr>
            <w:tcW w:w="120" w:type="dxa"/>
            <w:vAlign w:val="bottom"/>
          </w:tcPr>
          <w:p>
            <w:pPr>
              <w:spacing w:after="0"/>
              <w:rPr>
                <w:sz w:val="13"/>
                <w:szCs w:val="13"/>
                <w:color w:val="auto"/>
              </w:rPr>
            </w:pPr>
          </w:p>
        </w:tc>
        <w:tc>
          <w:tcPr>
            <w:tcW w:w="126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w w:val="92"/>
              </w:rPr>
              <w:t>Borrowing / Swap</w:t>
            </w:r>
          </w:p>
        </w:tc>
      </w:tr>
      <w:tr>
        <w:trPr>
          <w:trHeight w:val="192"/>
        </w:trPr>
        <w:tc>
          <w:tcPr>
            <w:tcW w:w="6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6"/>
                <w:szCs w:val="16"/>
                <w:color w:val="auto"/>
              </w:rPr>
            </w:pPr>
          </w:p>
        </w:tc>
        <w:tc>
          <w:tcPr>
            <w:tcW w:w="1260" w:type="dxa"/>
            <w:vAlign w:val="bottom"/>
          </w:tcPr>
          <w:p>
            <w:pPr>
              <w:jc w:val="right"/>
              <w:ind w:right="468"/>
              <w:spacing w:after="0"/>
              <w:rPr>
                <w:sz w:val="20"/>
                <w:szCs w:val="20"/>
                <w:color w:val="auto"/>
              </w:rPr>
            </w:pPr>
            <w:r>
              <w:rPr>
                <w:rFonts w:ascii="Arial" w:cs="Arial" w:eastAsia="Arial" w:hAnsi="Arial"/>
                <w:sz w:val="14"/>
                <w:szCs w:val="14"/>
                <w:b w:val="1"/>
                <w:bCs w:val="1"/>
                <w:color w:val="auto"/>
              </w:rPr>
              <w:t>Rate</w:t>
            </w:r>
          </w:p>
        </w:tc>
      </w:tr>
      <w:tr>
        <w:trPr>
          <w:trHeight w:val="270"/>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r>
      <w:tr>
        <w:trPr>
          <w:trHeight w:val="264"/>
        </w:trPr>
        <w:tc>
          <w:tcPr>
            <w:tcW w:w="6360" w:type="dxa"/>
            <w:vAlign w:val="bottom"/>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69</w:t>
            </w:r>
          </w:p>
        </w:tc>
      </w:tr>
      <w:tr>
        <w:trPr>
          <w:trHeight w:val="276"/>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TBA dollar roll income - implied interest expense</w:t>
            </w: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64"/>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rate swap periodic interest income/cost</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economic interest expense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4"/>
        </w:trPr>
        <w:tc>
          <w:tcPr>
            <w:tcW w:w="6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4"/>
        </w:trPr>
        <w:tc>
          <w:tcPr>
            <w:tcW w:w="6360" w:type="dxa"/>
            <w:vAlign w:val="bottom"/>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913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410</w:t>
            </w:r>
          </w:p>
        </w:tc>
      </w:tr>
      <w:tr>
        <w:trPr>
          <w:trHeight w:val="276"/>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TBA dollar roll income - implied interest expense</w:t>
            </w: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r>
      <w:tr>
        <w:trPr>
          <w:trHeight w:val="264"/>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rate swap periodic interest income/cost</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economic interest expense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258</w:t>
            </w: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average mortgage borrowings, inclusive of TBAs, increased by 32% and 40% for the three and nine months ended September 30, 2019, respectively, compared to the corresponding prior year period as a function of our higher asset base. The increase in the average interest rate (actual and implied) on our mortgage borrowings was largely driven by increases in the Federal Funds rate during fiscal year 2018. The increase in our interest rate swap periodic interest income for the three months ended September 30, 2019, was due an increase in our average swap position and a decline in the average pay rate on our interest rate swaps as a result of hedge repositioning. The increase for the nine months ended September 30, 2019, was primarily due the receive-floating rate leg of our interest rate swaps resetting to higher prevailing rates.</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 below presents a summary of the ratio of our average interest rates swaps outstanding, excluding forward starting swaps, to our average mortgage borrowings for the three and nine months ended September 30, 2019 and 2018 (dollars in millions):</w:t>
      </w:r>
    </w:p>
    <w:p>
      <w:pPr>
        <w:spacing w:after="0" w:line="284"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44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39"/>
        </w:trPr>
        <w:tc>
          <w:tcPr>
            <w:tcW w:w="556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w w:val="95"/>
              </w:rPr>
              <w:t>Average Ratio of Interest Rate Swaps (Excluding Forward Starting Swaps) to Mortgage</w:t>
            </w: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2"/>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Borrowings Outstanding</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Agency repo and other debt outstanding</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87,938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56,265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85,406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51,243</w:t>
            </w:r>
          </w:p>
        </w:tc>
        <w:tc>
          <w:tcPr>
            <w:tcW w:w="0" w:type="dxa"/>
            <w:vAlign w:val="bottom"/>
          </w:tcPr>
          <w:p>
            <w:pPr>
              <w:spacing w:after="0"/>
              <w:rPr>
                <w:sz w:val="1"/>
                <w:szCs w:val="1"/>
                <w:color w:val="auto"/>
              </w:rPr>
            </w:pPr>
          </w:p>
        </w:tc>
      </w:tr>
      <w:tr>
        <w:trPr>
          <w:trHeight w:val="264"/>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net TBA portfolio outstanding - at cost</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10,146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18,270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16,932</w:t>
            </w:r>
          </w:p>
        </w:tc>
        <w:tc>
          <w:tcPr>
            <w:tcW w:w="0" w:type="dxa"/>
            <w:vAlign w:val="bottom"/>
          </w:tcPr>
          <w:p>
            <w:pPr>
              <w:spacing w:after="0"/>
              <w:rPr>
                <w:sz w:val="1"/>
                <w:szCs w:val="1"/>
                <w:color w:val="auto"/>
              </w:rPr>
            </w:pPr>
          </w:p>
        </w:tc>
      </w:tr>
      <w:tr>
        <w:trPr>
          <w:trHeight w:val="25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mortgage borrowings outstanding</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98,084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74,535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95,418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68,175</w:t>
            </w:r>
          </w:p>
        </w:tc>
        <w:tc>
          <w:tcPr>
            <w:tcW w:w="0" w:type="dxa"/>
            <w:vAlign w:val="bottom"/>
          </w:tcPr>
          <w:p>
            <w:pPr>
              <w:spacing w:after="0"/>
              <w:rPr>
                <w:sz w:val="1"/>
                <w:szCs w:val="1"/>
                <w:color w:val="auto"/>
              </w:rPr>
            </w:pPr>
          </w:p>
        </w:tc>
      </w:tr>
      <w:tr>
        <w:trPr>
          <w:trHeight w:val="157"/>
        </w:trPr>
        <w:tc>
          <w:tcPr>
            <w:tcW w:w="55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Average notional amount of interest rate swaps outstanding (excluding forward starting</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swaps)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77,824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44,032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58,459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42,630</w:t>
            </w: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Ratio of average interest rate swaps to mortgage borrowings outstanding</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interest rate swap pay-fixed rate (excluding forward starting swaps)</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1.52 %</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1.79 %</w:t>
            </w:r>
          </w:p>
        </w:tc>
        <w:tc>
          <w:tcPr>
            <w:tcW w:w="0" w:type="dxa"/>
            <w:vAlign w:val="bottom"/>
          </w:tcPr>
          <w:p>
            <w:pPr>
              <w:spacing w:after="0"/>
              <w:rPr>
                <w:sz w:val="1"/>
                <w:szCs w:val="1"/>
                <w:color w:val="auto"/>
              </w:rPr>
            </w:pPr>
          </w:p>
        </w:tc>
      </w:tr>
      <w:tr>
        <w:trPr>
          <w:trHeight w:val="264"/>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interest rate swap receive-floating rate</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interest rate swap net pay/(receive) rate</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For the three and nine months ended September 30, 2019, we had an average forward starting swap balance of $2.4 billion and $3.7 billion, respectively. For the three and nine months ended September 30, 2018, we had an average forward starting swap balance of $4.2 billion and $3.8 billion, respectively. Forward starting interest rate swaps do not impact our economic interest expense and aggregate cost of funds until they commence accruing net interest settlements on their forward start dates. Including forward starting swaps, our average ratio of interest rate swaps outstanding to our average mortgage borrowings for the three and nine months ended September 30, 2019 was 82% and 65%, respectively, and 65% and 68%, respectively, for the corresponding prior year period.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Spread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a summary of our net interest spread (including the impact of TBA dollar roll income, interest rate swaps and excluding "catch-up" premium amortization) for the three and nine months ended September 30, 2019 and 2018:</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38" w:right="239" w:bottom="1440" w:gutter="0" w:footer="0" w:header="0"/>
        </w:sectPr>
      </w:pPr>
    </w:p>
    <w:bookmarkStart w:id="38" w:name="page39"/>
    <w:bookmarkEnd w:id="38"/>
    <w:tbl>
      <w:tblPr>
        <w:tblLayout w:type="fixed"/>
        <w:tblInd w:w="11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64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64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Investment and TBA Securities - Net Interest Spread</w:t>
            </w:r>
          </w:p>
        </w:tc>
        <w:tc>
          <w:tcPr>
            <w:tcW w:w="120" w:type="dxa"/>
            <w:vAlign w:val="bottom"/>
            <w:tcBorders>
              <w:bottom w:val="single" w:sz="8" w:color="CCEEFF"/>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r>
      <w:tr>
        <w:trPr>
          <w:trHeight w:val="256"/>
        </w:trPr>
        <w:tc>
          <w:tcPr>
            <w:tcW w:w="5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asset yield, excluding "catch-up" premium amortization</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3.16 %</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3.18 %</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3.24 %</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3.05 %</w:t>
            </w:r>
          </w:p>
        </w:tc>
      </w:tr>
      <w:tr>
        <w:trPr>
          <w:trHeight w:val="264"/>
        </w:trPr>
        <w:tc>
          <w:tcPr>
            <w:tcW w:w="57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Average aggregate cost of funds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r>
      <w:tr>
        <w:trPr>
          <w:trHeight w:val="243"/>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Average net interest spread, excluding "catch-up" premium amortization</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1.31 %</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1.30 %</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1.13 %</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1.30 %</w:t>
            </w:r>
          </w:p>
        </w:tc>
      </w:tr>
      <w:tr>
        <w:trPr>
          <w:trHeight w:val="20"/>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presents a summary of our net spread and dollar roll income, excluding estimated "catch-up" premium amortization, per diluted common share (a non-GAAP financial measure) and a reconciliation to our net interest income (the most comparable GAAP financial measure) for the three and nine months ended September 30, 2019 and 2018 (dollars in millions):</w:t>
      </w:r>
    </w:p>
    <w:p>
      <w:pPr>
        <w:spacing w:after="0" w:line="18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520" w:type="dxa"/>
            <w:vAlign w:val="bottom"/>
            <w:gridSpan w:val="4"/>
          </w:tcPr>
          <w:p>
            <w:pPr>
              <w:ind w:left="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52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 (GAAP measure)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264"/>
        </w:trPr>
        <w:tc>
          <w:tcPr>
            <w:tcW w:w="5720" w:type="dxa"/>
            <w:vAlign w:val="bottom"/>
          </w:tcPr>
          <w:p>
            <w:pPr>
              <w:ind w:left="160"/>
              <w:spacing w:after="0"/>
              <w:rPr>
                <w:sz w:val="20"/>
                <w:szCs w:val="20"/>
                <w:color w:val="auto"/>
              </w:rPr>
            </w:pPr>
            <w:r>
              <w:rPr>
                <w:rFonts w:ascii="Arial" w:cs="Arial" w:eastAsia="Arial" w:hAnsi="Arial"/>
                <w:sz w:val="14"/>
                <w:szCs w:val="14"/>
                <w:color w:val="auto"/>
              </w:rPr>
              <w:t xml:space="preserve">TBA dollar roll income, net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76"/>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 xml:space="preserve">Interest rate swap periodic interest income (cost), net </w:t>
            </w:r>
            <w:r>
              <w:rPr>
                <w:rFonts w:ascii="Arial" w:cs="Arial" w:eastAsia="Arial" w:hAnsi="Arial"/>
                <w:sz w:val="8"/>
                <w:szCs w:val="8"/>
                <w:color w:val="auto"/>
              </w:rPr>
              <w:t>1</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 xml:space="preserve">Other interest and dividend income </w:t>
            </w:r>
            <w:r>
              <w:rPr>
                <w:rFonts w:ascii="Arial" w:cs="Arial" w:eastAsia="Arial" w:hAnsi="Arial"/>
                <w:sz w:val="8"/>
                <w:szCs w:val="8"/>
                <w:color w:val="auto"/>
              </w:rPr>
              <w:t>1</w:t>
            </w: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6"/>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interest and dollar roll income</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881</w:t>
            </w:r>
          </w:p>
        </w:tc>
        <w:tc>
          <w:tcPr>
            <w:tcW w:w="0" w:type="dxa"/>
            <w:vAlign w:val="bottom"/>
          </w:tcPr>
          <w:p>
            <w:pPr>
              <w:spacing w:after="0"/>
              <w:rPr>
                <w:sz w:val="1"/>
                <w:szCs w:val="1"/>
                <w:color w:val="auto"/>
              </w:rPr>
            </w:pPr>
          </w:p>
        </w:tc>
      </w:tr>
      <w:tr>
        <w:trPr>
          <w:trHeight w:val="264"/>
        </w:trPr>
        <w:tc>
          <w:tcPr>
            <w:tcW w:w="5720" w:type="dxa"/>
            <w:vAlign w:val="bottom"/>
          </w:tcPr>
          <w:p>
            <w:pPr>
              <w:ind w:left="20"/>
              <w:spacing w:after="0"/>
              <w:rPr>
                <w:sz w:val="20"/>
                <w:szCs w:val="20"/>
                <w:color w:val="auto"/>
              </w:rPr>
            </w:pPr>
            <w:r>
              <w:rPr>
                <w:rFonts w:ascii="Arial" w:cs="Arial" w:eastAsia="Arial" w:hAnsi="Arial"/>
                <w:sz w:val="14"/>
                <w:szCs w:val="14"/>
                <w:color w:val="auto"/>
              </w:rPr>
              <w:t>Other operating income (expense):</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Operating expenses</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57"/>
        </w:trPr>
        <w:tc>
          <w:tcPr>
            <w:tcW w:w="5720" w:type="dxa"/>
            <w:vAlign w:val="bottom"/>
          </w:tcPr>
          <w:p>
            <w:pPr>
              <w:ind w:left="160"/>
              <w:spacing w:after="0" w:line="157" w:lineRule="exact"/>
              <w:rPr>
                <w:sz w:val="20"/>
                <w:szCs w:val="20"/>
                <w:color w:val="auto"/>
              </w:rPr>
            </w:pPr>
            <w:r>
              <w:rPr>
                <w:rFonts w:ascii="Arial" w:cs="Arial" w:eastAsia="Arial" w:hAnsi="Arial"/>
                <w:sz w:val="14"/>
                <w:szCs w:val="14"/>
                <w:color w:val="auto"/>
              </w:rPr>
              <w:t>Less non-recurring write-off of intangible asset and other expenses associated with</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720" w:type="dxa"/>
            <w:vAlign w:val="bottom"/>
          </w:tcPr>
          <w:p>
            <w:pPr>
              <w:ind w:left="160"/>
              <w:spacing w:after="0"/>
              <w:rPr>
                <w:sz w:val="20"/>
                <w:szCs w:val="20"/>
                <w:color w:val="auto"/>
              </w:rPr>
            </w:pPr>
            <w:r>
              <w:rPr>
                <w:rFonts w:ascii="Arial" w:cs="Arial" w:eastAsia="Arial" w:hAnsi="Arial"/>
                <w:sz w:val="14"/>
                <w:szCs w:val="14"/>
                <w:color w:val="auto"/>
              </w:rPr>
              <w:t>termination of management agreement</w:t>
            </w:r>
          </w:p>
        </w:tc>
        <w:tc>
          <w:tcPr>
            <w:tcW w:w="14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6"/>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Management fee income</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64"/>
        </w:trPr>
        <w:tc>
          <w:tcPr>
            <w:tcW w:w="5720" w:type="dxa"/>
            <w:vAlign w:val="bottom"/>
          </w:tcPr>
          <w:p>
            <w:pPr>
              <w:ind w:left="160"/>
              <w:spacing w:after="0"/>
              <w:rPr>
                <w:sz w:val="20"/>
                <w:szCs w:val="20"/>
                <w:color w:val="auto"/>
              </w:rPr>
            </w:pPr>
            <w:r>
              <w:rPr>
                <w:rFonts w:ascii="Arial" w:cs="Arial" w:eastAsia="Arial" w:hAnsi="Arial"/>
                <w:sz w:val="14"/>
                <w:szCs w:val="14"/>
                <w:color w:val="auto"/>
              </w:rPr>
              <w:t>Less management agreement termination fee income</w:t>
            </w:r>
          </w:p>
        </w:tc>
        <w:tc>
          <w:tcPr>
            <w:tcW w:w="140" w:type="dxa"/>
            <w:vAlign w:val="bottom"/>
          </w:tcPr>
          <w:p>
            <w:pPr>
              <w:spacing w:after="0"/>
              <w:rPr>
                <w:sz w:val="22"/>
                <w:szCs w:val="2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other operating income (expense), net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50"/>
        </w:trPr>
        <w:tc>
          <w:tcPr>
            <w:tcW w:w="5720" w:type="dxa"/>
            <w:vAlign w:val="bottom"/>
          </w:tcPr>
          <w:p>
            <w:pPr>
              <w:ind w:left="20"/>
              <w:spacing w:after="0"/>
              <w:rPr>
                <w:sz w:val="20"/>
                <w:szCs w:val="20"/>
                <w:color w:val="auto"/>
              </w:rPr>
            </w:pPr>
            <w:r>
              <w:rPr>
                <w:rFonts w:ascii="Arial" w:cs="Arial" w:eastAsia="Arial" w:hAnsi="Arial"/>
                <w:sz w:val="14"/>
                <w:szCs w:val="14"/>
                <w:color w:val="auto"/>
              </w:rPr>
              <w:t>Net spread and dollar roll income</w:t>
            </w:r>
          </w:p>
        </w:tc>
        <w:tc>
          <w:tcPr>
            <w:tcW w:w="140" w:type="dxa"/>
            <w:vAlign w:val="bottom"/>
          </w:tcPr>
          <w:p>
            <w:pPr>
              <w:spacing w:after="0"/>
              <w:rPr>
                <w:sz w:val="21"/>
                <w:szCs w:val="21"/>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838</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 on preferred stock</w:t>
            </w: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50"/>
        </w:trPr>
        <w:tc>
          <w:tcPr>
            <w:tcW w:w="5720" w:type="dxa"/>
            <w:vAlign w:val="bottom"/>
          </w:tcPr>
          <w:p>
            <w:pPr>
              <w:ind w:left="20"/>
              <w:spacing w:after="0"/>
              <w:rPr>
                <w:sz w:val="20"/>
                <w:szCs w:val="20"/>
                <w:color w:val="auto"/>
              </w:rPr>
            </w:pPr>
            <w:r>
              <w:rPr>
                <w:rFonts w:ascii="Arial" w:cs="Arial" w:eastAsia="Arial" w:hAnsi="Arial"/>
                <w:sz w:val="14"/>
                <w:szCs w:val="14"/>
                <w:color w:val="auto"/>
              </w:rPr>
              <w:t>Net spread and dollar roll income available to common stockholders (non-GAAP measure)</w:t>
            </w:r>
          </w:p>
        </w:tc>
        <w:tc>
          <w:tcPr>
            <w:tcW w:w="140" w:type="dxa"/>
            <w:vAlign w:val="bottom"/>
          </w:tcPr>
          <w:p>
            <w:pPr>
              <w:spacing w:after="0"/>
              <w:rPr>
                <w:sz w:val="21"/>
                <w:szCs w:val="21"/>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276"/>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Estimated "catch-up" premium amortization cost (benefit) due to change in CPR forecast</w:t>
            </w:r>
          </w:p>
        </w:tc>
        <w:tc>
          <w:tcPr>
            <w:tcW w:w="1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37"/>
        </w:trPr>
        <w:tc>
          <w:tcPr>
            <w:tcW w:w="5720" w:type="dxa"/>
            <w:vAlign w:val="bottom"/>
          </w:tcPr>
          <w:p>
            <w:pPr>
              <w:ind w:left="20"/>
              <w:spacing w:after="0" w:line="137" w:lineRule="exact"/>
              <w:rPr>
                <w:sz w:val="20"/>
                <w:szCs w:val="20"/>
                <w:color w:val="auto"/>
              </w:rPr>
            </w:pPr>
            <w:r>
              <w:rPr>
                <w:rFonts w:ascii="Arial" w:cs="Arial" w:eastAsia="Arial" w:hAnsi="Arial"/>
                <w:sz w:val="14"/>
                <w:szCs w:val="14"/>
                <w:color w:val="auto"/>
              </w:rPr>
              <w:t>Net spread and dollar roll income, excluding "catch-up" premium amortization, available to</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862</w:t>
            </w: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221"/>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stockholders (non-GAAP measure)</w:t>
            </w:r>
          </w:p>
        </w:tc>
        <w:tc>
          <w:tcPr>
            <w:tcW w:w="1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7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546.4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462.3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540.3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419.8</w:t>
            </w:r>
          </w:p>
        </w:tc>
        <w:tc>
          <w:tcPr>
            <w:tcW w:w="0" w:type="dxa"/>
            <w:vAlign w:val="bottom"/>
          </w:tcPr>
          <w:p>
            <w:pPr>
              <w:spacing w:after="0"/>
              <w:rPr>
                <w:sz w:val="1"/>
                <w:szCs w:val="1"/>
                <w:color w:val="auto"/>
              </w:rPr>
            </w:pPr>
          </w:p>
        </w:tc>
      </w:tr>
      <w:tr>
        <w:trPr>
          <w:trHeight w:val="21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547.1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462.7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540.9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420.1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spread and dollar roll income per common share - 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1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per common share -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0.62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20"/>
              <w:spacing w:after="0" w:line="151" w:lineRule="exact"/>
              <w:rPr>
                <w:sz w:val="20"/>
                <w:szCs w:val="20"/>
                <w:color w:val="auto"/>
              </w:rPr>
            </w:pPr>
            <w:r>
              <w:rPr>
                <w:rFonts w:ascii="Arial" w:cs="Arial" w:eastAsia="Arial" w:hAnsi="Arial"/>
                <w:sz w:val="14"/>
                <w:szCs w:val="14"/>
                <w:color w:val="auto"/>
              </w:rPr>
              <w:t>Net spread and dollar roll income, excluding "catch-up" premium amortization, per common</w:t>
            </w: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5720" w:type="dxa"/>
            <w:vAlign w:val="bottom"/>
            <w:vMerge w:val="continue"/>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0.59</w:t>
            </w:r>
          </w:p>
        </w:tc>
        <w:tc>
          <w:tcPr>
            <w:tcW w:w="100" w:type="dxa"/>
            <w:vAlign w:val="bottom"/>
          </w:tcPr>
          <w:p>
            <w:pPr>
              <w:spacing w:after="0"/>
              <w:rPr>
                <w:sz w:val="9"/>
                <w:szCs w:val="9"/>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0.61</w:t>
            </w:r>
          </w:p>
        </w:tc>
        <w:tc>
          <w:tcPr>
            <w:tcW w:w="100" w:type="dxa"/>
            <w:vAlign w:val="bottom"/>
          </w:tcPr>
          <w:p>
            <w:pPr>
              <w:spacing w:after="0"/>
              <w:rPr>
                <w:sz w:val="9"/>
                <w:szCs w:val="9"/>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9"/>
                <w:szCs w:val="9"/>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21"/>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 - basic</w:t>
            </w:r>
          </w:p>
        </w:tc>
        <w:tc>
          <w:tcPr>
            <w:tcW w:w="1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72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Net spread and dollar roll income, excluding "catch-up" premium amortization, per common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0.59</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0.61</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81"/>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 diluted</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8890</wp:posOffset>
            </wp:positionV>
            <wp:extent cx="2229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Investment Securities, Net</w:t>
      </w:r>
    </w:p>
    <w:p>
      <w:pPr>
        <w:spacing w:after="0" w:line="17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During the three and nine months ended September 30, 2019, the fair value of our investment portfolio increased due to a decline in long-term interest rates and an increase in the premium, or pay-up values, for specified Agency RMBS, which have a lower likelihood of prepayment than generic Agency securities in low interest rate environments. During the prior year periods, the opposite occurred as the average fair value of our investment portfolio declined due to an increase in long-term interest rates and and a decline in pay-up values for specified Agency RMBS. The following table is a summary of our net gain (loss) on investment securities for the three and nine months ended September 30, 2019 and 2018 (in millions):</w:t>
      </w:r>
    </w:p>
    <w:p>
      <w:pPr>
        <w:sectPr>
          <w:pgSz w:w="11900" w:h="16838" w:orient="portrait"/>
          <w:cols w:equalWidth="0" w:num="1">
            <w:col w:w="11420"/>
          </w:cols>
          <w:pgMar w:left="240" w:top="888" w:right="2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888" w:right="2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0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70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Gain (Loss) on Investment Securities, Net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Gain (loss) on sale of investment securities, net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64"/>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 xml:space="preserve">Unrealized gain (loss) on investment securities measured at fair value through net income, net </w:t>
            </w:r>
            <w:r>
              <w:rPr>
                <w:rFonts w:ascii="Arial" w:cs="Arial" w:eastAsia="Arial" w:hAnsi="Arial"/>
                <w:sz w:val="8"/>
                <w:szCs w:val="8"/>
                <w:color w:val="auto"/>
              </w:rPr>
              <w:t>2</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2,174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(980)</w:t>
            </w:r>
          </w:p>
        </w:tc>
        <w:tc>
          <w:tcPr>
            <w:tcW w:w="0" w:type="dxa"/>
            <w:vAlign w:val="bottom"/>
          </w:tcPr>
          <w:p>
            <w:pPr>
              <w:spacing w:after="0"/>
              <w:rPr>
                <w:sz w:val="1"/>
                <w:szCs w:val="1"/>
                <w:color w:val="auto"/>
              </w:rPr>
            </w:pPr>
          </w:p>
        </w:tc>
      </w:tr>
      <w:tr>
        <w:trPr>
          <w:trHeight w:val="27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Unrealized gain (loss) on investment securities measured at fair value through other comprehensive income, net</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Total gain (loss) on investment securities, net</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3,480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(2,055)</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3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980" w:right="20" w:hanging="648"/>
        <w:spacing w:after="0" w:line="241" w:lineRule="auto"/>
        <w:tabs>
          <w:tab w:leader="none" w:pos="656"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Amounts exclude gain (loss) on TBA securities, which are reported in gain (loss) on derivative instruments and other securities, net in our Consolidated Statements of Comprehensive Income.</w:t>
      </w: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Investment securities acquired after fiscal year 2016 are measured at fair value through net income (see Note 3 of our Consolidated Financial Statements in this Form 10-Q).</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is a summary of our gain (loss) on derivative instruments and other securities, net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w:t>
            </w:r>
          </w:p>
        </w:tc>
        <w:tc>
          <w:tcPr>
            <w:tcW w:w="160" w:type="dxa"/>
            <w:vAlign w:val="bottom"/>
          </w:tcPr>
          <w:p>
            <w:pPr>
              <w:spacing w:after="0"/>
              <w:rPr>
                <w:sz w:val="14"/>
                <w:szCs w:val="14"/>
                <w:color w:val="auto"/>
              </w:rPr>
            </w:pPr>
          </w:p>
        </w:tc>
        <w:tc>
          <w:tcPr>
            <w:tcW w:w="198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Nine Months Ended September</w:t>
            </w:r>
          </w:p>
        </w:tc>
      </w:tr>
      <w:tr>
        <w:trPr>
          <w:trHeight w:val="192"/>
        </w:trPr>
        <w:tc>
          <w:tcPr>
            <w:tcW w:w="69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2"/>
              </w:rPr>
              <w:t>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r>
      <w:tr>
        <w:trPr>
          <w:trHeight w:val="25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 periodic interest income (cost),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Realized gain (loss) on derivative instruments and other securities, net:</w:t>
            </w: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r>
      <w:tr>
        <w:trPr>
          <w:trHeight w:val="276"/>
        </w:trPr>
        <w:tc>
          <w:tcPr>
            <w:tcW w:w="69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TBA securities - dollar roll income, net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r>
      <w:tr>
        <w:trPr>
          <w:trHeight w:val="264"/>
        </w:trPr>
        <w:tc>
          <w:tcPr>
            <w:tcW w:w="6980" w:type="dxa"/>
            <w:vAlign w:val="bottom"/>
          </w:tcPr>
          <w:p>
            <w:pPr>
              <w:ind w:left="1200"/>
              <w:spacing w:after="0"/>
              <w:rPr>
                <w:sz w:val="20"/>
                <w:szCs w:val="20"/>
                <w:color w:val="auto"/>
              </w:rPr>
            </w:pPr>
            <w:r>
              <w:rPr>
                <w:rFonts w:ascii="Arial" w:cs="Arial" w:eastAsia="Arial" w:hAnsi="Arial"/>
                <w:sz w:val="14"/>
                <w:szCs w:val="14"/>
                <w:color w:val="auto"/>
              </w:rPr>
              <w:t>TBA securities - mark-to-market net gain (loss)</w:t>
            </w:r>
          </w:p>
        </w:tc>
        <w:tc>
          <w:tcPr>
            <w:tcW w:w="1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(514)</w:t>
            </w:r>
          </w:p>
        </w:tc>
      </w:tr>
      <w:tr>
        <w:trPr>
          <w:trHeight w:val="276"/>
        </w:trPr>
        <w:tc>
          <w:tcPr>
            <w:tcW w:w="69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Payer swaptions</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r>
      <w:tr>
        <w:trPr>
          <w:trHeight w:val="264"/>
        </w:trPr>
        <w:tc>
          <w:tcPr>
            <w:tcW w:w="6980" w:type="dxa"/>
            <w:vAlign w:val="bottom"/>
          </w:tcPr>
          <w:p>
            <w:pPr>
              <w:ind w:left="1200"/>
              <w:spacing w:after="0"/>
              <w:rPr>
                <w:sz w:val="20"/>
                <w:szCs w:val="20"/>
                <w:color w:val="auto"/>
              </w:rPr>
            </w:pPr>
            <w:r>
              <w:rPr>
                <w:rFonts w:ascii="Arial" w:cs="Arial" w:eastAsia="Arial" w:hAnsi="Arial"/>
                <w:sz w:val="14"/>
                <w:szCs w:val="14"/>
                <w:color w:val="auto"/>
              </w:rPr>
              <w:t>U.S. Treasury securities - long position</w:t>
            </w:r>
          </w:p>
        </w:tc>
        <w:tc>
          <w:tcPr>
            <w:tcW w:w="1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9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U.S. Treasury securities - short position</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64"/>
        </w:trPr>
        <w:tc>
          <w:tcPr>
            <w:tcW w:w="6980" w:type="dxa"/>
            <w:vAlign w:val="bottom"/>
          </w:tcPr>
          <w:p>
            <w:pPr>
              <w:ind w:left="1200"/>
              <w:spacing w:after="0"/>
              <w:rPr>
                <w:sz w:val="20"/>
                <w:szCs w:val="20"/>
                <w:color w:val="auto"/>
              </w:rPr>
            </w:pPr>
            <w:r>
              <w:rPr>
                <w:rFonts w:ascii="Arial" w:cs="Arial" w:eastAsia="Arial" w:hAnsi="Arial"/>
                <w:sz w:val="14"/>
                <w:szCs w:val="14"/>
                <w:color w:val="auto"/>
              </w:rPr>
              <w:t>U.S. Treasury futures - short position</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103</w:t>
            </w:r>
          </w:p>
        </w:tc>
      </w:tr>
      <w:tr>
        <w:trPr>
          <w:trHeight w:val="276"/>
        </w:trPr>
        <w:tc>
          <w:tcPr>
            <w:tcW w:w="69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Interest rate swaps - termination fees and variation margin settlements, net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948</w:t>
            </w:r>
          </w:p>
        </w:tc>
      </w:tr>
      <w:tr>
        <w:trPr>
          <w:trHeight w:val="264"/>
        </w:trPr>
        <w:tc>
          <w:tcPr>
            <w:tcW w:w="6980" w:type="dxa"/>
            <w:vAlign w:val="bottom"/>
            <w:tcBorders>
              <w:bottom w:val="single" w:sz="8" w:color="CCEEFF"/>
            </w:tcBorders>
          </w:tcPr>
          <w:p>
            <w:pPr>
              <w:ind w:left="120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r>
      <w:tr>
        <w:trPr>
          <w:trHeight w:val="25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realized gain (loss) on derivative instruments and other securities, net</w:t>
            </w: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776</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Unrealized gain (loss) on derivative instruments and other securities, net:</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6"/>
        </w:trPr>
        <w:tc>
          <w:tcPr>
            <w:tcW w:w="69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TBA securities - mark-to-market net gain (loss)</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264"/>
        </w:trPr>
        <w:tc>
          <w:tcPr>
            <w:tcW w:w="6980" w:type="dxa"/>
            <w:vAlign w:val="bottom"/>
          </w:tcPr>
          <w:p>
            <w:pPr>
              <w:ind w:left="1200"/>
              <w:spacing w:after="0"/>
              <w:rPr>
                <w:sz w:val="20"/>
                <w:szCs w:val="20"/>
                <w:color w:val="auto"/>
              </w:rPr>
            </w:pPr>
            <w:r>
              <w:rPr>
                <w:rFonts w:ascii="Arial" w:cs="Arial" w:eastAsia="Arial" w:hAnsi="Arial"/>
                <w:sz w:val="14"/>
                <w:szCs w:val="14"/>
                <w:color w:val="auto"/>
              </w:rPr>
              <w:t>Interest rate swaps</w:t>
            </w:r>
          </w:p>
        </w:tc>
        <w:tc>
          <w:tcPr>
            <w:tcW w:w="1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125</w:t>
            </w:r>
          </w:p>
        </w:tc>
      </w:tr>
      <w:tr>
        <w:trPr>
          <w:trHeight w:val="276"/>
        </w:trPr>
        <w:tc>
          <w:tcPr>
            <w:tcW w:w="69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Payer swaptions</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w:t>
            </w:r>
          </w:p>
        </w:tc>
      </w:tr>
      <w:tr>
        <w:trPr>
          <w:trHeight w:val="264"/>
        </w:trPr>
        <w:tc>
          <w:tcPr>
            <w:tcW w:w="6980" w:type="dxa"/>
            <w:vAlign w:val="bottom"/>
          </w:tcPr>
          <w:p>
            <w:pPr>
              <w:ind w:left="1200"/>
              <w:spacing w:after="0"/>
              <w:rPr>
                <w:sz w:val="20"/>
                <w:szCs w:val="20"/>
                <w:color w:val="auto"/>
              </w:rPr>
            </w:pPr>
            <w:r>
              <w:rPr>
                <w:rFonts w:ascii="Arial" w:cs="Arial" w:eastAsia="Arial" w:hAnsi="Arial"/>
                <w:sz w:val="14"/>
                <w:szCs w:val="14"/>
                <w:color w:val="auto"/>
              </w:rPr>
              <w:t>U.S. Treasury securities - long position</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9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U.S. Treasury securities - short position</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w:t>
            </w:r>
          </w:p>
        </w:tc>
      </w:tr>
      <w:tr>
        <w:trPr>
          <w:trHeight w:val="264"/>
        </w:trPr>
        <w:tc>
          <w:tcPr>
            <w:tcW w:w="6980" w:type="dxa"/>
            <w:vAlign w:val="bottom"/>
          </w:tcPr>
          <w:p>
            <w:pPr>
              <w:ind w:left="1200"/>
              <w:spacing w:after="0"/>
              <w:rPr>
                <w:sz w:val="20"/>
                <w:szCs w:val="20"/>
                <w:color w:val="auto"/>
              </w:rPr>
            </w:pPr>
            <w:r>
              <w:rPr>
                <w:rFonts w:ascii="Arial" w:cs="Arial" w:eastAsia="Arial" w:hAnsi="Arial"/>
                <w:sz w:val="14"/>
                <w:szCs w:val="14"/>
                <w:color w:val="auto"/>
              </w:rPr>
              <w:t>U.S. Treasury futures - short position</w:t>
            </w:r>
          </w:p>
        </w:tc>
        <w:tc>
          <w:tcPr>
            <w:tcW w:w="1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0"/>
        </w:trPr>
        <w:tc>
          <w:tcPr>
            <w:tcW w:w="69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r>
      <w:tr>
        <w:trPr>
          <w:trHeight w:val="25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unrealized gain (loss) on derivative instruments and other securities, net</w:t>
            </w: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602</w:t>
            </w:r>
          </w:p>
        </w:tc>
      </w:tr>
      <w:tr>
        <w:trPr>
          <w:trHeight w:val="243"/>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1,466</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3 and 6 of our Consolidated Financial Statements in this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Taxable Income</w:t>
      </w:r>
    </w:p>
    <w:p>
      <w:pPr>
        <w:spacing w:after="0" w:line="18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For the three months ended September 30, 2019 and 2018, we had estimated taxable income available to common stockholders of $156 million and $142 million (or $0.29 and $0.31 per diluted common share), respectively. For the nine months ended September 30, 2019 and 2018, we had estimated taxable income available to common stockholders of $523 million and $326 million (or $0.97 and $0.78 per diluted common share), respectively. Income determined under GAAP differs from income determined under U.S. federal income tax rules because of both temporary and permanent differences in income and expense recognition. The primary differences are (i) unrealized gains and losses on derivative instruments and other securities marked-to-market in current income for GAAP purposes, but excluded from taxable income until realized or settled, (ii) timing differences, both temporary and potentially permanent, in the recognition of certain realized gains and losses and (iii) temporary differences related to the amortization of premiums and discounts on investments. Furthermore, our estimated taxable income is subject to potential adjustments up to the time of filing our appropriate tax returns, which occurs after the end of our fiscal year. The following</w:t>
      </w:r>
    </w:p>
    <w:p>
      <w:pPr>
        <w:sectPr>
          <w:pgSz w:w="11900" w:h="16838" w:orient="portrait"/>
          <w:cols w:equalWidth="0" w:num="1">
            <w:col w:w="11420"/>
          </w:cols>
          <w:pgMar w:left="240" w:top="726"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726" w:right="239" w:bottom="1440" w:gutter="0" w:footer="0" w:header="0"/>
          <w:type w:val="continuous"/>
        </w:sectPr>
      </w:pPr>
    </w:p>
    <w:bookmarkStart w:id="40" w:name="page41"/>
    <w:bookmarkEnd w:id="40"/>
    <w:p>
      <w:pPr>
        <w:spacing w:after="0" w:line="277" w:lineRule="auto"/>
        <w:rPr>
          <w:sz w:val="20"/>
          <w:szCs w:val="20"/>
          <w:color w:val="auto"/>
        </w:rPr>
      </w:pPr>
      <w:r>
        <w:rPr>
          <w:rFonts w:ascii="Arial" w:cs="Arial" w:eastAsia="Arial" w:hAnsi="Arial"/>
          <w:sz w:val="18"/>
          <w:szCs w:val="18"/>
          <w:color w:val="auto"/>
        </w:rPr>
        <w:t>is a reconciliation of our GAAP net income to our estimated taxable income for the three and nine months ended September 30, 2019 and 2018 (dollars in millions, except per share amounts):</w:t>
      </w:r>
    </w:p>
    <w:p>
      <w:pPr>
        <w:spacing w:after="0" w:line="177"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140" w:type="dxa"/>
            <w:vAlign w:val="bottom"/>
            <w:gridSpan w:val="7"/>
          </w:tcPr>
          <w:p>
            <w:pPr>
              <w:ind w:left="40"/>
              <w:spacing w:after="0"/>
              <w:rPr>
                <w:sz w:val="20"/>
                <w:szCs w:val="20"/>
                <w:color w:val="auto"/>
              </w:rPr>
            </w:pPr>
            <w:r>
              <w:rPr>
                <w:rFonts w:ascii="Arial" w:cs="Arial" w:eastAsia="Arial" w:hAnsi="Arial"/>
                <w:sz w:val="14"/>
                <w:szCs w:val="14"/>
                <w:b w:val="1"/>
                <w:bCs w:val="1"/>
                <w:color w:val="auto"/>
                <w:w w:val="96"/>
              </w:rPr>
              <w:t>Three Months Ended September</w:t>
            </w:r>
          </w:p>
        </w:tc>
        <w:tc>
          <w:tcPr>
            <w:tcW w:w="1980" w:type="dxa"/>
            <w:vAlign w:val="bottom"/>
            <w:gridSpan w:val="6"/>
          </w:tcPr>
          <w:p>
            <w:pPr>
              <w:ind w:left="40"/>
              <w:spacing w:after="0"/>
              <w:rPr>
                <w:sz w:val="20"/>
                <w:szCs w:val="20"/>
                <w:color w:val="auto"/>
              </w:rPr>
            </w:pPr>
            <w:r>
              <w:rPr>
                <w:rFonts w:ascii="Arial" w:cs="Arial" w:eastAsia="Arial" w:hAnsi="Arial"/>
                <w:sz w:val="14"/>
                <w:szCs w:val="14"/>
                <w:b w:val="1"/>
                <w:bCs w:val="1"/>
                <w:color w:val="auto"/>
                <w:w w:val="92"/>
              </w:rPr>
              <w:t>Nine Months Ended September</w:t>
            </w:r>
          </w:p>
        </w:tc>
      </w:tr>
      <w:tr>
        <w:trPr>
          <w:trHeight w:val="192"/>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w w:val="92"/>
              </w:rPr>
              <w:t>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w w:val="92"/>
              </w:rPr>
              <w:t>30,</w:t>
            </w:r>
          </w:p>
        </w:tc>
        <w:tc>
          <w:tcPr>
            <w:tcW w:w="720" w:type="dxa"/>
            <w:vAlign w:val="bottom"/>
            <w:tcBorders>
              <w:bottom w:val="single" w:sz="8" w:color="auto"/>
            </w:tcBorders>
          </w:tcPr>
          <w:p>
            <w:pPr>
              <w:spacing w:after="0"/>
              <w:rPr>
                <w:sz w:val="16"/>
                <w:szCs w:val="16"/>
                <w:color w:val="auto"/>
              </w:rPr>
            </w:pPr>
          </w:p>
        </w:tc>
      </w:tr>
      <w:tr>
        <w:trPr>
          <w:trHeight w:val="264"/>
        </w:trPr>
        <w:tc>
          <w:tcPr>
            <w:tcW w:w="64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r>
      <w:tr>
        <w:trPr>
          <w:trHeight w:val="256"/>
        </w:trPr>
        <w:tc>
          <w:tcPr>
            <w:tcW w:w="6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3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933</w:t>
            </w:r>
          </w:p>
        </w:tc>
      </w:tr>
      <w:tr>
        <w:trPr>
          <w:trHeight w:val="264"/>
        </w:trPr>
        <w:tc>
          <w:tcPr>
            <w:tcW w:w="6460" w:type="dxa"/>
            <w:vAlign w:val="bottom"/>
          </w:tcPr>
          <w:p>
            <w:pPr>
              <w:ind w:left="40"/>
              <w:spacing w:after="0"/>
              <w:rPr>
                <w:sz w:val="20"/>
                <w:szCs w:val="20"/>
                <w:color w:val="auto"/>
              </w:rPr>
            </w:pPr>
            <w:r>
              <w:rPr>
                <w:rFonts w:ascii="Arial" w:cs="Arial" w:eastAsia="Arial" w:hAnsi="Arial"/>
                <w:sz w:val="14"/>
                <w:szCs w:val="14"/>
                <w:color w:val="auto"/>
              </w:rPr>
              <w:t>Estimated book to tax differences:</w:t>
            </w: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6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Premium amortization, net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264"/>
        </w:trPr>
        <w:tc>
          <w:tcPr>
            <w:tcW w:w="6460" w:type="dxa"/>
            <w:vAlign w:val="bottom"/>
          </w:tcPr>
          <w:p>
            <w:pPr>
              <w:ind w:left="160"/>
              <w:spacing w:after="0"/>
              <w:rPr>
                <w:sz w:val="20"/>
                <w:szCs w:val="20"/>
                <w:color w:val="auto"/>
              </w:rPr>
            </w:pPr>
            <w:r>
              <w:rPr>
                <w:rFonts w:ascii="Arial" w:cs="Arial" w:eastAsia="Arial" w:hAnsi="Arial"/>
                <w:sz w:val="14"/>
                <w:szCs w:val="14"/>
                <w:color w:val="auto"/>
              </w:rPr>
              <w:t>Realized gain/loss, net</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2,034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(1,164)</w:t>
            </w:r>
          </w:p>
        </w:tc>
      </w:tr>
      <w:tr>
        <w:trPr>
          <w:trHeight w:val="276"/>
        </w:trPr>
        <w:tc>
          <w:tcPr>
            <w:tcW w:w="6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capital loss/(utilization of net capital loss carryforward)</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w:t>
            </w:r>
          </w:p>
        </w:tc>
      </w:tr>
      <w:tr>
        <w:trPr>
          <w:trHeight w:val="264"/>
        </w:trPr>
        <w:tc>
          <w:tcPr>
            <w:tcW w:w="6460" w:type="dxa"/>
            <w:vAlign w:val="bottom"/>
          </w:tcPr>
          <w:p>
            <w:pPr>
              <w:ind w:left="160"/>
              <w:spacing w:after="0"/>
              <w:rPr>
                <w:sz w:val="20"/>
                <w:szCs w:val="20"/>
                <w:color w:val="auto"/>
              </w:rPr>
            </w:pPr>
            <w:r>
              <w:rPr>
                <w:rFonts w:ascii="Arial" w:cs="Arial" w:eastAsia="Arial" w:hAnsi="Arial"/>
                <w:sz w:val="14"/>
                <w:szCs w:val="14"/>
                <w:color w:val="auto"/>
              </w:rPr>
              <w:t>Unrealized (gain)/loss, net</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(1,791)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378</w:t>
            </w:r>
          </w:p>
        </w:tc>
      </w:tr>
      <w:tr>
        <w:trPr>
          <w:trHeight w:val="270"/>
        </w:trPr>
        <w:tc>
          <w:tcPr>
            <w:tcW w:w="6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250"/>
        </w:trPr>
        <w:tc>
          <w:tcPr>
            <w:tcW w:w="6460" w:type="dxa"/>
            <w:vAlign w:val="bottom"/>
            <w:tcBorders>
              <w:bottom w:val="single" w:sz="8" w:color="CCEEFF"/>
            </w:tcBorders>
          </w:tcPr>
          <w:p>
            <w:pPr>
              <w:ind w:left="840"/>
              <w:spacing w:after="0"/>
              <w:rPr>
                <w:sz w:val="20"/>
                <w:szCs w:val="20"/>
                <w:color w:val="auto"/>
              </w:rPr>
            </w:pPr>
            <w:r>
              <w:rPr>
                <w:rFonts w:ascii="Arial" w:cs="Arial" w:eastAsia="Arial" w:hAnsi="Arial"/>
                <w:sz w:val="14"/>
                <w:szCs w:val="14"/>
                <w:color w:val="auto"/>
              </w:rPr>
              <w:t>Total book to tax differences</w:t>
            </w: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w:t>
            </w:r>
          </w:p>
        </w:tc>
      </w:tr>
      <w:tr>
        <w:trPr>
          <w:trHeight w:val="256"/>
        </w:trPr>
        <w:tc>
          <w:tcPr>
            <w:tcW w:w="6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Estimated REIT taxable income</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353</w:t>
            </w:r>
          </w:p>
        </w:tc>
      </w:tr>
      <w:tr>
        <w:trPr>
          <w:trHeight w:val="264"/>
        </w:trPr>
        <w:tc>
          <w:tcPr>
            <w:tcW w:w="64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 on preferred stock</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r>
      <w:tr>
        <w:trPr>
          <w:trHeight w:val="243"/>
        </w:trPr>
        <w:tc>
          <w:tcPr>
            <w:tcW w:w="6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Estimated REIT taxable income available to common stockholders</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4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3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64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Weighted average number of common shares outstanding - basic</w:t>
            </w: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546.4</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462.3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540.3</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419.8</w:t>
            </w:r>
          </w:p>
        </w:tc>
      </w:tr>
      <w:tr>
        <w:trPr>
          <w:trHeight w:val="21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outstanding - diluted</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547.1</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462.7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540.9</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420.1</w:t>
            </w:r>
          </w:p>
        </w:tc>
      </w:tr>
      <w:tr>
        <w:trPr>
          <w:trHeight w:val="20"/>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0"/>
        </w:trPr>
        <w:tc>
          <w:tcPr>
            <w:tcW w:w="64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Estimated REIT taxable income per common share - basic</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0.29</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0.97</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0.78</w:t>
            </w:r>
          </w:p>
        </w:tc>
      </w:tr>
      <w:tr>
        <w:trPr>
          <w:trHeight w:val="210"/>
        </w:trPr>
        <w:tc>
          <w:tcPr>
            <w:tcW w:w="6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Estimated REIT taxable income per common share - diluted</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4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0.97</w:t>
            </w:r>
          </w:p>
        </w:tc>
        <w:tc>
          <w:tcPr>
            <w:tcW w:w="3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0.78</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0"/>
        </w:trPr>
        <w:tc>
          <w:tcPr>
            <w:tcW w:w="6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Beginning cumulative non-deductible net capital loss</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4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3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w:t>
            </w:r>
          </w:p>
        </w:tc>
      </w:tr>
      <w:tr>
        <w:trPr>
          <w:trHeight w:val="264"/>
        </w:trPr>
        <w:tc>
          <w:tcPr>
            <w:tcW w:w="64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Increase (decrease) in net capital loss carryforward</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287</w:t>
            </w:r>
          </w:p>
        </w:tc>
      </w:tr>
      <w:tr>
        <w:trPr>
          <w:trHeight w:val="250"/>
        </w:trPr>
        <w:tc>
          <w:tcPr>
            <w:tcW w:w="6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Ending cumulative non-deductible net capital loss</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644</w:t>
            </w:r>
          </w:p>
        </w:tc>
      </w:tr>
      <w:tr>
        <w:trPr>
          <w:trHeight w:val="243"/>
        </w:trPr>
        <w:tc>
          <w:tcPr>
            <w:tcW w:w="6460" w:type="dxa"/>
            <w:vAlign w:val="bottom"/>
          </w:tcPr>
          <w:p>
            <w:pPr>
              <w:ind w:left="40"/>
              <w:spacing w:after="0"/>
              <w:rPr>
                <w:sz w:val="20"/>
                <w:szCs w:val="20"/>
                <w:color w:val="auto"/>
              </w:rPr>
            </w:pPr>
            <w:r>
              <w:rPr>
                <w:rFonts w:ascii="Arial" w:cs="Arial" w:eastAsia="Arial" w:hAnsi="Arial"/>
                <w:sz w:val="14"/>
                <w:szCs w:val="14"/>
                <w:color w:val="auto"/>
              </w:rPr>
              <w:t>Ending cumulative non-deductible net capital loss per common share</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0.97</w:t>
            </w:r>
          </w:p>
        </w:tc>
        <w:tc>
          <w:tcPr>
            <w:tcW w:w="40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0.97</w:t>
            </w:r>
          </w:p>
        </w:tc>
        <w:tc>
          <w:tcPr>
            <w:tcW w:w="36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1.35</w:t>
            </w:r>
          </w:p>
        </w:tc>
      </w:tr>
      <w:tr>
        <w:trPr>
          <w:trHeight w:val="20"/>
        </w:trPr>
        <w:tc>
          <w:tcPr>
            <w:tcW w:w="6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primary sources of funds are borrowings under master repurchase agreements, asset sales, receipts of monthly principal and interest payments on our investment portfolio and equity offerings. We may also enter into TBA contracts to acquire or dispose of Agency RMBS and TBA dollar roll transactions to finance Agency RMBS purchases. Because the level of our borrowings can be adjusted daily, the level of cash and cash equivalents carried on our balance sheet is significantly less important than the potential liquidity available under our borrowing arrangements. Our leverage will vary periodically depending on market conditions and our assessment of risks and returns. We generally would expect our leverage to be within six to twelve times the amount of our tangible stockholders' equity. However, under certain market conditions, we may operate at leverage levels outside of this range for extended periods of time.</w:t>
      </w:r>
    </w:p>
    <w:p>
      <w:pPr>
        <w:spacing w:after="0" w:line="11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currently believe that we have sufficient liquidity and capital resources available for the acquisition of additional investments, repayments on borrowings, maintenance of any margin requirements and the payment of cash dividends as required for our continued qualification as a REIT. We currently expect to distribute 100% of our taxable income so that we are not subject to U.S. federal and state corporate income taxes. Our REIT distribution requirement of at least 90% of our taxable income limits our ability to retain earnings and thereby replenish or increase capital from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Capital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2019 and December 31, 2018, our mortgage borrowings consisted of the following (dollars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September 30, 2019</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0"/>
              </w:rPr>
              <w:t>December 31, 2018</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Mortgage Borrowings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Repurchase agreements </w:t>
            </w:r>
            <w:r>
              <w:rPr>
                <w:rFonts w:ascii="Arial" w:cs="Arial" w:eastAsia="Arial" w:hAnsi="Arial"/>
                <w:sz w:val="8"/>
                <w:szCs w:val="8"/>
                <w:color w:val="auto"/>
              </w:rPr>
              <w:t>1</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90,224</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75,717</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64"/>
        </w:trPr>
        <w:tc>
          <w:tcPr>
            <w:tcW w:w="6040" w:type="dxa"/>
            <w:vAlign w:val="bottom"/>
            <w:gridSpan w:val="2"/>
          </w:tcPr>
          <w:p>
            <w:pPr>
              <w:ind w:left="40"/>
              <w:spacing w:after="0"/>
              <w:rPr>
                <w:sz w:val="20"/>
                <w:szCs w:val="20"/>
                <w:color w:val="auto"/>
              </w:rPr>
            </w:pPr>
            <w:r>
              <w:rPr>
                <w:rFonts w:ascii="Arial" w:cs="Arial" w:eastAsia="Arial" w:hAnsi="Arial"/>
                <w:sz w:val="14"/>
                <w:szCs w:val="14"/>
                <w:color w:val="auto"/>
              </w:rPr>
              <w:t>Debt of consolidated variable interest entities, at fair value</w:t>
            </w: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60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debt</w:t>
            </w:r>
          </w:p>
        </w:tc>
        <w:tc>
          <w:tcPr>
            <w:tcW w:w="2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90,462</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75,992</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TBA position, at cost</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1,820</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7,252</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43"/>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mortgage borrowings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92,282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83,244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 excludes $388 million of repurchase agreements used to fund purchases of U.S. Treasury securities as of September 30, 2019.</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tangible net book value "at risk" leverage was 9.8x and 9.0x as of September 30, 2019 and December 31, 2018, respectively, measured as the sum of our total mortgage borrowings and net payable / (receivable) for unsettled investment securities, divided by the sum of our total stockholders' equity adjusted to exclude goodwill.</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Repurchase Agreements</w:t>
      </w:r>
    </w:p>
    <w:p>
      <w:pPr>
        <w:spacing w:after="0" w:line="17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part of our investment strategy, we borrow against our investment portfolio pursuant to master repurchase agreements. We expect that the majority of our borrowings under repurchase agreements will have maturities ranging up to one year but may have terms ranging up to five years or longer. Borrowings with maturities greater than one year typically have floating rates of interest based on a short-term benchmark rate plus or minus a fixed spread.</w:t>
      </w:r>
    </w:p>
    <w:p>
      <w:pPr>
        <w:spacing w:after="0" w:line="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2019, we had $90.2 billion of repurchase agreements outstanding used to fund acquisitions of investment securities with a weighted average interest rate of 2.48% and a weighted average remaining days-to-maturity of 64 days, compared $75.7 billion, 2.79% and 49 days, respectively, as of December 31, 2018.</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 limit our counterparty exposure, we diversify our funding across multiple counterparties and by counterparty region. As of September 30, 2019, we had master repurchase agreements with 47 financial institutions located throughout North America, Europe and Asia, including counterparties accessed through our wholly-owned captive broker-dealer subsidiary, Bethesda Securities, LLC ("BES"). BES has direct access to bilateral and triparty funding, including the General Collateral Finance Repo service offered by the Fixed Income Clearing Corporation, or "FICC," which provides us greater depth and diversity of funding at favorable terms relative to traditional bilateral repurchase agreement funding. As of September 30, 2019, $36.1 billion of our repurchase agreement funding was sourced through BES.</w:t>
      </w:r>
    </w:p>
    <w:p>
      <w:pPr>
        <w:spacing w:after="0" w:line="1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table below includes a summary of our Agency RMBS repurchase agreement funding by number of repo counterparties and counterparty region as of September 30, 2019. For further details regarding our borrowings under repurchase agreements as of September 30, 2019, please refer to Notes 5 and 7 to our Consolidated Financial Statements in this Form 10-Q.</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2" w:right="239" w:bottom="1440" w:gutter="0" w:footer="0" w:header="0"/>
        </w:sectPr>
      </w:pPr>
    </w:p>
    <w:bookmarkStart w:id="42" w:name="page43"/>
    <w:bookmarkEnd w:id="42"/>
    <w:tbl>
      <w:tblPr>
        <w:tblLayout w:type="fixed"/>
        <w:tblInd w:w="272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Number of Counter-</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 Region</w:t>
            </w:r>
          </w:p>
        </w:tc>
        <w:tc>
          <w:tcPr>
            <w:tcW w:w="10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Repurchase</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Parties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Agreement Funding</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040" w:type="dxa"/>
            <w:vAlign w:val="bottom"/>
            <w:gridSpan w:val="2"/>
          </w:tcPr>
          <w:p>
            <w:pPr>
              <w:ind w:left="160"/>
              <w:spacing w:after="0"/>
              <w:rPr>
                <w:sz w:val="20"/>
                <w:szCs w:val="20"/>
                <w:color w:val="auto"/>
              </w:rPr>
            </w:pPr>
            <w:r>
              <w:rPr>
                <w:rFonts w:ascii="Arial" w:cs="Arial" w:eastAsia="Arial" w:hAnsi="Arial"/>
                <w:sz w:val="14"/>
                <w:szCs w:val="14"/>
                <w:color w:val="auto"/>
              </w:rPr>
              <w:t>FICC</w:t>
            </w:r>
          </w:p>
        </w:tc>
        <w:tc>
          <w:tcPr>
            <w:tcW w:w="142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39%</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27</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42%</w:t>
            </w:r>
          </w:p>
        </w:tc>
        <w:tc>
          <w:tcPr>
            <w:tcW w:w="0" w:type="dxa"/>
            <w:vAlign w:val="bottom"/>
          </w:tcPr>
          <w:p>
            <w:pPr>
              <w:spacing w:after="0"/>
              <w:rPr>
                <w:sz w:val="1"/>
                <w:szCs w:val="1"/>
                <w:color w:val="auto"/>
              </w:rPr>
            </w:pPr>
          </w:p>
        </w:tc>
      </w:tr>
      <w:tr>
        <w:trPr>
          <w:trHeight w:val="250"/>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Total North America</w:t>
            </w:r>
          </w:p>
        </w:tc>
        <w:tc>
          <w:tcPr>
            <w:tcW w:w="1420" w:type="dxa"/>
            <w:vAlign w:val="bottom"/>
          </w:tcPr>
          <w:p>
            <w:pPr>
              <w:jc w:val="center"/>
              <w:spacing w:after="0"/>
              <w:rPr>
                <w:sz w:val="20"/>
                <w:szCs w:val="20"/>
                <w:color w:val="auto"/>
              </w:rPr>
            </w:pPr>
            <w:r>
              <w:rPr>
                <w:rFonts w:ascii="Arial" w:cs="Arial" w:eastAsia="Arial" w:hAnsi="Arial"/>
                <w:sz w:val="14"/>
                <w:szCs w:val="14"/>
                <w:color w:val="auto"/>
                <w:w w:val="89"/>
              </w:rPr>
              <w:t>28</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81%</w:t>
            </w:r>
          </w:p>
        </w:tc>
        <w:tc>
          <w:tcPr>
            <w:tcW w:w="0" w:type="dxa"/>
            <w:vAlign w:val="bottom"/>
          </w:tcPr>
          <w:p>
            <w:pPr>
              <w:spacing w:after="0"/>
              <w:rPr>
                <w:sz w:val="1"/>
                <w:szCs w:val="1"/>
                <w:color w:val="auto"/>
              </w:rPr>
            </w:pPr>
          </w:p>
        </w:tc>
      </w:tr>
      <w:tr>
        <w:trPr>
          <w:trHeight w:val="27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Asia</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6%</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In addition, our counterparties apply a "haircut" to our pledged collateral, which means our collateral is valued at slightly less than market value. This haircut reflects the underlying risk of the specific collateral and protects our counterparty against a change in its value, but conversely subjects us to counterparty credit risk and limits the amount we can borrow against our investment securities. Our master repurchase agreements do not specify the haircut; rather haircuts are determined on an individual repurchase transaction basis. Throughout the nine months ended September 30, 2019, haircuts on our pledged collateral remained stable and, as of September 30, 2019, our weighted average haircut was approximately 4.2% of the value of our collateral, inclusive of collateral funded through BES. As of September 30, 2019, our maximum amount at risk (or the excess of the value of collateral pledged over our repurchase liabilities) with any counterparty related to our repurchase agreements, excluding the FICC, was less than 4% of our tangible stockholders' equity, with our top five repo counterparties, excluding the FICC, representing less than 13% of our tangible stockholders' equity. As of September 30, 2019, approximately 11% of our tangible stockholder's equity was at risk with the FICC. We could be exposed to credit risk if the FICC or an FICC netting member defaults on its obligations. However, we believe that the risk is minimal due to the FICC's initial and daily mark-to-market margin requirements, guarantee funds and other resources that are available in the event of a default.</w:t>
      </w:r>
    </w:p>
    <w:p>
      <w:pPr>
        <w:spacing w:after="0" w:line="12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may be required to pledge additional assets to our counterparties in the event the estimated fair value of the existing collateral pledged under our agreements declines and our counterparties demand additional collateral (a "margin call"), which may take the form of additional securities or cash. Specifically, margin calls would result from a decline in the fair value of our investment securities securing our repurchase agreements as well as due to prepayments on the mortgages securing such securities. Similarly, if the estimated fair value of our investment securities increases due to changes in interest rates or other factors, counterparties may release collateral back to us. Our repurchase agreements generally provide that the valuations of securities securing our repurchase agreements are to be obtained from a generally recognized source agreed to by the parties. In certain circumstances, however, our lenders have the sole discretion to determine the value of pledged collateral. In such instances, our lenders are required to act in good faith in making determinations of value. Our repurchase agreements generally provide that in the event of a margin call, we must provide additional securities or cash on the same business day that a margin call is made if the lender provides us notice prior to the margin notice deadline on such day.</w:t>
      </w:r>
    </w:p>
    <w:p>
      <w:pPr>
        <w:spacing w:after="0" w:line="11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September 30, 2019, we had met all of our margin requirements and we had unrestricted cash and cash equivalents of $0.9 billion and unpledged securities of approximately $3.6 billion, including securities pledged to us and unpledged interests in our consolidated VIEs, available to meet margin calls on our repurchase agreements and other funding liabilities, derivative instruments and for other corporate purposes.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Although we believe we will have adequate sources of liquidity available to us through repurchase agreement financing to execute our business strategy, there can be no assurances that repurchase agreement financing will be available to us upon the maturity of our current repurchase agreements to allow us to renew or replace our repurchase agreement financing on favorable terms or at all. If our repurchase agreement lenders default on their obligations to resell the underlying collateral back to us at the end of the term, we could incur a loss equal to the difference between the value of the collateral and the cash we originally received.</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The primary derivative instruments that we use are interest rate swaps, interest rate swaptions, U.S. Treasury securities and U.S. Treasury futures contracts. Please refer to Notes 3 and 6 to our Consolidated Financial Statements in this Form 10-Q for further details regarding our use of derivative instruments.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87" w:right="239" w:bottom="1440" w:gutter="0" w:footer="0" w:header="0"/>
        </w:sectPr>
      </w:pPr>
    </w:p>
    <w:bookmarkStart w:id="43" w:name="page44"/>
    <w:bookmarkEnd w:id="43"/>
    <w:p>
      <w:pPr>
        <w:jc w:val="both"/>
        <w:ind w:firstLine="432"/>
        <w:spacing w:after="0" w:line="270" w:lineRule="auto"/>
        <w:rPr>
          <w:sz w:val="20"/>
          <w:szCs w:val="20"/>
          <w:color w:val="auto"/>
        </w:rPr>
      </w:pPr>
      <w:r>
        <w:rPr>
          <w:rFonts w:ascii="Arial" w:cs="Arial" w:eastAsia="Arial" w:hAnsi="Arial"/>
          <w:sz w:val="17"/>
          <w:szCs w:val="17"/>
          <w:color w:val="auto"/>
        </w:rPr>
        <w:t>As with repurchase agreements, our derivative agreements typically require that we pledge/receive collateral to/from our counterparties. Our counterparties, or the central clearing agency, typically have the sole discretion to determine the value of the derivative instruments and the value of the collateral securing such instruments. In the event of a margin call, we must provide additional collateral generally on the same or next business day. We minimize counterparty credit risk associated with our derivative instruments by limiting our counterparties to registered central clearing exchanges and major financial institutions with acceptable credit ratings and by monitoring positions with individual counterparties. Excluding centrally cleared derivative instruments, as of September 30, 2019, our amount at risk with any counterparty related to our interest rate swap and swaption agreements was less than 1% of our stockholders' equity. In the case of centrally cleared derivative instruments, we could be exposed to credit risk if the exchange or a central clearing member defaults on its obligations. However, we believe that the risk is minimal due to initial and daily mark-to-market margin requirements, guarantee funds and other resources that are available in the event of a default.</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Dollar Roll Transactions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TBA dollar roll transactions used to finance the purchase of Agency RMBS represent a form of off-balance sheet financing accounted for as derivative instruments. (See Notes 3 and 6 to our Consolidated Financial Statements in this Form 10-Q additional details on of our TBA transactions). Under certain market conditions, it may be uneconomical for us to roll our TBA contracts into future months and we may need to take or make physical delivery of the underlying securities. If we were required to take physical delivery to settle a long TBA contract, we would have to fund our total purchase commitment with cash or other financing sources and our liquidity position could be negatively impacted. As of September 30, 2019, we had a net long TBA position with a total market value of $1.9 billion and a net carrying value of $47 million recognized in derivative assets/(liabilities), at fair value, on our Consolidated Balance Sheets in this Form 10-Q.</w:t>
      </w:r>
    </w:p>
    <w:p>
      <w:pPr>
        <w:spacing w:after="0" w:line="13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TBA dollar roll contracts are also subject to margin requirements governed by the Mortgage-Backed Securities Division ("MBSD") of the FICC and by our prime brokerage agreements, which may establish margin levels in excess of the MBSD. Such provisions require that we establish an initial margin based on the notional value of the TBA contract, which is subject to increase if the estimated fair value of our TBA contract or the estimated fair value of our pledged collateral declines. The MBSD has the sole discretion to determine the value of our TBA contracts and of the pledged collateral securing such contracts. In the event of a margin call, we must generally provide additional collateral on the same business day.</w:t>
      </w:r>
    </w:p>
    <w:p>
      <w:pPr>
        <w:spacing w:after="0" w:line="1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Bethesda Securities Regulatory Capital Requirements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BES is subject to regulations of the securities business that include but are not limited to trade practices, capital structure, recordkeeping and conduct of directors, officers and employees. As a self-clearing registered broker-dealer, BES is required to maintain minimum net regulatory capital as defined by SEC Rule 15c3-1 (the "Rule"). As of September 30, 2019, the minimum net capital required was $0.3 million and BES had excess net capital of $613.4 million. Regulatory capital in excess of the minimum required by the Rule is held to meet levels required by clearing organizations, the clearing bank and other repo counterparties.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 and TBA Eligible Securities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maintain a portfolio of highly liquid mortgage-backed securities. We may sell our Agency securities through the TBA market by delivering them into TBA contracts, subject to "good delivery" provisions promulgated by Securities Industry and Financial Markets Association ("SIFMA"). We may alternatively sell Agency securities that have more unique attributes on a specified basis when such securities trade at a premium over generic TBA securities or if the securities are not otherwise eligible for TBA delivery. Since the TBA market is the second most liquid market (after the U.S. Treasury market), maintaining a significant level of Agency securities eligible for TBA delivery enhances our liquidity profile and provides price support for our TBA eligible securities at or above generic TBA prices. As of September 30, 2019, approximately 95% of our fixed rate Agency RMBS portfolio was eligible for TBA delivery.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Capital</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To the extent we raise additional equity capital, we may use cash proceeds from such transactions to purchase additional investment securities, to make scheduled payments of principal and interest on our funding liabilities and/or for other general corporate purposes. There can be no assurance, however, that we will be able to raise additional equity capital at any particular time or on any particular terms. Furthermore, when the trading price of our common stock is less than our estimate of our current tangible net book value per common share, among other conditions, we may repurchase shares of our common stock. Please refer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6"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to Notes 10 and 11 to our Consolidated Financial Statements in this Form 10-Q for further details regarding equity capital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September 30, 2019,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September 30, 2019, we had not guaranteed obligations of unconsolidated entities or entered into a commitment or intent to provide funding to such entities.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This document contains forward-looking statements within the meaning of the Private Securities Litigation Reform Act of 1995. These forward-looking statements are based on estimates, projections, beliefs and assumptions of our management as of the date of this Quarterly Report on Form 10-Q and involve risks and uncertainties in predicting future results and conditions. Our actual performance could differ materially from those projected or anticipated in any forward looking statements due to a variety of factors, including, without limitation, changes in interest rates, the yield curve or prepayment rates; the availability and terms of financing; changes in the market value of our assets; the effectiveness of our risk mitigation strategies; conditions in the market for Agency and other mortgage securities; or legislative or regulatory changes that affect our status as a REIT or our exemption from the Investment Company Act of 1940 or that affect the GSE’s or secondary mortgage market in which we participate. A discussion of risks and uncertainties that could cause actual results to differ from any of our forward-looking statements is included in our most recent Annual Report on Form 10-K and this document under Item 1A. </w:t>
      </w:r>
      <w:r>
        <w:rPr>
          <w:rFonts w:ascii="Arial" w:cs="Arial" w:eastAsia="Arial" w:hAnsi="Arial"/>
          <w:sz w:val="17"/>
          <w:szCs w:val="17"/>
          <w:i w:val="1"/>
          <w:iCs w:val="1"/>
          <w:color w:val="auto"/>
        </w:rPr>
        <w:t>Risk Factors</w:t>
      </w:r>
      <w:r>
        <w:rPr>
          <w:rFonts w:ascii="Arial" w:cs="Arial" w:eastAsia="Arial" w:hAnsi="Arial"/>
          <w:sz w:val="17"/>
          <w:szCs w:val="17"/>
          <w:color w:val="auto"/>
        </w:rPr>
        <w:t>. We caution readers not to place undue reliance on our forward-looking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0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our investments will also differ from our expectations, which could reduce the effectiveness of our hedging strategies and may cause losses on such transactions and adversely affect our cash flow.</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duration and convexity of our assets using both a third-party risk management system and market data. We review the duration estimates from the third-party model and may make adjustments based on our judgment to better reflect any unique characteristics and market trading conventions associated with certain types of securities.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6" w:right="239" w:bottom="1440" w:gutter="0" w:footer="0" w:header="0"/>
        </w:sectPr>
      </w:pPr>
    </w:p>
    <w:bookmarkStart w:id="45" w:name="page46"/>
    <w:bookmarkEnd w:id="45"/>
    <w:p>
      <w:pPr>
        <w:jc w:val="both"/>
        <w:ind w:firstLine="432"/>
        <w:spacing w:after="0" w:line="257" w:lineRule="auto"/>
        <w:rPr>
          <w:sz w:val="20"/>
          <w:szCs w:val="20"/>
          <w:color w:val="auto"/>
        </w:rPr>
      </w:pPr>
      <w:r>
        <w:rPr>
          <w:rFonts w:ascii="Arial" w:cs="Arial" w:eastAsia="Arial" w:hAnsi="Arial"/>
          <w:sz w:val="18"/>
          <w:szCs w:val="18"/>
          <w:color w:val="auto"/>
        </w:rPr>
        <w:t>The table below quantifies the estimated changes in the fair value of our investment portfolio (including derivatives and other securities used for hedging purposes) and in our tangible net book value per common share as of September 30, 2019 and December 31, 2018 should interest rates go up or down by 50 and 100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September 30, 2019 and December 31, 2018.</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To the extent that these estimates or other assumptions do not hold true, which is likely in a period of high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23495</wp:posOffset>
            </wp:positionV>
            <wp:extent cx="5659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16"/>
                <w:szCs w:val="16"/>
                <w:color w:val="auto"/>
              </w:rPr>
            </w:pPr>
          </w:p>
        </w:tc>
        <w:tc>
          <w:tcPr>
            <w:tcW w:w="286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2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Estimated Change</w:t>
            </w:r>
          </w:p>
        </w:tc>
        <w:tc>
          <w:tcPr>
            <w:tcW w:w="15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1"/>
              </w:rPr>
              <w:t>Estimated Change</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Estimated Change</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Estimated Change in</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 Tangible Net</w:t>
            </w:r>
          </w:p>
        </w:tc>
        <w:tc>
          <w:tcPr>
            <w:tcW w:w="144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Tangible Net Book</w:t>
            </w:r>
          </w:p>
        </w:tc>
        <w:tc>
          <w:tcPr>
            <w:tcW w:w="0" w:type="dxa"/>
            <w:vAlign w:val="bottom"/>
          </w:tcPr>
          <w:p>
            <w:pPr>
              <w:spacing w:after="0"/>
              <w:rPr>
                <w:sz w:val="1"/>
                <w:szCs w:val="1"/>
                <w:color w:val="auto"/>
              </w:rPr>
            </w:pPr>
          </w:p>
        </w:tc>
      </w:tr>
      <w:tr>
        <w:trPr>
          <w:trHeight w:val="149"/>
        </w:trPr>
        <w:tc>
          <w:tcPr>
            <w:tcW w:w="2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80" w:type="dxa"/>
            <w:vAlign w:val="bottom"/>
            <w:vMerge w:val="restart"/>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in Portfolio Market</w:t>
            </w: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Book Value Per</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in Portfolio Market</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Value Per Common</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Share</w:t>
            </w:r>
          </w:p>
        </w:tc>
        <w:tc>
          <w:tcPr>
            <w:tcW w:w="1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-0.7%</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-8.1%</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-0.7%</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-7.3%</w:t>
            </w:r>
          </w:p>
        </w:tc>
        <w:tc>
          <w:tcPr>
            <w:tcW w:w="0" w:type="dxa"/>
            <w:vAlign w:val="bottom"/>
          </w:tcPr>
          <w:p>
            <w:pPr>
              <w:spacing w:after="0"/>
              <w:rPr>
                <w:sz w:val="1"/>
                <w:szCs w:val="1"/>
                <w:color w:val="auto"/>
              </w:rPr>
            </w:pPr>
          </w:p>
        </w:tc>
      </w:tr>
      <w:tr>
        <w:trPr>
          <w:trHeight w:val="264"/>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-0.2%</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-2.4%</w:t>
            </w:r>
          </w:p>
        </w:tc>
        <w:tc>
          <w:tcPr>
            <w:tcW w:w="1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-0.1%</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8"/>
              </w:rPr>
              <w:t>-1.0%</w:t>
            </w:r>
          </w:p>
        </w:tc>
        <w:tc>
          <w:tcPr>
            <w:tcW w:w="0" w:type="dxa"/>
            <w:vAlign w:val="bottom"/>
          </w:tcPr>
          <w:p>
            <w:pPr>
              <w:spacing w:after="0"/>
              <w:rPr>
                <w:sz w:val="1"/>
                <w:szCs w:val="1"/>
                <w:color w:val="auto"/>
              </w:rPr>
            </w:pPr>
          </w:p>
        </w:tc>
      </w:tr>
      <w:tr>
        <w:trPr>
          <w:trHeight w:val="276"/>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-0.2%</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-2.3%</w:t>
            </w: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-0.3%</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-3.1%</w:t>
            </w:r>
          </w:p>
        </w:tc>
        <w:tc>
          <w:tcPr>
            <w:tcW w:w="0" w:type="dxa"/>
            <w:vAlign w:val="bottom"/>
          </w:tcPr>
          <w:p>
            <w:pPr>
              <w:spacing w:after="0"/>
              <w:rPr>
                <w:sz w:val="1"/>
                <w:szCs w:val="1"/>
                <w:color w:val="auto"/>
              </w:rPr>
            </w:pP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-0.9%</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-9.8%</w:t>
            </w:r>
          </w:p>
        </w:tc>
        <w:tc>
          <w:tcPr>
            <w:tcW w:w="1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-0.9%</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8"/>
              </w:rPr>
              <w:t>-9.3%</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provided by third parties, assumes there are no changes in mortgage spreads and assumes a static portfolio. Actual results could differ materially from these estimates.</w:t>
      </w:r>
    </w:p>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Prepayment risk is the risk that our assets will be repaid at a faster rate than anticipated. Interest rates and numerous other factors affect the rate of prepayments, including housing prices, general economic conditions, loan age, size and loan-to-value ratios, and the pace of GSE buyouts of delinquent loans underlying our securities among other factors. Generally, prepayments increase during periods of falling mortgage interest rates and decrease during periods of rising mortgage interest rates. However, this may not always be the case.</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Extension risk is the risk that our assets will be repaid at a slower rate than anticipated and generally increases when interest rates rise. In which case, we may have to finance our investments at potentially higher costs without the ability to reinvest principal into higher yielding securities because borrowers prepay their mortgages at a slower pace than originally expected, adversely impacting our net interest spread, and thus our net interest income.</w:t>
      </w:r>
    </w:p>
    <w:p>
      <w:pPr>
        <w:spacing w:after="0" w:line="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2019 and December 31, 2018, our investment securities (excluding TBAs) had a weighted average projected CPR of 13.4% and 7.9%, respectively, and a weighted average yield of 3.08% and 3.31%, respectively. The table below presents estimated weighted average projected CPRs and yields for our investment securities should interest rates go up or down by 50 and 100 basis points.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6"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23495</wp:posOffset>
            </wp:positionV>
            <wp:extent cx="56172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17210" cy="8890"/>
                    </a:xfrm>
                    <a:prstGeom prst="rect">
                      <a:avLst/>
                    </a:prstGeom>
                    <a:noFill/>
                  </pic:spPr>
                </pic:pic>
              </a:graphicData>
            </a:graphic>
          </wp:anchor>
        </w:drawing>
      </w:r>
    </w:p>
    <w:p>
      <w:pPr>
        <w:spacing w:after="0" w:line="103"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16"/>
                <w:szCs w:val="16"/>
                <w:color w:val="auto"/>
              </w:rPr>
            </w:pPr>
          </w:p>
        </w:tc>
        <w:tc>
          <w:tcPr>
            <w:tcW w:w="276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80" w:type="dxa"/>
            <w:vAlign w:val="bottom"/>
            <w:vMerge w:val="restart"/>
          </w:tcPr>
          <w:p>
            <w:pPr>
              <w:spacing w:after="0"/>
              <w:rPr>
                <w:sz w:val="13"/>
                <w:szCs w:val="13"/>
                <w:color w:val="auto"/>
              </w:rPr>
            </w:pP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50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4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Projected CPR</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xml:space="preserve">Asset Yield </w:t>
            </w:r>
            <w:r>
              <w:rPr>
                <w:rFonts w:ascii="Arial" w:cs="Arial" w:eastAsia="Arial" w:hAnsi="Arial"/>
                <w:sz w:val="8"/>
                <w:szCs w:val="8"/>
                <w:b w:val="1"/>
                <w:bCs w:val="1"/>
                <w:color w:val="auto"/>
                <w:w w:val="90"/>
              </w:rPr>
              <w:t>2</w:t>
            </w:r>
          </w:p>
        </w:tc>
        <w:tc>
          <w:tcPr>
            <w:tcW w:w="1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Projected CPR</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xml:space="preserve">Asset Yield </w:t>
            </w:r>
            <w:r>
              <w:rPr>
                <w:rFonts w:ascii="Arial" w:cs="Arial" w:eastAsia="Arial" w:hAnsi="Arial"/>
                <w:sz w:val="8"/>
                <w:szCs w:val="8"/>
                <w:b w:val="1"/>
                <w:bCs w:val="1"/>
                <w:color w:val="auto"/>
                <w:w w:val="90"/>
              </w:rPr>
              <w:t>2</w:t>
            </w:r>
          </w:p>
        </w:tc>
        <w:tc>
          <w:tcPr>
            <w:tcW w:w="0" w:type="dxa"/>
            <w:vAlign w:val="bottom"/>
          </w:tcPr>
          <w:p>
            <w:pPr>
              <w:spacing w:after="0"/>
              <w:rPr>
                <w:sz w:val="1"/>
                <w:szCs w:val="1"/>
                <w:color w:val="auto"/>
              </w:rPr>
            </w:pPr>
          </w:p>
        </w:tc>
      </w:tr>
      <w:tr>
        <w:trPr>
          <w:trHeight w:val="256"/>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23.6%</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2.73%</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14.1%</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3.15%</w:t>
            </w:r>
          </w:p>
        </w:tc>
        <w:tc>
          <w:tcPr>
            <w:tcW w:w="0" w:type="dxa"/>
            <w:vAlign w:val="bottom"/>
          </w:tcPr>
          <w:p>
            <w:pPr>
              <w:spacing w:after="0"/>
              <w:rPr>
                <w:sz w:val="1"/>
                <w:szCs w:val="1"/>
                <w:color w:val="auto"/>
              </w:rPr>
            </w:pPr>
          </w:p>
        </w:tc>
      </w:tr>
      <w:tr>
        <w:trPr>
          <w:trHeight w:val="264"/>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18.5%</w:t>
            </w:r>
          </w:p>
        </w:tc>
        <w:tc>
          <w:tcPr>
            <w:tcW w:w="1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2.89%</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0"/>
              </w:rPr>
              <w:t>10.3%</w:t>
            </w:r>
          </w:p>
        </w:tc>
        <w:tc>
          <w:tcPr>
            <w:tcW w:w="12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3.25%</w:t>
            </w:r>
          </w:p>
        </w:tc>
        <w:tc>
          <w:tcPr>
            <w:tcW w:w="0" w:type="dxa"/>
            <w:vAlign w:val="bottom"/>
          </w:tcPr>
          <w:p>
            <w:pPr>
              <w:spacing w:after="0"/>
              <w:rPr>
                <w:sz w:val="1"/>
                <w:szCs w:val="1"/>
                <w:color w:val="auto"/>
              </w:rPr>
            </w:pPr>
          </w:p>
        </w:tc>
      </w:tr>
      <w:tr>
        <w:trPr>
          <w:trHeight w:val="276"/>
        </w:trPr>
        <w:tc>
          <w:tcPr>
            <w:tcW w:w="3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Actual as of Period End</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13.4%</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3.08%</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7.9%</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3.31%</w:t>
            </w:r>
          </w:p>
        </w:tc>
        <w:tc>
          <w:tcPr>
            <w:tcW w:w="0" w:type="dxa"/>
            <w:vAlign w:val="bottom"/>
          </w:tcPr>
          <w:p>
            <w:pPr>
              <w:spacing w:after="0"/>
              <w:rPr>
                <w:sz w:val="1"/>
                <w:szCs w:val="1"/>
                <w:color w:val="auto"/>
              </w:rPr>
            </w:pPr>
          </w:p>
        </w:tc>
      </w:tr>
      <w:tr>
        <w:trPr>
          <w:trHeight w:val="258"/>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9.4%</w:t>
            </w:r>
          </w:p>
        </w:tc>
        <w:tc>
          <w:tcPr>
            <w:tcW w:w="1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3.18%</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6.5%</w:t>
            </w:r>
          </w:p>
        </w:tc>
        <w:tc>
          <w:tcPr>
            <w:tcW w:w="12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3.33%</w:t>
            </w:r>
          </w:p>
        </w:tc>
        <w:tc>
          <w:tcPr>
            <w:tcW w:w="0" w:type="dxa"/>
            <w:vAlign w:val="bottom"/>
          </w:tcPr>
          <w:p>
            <w:pPr>
              <w:spacing w:after="0"/>
              <w:rPr>
                <w:sz w:val="1"/>
                <w:szCs w:val="1"/>
                <w:color w:val="auto"/>
              </w:rPr>
            </w:pPr>
          </w:p>
        </w:tc>
      </w:tr>
      <w:tr>
        <w:trPr>
          <w:trHeight w:val="270"/>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7.3%</w:t>
            </w:r>
          </w:p>
        </w:tc>
        <w:tc>
          <w:tcPr>
            <w:tcW w:w="10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3.24%</w:t>
            </w:r>
          </w:p>
        </w:tc>
        <w:tc>
          <w:tcPr>
            <w:tcW w:w="18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5.7%</w:t>
            </w:r>
          </w:p>
        </w:tc>
        <w:tc>
          <w:tcPr>
            <w:tcW w:w="12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3.38%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-163195</wp:posOffset>
            </wp:positionV>
            <wp:extent cx="561721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17210" cy="1714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provided by third parties and assumes a static portfolio. Actual results could differ materially from these estimates. Table excludes TBA securities.</w:t>
      </w:r>
    </w:p>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Asset yield based on historical cost basis and does not include the impact of retroactive "catch-up" premium amortization adjustments due to changes in projected CPR.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17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Spread risk is the risk that the market spread between the yield on our assets and the yield on benchmark interest rates linked to our interest rate hedges, such as U.S. Treasury rates and interest rate swap rates, may vary. The inherent spread risk associated with our investment securities and the resulting fluctuations in fair value of these securities can occur independent of interest rates and may relate to other factors impacting the mortgage and fixed income markets, such as actual or anticipated monetary policy actions by U.S. and foreign central banks, liquidity, or changes in required rates of return on different assets. Our strategies are generally not specifically designed to protect against spread risk, thus while we use interest rate swaps and other hedges to attempt to protect against moves in interest rates, our tangible net book value could decline if spreads widen.</w:t>
      </w:r>
    </w:p>
    <w:p>
      <w:pPr>
        <w:spacing w:after="0" w:line="12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table below quantifies the estimated changes in the fair value of our assets, net of hedges, and our tangible net book value per common share as of September 30, 2019 and December 31, 2018 should spreads widen or tighten by 10 and 25 basis points. The estimated impact of changes in spreads is in addition to our interest rate shock sensitivity included in the interest rate shock table above. The table below assumes a spread duration of 4.6 and 5.6 years as of September 30, 2019 and December 31, 2018,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Spread Sensitivity </w:t>
      </w:r>
      <w:r>
        <w:rPr>
          <w:rFonts w:ascii="Arial" w:cs="Arial" w:eastAsia="Arial" w:hAnsi="Arial"/>
          <w:sz w:val="8"/>
          <w:szCs w:val="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23495</wp:posOffset>
            </wp:positionV>
            <wp:extent cx="56597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16"/>
                <w:szCs w:val="16"/>
                <w:color w:val="auto"/>
              </w:rPr>
            </w:pPr>
          </w:p>
        </w:tc>
        <w:tc>
          <w:tcPr>
            <w:tcW w:w="278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Estimated Change</w:t>
            </w:r>
          </w:p>
        </w:tc>
        <w:tc>
          <w:tcPr>
            <w:tcW w:w="152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3"/>
              </w:rPr>
              <w:t>Estimated Change</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Estimated Change</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Estimated Change</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 Tangible Net</w:t>
            </w:r>
          </w:p>
        </w:tc>
        <w:tc>
          <w:tcPr>
            <w:tcW w:w="144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 Tangible Net</w:t>
            </w:r>
          </w:p>
        </w:tc>
        <w:tc>
          <w:tcPr>
            <w:tcW w:w="0" w:type="dxa"/>
            <w:vAlign w:val="bottom"/>
          </w:tcPr>
          <w:p>
            <w:pPr>
              <w:spacing w:after="0"/>
              <w:rPr>
                <w:sz w:val="1"/>
                <w:szCs w:val="1"/>
                <w:color w:val="auto"/>
              </w:rPr>
            </w:pPr>
          </w:p>
        </w:tc>
      </w:tr>
      <w:tr>
        <w:trPr>
          <w:trHeight w:val="149"/>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80" w:type="dxa"/>
            <w:vAlign w:val="bottom"/>
            <w:vMerge w:val="restart"/>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in Portfolio Market</w:t>
            </w: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Book Value Per</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in Portfolio Market</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Book Value Per</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Share</w:t>
            </w:r>
          </w:p>
        </w:tc>
        <w:tc>
          <w:tcPr>
            <w:tcW w:w="1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Share</w:t>
            </w:r>
          </w:p>
        </w:tc>
        <w:tc>
          <w:tcPr>
            <w:tcW w:w="0" w:type="dxa"/>
            <w:vAlign w:val="bottom"/>
          </w:tcPr>
          <w:p>
            <w:pPr>
              <w:spacing w:after="0"/>
              <w:rPr>
                <w:sz w:val="1"/>
                <w:szCs w:val="1"/>
                <w:color w:val="auto"/>
              </w:rPr>
            </w:pPr>
          </w:p>
        </w:tc>
      </w:tr>
      <w:tr>
        <w:trPr>
          <w:trHeight w:val="25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+1.2%</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+13.2%</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+14.3%</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40" w:type="dxa"/>
            <w:vAlign w:val="bottom"/>
          </w:tcPr>
          <w:p>
            <w:pPr>
              <w:jc w:val="center"/>
              <w:spacing w:after="0"/>
              <w:rPr>
                <w:sz w:val="20"/>
                <w:szCs w:val="20"/>
                <w:color w:val="auto"/>
              </w:rPr>
            </w:pPr>
            <w:r>
              <w:rPr>
                <w:rFonts w:ascii="Arial" w:cs="Arial" w:eastAsia="Arial" w:hAnsi="Arial"/>
                <w:sz w:val="14"/>
                <w:szCs w:val="14"/>
                <w:color w:val="auto"/>
                <w:w w:val="99"/>
              </w:rPr>
              <w:t>+0.5%</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+5.3%</w:t>
            </w:r>
          </w:p>
        </w:tc>
        <w:tc>
          <w:tcPr>
            <w:tcW w:w="1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+0.6%</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+5.7%</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-0.5%</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-5.3%</w:t>
            </w: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-0.6%</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-5.7%</w:t>
            </w:r>
          </w:p>
        </w:tc>
        <w:tc>
          <w:tcPr>
            <w:tcW w:w="0" w:type="dxa"/>
            <w:vAlign w:val="bottom"/>
          </w:tcPr>
          <w:p>
            <w:pPr>
              <w:spacing w:after="0"/>
              <w:rPr>
                <w:sz w:val="1"/>
                <w:szCs w:val="1"/>
                <w:color w:val="auto"/>
              </w:rPr>
            </w:pPr>
          </w:p>
        </w:tc>
      </w:tr>
      <w:tr>
        <w:trPr>
          <w:trHeight w:val="258"/>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-1.2%</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-13.2%</w:t>
            </w:r>
          </w:p>
        </w:tc>
        <w:tc>
          <w:tcPr>
            <w:tcW w:w="1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-1.4%</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-14.3%</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assumes there are no changes in interest rates and assumes a static portfolio. Actual results could differ materially from these estimates.</w:t>
      </w:r>
    </w:p>
    <w:p>
      <w:pPr>
        <w:ind w:left="660" w:hanging="328"/>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Our liquidity risk principally arises from financing long-term fixed rate assets with shorter-term variable rate borrowings. As of September 30, 2019, we had unrestricted cash and cash equivalents of $0.9 billion and unpledged securities of approximately $3.6 billion available to meet margin calls on our funding liabilities and derivative contracts and for other corporate purposes. However, should the value of our collateral or the value of our derivative instruments suddenly decrease, margin 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38" w:right="2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higher haircuts can reduce our ability to leverage our portfolio or even force us to sell assets, especially if correlated with asset price declines or faster prepayment rates on our assets.</w:t>
      </w:r>
    </w:p>
    <w:p>
      <w:pPr>
        <w:spacing w:after="0" w:line="11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we often utilize TBA dollar roll transactions to invest in and finance Agency RMBS. Under certain conditions it may be uneconomical to roll our TBA dollar roll transactions beyond the next settlement date and we could have to take physical delivery of the underlying securities and settle our obligations for cash, which could negatively impact our liquidity position, result in defaults or force us to sell assets under adverse conditions.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13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accept credit exposure related to our credit sensitive assets at levels we deem to be prudent within the context of our overall investment strategy. We attempt to manage this risk through prudent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monitor and adjust the amount of collateral pledged based on changes in market value.</w:t>
      </w:r>
    </w:p>
    <w:p>
      <w:pPr>
        <w:spacing w:after="0" w:line="1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is no guarantee that our efforts to manage credit risk will be successful and we could suffer losses if credit performance is worse than our expectations or our counterparties default on their obligations. Excluding amounts cleared through a central clearing exchange, as of September 30, 2019, our maximum amount at risk with any counterparty related to our repurchase agreements was less than 4% of our tangible stockholders' equity and less than 1% of tangible stockholders' equity related to our interest rate swap and swaption agreements.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3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September 30, 2019. Based on the foregoing, our Chief Executive Officer and Chief Financial Officer concluded that our disclosure controls and procedures were effective.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9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8"/>
          <w:szCs w:val="18"/>
          <w:color w:val="auto"/>
        </w:rPr>
        <w:t xml:space="preserve">The Company is a party to three stockholder derivative lawsuits filed against the Company, as nominal defendant, certain of our current and former directors and officers, and Ares Capital Corporation and certain of its affiliates as previously disclosed in our Annual Report on Form 10-K for the year ended December 31, 2018. On October 15, 2019, a hearing was held on the proposed settlement in the matter called </w:t>
      </w:r>
      <w:r>
        <w:rPr>
          <w:rFonts w:ascii="Arial" w:cs="Arial" w:eastAsia="Arial" w:hAnsi="Arial"/>
          <w:sz w:val="18"/>
          <w:szCs w:val="18"/>
          <w:i w:val="1"/>
          <w:iCs w:val="1"/>
          <w:color w:val="auto"/>
        </w:rPr>
        <w:t>H&amp;N Management Group &amp; Aff Cos. Frozen Money Pension Plan v. Couch, et al.</w:t>
      </w:r>
      <w:r>
        <w:rPr>
          <w:rFonts w:ascii="Arial" w:cs="Arial" w:eastAsia="Arial" w:hAnsi="Arial"/>
          <w:sz w:val="18"/>
          <w:szCs w:val="18"/>
          <w:color w:val="auto"/>
        </w:rPr>
        <w:t>, pending in the Chancery Court for the State of Delaware</w:t>
      </w:r>
      <w:r>
        <w:rPr>
          <w:rFonts w:ascii="Arial" w:cs="Arial" w:eastAsia="Arial" w:hAnsi="Arial"/>
          <w:sz w:val="18"/>
          <w:szCs w:val="18"/>
          <w:i w:val="1"/>
          <w:iCs w:val="1"/>
          <w:color w:val="auto"/>
        </w:rPr>
        <w:t xml:space="preserve"> </w:t>
      </w:r>
      <w:r>
        <w:rPr>
          <w:rFonts w:ascii="Arial" w:cs="Arial" w:eastAsia="Arial" w:hAnsi="Arial"/>
          <w:sz w:val="18"/>
          <w:szCs w:val="18"/>
          <w:color w:val="auto"/>
        </w:rPr>
        <w:t>(the “Delaware Court”) as described in the Company’s Quarterly Report on Form 10-Q for the period ended June 30, 2019. Under the terms of the settlement, as proposed, the Company would receive an aggregate settlement payment of $35.5 million on behalf of all defendants less amounts awarded by the Court for plaintiff attorneys’ fees, costs of providing notice and other costs awarded by the Court. The proposed settlement would also provide for a release of the Company and the defendants and certain of their respective affiliates from liability, subject to the terms and conditions of the settlement. At the hearing, the Delaware Court stated that the settlement will be approved on the terms as proposed, but that it would issue a final order to resolve a dispute among the plaintiffs’ attorneys regarding their respective entitlement to the attorneys’ fee award. The settlement is subject to, among other things, a final order issued by the Delaware Court and dismissal with prejudice of the two consolidated stockholder derivative lawsuits pending in the United States District Court for the District of Maryland.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There have been no material changes to the risk factors previously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58"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In July of 2019, our Board of Directors authorized the repurchase of up to $1 billion of our outstanding shares of common stock through December 31, 2020. As of September 30, 2019, we have repurchased $103 million of our common stock under the program. The following table presents information with respect to purchases of our common stock made during the three months ended September 30, 2019 by us or any "affiliated purchaser" of us, as defined in Rule 10b-18(a)(3) under the Exchange Act (in millions, except per share amounts):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Total Number of Shares</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Shares That May Yet Be</w:t>
            </w: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Total Number of Shares</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Average Net Price</w:t>
            </w: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3780" w:type="dxa"/>
            <w:vAlign w:val="bottom"/>
            <w:vMerge w:val="restart"/>
          </w:tcPr>
          <w:p>
            <w:pPr>
              <w:jc w:val="right"/>
              <w:ind w:right="1328"/>
              <w:spacing w:after="0"/>
              <w:rPr>
                <w:sz w:val="20"/>
                <w:szCs w:val="20"/>
                <w:color w:val="auto"/>
              </w:rPr>
            </w:pPr>
            <w:r>
              <w:rPr>
                <w:rFonts w:ascii="Arial" w:cs="Arial" w:eastAsia="Arial" w:hAnsi="Arial"/>
                <w:sz w:val="14"/>
                <w:szCs w:val="14"/>
                <w:b w:val="1"/>
                <w:bCs w:val="1"/>
                <w:color w:val="auto"/>
              </w:rPr>
              <w:t>Settlement Date</w:t>
            </w:r>
          </w:p>
        </w:tc>
        <w:tc>
          <w:tcPr>
            <w:tcW w:w="174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7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Publicly Announced</w:t>
            </w:r>
          </w:p>
        </w:tc>
        <w:tc>
          <w:tcPr>
            <w:tcW w:w="16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Publicly Announced</w:t>
            </w: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3780" w:type="dxa"/>
            <w:vAlign w:val="bottom"/>
            <w:tcBorders>
              <w:bottom w:val="single" w:sz="8" w:color="auto"/>
            </w:tcBorders>
            <w:vMerge w:val="continue"/>
          </w:tcPr>
          <w:p>
            <w:pPr>
              <w:spacing w:after="0"/>
              <w:rPr>
                <w:sz w:val="17"/>
                <w:szCs w:val="17"/>
                <w:color w:val="auto"/>
              </w:rPr>
            </w:pPr>
          </w:p>
        </w:tc>
        <w:tc>
          <w:tcPr>
            <w:tcW w:w="17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9"/>
              </w:rPr>
              <w:t>Purchased</w:t>
            </w:r>
          </w:p>
        </w:tc>
        <w:tc>
          <w:tcPr>
            <w:tcW w:w="13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Paid Per Share</w:t>
            </w:r>
          </w:p>
        </w:tc>
        <w:tc>
          <w:tcPr>
            <w:tcW w:w="1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 xml:space="preserve">Plans or Programs </w:t>
            </w:r>
            <w:r>
              <w:rPr>
                <w:rFonts w:ascii="Arial" w:cs="Arial" w:eastAsia="Arial" w:hAnsi="Arial"/>
                <w:sz w:val="8"/>
                <w:szCs w:val="8"/>
                <w:b w:val="1"/>
                <w:bCs w:val="1"/>
                <w:color w:val="auto"/>
                <w:w w:val="91"/>
              </w:rPr>
              <w:t>1</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0" w:type="dxa"/>
            <w:vAlign w:val="bottom"/>
          </w:tcPr>
          <w:p>
            <w:pPr>
              <w:spacing w:after="0"/>
              <w:rPr>
                <w:sz w:val="1"/>
                <w:szCs w:val="1"/>
                <w:color w:val="auto"/>
              </w:rPr>
            </w:pPr>
          </w:p>
        </w:tc>
      </w:tr>
      <w:tr>
        <w:trPr>
          <w:trHeight w:val="264"/>
        </w:trPr>
        <w:tc>
          <w:tcPr>
            <w:tcW w:w="620" w:type="dxa"/>
            <w:vAlign w:val="bottom"/>
          </w:tcPr>
          <w:p>
            <w:pPr>
              <w:spacing w:after="0"/>
              <w:rPr>
                <w:sz w:val="22"/>
                <w:szCs w:val="22"/>
                <w:color w:val="auto"/>
              </w:rPr>
            </w:pPr>
          </w:p>
        </w:tc>
        <w:tc>
          <w:tcPr>
            <w:tcW w:w="3780" w:type="dxa"/>
            <w:vAlign w:val="bottom"/>
            <w:shd w:val="clear" w:color="auto" w:fill="CCEEFF"/>
          </w:tcPr>
          <w:p>
            <w:pPr>
              <w:jc w:val="right"/>
              <w:ind w:right="1328"/>
              <w:spacing w:after="0"/>
              <w:rPr>
                <w:sz w:val="20"/>
                <w:szCs w:val="20"/>
                <w:color w:val="auto"/>
              </w:rPr>
            </w:pPr>
            <w:r>
              <w:rPr>
                <w:rFonts w:ascii="Arial" w:cs="Arial" w:eastAsia="Arial" w:hAnsi="Arial"/>
                <w:sz w:val="14"/>
                <w:szCs w:val="14"/>
                <w:color w:val="auto"/>
                <w:w w:val="91"/>
              </w:rPr>
              <w:t>September 3, 2019 - September 10, 2019</w:t>
            </w:r>
          </w:p>
        </w:tc>
        <w:tc>
          <w:tcPr>
            <w:tcW w:w="16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$14.90</w:t>
            </w:r>
          </w:p>
        </w:tc>
        <w:tc>
          <w:tcPr>
            <w:tcW w:w="100" w:type="dxa"/>
            <w:vAlign w:val="bottom"/>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6.9</w:t>
            </w:r>
          </w:p>
        </w:tc>
        <w:tc>
          <w:tcPr>
            <w:tcW w:w="120" w:type="dxa"/>
            <w:vAlign w:val="bottom"/>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3780" w:type="dxa"/>
            <w:vAlign w:val="bottom"/>
          </w:tcPr>
          <w:p>
            <w:pPr>
              <w:jc w:val="right"/>
              <w:ind w:right="3388"/>
              <w:spacing w:after="0"/>
              <w:rPr>
                <w:sz w:val="20"/>
                <w:szCs w:val="20"/>
                <w:color w:val="auto"/>
              </w:rPr>
            </w:pPr>
            <w:r>
              <w:rPr>
                <w:rFonts w:ascii="Arial" w:cs="Arial" w:eastAsia="Arial" w:hAnsi="Arial"/>
                <w:sz w:val="14"/>
                <w:szCs w:val="14"/>
                <w:color w:val="auto"/>
                <w:w w:val="96"/>
              </w:rPr>
              <w:t>Total</w:t>
            </w:r>
          </w:p>
        </w:tc>
        <w:tc>
          <w:tcPr>
            <w:tcW w:w="16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$14.90</w:t>
            </w:r>
          </w:p>
        </w:tc>
        <w:tc>
          <w:tcPr>
            <w:tcW w:w="100" w:type="dxa"/>
            <w:vAlign w:val="bottom"/>
          </w:tcPr>
          <w:p>
            <w:pPr>
              <w:spacing w:after="0"/>
              <w:rPr>
                <w:sz w:val="21"/>
                <w:szCs w:val="21"/>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6.9</w:t>
            </w:r>
          </w:p>
        </w:tc>
        <w:tc>
          <w:tcPr>
            <w:tcW w:w="120" w:type="dxa"/>
            <w:vAlign w:val="bottom"/>
          </w:tcPr>
          <w:p>
            <w:pPr>
              <w:spacing w:after="0"/>
              <w:rPr>
                <w:sz w:val="21"/>
                <w:szCs w:val="21"/>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jc w:val="right"/>
              <w:ind w:right="2868"/>
              <w:spacing w:after="0"/>
              <w:rPr>
                <w:sz w:val="20"/>
                <w:szCs w:val="20"/>
                <w:color w:val="auto"/>
              </w:rPr>
            </w:pPr>
            <w:r>
              <w:rPr>
                <w:rFonts w:ascii="Arial" w:cs="Arial" w:eastAsia="Arial" w:hAnsi="Arial"/>
                <w:sz w:val="11"/>
                <w:szCs w:val="11"/>
                <w:color w:val="auto"/>
                <w:w w:val="87"/>
              </w:rPr>
              <w:t>___________________________</w:t>
            </w: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40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All shares were purchased by us pursuant to the stock repurchase program described in Note 10 of our accompanying Consolidated Financial Statements in this Form 10-Q.</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0" w:right="239" w:bottom="1440" w:gutter="0" w:footer="0" w:header="0"/>
        </w:sectPr>
      </w:pPr>
    </w:p>
    <w:bookmarkStart w:id="50" w:name="page51"/>
    <w:bookmarkEnd w:id="50"/>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 Index</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2"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26">
        <w:r>
          <w:rPr>
            <w:rFonts w:ascii="Arial" w:cs="Arial" w:eastAsia="Arial" w:hAnsi="Arial"/>
            <w:sz w:val="18"/>
            <w:szCs w:val="18"/>
            <w:color w:val="auto"/>
          </w:rPr>
          <w:t>*3.1 AGNC Investment Corp. Amended and Restated Certificate of Incorporation, as amended, incorporated herein by reference</w:t>
        </w:r>
      </w:hyperlink>
      <w:r>
        <w:rPr>
          <w:rFonts w:ascii="Arial" w:cs="Arial" w:eastAsia="Arial" w:hAnsi="Arial"/>
          <w:sz w:val="18"/>
          <w:szCs w:val="18"/>
          <w:color w:val="auto"/>
        </w:rPr>
        <w:t xml:space="preserve"> </w:t>
      </w:r>
      <w:hyperlink r:id="rId26">
        <w:r>
          <w:rPr>
            <w:rFonts w:ascii="Arial" w:cs="Arial" w:eastAsia="Arial" w:hAnsi="Arial"/>
            <w:sz w:val="18"/>
            <w:szCs w:val="18"/>
            <w:color w:val="auto"/>
          </w:rPr>
          <w:t>to Exhibit 3.1 of Form 10-Q for the quarter ended March 31, 2018 (File No. 001-34057), filed May 7, 2018.</w:t>
        </w:r>
      </w:hyperlink>
    </w:p>
    <w:p>
      <w:pPr>
        <w:spacing w:after="0" w:line="116" w:lineRule="exact"/>
        <w:rPr>
          <w:sz w:val="20"/>
          <w:szCs w:val="20"/>
          <w:color w:val="auto"/>
        </w:rPr>
      </w:pPr>
    </w:p>
    <w:p>
      <w:pPr>
        <w:jc w:val="both"/>
        <w:ind w:left="1300" w:right="20" w:firstLine="648"/>
        <w:spacing w:after="0" w:line="277" w:lineRule="auto"/>
        <w:rPr>
          <w:rFonts w:ascii="Arial" w:cs="Arial" w:eastAsia="Arial" w:hAnsi="Arial"/>
          <w:sz w:val="18"/>
          <w:szCs w:val="18"/>
          <w:color w:val="auto"/>
        </w:rPr>
      </w:pPr>
      <w:hyperlink r:id="rId27">
        <w:r>
          <w:rPr>
            <w:rFonts w:ascii="Arial" w:cs="Arial" w:eastAsia="Arial" w:hAnsi="Arial"/>
            <w:sz w:val="18"/>
            <w:szCs w:val="18"/>
            <w:color w:val="auto"/>
          </w:rPr>
          <w:t>*3.2 AGNC Investment Corp. Third Amended and Restated Bylaws, as amended, incorporated herein by reference to Exhibit 3.2</w:t>
        </w:r>
      </w:hyperlink>
      <w:r>
        <w:rPr>
          <w:rFonts w:ascii="Arial" w:cs="Arial" w:eastAsia="Arial" w:hAnsi="Arial"/>
          <w:sz w:val="18"/>
          <w:szCs w:val="18"/>
          <w:color w:val="auto"/>
        </w:rPr>
        <w:t xml:space="preserve"> </w:t>
      </w:r>
      <w:hyperlink r:id="rId27">
        <w:r>
          <w:rPr>
            <w:rFonts w:ascii="Arial" w:cs="Arial" w:eastAsia="Arial" w:hAnsi="Arial"/>
            <w:sz w:val="18"/>
            <w:szCs w:val="18"/>
            <w:color w:val="auto"/>
          </w:rPr>
          <w:t>of Form 10-Q for the quarter ended September 30, 2016 (File No. 001-34057), filed November 7, 2016.</w:t>
        </w:r>
      </w:hyperlink>
    </w:p>
    <w:p>
      <w:pPr>
        <w:spacing w:after="0" w:line="116"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28">
        <w:r>
          <w:rPr>
            <w:rFonts w:ascii="Arial" w:cs="Arial" w:eastAsia="Arial" w:hAnsi="Arial"/>
            <w:sz w:val="18"/>
            <w:szCs w:val="18"/>
            <w:color w:val="auto"/>
          </w:rPr>
          <w:t>*3.3 Certificate of Designations of 7.750% Series B Cumulative Redeemable Preferred Stock, incorporated herein by reference</w:t>
        </w:r>
      </w:hyperlink>
      <w:r>
        <w:rPr>
          <w:rFonts w:ascii="Arial" w:cs="Arial" w:eastAsia="Arial" w:hAnsi="Arial"/>
          <w:sz w:val="18"/>
          <w:szCs w:val="18"/>
          <w:color w:val="auto"/>
        </w:rPr>
        <w:t xml:space="preserve"> </w:t>
      </w:r>
      <w:hyperlink r:id="rId28">
        <w:r>
          <w:rPr>
            <w:rFonts w:ascii="Arial" w:cs="Arial" w:eastAsia="Arial" w:hAnsi="Arial"/>
            <w:sz w:val="18"/>
            <w:szCs w:val="18"/>
            <w:color w:val="auto"/>
          </w:rPr>
          <w:t>to Exhibit 3.4 of Form 8-A (File No. 001-34057), filed May 7, 2014.</w:t>
        </w:r>
      </w:hyperlink>
    </w:p>
    <w:p>
      <w:pPr>
        <w:spacing w:after="0" w:line="116"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29">
        <w:r>
          <w:rPr>
            <w:rFonts w:ascii="Arial" w:cs="Arial" w:eastAsia="Arial" w:hAnsi="Arial"/>
            <w:sz w:val="18"/>
            <w:szCs w:val="18"/>
            <w:color w:val="auto"/>
          </w:rPr>
          <w:t>*3.4 Certificate of Designations of 7.00% Series C Fixed-to-Floating Rate Cumulative Redeemable Preferred Stock,</w:t>
        </w:r>
      </w:hyperlink>
      <w:r>
        <w:rPr>
          <w:rFonts w:ascii="Arial" w:cs="Arial" w:eastAsia="Arial" w:hAnsi="Arial"/>
          <w:sz w:val="18"/>
          <w:szCs w:val="18"/>
          <w:color w:val="auto"/>
        </w:rPr>
        <w:t xml:space="preserve"> </w:t>
      </w:r>
      <w:hyperlink r:id="rId29">
        <w:r>
          <w:rPr>
            <w:rFonts w:ascii="Arial" w:cs="Arial" w:eastAsia="Arial" w:hAnsi="Arial"/>
            <w:sz w:val="18"/>
            <w:szCs w:val="18"/>
            <w:color w:val="auto"/>
          </w:rPr>
          <w:t>incorporated herein by reference to Exhibit 3.5 of Form 8-A (File No. 001-34057), filed August 18, 2017.</w:t>
        </w:r>
      </w:hyperlink>
    </w:p>
    <w:p>
      <w:pPr>
        <w:spacing w:after="0" w:line="116"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30">
        <w:r>
          <w:rPr>
            <w:rFonts w:ascii="Arial" w:cs="Arial" w:eastAsia="Arial" w:hAnsi="Arial"/>
            <w:sz w:val="18"/>
            <w:szCs w:val="18"/>
            <w:color w:val="auto"/>
          </w:rPr>
          <w:t>*3.5 Certificate of Elimination of 8.000% Series A Cumulative Redeemable Preferred Stock, incorporated herein by reference to</w:t>
        </w:r>
      </w:hyperlink>
      <w:r>
        <w:rPr>
          <w:rFonts w:ascii="Arial" w:cs="Arial" w:eastAsia="Arial" w:hAnsi="Arial"/>
          <w:sz w:val="18"/>
          <w:szCs w:val="18"/>
          <w:color w:val="auto"/>
        </w:rPr>
        <w:t xml:space="preserve"> </w:t>
      </w:r>
      <w:hyperlink r:id="rId30">
        <w:r>
          <w:rPr>
            <w:rFonts w:ascii="Arial" w:cs="Arial" w:eastAsia="Arial" w:hAnsi="Arial"/>
            <w:sz w:val="18"/>
            <w:szCs w:val="18"/>
            <w:color w:val="auto"/>
          </w:rPr>
          <w:t>Exhibit 3.1 of Form 8-K (File No 001-34057), filed October 26, 2017.</w:t>
        </w:r>
      </w:hyperlink>
    </w:p>
    <w:p>
      <w:pPr>
        <w:spacing w:after="0" w:line="116"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31">
        <w:r>
          <w:rPr>
            <w:rFonts w:ascii="Arial" w:cs="Arial" w:eastAsia="Arial" w:hAnsi="Arial"/>
            <w:sz w:val="18"/>
            <w:szCs w:val="18"/>
            <w:color w:val="auto"/>
          </w:rPr>
          <w:t>*3.6 Certificate of Designations of 6.875% Series D Fixed-to-Floating Rate Cumulative Redeemable Preferred Stock,</w:t>
        </w:r>
      </w:hyperlink>
      <w:r>
        <w:rPr>
          <w:rFonts w:ascii="Arial" w:cs="Arial" w:eastAsia="Arial" w:hAnsi="Arial"/>
          <w:sz w:val="18"/>
          <w:szCs w:val="18"/>
          <w:color w:val="auto"/>
        </w:rPr>
        <w:t xml:space="preserve"> </w:t>
      </w:r>
      <w:hyperlink r:id="rId31">
        <w:r>
          <w:rPr>
            <w:rFonts w:ascii="Arial" w:cs="Arial" w:eastAsia="Arial" w:hAnsi="Arial"/>
            <w:sz w:val="18"/>
            <w:szCs w:val="18"/>
            <w:color w:val="auto"/>
          </w:rPr>
          <w:t>incorporated herein by reference to Exhibit 3.5 of Form 8-A (File No 001-34057), filed March 6, 2019.</w:t>
        </w:r>
      </w:hyperlink>
    </w:p>
    <w:p>
      <w:pPr>
        <w:spacing w:after="0" w:line="116"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32">
        <w:r>
          <w:rPr>
            <w:rFonts w:ascii="Arial" w:cs="Arial" w:eastAsia="Arial" w:hAnsi="Arial"/>
            <w:sz w:val="18"/>
            <w:szCs w:val="18"/>
            <w:color w:val="auto"/>
          </w:rPr>
          <w:t>*3.7 Certificate of Designations of 6.50% Series E Fixed-to-Floating Rate Cumulative Redeemable Preferred Stock, incorporated</w:t>
        </w:r>
      </w:hyperlink>
      <w:r>
        <w:rPr>
          <w:rFonts w:ascii="Arial" w:cs="Arial" w:eastAsia="Arial" w:hAnsi="Arial"/>
          <w:sz w:val="18"/>
          <w:szCs w:val="18"/>
          <w:color w:val="auto"/>
        </w:rPr>
        <w:t xml:space="preserve"> </w:t>
      </w:r>
      <w:hyperlink r:id="rId32">
        <w:r>
          <w:rPr>
            <w:rFonts w:ascii="Arial" w:cs="Arial" w:eastAsia="Arial" w:hAnsi="Arial"/>
            <w:sz w:val="18"/>
            <w:szCs w:val="18"/>
            <w:color w:val="auto"/>
          </w:rPr>
          <w:t>herein by reference to Exhibit 3.6 of Form 8-A (File No 001-34057), filed October 3, 2019.</w:t>
        </w:r>
      </w:hyperlink>
    </w:p>
    <w:p>
      <w:pPr>
        <w:spacing w:after="0" w:line="116" w:lineRule="exact"/>
        <w:rPr>
          <w:sz w:val="20"/>
          <w:szCs w:val="20"/>
          <w:color w:val="auto"/>
        </w:rPr>
      </w:pPr>
    </w:p>
    <w:p>
      <w:pPr>
        <w:jc w:val="both"/>
        <w:ind w:left="1300" w:firstLine="648"/>
        <w:spacing w:after="0" w:line="264" w:lineRule="auto"/>
        <w:rPr>
          <w:rFonts w:ascii="Arial" w:cs="Arial" w:eastAsia="Arial" w:hAnsi="Arial"/>
          <w:sz w:val="18"/>
          <w:szCs w:val="18"/>
          <w:color w:val="auto"/>
        </w:rPr>
      </w:pPr>
      <w:hyperlink r:id="rId26">
        <w:r>
          <w:rPr>
            <w:rFonts w:ascii="Arial" w:cs="Arial" w:eastAsia="Arial" w:hAnsi="Arial"/>
            <w:sz w:val="18"/>
            <w:szCs w:val="18"/>
            <w:color w:val="auto"/>
          </w:rPr>
          <w:t>*4.1 Instruments defining the rights of holders of securities: See Article IV of our Amended and Restated Certificate of</w:t>
        </w:r>
      </w:hyperlink>
      <w:r>
        <w:rPr>
          <w:rFonts w:ascii="Arial" w:cs="Arial" w:eastAsia="Arial" w:hAnsi="Arial"/>
          <w:sz w:val="18"/>
          <w:szCs w:val="18"/>
          <w:color w:val="auto"/>
        </w:rPr>
        <w:t xml:space="preserve"> </w:t>
      </w:r>
      <w:hyperlink r:id="rId26">
        <w:r>
          <w:rPr>
            <w:rFonts w:ascii="Arial" w:cs="Arial" w:eastAsia="Arial" w:hAnsi="Arial"/>
            <w:sz w:val="18"/>
            <w:szCs w:val="18"/>
            <w:color w:val="auto"/>
          </w:rPr>
          <w:t>Incorporation, as amended, incorporated herein by reference to Exhibit 3.1 of Form 10-Q for the quarter ended March 31, 2018 (File No.</w:t>
        </w:r>
      </w:hyperlink>
      <w:r>
        <w:rPr>
          <w:rFonts w:ascii="Arial" w:cs="Arial" w:eastAsia="Arial" w:hAnsi="Arial"/>
          <w:sz w:val="18"/>
          <w:szCs w:val="18"/>
          <w:color w:val="auto"/>
        </w:rPr>
        <w:t xml:space="preserve"> </w:t>
      </w:r>
      <w:hyperlink r:id="rId26">
        <w:r>
          <w:rPr>
            <w:rFonts w:ascii="Arial" w:cs="Arial" w:eastAsia="Arial" w:hAnsi="Arial"/>
            <w:sz w:val="18"/>
            <w:szCs w:val="18"/>
            <w:color w:val="auto"/>
          </w:rPr>
          <w:t>001-34057) filed May 7, 2018.</w:t>
        </w:r>
      </w:hyperlink>
    </w:p>
    <w:p>
      <w:pPr>
        <w:spacing w:after="0" w:line="127" w:lineRule="exact"/>
        <w:rPr>
          <w:rFonts w:ascii="Arial" w:cs="Arial" w:eastAsia="Arial" w:hAnsi="Arial"/>
          <w:sz w:val="18"/>
          <w:szCs w:val="18"/>
          <w:color w:val="auto"/>
        </w:rPr>
      </w:pPr>
    </w:p>
    <w:p>
      <w:pPr>
        <w:jc w:val="both"/>
        <w:ind w:left="1300" w:firstLine="648"/>
        <w:spacing w:after="0" w:line="264" w:lineRule="auto"/>
        <w:rPr>
          <w:rFonts w:ascii="Arial" w:cs="Arial" w:eastAsia="Arial" w:hAnsi="Arial"/>
          <w:sz w:val="18"/>
          <w:szCs w:val="18"/>
          <w:color w:val="auto"/>
        </w:rPr>
      </w:pPr>
      <w:hyperlink r:id="rId27">
        <w:r>
          <w:rPr>
            <w:rFonts w:ascii="Arial" w:cs="Arial" w:eastAsia="Arial" w:hAnsi="Arial"/>
            <w:sz w:val="18"/>
            <w:szCs w:val="18"/>
            <w:color w:val="auto"/>
          </w:rPr>
          <w:t>*4.2 Instruments defining the rights of holders of securities: See Article VI of our Third Amended and Restated Bylaws, as</w:t>
        </w:r>
      </w:hyperlink>
      <w:r>
        <w:rPr>
          <w:rFonts w:ascii="Arial" w:cs="Arial" w:eastAsia="Arial" w:hAnsi="Arial"/>
          <w:sz w:val="18"/>
          <w:szCs w:val="18"/>
          <w:color w:val="auto"/>
        </w:rPr>
        <w:t xml:space="preserve"> </w:t>
      </w:r>
      <w:hyperlink r:id="rId27">
        <w:r>
          <w:rPr>
            <w:rFonts w:ascii="Arial" w:cs="Arial" w:eastAsia="Arial" w:hAnsi="Arial"/>
            <w:sz w:val="18"/>
            <w:szCs w:val="18"/>
            <w:color w:val="auto"/>
          </w:rPr>
          <w:t>amended, incorporated herein by reference to Exhibit 3.2 of Form 10-Q for the quarter ended September 30, 2016 (File No. 001-34057)</w:t>
        </w:r>
      </w:hyperlink>
      <w:r>
        <w:rPr>
          <w:rFonts w:ascii="Arial" w:cs="Arial" w:eastAsia="Arial" w:hAnsi="Arial"/>
          <w:sz w:val="18"/>
          <w:szCs w:val="18"/>
          <w:color w:val="auto"/>
        </w:rPr>
        <w:t xml:space="preserve"> </w:t>
      </w:r>
      <w:hyperlink r:id="rId27">
        <w:r>
          <w:rPr>
            <w:rFonts w:ascii="Arial" w:cs="Arial" w:eastAsia="Arial" w:hAnsi="Arial"/>
            <w:sz w:val="18"/>
            <w:szCs w:val="18"/>
            <w:color w:val="auto"/>
          </w:rPr>
          <w:t>filed November 7, 2016.</w:t>
        </w:r>
      </w:hyperlink>
    </w:p>
    <w:p>
      <w:pPr>
        <w:spacing w:after="0" w:line="127" w:lineRule="exact"/>
        <w:rPr>
          <w:rFonts w:ascii="Arial" w:cs="Arial" w:eastAsia="Arial" w:hAnsi="Arial"/>
          <w:sz w:val="18"/>
          <w:szCs w:val="18"/>
          <w:color w:val="auto"/>
        </w:rPr>
      </w:pPr>
    </w:p>
    <w:p>
      <w:pPr>
        <w:jc w:val="both"/>
        <w:ind w:left="1300" w:firstLine="648"/>
        <w:spacing w:after="0" w:line="277" w:lineRule="auto"/>
        <w:rPr>
          <w:rFonts w:ascii="Arial" w:cs="Arial" w:eastAsia="Arial" w:hAnsi="Arial"/>
          <w:sz w:val="18"/>
          <w:szCs w:val="18"/>
          <w:color w:val="auto"/>
        </w:rPr>
      </w:pPr>
      <w:hyperlink r:id="rId33">
        <w:r>
          <w:rPr>
            <w:rFonts w:ascii="Arial" w:cs="Arial" w:eastAsia="Arial" w:hAnsi="Arial"/>
            <w:sz w:val="18"/>
            <w:szCs w:val="18"/>
            <w:color w:val="auto"/>
          </w:rPr>
          <w:t>*4.3 Form of Certificate for Common Stock, incorporated herein by reference to Exhibit 4.3 of Form 10-Q for the quarter ended</w:t>
        </w:r>
      </w:hyperlink>
      <w:r>
        <w:rPr>
          <w:rFonts w:ascii="Arial" w:cs="Arial" w:eastAsia="Arial" w:hAnsi="Arial"/>
          <w:sz w:val="18"/>
          <w:szCs w:val="18"/>
          <w:color w:val="auto"/>
        </w:rPr>
        <w:t xml:space="preserve"> </w:t>
      </w:r>
      <w:hyperlink r:id="rId33">
        <w:r>
          <w:rPr>
            <w:rFonts w:ascii="Arial" w:cs="Arial" w:eastAsia="Arial" w:hAnsi="Arial"/>
            <w:sz w:val="18"/>
            <w:szCs w:val="18"/>
            <w:color w:val="auto"/>
          </w:rPr>
          <w:t>September 30, 2016 (File No. 001-34057), filed November 7, 2016.</w:t>
        </w:r>
      </w:hyperlink>
    </w:p>
    <w:p>
      <w:pPr>
        <w:spacing w:after="0" w:line="116" w:lineRule="exact"/>
        <w:rPr>
          <w:sz w:val="20"/>
          <w:szCs w:val="20"/>
          <w:color w:val="auto"/>
        </w:rPr>
      </w:pPr>
    </w:p>
    <w:p>
      <w:pPr>
        <w:ind w:left="1960"/>
        <w:spacing w:after="0"/>
        <w:tabs>
          <w:tab w:leader="none" w:pos="2420" w:val="left"/>
        </w:tabs>
        <w:rPr>
          <w:rFonts w:ascii="Arial" w:cs="Arial" w:eastAsia="Arial" w:hAnsi="Arial"/>
          <w:sz w:val="16"/>
          <w:szCs w:val="16"/>
          <w:color w:val="auto"/>
        </w:rPr>
      </w:pPr>
      <w:hyperlink r:id="rId34">
        <w:r>
          <w:rPr>
            <w:rFonts w:ascii="Arial" w:cs="Arial" w:eastAsia="Arial" w:hAnsi="Arial"/>
            <w:sz w:val="18"/>
            <w:szCs w:val="18"/>
            <w:color w:val="auto"/>
          </w:rPr>
          <w:t>*4.4</w:t>
        </w:r>
      </w:hyperlink>
      <w:r>
        <w:rPr>
          <w:rFonts w:ascii="Arial" w:cs="Arial" w:eastAsia="Arial" w:hAnsi="Arial"/>
          <w:sz w:val="18"/>
          <w:szCs w:val="18"/>
          <w:color w:val="auto"/>
        </w:rPr>
        <w:tab/>
      </w:r>
      <w:hyperlink r:id="rId34">
        <w:r>
          <w:rPr>
            <w:rFonts w:ascii="Arial" w:cs="Arial" w:eastAsia="Arial" w:hAnsi="Arial"/>
            <w:sz w:val="16"/>
            <w:szCs w:val="16"/>
            <w:color w:val="auto"/>
          </w:rPr>
          <w:t>Specimen 7.750% Series B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34">
        <w:r>
          <w:rPr>
            <w:rFonts w:ascii="Arial" w:cs="Arial" w:eastAsia="Arial" w:hAnsi="Arial"/>
            <w:sz w:val="18"/>
            <w:szCs w:val="18"/>
            <w:color w:val="auto"/>
          </w:rPr>
          <w:t>4.1 of Form 8-A (File No. 001-34057), filed May 7, 2014.</w:t>
        </w:r>
      </w:hyperlink>
    </w:p>
    <w:p>
      <w:pPr>
        <w:spacing w:after="0" w:line="157"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35">
        <w:r>
          <w:rPr>
            <w:rFonts w:ascii="Arial" w:cs="Arial" w:eastAsia="Arial" w:hAnsi="Arial"/>
            <w:sz w:val="18"/>
            <w:szCs w:val="18"/>
            <w:color w:val="auto"/>
          </w:rPr>
          <w:t>*4.5 Specimen 7.00% Series C Fixed-to-Floating Rate Cumulative Redeemable Preferred Stock Certificate, incorporated herein</w:t>
        </w:r>
      </w:hyperlink>
      <w:r>
        <w:rPr>
          <w:rFonts w:ascii="Arial" w:cs="Arial" w:eastAsia="Arial" w:hAnsi="Arial"/>
          <w:sz w:val="18"/>
          <w:szCs w:val="18"/>
          <w:color w:val="auto"/>
        </w:rPr>
        <w:t xml:space="preserve"> </w:t>
      </w:r>
      <w:hyperlink r:id="rId35">
        <w:r>
          <w:rPr>
            <w:rFonts w:ascii="Arial" w:cs="Arial" w:eastAsia="Arial" w:hAnsi="Arial"/>
            <w:sz w:val="18"/>
            <w:szCs w:val="18"/>
            <w:color w:val="auto"/>
          </w:rPr>
          <w:t>by reference to Exhibit 4.1 of Form 8-A (File No. 001-34057), filed August 18, 2017.</w:t>
        </w:r>
      </w:hyperlink>
    </w:p>
    <w:p>
      <w:pPr>
        <w:spacing w:after="0" w:line="116" w:lineRule="exact"/>
        <w:rPr>
          <w:sz w:val="20"/>
          <w:szCs w:val="20"/>
          <w:color w:val="auto"/>
        </w:rPr>
      </w:pPr>
    </w:p>
    <w:p>
      <w:pPr>
        <w:jc w:val="both"/>
        <w:ind w:left="1300" w:right="20" w:firstLine="648"/>
        <w:spacing w:after="0" w:line="277" w:lineRule="auto"/>
        <w:rPr>
          <w:rFonts w:ascii="Arial" w:cs="Arial" w:eastAsia="Arial" w:hAnsi="Arial"/>
          <w:sz w:val="18"/>
          <w:szCs w:val="18"/>
          <w:color w:val="auto"/>
        </w:rPr>
      </w:pPr>
      <w:hyperlink r:id="rId36">
        <w:r>
          <w:rPr>
            <w:rFonts w:ascii="Arial" w:cs="Arial" w:eastAsia="Arial" w:hAnsi="Arial"/>
            <w:sz w:val="18"/>
            <w:szCs w:val="18"/>
            <w:color w:val="auto"/>
          </w:rPr>
          <w:t>*4.6 Specimen 6.875% Series D Fixed-to-Floating Rate Cumulative Redeemable Preferred Stock Certificate, incorporated herein</w:t>
        </w:r>
      </w:hyperlink>
      <w:r>
        <w:rPr>
          <w:rFonts w:ascii="Arial" w:cs="Arial" w:eastAsia="Arial" w:hAnsi="Arial"/>
          <w:sz w:val="18"/>
          <w:szCs w:val="18"/>
          <w:color w:val="auto"/>
        </w:rPr>
        <w:t xml:space="preserve"> </w:t>
      </w:r>
      <w:hyperlink r:id="rId36">
        <w:r>
          <w:rPr>
            <w:rFonts w:ascii="Arial" w:cs="Arial" w:eastAsia="Arial" w:hAnsi="Arial"/>
            <w:sz w:val="18"/>
            <w:szCs w:val="18"/>
            <w:color w:val="auto"/>
          </w:rPr>
          <w:t>by reference to Exhibit 4.1 of Form 8-A (File No. 001-34057), filed March 6, 2019.</w:t>
        </w:r>
      </w:hyperlink>
    </w:p>
    <w:p>
      <w:pPr>
        <w:spacing w:after="0" w:line="116"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37">
        <w:r>
          <w:rPr>
            <w:rFonts w:ascii="Arial" w:cs="Arial" w:eastAsia="Arial" w:hAnsi="Arial"/>
            <w:sz w:val="18"/>
            <w:szCs w:val="18"/>
            <w:color w:val="auto"/>
          </w:rPr>
          <w:t>*4.7 Specimen 6.50% Series E Fixed-to-Floating Rate Cumulative Redeemable Preferred Stock Certificate, incorporated herein</w:t>
        </w:r>
      </w:hyperlink>
      <w:r>
        <w:rPr>
          <w:rFonts w:ascii="Arial" w:cs="Arial" w:eastAsia="Arial" w:hAnsi="Arial"/>
          <w:sz w:val="18"/>
          <w:szCs w:val="18"/>
          <w:color w:val="auto"/>
        </w:rPr>
        <w:t xml:space="preserve"> </w:t>
      </w:r>
      <w:hyperlink r:id="rId37">
        <w:r>
          <w:rPr>
            <w:rFonts w:ascii="Arial" w:cs="Arial" w:eastAsia="Arial" w:hAnsi="Arial"/>
            <w:sz w:val="18"/>
            <w:szCs w:val="18"/>
            <w:color w:val="auto"/>
          </w:rPr>
          <w:t>by reference to Exhibit 4.1 of Form 8-A (File No. 001-34057), filed October 3, 2019.</w:t>
        </w:r>
      </w:hyperlink>
    </w:p>
    <w:p>
      <w:pPr>
        <w:spacing w:after="0" w:line="116" w:lineRule="exact"/>
        <w:rPr>
          <w:sz w:val="20"/>
          <w:szCs w:val="20"/>
          <w:color w:val="auto"/>
        </w:rPr>
      </w:pPr>
    </w:p>
    <w:p>
      <w:pPr>
        <w:jc w:val="both"/>
        <w:ind w:left="1300" w:firstLine="648"/>
        <w:spacing w:after="0" w:line="264" w:lineRule="auto"/>
        <w:rPr>
          <w:rFonts w:ascii="Arial" w:cs="Arial" w:eastAsia="Arial" w:hAnsi="Arial"/>
          <w:sz w:val="18"/>
          <w:szCs w:val="18"/>
          <w:color w:val="auto"/>
        </w:rPr>
      </w:pPr>
      <w:hyperlink r:id="rId38">
        <w:r>
          <w:rPr>
            <w:rFonts w:ascii="Arial" w:cs="Arial" w:eastAsia="Arial" w:hAnsi="Arial"/>
            <w:sz w:val="18"/>
            <w:szCs w:val="18"/>
            <w:color w:val="auto"/>
          </w:rPr>
          <w:t>*4.8Deposit Agreement relating to 7.750% Series B Cumulative Redeemable Preferred Stock, dated May 8, 2014, among</w:t>
        </w:r>
      </w:hyperlink>
      <w:r>
        <w:rPr>
          <w:rFonts w:ascii="Arial" w:cs="Arial" w:eastAsia="Arial" w:hAnsi="Arial"/>
          <w:sz w:val="18"/>
          <w:szCs w:val="18"/>
          <w:color w:val="auto"/>
        </w:rPr>
        <w:t xml:space="preserve"> </w:t>
      </w:r>
      <w:hyperlink r:id="rId38">
        <w:r>
          <w:rPr>
            <w:rFonts w:ascii="Arial" w:cs="Arial" w:eastAsia="Arial" w:hAnsi="Arial"/>
            <w:sz w:val="18"/>
            <w:szCs w:val="18"/>
            <w:color w:val="auto"/>
          </w:rPr>
          <w:t>American Capital Agency Corp., Computershare Inc. and Computershare Trust Company, N.A., jointly as depositary, incorporated herein</w:t>
        </w:r>
      </w:hyperlink>
      <w:r>
        <w:rPr>
          <w:rFonts w:ascii="Arial" w:cs="Arial" w:eastAsia="Arial" w:hAnsi="Arial"/>
          <w:sz w:val="18"/>
          <w:szCs w:val="18"/>
          <w:color w:val="auto"/>
        </w:rPr>
        <w:t xml:space="preserve"> </w:t>
      </w:r>
      <w:hyperlink r:id="rId38">
        <w:r>
          <w:rPr>
            <w:rFonts w:ascii="Arial" w:cs="Arial" w:eastAsia="Arial" w:hAnsi="Arial"/>
            <w:sz w:val="18"/>
            <w:szCs w:val="18"/>
            <w:color w:val="auto"/>
          </w:rPr>
          <w:t>by reference to Exhibit 4.2 of Form 8-K (File No. 001-34057), filed May 8, 2014.</w:t>
        </w:r>
      </w:hyperlink>
    </w:p>
    <w:p>
      <w:pPr>
        <w:spacing w:after="0" w:line="127" w:lineRule="exact"/>
        <w:rPr>
          <w:rFonts w:ascii="Arial" w:cs="Arial" w:eastAsia="Arial" w:hAnsi="Arial"/>
          <w:sz w:val="18"/>
          <w:szCs w:val="18"/>
          <w:color w:val="auto"/>
        </w:rPr>
      </w:pPr>
    </w:p>
    <w:p>
      <w:pPr>
        <w:jc w:val="both"/>
        <w:ind w:left="1300" w:firstLine="648"/>
        <w:spacing w:after="0" w:line="264" w:lineRule="auto"/>
        <w:rPr>
          <w:rFonts w:ascii="Arial" w:cs="Arial" w:eastAsia="Arial" w:hAnsi="Arial"/>
          <w:sz w:val="18"/>
          <w:szCs w:val="18"/>
          <w:color w:val="auto"/>
        </w:rPr>
      </w:pPr>
      <w:hyperlink r:id="rId38">
        <w:r>
          <w:rPr>
            <w:rFonts w:ascii="Arial" w:cs="Arial" w:eastAsia="Arial" w:hAnsi="Arial"/>
            <w:sz w:val="18"/>
            <w:szCs w:val="18"/>
            <w:color w:val="auto"/>
          </w:rPr>
          <w:t>*4.9 Form of Depositary Receipt representing 1/1,000th of a share of 7.750% Series B Cumulative Redeemable Preferred Stock</w:t>
        </w:r>
      </w:hyperlink>
      <w:r>
        <w:rPr>
          <w:rFonts w:ascii="Arial" w:cs="Arial" w:eastAsia="Arial" w:hAnsi="Arial"/>
          <w:sz w:val="18"/>
          <w:szCs w:val="18"/>
          <w:color w:val="auto"/>
        </w:rPr>
        <w:t xml:space="preserve"> </w:t>
      </w:r>
      <w:hyperlink r:id="rId38">
        <w:r>
          <w:rPr>
            <w:rFonts w:ascii="Arial" w:cs="Arial" w:eastAsia="Arial" w:hAnsi="Arial"/>
            <w:sz w:val="18"/>
            <w:szCs w:val="18"/>
            <w:color w:val="auto"/>
          </w:rPr>
          <w:t>(included as part of Exhibit 4.7), incorporated herein by reference to Exhibit A of Exhibit 4.2 of Form 8-K (File No. 001-34057), filed May</w:t>
        </w:r>
      </w:hyperlink>
      <w:r>
        <w:rPr>
          <w:rFonts w:ascii="Arial" w:cs="Arial" w:eastAsia="Arial" w:hAnsi="Arial"/>
          <w:sz w:val="18"/>
          <w:szCs w:val="18"/>
          <w:color w:val="auto"/>
        </w:rPr>
        <w:t xml:space="preserve"> </w:t>
      </w:r>
      <w:hyperlink r:id="rId38">
        <w:r>
          <w:rPr>
            <w:rFonts w:ascii="Arial" w:cs="Arial" w:eastAsia="Arial" w:hAnsi="Arial"/>
            <w:sz w:val="18"/>
            <w:szCs w:val="18"/>
            <w:color w:val="auto"/>
          </w:rPr>
          <w:t>8, 2014.</w:t>
        </w:r>
      </w:hyperlink>
    </w:p>
    <w:p>
      <w:pPr>
        <w:spacing w:after="0" w:line="127" w:lineRule="exact"/>
        <w:rPr>
          <w:rFonts w:ascii="Arial" w:cs="Arial" w:eastAsia="Arial" w:hAnsi="Arial"/>
          <w:sz w:val="18"/>
          <w:szCs w:val="18"/>
          <w:color w:val="auto"/>
        </w:rPr>
      </w:pPr>
    </w:p>
    <w:p>
      <w:pPr>
        <w:jc w:val="both"/>
        <w:ind w:left="1300" w:firstLine="648"/>
        <w:spacing w:after="0" w:line="277" w:lineRule="auto"/>
        <w:rPr>
          <w:rFonts w:ascii="Arial" w:cs="Arial" w:eastAsia="Arial" w:hAnsi="Arial"/>
          <w:sz w:val="18"/>
          <w:szCs w:val="18"/>
          <w:color w:val="auto"/>
        </w:rPr>
      </w:pPr>
      <w:hyperlink r:id="rId39">
        <w:r>
          <w:rPr>
            <w:rFonts w:ascii="Arial" w:cs="Arial" w:eastAsia="Arial" w:hAnsi="Arial"/>
            <w:sz w:val="18"/>
            <w:szCs w:val="18"/>
            <w:color w:val="auto"/>
          </w:rPr>
          <w:t>*4.10Deposit Agreement relating to 7.00% Series C Fixed-to-Floating Rate Cumulative Redeemable Preferred Stock, dated</w:t>
        </w:r>
      </w:hyperlink>
      <w:r>
        <w:rPr>
          <w:rFonts w:ascii="Arial" w:cs="Arial" w:eastAsia="Arial" w:hAnsi="Arial"/>
          <w:sz w:val="18"/>
          <w:szCs w:val="18"/>
          <w:color w:val="auto"/>
        </w:rPr>
        <w:t xml:space="preserve"> </w:t>
      </w:r>
      <w:hyperlink r:id="rId39">
        <w:r>
          <w:rPr>
            <w:rFonts w:ascii="Arial" w:cs="Arial" w:eastAsia="Arial" w:hAnsi="Arial"/>
            <w:sz w:val="18"/>
            <w:szCs w:val="18"/>
            <w:color w:val="auto"/>
          </w:rPr>
          <w:t>August 22, 2017, among AGNC Investment Corp., Computershare Inc. and Computershare Trust Company,</w:t>
        </w:r>
      </w:hyperlink>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0"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10340" w:type="dxa"/>
            <w:vAlign w:val="bottom"/>
            <w:gridSpan w:val="2"/>
          </w:tcPr>
          <w:p>
            <w:pPr>
              <w:ind w:left="220"/>
              <w:spacing w:after="0"/>
              <w:rPr>
                <w:rFonts w:ascii="Arial" w:cs="Arial" w:eastAsia="Arial" w:hAnsi="Arial"/>
                <w:sz w:val="18"/>
                <w:szCs w:val="18"/>
                <w:color w:val="auto"/>
                <w:w w:val="97"/>
              </w:rPr>
            </w:pPr>
            <w:hyperlink r:id="rId39">
              <w:r>
                <w:rPr>
                  <w:rFonts w:ascii="Arial" w:cs="Arial" w:eastAsia="Arial" w:hAnsi="Arial"/>
                  <w:sz w:val="18"/>
                  <w:szCs w:val="18"/>
                  <w:color w:val="auto"/>
                  <w:w w:val="97"/>
                </w:rPr>
                <w:t>N.A., jointly as depositary, incorporated herein by reference to Exhibit 4.2 of Form 8-K (File No. 001-34057) filed August 22, 2017.</w:t>
              </w:r>
            </w:hyperlink>
          </w:p>
        </w:tc>
      </w:tr>
      <w:tr>
        <w:trPr>
          <w:trHeight w:val="364"/>
        </w:trPr>
        <w:tc>
          <w:tcPr>
            <w:tcW w:w="1080" w:type="dxa"/>
            <w:vAlign w:val="bottom"/>
          </w:tcPr>
          <w:p>
            <w:pPr>
              <w:spacing w:after="0"/>
              <w:rPr>
                <w:sz w:val="24"/>
                <w:szCs w:val="24"/>
                <w:color w:val="auto"/>
              </w:rPr>
            </w:pPr>
          </w:p>
        </w:tc>
        <w:tc>
          <w:tcPr>
            <w:tcW w:w="1420" w:type="dxa"/>
            <w:vAlign w:val="bottom"/>
          </w:tcPr>
          <w:p>
            <w:pPr>
              <w:ind w:left="880"/>
              <w:spacing w:after="0"/>
              <w:rPr>
                <w:rFonts w:ascii="Arial" w:cs="Arial" w:eastAsia="Arial" w:hAnsi="Arial"/>
                <w:sz w:val="18"/>
                <w:szCs w:val="18"/>
                <w:color w:val="auto"/>
              </w:rPr>
            </w:pPr>
            <w:hyperlink r:id="rId39">
              <w:r>
                <w:rPr>
                  <w:rFonts w:ascii="Arial" w:cs="Arial" w:eastAsia="Arial" w:hAnsi="Arial"/>
                  <w:sz w:val="18"/>
                  <w:szCs w:val="18"/>
                  <w:color w:val="auto"/>
                </w:rPr>
                <w:t>*4.11</w:t>
              </w:r>
            </w:hyperlink>
          </w:p>
        </w:tc>
        <w:tc>
          <w:tcPr>
            <w:tcW w:w="8920" w:type="dxa"/>
            <w:vAlign w:val="bottom"/>
          </w:tcPr>
          <w:p>
            <w:pPr>
              <w:ind w:left="140"/>
              <w:spacing w:after="0"/>
              <w:rPr>
                <w:rFonts w:ascii="Arial" w:cs="Arial" w:eastAsia="Arial" w:hAnsi="Arial"/>
                <w:sz w:val="18"/>
                <w:szCs w:val="18"/>
                <w:color w:val="auto"/>
                <w:w w:val="95"/>
              </w:rPr>
            </w:pPr>
            <w:hyperlink r:id="rId39">
              <w:r>
                <w:rPr>
                  <w:rFonts w:ascii="Arial" w:cs="Arial" w:eastAsia="Arial" w:hAnsi="Arial"/>
                  <w:sz w:val="18"/>
                  <w:szCs w:val="18"/>
                  <w:color w:val="auto"/>
                  <w:w w:val="95"/>
                </w:rPr>
                <w:t>Form of Depositary Receipt representing 1/1,000th of a share of 7.00% Series C Fixed-to-Floating Rate Cumulative</w:t>
              </w:r>
            </w:hyperlink>
          </w:p>
        </w:tc>
      </w:tr>
      <w:tr>
        <w:trPr>
          <w:trHeight w:val="216"/>
        </w:trPr>
        <w:tc>
          <w:tcPr>
            <w:tcW w:w="1080" w:type="dxa"/>
            <w:vAlign w:val="bottom"/>
          </w:tcPr>
          <w:p>
            <w:pPr>
              <w:spacing w:after="0"/>
              <w:rPr>
                <w:sz w:val="18"/>
                <w:szCs w:val="18"/>
                <w:color w:val="auto"/>
              </w:rPr>
            </w:pPr>
          </w:p>
        </w:tc>
        <w:tc>
          <w:tcPr>
            <w:tcW w:w="10340" w:type="dxa"/>
            <w:vAlign w:val="bottom"/>
            <w:gridSpan w:val="2"/>
          </w:tcPr>
          <w:p>
            <w:pPr>
              <w:ind w:left="220"/>
              <w:spacing w:after="0"/>
              <w:rPr>
                <w:rFonts w:ascii="Arial" w:cs="Arial" w:eastAsia="Arial" w:hAnsi="Arial"/>
                <w:sz w:val="18"/>
                <w:szCs w:val="18"/>
                <w:color w:val="auto"/>
                <w:w w:val="95"/>
              </w:rPr>
            </w:pPr>
            <w:hyperlink r:id="rId39">
              <w:r>
                <w:rPr>
                  <w:rFonts w:ascii="Arial" w:cs="Arial" w:eastAsia="Arial" w:hAnsi="Arial"/>
                  <w:sz w:val="18"/>
                  <w:szCs w:val="18"/>
                  <w:color w:val="auto"/>
                  <w:w w:val="95"/>
                </w:rPr>
                <w:t>Redeemable Preferred Stock (included as part of Exhibit 4.9), incorporated herein by reference to Exhibit A of Exhibit 4.2 of Form 8-K</w:t>
              </w:r>
            </w:hyperlink>
          </w:p>
        </w:tc>
      </w:tr>
      <w:tr>
        <w:trPr>
          <w:trHeight w:val="230"/>
        </w:trPr>
        <w:tc>
          <w:tcPr>
            <w:tcW w:w="1080" w:type="dxa"/>
            <w:vAlign w:val="bottom"/>
          </w:tcPr>
          <w:p>
            <w:pPr>
              <w:spacing w:after="0"/>
              <w:rPr>
                <w:sz w:val="20"/>
                <w:szCs w:val="20"/>
                <w:color w:val="auto"/>
              </w:rPr>
            </w:pPr>
          </w:p>
        </w:tc>
        <w:tc>
          <w:tcPr>
            <w:tcW w:w="10340" w:type="dxa"/>
            <w:vAlign w:val="bottom"/>
            <w:gridSpan w:val="2"/>
          </w:tcPr>
          <w:p>
            <w:pPr>
              <w:ind w:left="220"/>
              <w:spacing w:after="0"/>
              <w:rPr>
                <w:rFonts w:ascii="Arial" w:cs="Arial" w:eastAsia="Arial" w:hAnsi="Arial"/>
                <w:sz w:val="18"/>
                <w:szCs w:val="18"/>
                <w:color w:val="auto"/>
              </w:rPr>
            </w:pPr>
            <w:hyperlink r:id="rId39">
              <w:r>
                <w:rPr>
                  <w:rFonts w:ascii="Arial" w:cs="Arial" w:eastAsia="Arial" w:hAnsi="Arial"/>
                  <w:sz w:val="18"/>
                  <w:szCs w:val="18"/>
                  <w:color w:val="auto"/>
                </w:rPr>
                <w:t>(File No. 001-34057) filed August 22, 2017.</w:t>
              </w:r>
            </w:hyperlink>
          </w:p>
        </w:tc>
      </w:tr>
      <w:tr>
        <w:trPr>
          <w:trHeight w:val="364"/>
        </w:trPr>
        <w:tc>
          <w:tcPr>
            <w:tcW w:w="1080" w:type="dxa"/>
            <w:vAlign w:val="bottom"/>
          </w:tcPr>
          <w:p>
            <w:pPr>
              <w:spacing w:after="0"/>
              <w:rPr>
                <w:sz w:val="24"/>
                <w:szCs w:val="24"/>
                <w:color w:val="auto"/>
              </w:rPr>
            </w:pPr>
          </w:p>
        </w:tc>
        <w:tc>
          <w:tcPr>
            <w:tcW w:w="10340" w:type="dxa"/>
            <w:vAlign w:val="bottom"/>
            <w:gridSpan w:val="2"/>
          </w:tcPr>
          <w:p>
            <w:pPr>
              <w:ind w:left="880"/>
              <w:spacing w:after="0"/>
              <w:rPr>
                <w:rFonts w:ascii="Arial" w:cs="Arial" w:eastAsia="Arial" w:hAnsi="Arial"/>
                <w:sz w:val="18"/>
                <w:szCs w:val="18"/>
                <w:color w:val="auto"/>
                <w:w w:val="93"/>
              </w:rPr>
            </w:pPr>
            <w:hyperlink r:id="rId40">
              <w:r>
                <w:rPr>
                  <w:rFonts w:ascii="Arial" w:cs="Arial" w:eastAsia="Arial" w:hAnsi="Arial"/>
                  <w:sz w:val="18"/>
                  <w:szCs w:val="18"/>
                  <w:color w:val="auto"/>
                  <w:w w:val="93"/>
                </w:rPr>
                <w:t>*4.12   Deposit Agreement relating to 6.875% Series D Fixed-to-Floating Rate Cumulative Redeemable Preferred Stock, dated</w:t>
              </w:r>
            </w:hyperlink>
          </w:p>
        </w:tc>
      </w:tr>
      <w:tr>
        <w:trPr>
          <w:trHeight w:val="216"/>
        </w:trPr>
        <w:tc>
          <w:tcPr>
            <w:tcW w:w="1080" w:type="dxa"/>
            <w:vAlign w:val="bottom"/>
          </w:tcPr>
          <w:p>
            <w:pPr>
              <w:spacing w:after="0"/>
              <w:rPr>
                <w:sz w:val="18"/>
                <w:szCs w:val="18"/>
                <w:color w:val="auto"/>
              </w:rPr>
            </w:pPr>
          </w:p>
        </w:tc>
        <w:tc>
          <w:tcPr>
            <w:tcW w:w="10340" w:type="dxa"/>
            <w:vAlign w:val="bottom"/>
            <w:gridSpan w:val="2"/>
          </w:tcPr>
          <w:p>
            <w:pPr>
              <w:ind w:left="220"/>
              <w:spacing w:after="0"/>
              <w:rPr>
                <w:rFonts w:ascii="Arial" w:cs="Arial" w:eastAsia="Arial" w:hAnsi="Arial"/>
                <w:sz w:val="18"/>
                <w:szCs w:val="18"/>
                <w:color w:val="auto"/>
                <w:w w:val="95"/>
              </w:rPr>
            </w:pPr>
            <w:hyperlink r:id="rId40">
              <w:r>
                <w:rPr>
                  <w:rFonts w:ascii="Arial" w:cs="Arial" w:eastAsia="Arial" w:hAnsi="Arial"/>
                  <w:sz w:val="18"/>
                  <w:szCs w:val="18"/>
                  <w:color w:val="auto"/>
                  <w:w w:val="95"/>
                </w:rPr>
                <w:t>March 6, 2019, among AGNC Investment Corp., Computershare Inc. and Computershare Trust Company, N.A., jointly as depositary,</w:t>
              </w:r>
            </w:hyperlink>
          </w:p>
        </w:tc>
      </w:tr>
      <w:tr>
        <w:trPr>
          <w:trHeight w:val="230"/>
        </w:trPr>
        <w:tc>
          <w:tcPr>
            <w:tcW w:w="1080" w:type="dxa"/>
            <w:vAlign w:val="bottom"/>
          </w:tcPr>
          <w:p>
            <w:pPr>
              <w:spacing w:after="0"/>
              <w:rPr>
                <w:sz w:val="20"/>
                <w:szCs w:val="20"/>
                <w:color w:val="auto"/>
              </w:rPr>
            </w:pPr>
          </w:p>
        </w:tc>
        <w:tc>
          <w:tcPr>
            <w:tcW w:w="10340" w:type="dxa"/>
            <w:vAlign w:val="bottom"/>
            <w:gridSpan w:val="2"/>
          </w:tcPr>
          <w:p>
            <w:pPr>
              <w:ind w:left="220"/>
              <w:spacing w:after="0"/>
              <w:rPr>
                <w:rFonts w:ascii="Arial" w:cs="Arial" w:eastAsia="Arial" w:hAnsi="Arial"/>
                <w:sz w:val="18"/>
                <w:szCs w:val="18"/>
                <w:color w:val="auto"/>
              </w:rPr>
            </w:pPr>
            <w:hyperlink r:id="rId40">
              <w:r>
                <w:rPr>
                  <w:rFonts w:ascii="Arial" w:cs="Arial" w:eastAsia="Arial" w:hAnsi="Arial"/>
                  <w:sz w:val="18"/>
                  <w:szCs w:val="18"/>
                  <w:color w:val="auto"/>
                </w:rPr>
                <w:t>incorporated herein by reference to Exhibit 4.2 of Form 8-K (File No. 001-34057) filed March 6, 2019.</w:t>
              </w:r>
            </w:hyperlink>
          </w:p>
        </w:tc>
      </w:tr>
      <w:tr>
        <w:trPr>
          <w:trHeight w:val="364"/>
        </w:trPr>
        <w:tc>
          <w:tcPr>
            <w:tcW w:w="1080" w:type="dxa"/>
            <w:vAlign w:val="bottom"/>
          </w:tcPr>
          <w:p>
            <w:pPr>
              <w:spacing w:after="0"/>
              <w:rPr>
                <w:sz w:val="24"/>
                <w:szCs w:val="24"/>
                <w:color w:val="auto"/>
              </w:rPr>
            </w:pPr>
          </w:p>
        </w:tc>
        <w:tc>
          <w:tcPr>
            <w:tcW w:w="10340" w:type="dxa"/>
            <w:vAlign w:val="bottom"/>
            <w:gridSpan w:val="2"/>
          </w:tcPr>
          <w:p>
            <w:pPr>
              <w:ind w:left="880"/>
              <w:spacing w:after="0"/>
              <w:rPr>
                <w:rFonts w:ascii="Arial" w:cs="Arial" w:eastAsia="Arial" w:hAnsi="Arial"/>
                <w:sz w:val="18"/>
                <w:szCs w:val="18"/>
                <w:color w:val="auto"/>
                <w:w w:val="97"/>
              </w:rPr>
            </w:pPr>
            <w:hyperlink r:id="rId40">
              <w:r>
                <w:rPr>
                  <w:rFonts w:ascii="Arial" w:cs="Arial" w:eastAsia="Arial" w:hAnsi="Arial"/>
                  <w:sz w:val="18"/>
                  <w:szCs w:val="18"/>
                  <w:color w:val="auto"/>
                  <w:w w:val="97"/>
                </w:rPr>
                <w:t>*4.13Form of Depositary Receipt representing 1/1,000th of a share of 6.875% Series D Fixed-to-Floating Rate Cumulative</w:t>
              </w:r>
            </w:hyperlink>
          </w:p>
        </w:tc>
      </w:tr>
      <w:tr>
        <w:trPr>
          <w:trHeight w:val="216"/>
        </w:trPr>
        <w:tc>
          <w:tcPr>
            <w:tcW w:w="1080" w:type="dxa"/>
            <w:vAlign w:val="bottom"/>
          </w:tcPr>
          <w:p>
            <w:pPr>
              <w:spacing w:after="0"/>
              <w:rPr>
                <w:sz w:val="18"/>
                <w:szCs w:val="18"/>
                <w:color w:val="auto"/>
              </w:rPr>
            </w:pPr>
          </w:p>
        </w:tc>
        <w:tc>
          <w:tcPr>
            <w:tcW w:w="10340" w:type="dxa"/>
            <w:vAlign w:val="bottom"/>
            <w:gridSpan w:val="2"/>
          </w:tcPr>
          <w:p>
            <w:pPr>
              <w:ind w:left="220"/>
              <w:spacing w:after="0"/>
              <w:rPr>
                <w:rFonts w:ascii="Arial" w:cs="Arial" w:eastAsia="Arial" w:hAnsi="Arial"/>
                <w:sz w:val="18"/>
                <w:szCs w:val="18"/>
                <w:color w:val="auto"/>
                <w:w w:val="94"/>
              </w:rPr>
            </w:pPr>
            <w:hyperlink r:id="rId40">
              <w:r>
                <w:rPr>
                  <w:rFonts w:ascii="Arial" w:cs="Arial" w:eastAsia="Arial" w:hAnsi="Arial"/>
                  <w:sz w:val="18"/>
                  <w:szCs w:val="18"/>
                  <w:color w:val="auto"/>
                  <w:w w:val="94"/>
                </w:rPr>
                <w:t>Redeemable Preferred Stock (included as part of Exhibit 4.11), incorporated herein by reference to Exhibit A of Exhibit 4.2 of Form 8-K</w:t>
              </w:r>
            </w:hyperlink>
          </w:p>
        </w:tc>
      </w:tr>
      <w:tr>
        <w:trPr>
          <w:trHeight w:val="230"/>
        </w:trPr>
        <w:tc>
          <w:tcPr>
            <w:tcW w:w="1080" w:type="dxa"/>
            <w:vAlign w:val="bottom"/>
          </w:tcPr>
          <w:p>
            <w:pPr>
              <w:spacing w:after="0"/>
              <w:rPr>
                <w:sz w:val="20"/>
                <w:szCs w:val="20"/>
                <w:color w:val="auto"/>
              </w:rPr>
            </w:pPr>
          </w:p>
        </w:tc>
        <w:tc>
          <w:tcPr>
            <w:tcW w:w="10340" w:type="dxa"/>
            <w:vAlign w:val="bottom"/>
            <w:gridSpan w:val="2"/>
          </w:tcPr>
          <w:p>
            <w:pPr>
              <w:ind w:left="220"/>
              <w:spacing w:after="0"/>
              <w:rPr>
                <w:rFonts w:ascii="Arial" w:cs="Arial" w:eastAsia="Arial" w:hAnsi="Arial"/>
                <w:sz w:val="18"/>
                <w:szCs w:val="18"/>
                <w:color w:val="auto"/>
              </w:rPr>
            </w:pPr>
            <w:hyperlink r:id="rId40">
              <w:r>
                <w:rPr>
                  <w:rFonts w:ascii="Arial" w:cs="Arial" w:eastAsia="Arial" w:hAnsi="Arial"/>
                  <w:sz w:val="18"/>
                  <w:szCs w:val="18"/>
                  <w:color w:val="auto"/>
                </w:rPr>
                <w:t>(File No. 001-34057) filed March 6, 2019.</w:t>
              </w:r>
            </w:hyperlink>
          </w:p>
        </w:tc>
      </w:tr>
      <w:tr>
        <w:trPr>
          <w:trHeight w:val="364"/>
        </w:trPr>
        <w:tc>
          <w:tcPr>
            <w:tcW w:w="1080" w:type="dxa"/>
            <w:vAlign w:val="bottom"/>
          </w:tcPr>
          <w:p>
            <w:pPr>
              <w:spacing w:after="0"/>
              <w:rPr>
                <w:sz w:val="24"/>
                <w:szCs w:val="24"/>
                <w:color w:val="auto"/>
              </w:rPr>
            </w:pPr>
          </w:p>
        </w:tc>
        <w:tc>
          <w:tcPr>
            <w:tcW w:w="10340" w:type="dxa"/>
            <w:vAlign w:val="bottom"/>
            <w:gridSpan w:val="2"/>
          </w:tcPr>
          <w:p>
            <w:pPr>
              <w:ind w:left="880"/>
              <w:spacing w:after="0"/>
              <w:rPr>
                <w:rFonts w:ascii="Arial" w:cs="Arial" w:eastAsia="Arial" w:hAnsi="Arial"/>
                <w:sz w:val="18"/>
                <w:szCs w:val="18"/>
                <w:color w:val="auto"/>
                <w:w w:val="95"/>
              </w:rPr>
            </w:pPr>
            <w:hyperlink r:id="rId41">
              <w:r>
                <w:rPr>
                  <w:rFonts w:ascii="Arial" w:cs="Arial" w:eastAsia="Arial" w:hAnsi="Arial"/>
                  <w:sz w:val="18"/>
                  <w:szCs w:val="18"/>
                  <w:color w:val="auto"/>
                  <w:w w:val="95"/>
                </w:rPr>
                <w:t>*4.14  Deposit Agreement relating to 6.50% Series E Fixed-to-Floating Rate Cumulative Redeemable Preferred Stock, dated</w:t>
              </w:r>
            </w:hyperlink>
          </w:p>
        </w:tc>
      </w:tr>
      <w:tr>
        <w:trPr>
          <w:trHeight w:val="216"/>
        </w:trPr>
        <w:tc>
          <w:tcPr>
            <w:tcW w:w="1080" w:type="dxa"/>
            <w:vAlign w:val="bottom"/>
          </w:tcPr>
          <w:p>
            <w:pPr>
              <w:spacing w:after="0"/>
              <w:rPr>
                <w:sz w:val="18"/>
                <w:szCs w:val="18"/>
                <w:color w:val="auto"/>
              </w:rPr>
            </w:pPr>
          </w:p>
        </w:tc>
        <w:tc>
          <w:tcPr>
            <w:tcW w:w="10340" w:type="dxa"/>
            <w:vAlign w:val="bottom"/>
            <w:gridSpan w:val="2"/>
          </w:tcPr>
          <w:p>
            <w:pPr>
              <w:ind w:left="220"/>
              <w:spacing w:after="0"/>
              <w:rPr>
                <w:rFonts w:ascii="Arial" w:cs="Arial" w:eastAsia="Arial" w:hAnsi="Arial"/>
                <w:sz w:val="18"/>
                <w:szCs w:val="18"/>
                <w:color w:val="auto"/>
                <w:w w:val="94"/>
              </w:rPr>
            </w:pPr>
            <w:hyperlink r:id="rId41">
              <w:r>
                <w:rPr>
                  <w:rFonts w:ascii="Arial" w:cs="Arial" w:eastAsia="Arial" w:hAnsi="Arial"/>
                  <w:sz w:val="18"/>
                  <w:szCs w:val="18"/>
                  <w:color w:val="auto"/>
                  <w:w w:val="94"/>
                </w:rPr>
                <w:t>October 3, 2019, among AGNC Investment Corp., Computershare Inc. and Computershare Trust Company, N.A., jointly as depositary,</w:t>
              </w:r>
            </w:hyperlink>
          </w:p>
        </w:tc>
      </w:tr>
      <w:tr>
        <w:trPr>
          <w:trHeight w:val="230"/>
        </w:trPr>
        <w:tc>
          <w:tcPr>
            <w:tcW w:w="1080" w:type="dxa"/>
            <w:vAlign w:val="bottom"/>
          </w:tcPr>
          <w:p>
            <w:pPr>
              <w:spacing w:after="0"/>
              <w:rPr>
                <w:sz w:val="20"/>
                <w:szCs w:val="20"/>
                <w:color w:val="auto"/>
              </w:rPr>
            </w:pPr>
          </w:p>
        </w:tc>
        <w:tc>
          <w:tcPr>
            <w:tcW w:w="10340" w:type="dxa"/>
            <w:vAlign w:val="bottom"/>
            <w:gridSpan w:val="2"/>
          </w:tcPr>
          <w:p>
            <w:pPr>
              <w:ind w:left="220"/>
              <w:spacing w:after="0"/>
              <w:rPr>
                <w:rFonts w:ascii="Arial" w:cs="Arial" w:eastAsia="Arial" w:hAnsi="Arial"/>
                <w:sz w:val="18"/>
                <w:szCs w:val="18"/>
                <w:color w:val="auto"/>
              </w:rPr>
            </w:pPr>
            <w:hyperlink r:id="rId41">
              <w:r>
                <w:rPr>
                  <w:rFonts w:ascii="Arial" w:cs="Arial" w:eastAsia="Arial" w:hAnsi="Arial"/>
                  <w:sz w:val="18"/>
                  <w:szCs w:val="18"/>
                  <w:color w:val="auto"/>
                </w:rPr>
                <w:t>incorporated herein by reference to Exhibit 4.2 of Form 8-K (File No. 001-34057) filed October 3, 2019.</w:t>
              </w:r>
            </w:hyperlink>
          </w:p>
        </w:tc>
      </w:tr>
      <w:tr>
        <w:trPr>
          <w:trHeight w:val="364"/>
        </w:trPr>
        <w:tc>
          <w:tcPr>
            <w:tcW w:w="1080" w:type="dxa"/>
            <w:vAlign w:val="bottom"/>
          </w:tcPr>
          <w:p>
            <w:pPr>
              <w:spacing w:after="0"/>
              <w:rPr>
                <w:sz w:val="24"/>
                <w:szCs w:val="24"/>
                <w:color w:val="auto"/>
              </w:rPr>
            </w:pPr>
          </w:p>
        </w:tc>
        <w:tc>
          <w:tcPr>
            <w:tcW w:w="10340" w:type="dxa"/>
            <w:vAlign w:val="bottom"/>
            <w:gridSpan w:val="2"/>
          </w:tcPr>
          <w:p>
            <w:pPr>
              <w:ind w:left="880"/>
              <w:spacing w:after="0"/>
              <w:rPr>
                <w:rFonts w:ascii="Arial" w:cs="Arial" w:eastAsia="Arial" w:hAnsi="Arial"/>
                <w:sz w:val="18"/>
                <w:szCs w:val="18"/>
                <w:color w:val="auto"/>
                <w:w w:val="98"/>
              </w:rPr>
            </w:pPr>
            <w:hyperlink r:id="rId41">
              <w:r>
                <w:rPr>
                  <w:rFonts w:ascii="Arial" w:cs="Arial" w:eastAsia="Arial" w:hAnsi="Arial"/>
                  <w:sz w:val="18"/>
                  <w:szCs w:val="18"/>
                  <w:color w:val="auto"/>
                  <w:w w:val="98"/>
                </w:rPr>
                <w:t>*4.15Form of Depositary Receipt representing 1/1,000th of a share of 6.50% Series E Fixed-to-Floating Rate Cumulative</w:t>
              </w:r>
            </w:hyperlink>
          </w:p>
        </w:tc>
      </w:tr>
      <w:tr>
        <w:trPr>
          <w:trHeight w:val="216"/>
        </w:trPr>
        <w:tc>
          <w:tcPr>
            <w:tcW w:w="1080" w:type="dxa"/>
            <w:vAlign w:val="bottom"/>
          </w:tcPr>
          <w:p>
            <w:pPr>
              <w:spacing w:after="0"/>
              <w:rPr>
                <w:sz w:val="18"/>
                <w:szCs w:val="18"/>
                <w:color w:val="auto"/>
              </w:rPr>
            </w:pPr>
          </w:p>
        </w:tc>
        <w:tc>
          <w:tcPr>
            <w:tcW w:w="10340" w:type="dxa"/>
            <w:vAlign w:val="bottom"/>
            <w:gridSpan w:val="2"/>
          </w:tcPr>
          <w:p>
            <w:pPr>
              <w:ind w:left="220"/>
              <w:spacing w:after="0"/>
              <w:rPr>
                <w:rFonts w:ascii="Arial" w:cs="Arial" w:eastAsia="Arial" w:hAnsi="Arial"/>
                <w:sz w:val="18"/>
                <w:szCs w:val="18"/>
                <w:color w:val="auto"/>
                <w:w w:val="94"/>
              </w:rPr>
            </w:pPr>
            <w:hyperlink r:id="rId41">
              <w:r>
                <w:rPr>
                  <w:rFonts w:ascii="Arial" w:cs="Arial" w:eastAsia="Arial" w:hAnsi="Arial"/>
                  <w:sz w:val="18"/>
                  <w:szCs w:val="18"/>
                  <w:color w:val="auto"/>
                  <w:w w:val="94"/>
                </w:rPr>
                <w:t>Redeemable Preferred Stock (included as part of Exhibit 4.14), incorporated herein by reference to Exhibit A of Exhibit 4.2 of Form 8-K</w:t>
              </w:r>
            </w:hyperlink>
          </w:p>
        </w:tc>
      </w:tr>
      <w:tr>
        <w:trPr>
          <w:trHeight w:val="230"/>
        </w:trPr>
        <w:tc>
          <w:tcPr>
            <w:tcW w:w="1080" w:type="dxa"/>
            <w:vAlign w:val="bottom"/>
          </w:tcPr>
          <w:p>
            <w:pPr>
              <w:spacing w:after="0"/>
              <w:rPr>
                <w:sz w:val="20"/>
                <w:szCs w:val="20"/>
                <w:color w:val="auto"/>
              </w:rPr>
            </w:pPr>
          </w:p>
        </w:tc>
        <w:tc>
          <w:tcPr>
            <w:tcW w:w="10340" w:type="dxa"/>
            <w:vAlign w:val="bottom"/>
            <w:gridSpan w:val="2"/>
          </w:tcPr>
          <w:p>
            <w:pPr>
              <w:ind w:left="220"/>
              <w:spacing w:after="0"/>
              <w:rPr>
                <w:rFonts w:ascii="Arial" w:cs="Arial" w:eastAsia="Arial" w:hAnsi="Arial"/>
                <w:sz w:val="18"/>
                <w:szCs w:val="18"/>
                <w:color w:val="auto"/>
              </w:rPr>
            </w:pPr>
            <w:hyperlink r:id="rId41">
              <w:r>
                <w:rPr>
                  <w:rFonts w:ascii="Arial" w:cs="Arial" w:eastAsia="Arial" w:hAnsi="Arial"/>
                  <w:sz w:val="18"/>
                  <w:szCs w:val="18"/>
                  <w:color w:val="auto"/>
                </w:rPr>
                <w:t>(File No. 001-34057) filed October 3, 2019.</w:t>
              </w:r>
            </w:hyperlink>
          </w:p>
        </w:tc>
      </w:tr>
      <w:tr>
        <w:trPr>
          <w:trHeight w:val="378"/>
        </w:trPr>
        <w:tc>
          <w:tcPr>
            <w:tcW w:w="1080" w:type="dxa"/>
            <w:vAlign w:val="bottom"/>
          </w:tcPr>
          <w:p>
            <w:pPr>
              <w:spacing w:after="0"/>
              <w:rPr>
                <w:sz w:val="24"/>
                <w:szCs w:val="24"/>
                <w:color w:val="auto"/>
              </w:rPr>
            </w:pPr>
          </w:p>
        </w:tc>
        <w:tc>
          <w:tcPr>
            <w:tcW w:w="10340" w:type="dxa"/>
            <w:vAlign w:val="bottom"/>
            <w:gridSpan w:val="2"/>
          </w:tcPr>
          <w:p>
            <w:pPr>
              <w:ind w:left="880"/>
              <w:spacing w:after="0"/>
              <w:rPr>
                <w:sz w:val="20"/>
                <w:szCs w:val="20"/>
                <w:color w:val="auto"/>
              </w:rPr>
            </w:pPr>
            <w:r>
              <w:rPr>
                <w:rFonts w:ascii="Arial" w:cs="Arial" w:eastAsia="Arial" w:hAnsi="Arial"/>
                <w:sz w:val="18"/>
                <w:szCs w:val="18"/>
                <w:color w:val="auto"/>
              </w:rPr>
              <w:t>31.1  Certification of CEO Pursuant to Section 302(a) of the Sarbanes-Oxley Act of 2002.</w:t>
            </w:r>
          </w:p>
        </w:tc>
      </w:tr>
      <w:tr>
        <w:trPr>
          <w:trHeight w:val="378"/>
        </w:trPr>
        <w:tc>
          <w:tcPr>
            <w:tcW w:w="1080" w:type="dxa"/>
            <w:vAlign w:val="bottom"/>
          </w:tcPr>
          <w:p>
            <w:pPr>
              <w:spacing w:after="0"/>
              <w:rPr>
                <w:sz w:val="24"/>
                <w:szCs w:val="24"/>
                <w:color w:val="auto"/>
              </w:rPr>
            </w:pPr>
          </w:p>
        </w:tc>
        <w:tc>
          <w:tcPr>
            <w:tcW w:w="10340" w:type="dxa"/>
            <w:vAlign w:val="bottom"/>
            <w:gridSpan w:val="2"/>
          </w:tcPr>
          <w:p>
            <w:pPr>
              <w:ind w:left="880"/>
              <w:spacing w:after="0"/>
              <w:rPr>
                <w:sz w:val="20"/>
                <w:szCs w:val="20"/>
                <w:color w:val="auto"/>
              </w:rPr>
            </w:pPr>
            <w:r>
              <w:rPr>
                <w:rFonts w:ascii="Arial" w:cs="Arial" w:eastAsia="Arial" w:hAnsi="Arial"/>
                <w:sz w:val="18"/>
                <w:szCs w:val="18"/>
                <w:color w:val="auto"/>
              </w:rPr>
              <w:t>31.2  Certification of CFO Pursuant to Section 302(a) of the Sarbanes-Oxley Act of 2002.</w:t>
            </w:r>
          </w:p>
        </w:tc>
      </w:tr>
      <w:tr>
        <w:trPr>
          <w:trHeight w:val="378"/>
        </w:trPr>
        <w:tc>
          <w:tcPr>
            <w:tcW w:w="1080" w:type="dxa"/>
            <w:vAlign w:val="bottom"/>
          </w:tcPr>
          <w:p>
            <w:pPr>
              <w:spacing w:after="0"/>
              <w:rPr>
                <w:sz w:val="24"/>
                <w:szCs w:val="24"/>
                <w:color w:val="auto"/>
              </w:rPr>
            </w:pPr>
          </w:p>
        </w:tc>
        <w:tc>
          <w:tcPr>
            <w:tcW w:w="10340" w:type="dxa"/>
            <w:vAlign w:val="bottom"/>
            <w:gridSpan w:val="2"/>
          </w:tcPr>
          <w:p>
            <w:pPr>
              <w:ind w:left="880"/>
              <w:spacing w:after="0"/>
              <w:rPr>
                <w:sz w:val="20"/>
                <w:szCs w:val="20"/>
                <w:color w:val="auto"/>
              </w:rPr>
            </w:pPr>
            <w:r>
              <w:rPr>
                <w:rFonts w:ascii="Arial" w:cs="Arial" w:eastAsia="Arial" w:hAnsi="Arial"/>
                <w:sz w:val="18"/>
                <w:szCs w:val="18"/>
                <w:color w:val="auto"/>
              </w:rPr>
              <w:t>32  Certification of CEO and CFO Pursuant to Section 906 of the Sarbanes-Oxley Act of 2002.</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340" w:type="dxa"/>
            <w:vAlign w:val="bottom"/>
            <w:gridSpan w:val="2"/>
          </w:tcPr>
          <w:p>
            <w:pPr>
              <w:ind w:left="220"/>
              <w:spacing w:after="0"/>
              <w:rPr>
                <w:sz w:val="20"/>
                <w:szCs w:val="20"/>
                <w:color w:val="auto"/>
              </w:rPr>
            </w:pPr>
            <w:r>
              <w:rPr>
                <w:rFonts w:ascii="Arial" w:cs="Arial" w:eastAsia="Arial" w:hAnsi="Arial"/>
                <w:sz w:val="18"/>
                <w:szCs w:val="18"/>
                <w:color w:val="auto"/>
                <w:w w:val="91"/>
              </w:rPr>
              <w:t>The instance document does not appear in the interactive data file because its XBRL tags are embedded within the inline XBRL document</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340" w:type="dxa"/>
            <w:vAlign w:val="bottom"/>
            <w:gridSpan w:val="2"/>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340" w:type="dxa"/>
            <w:vAlign w:val="bottom"/>
            <w:gridSpan w:val="2"/>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340" w:type="dxa"/>
            <w:vAlign w:val="bottom"/>
            <w:gridSpan w:val="2"/>
          </w:tcPr>
          <w:p>
            <w:pPr>
              <w:ind w:left="220"/>
              <w:spacing w:after="0"/>
              <w:rPr>
                <w:sz w:val="20"/>
                <w:szCs w:val="20"/>
                <w:color w:val="auto"/>
              </w:rPr>
            </w:pPr>
            <w:r>
              <w:rPr>
                <w:rFonts w:ascii="Arial" w:cs="Arial" w:eastAsia="Arial" w:hAnsi="Arial"/>
                <w:sz w:val="18"/>
                <w:szCs w:val="18"/>
                <w:color w:val="auto"/>
              </w:rPr>
              <w:t>XBRL Taxonomy Extension Labels Linkbase Document</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340" w:type="dxa"/>
            <w:vAlign w:val="bottom"/>
            <w:gridSpan w:val="2"/>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76"/>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340" w:type="dxa"/>
            <w:vAlign w:val="bottom"/>
            <w:gridSpan w:val="2"/>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37" w:lineRule="auto"/>
        <w:rPr>
          <w:sz w:val="20"/>
          <w:szCs w:val="20"/>
          <w:color w:val="auto"/>
        </w:rPr>
      </w:pPr>
      <w:r>
        <w:rPr>
          <w:rFonts w:ascii="Arial" w:cs="Arial" w:eastAsia="Arial" w:hAnsi="Arial"/>
          <w:sz w:val="11"/>
          <w:szCs w:val="11"/>
          <w:color w:val="auto"/>
        </w:rPr>
        <w:t>________________________________</w:t>
      </w: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w:t>
      </w:r>
    </w:p>
    <w:p>
      <w:pPr>
        <w:spacing w:after="0" w:line="7" w:lineRule="exact"/>
        <w:rPr>
          <w:sz w:val="20"/>
          <w:szCs w:val="20"/>
          <w:color w:val="auto"/>
        </w:rPr>
      </w:pPr>
    </w:p>
    <w:p>
      <w:pPr>
        <w:ind w:left="660" w:right="240" w:hanging="652"/>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1"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10" w:lineRule="exact"/>
        <w:rPr>
          <w:rFonts w:ascii="Arial" w:cs="Arial" w:eastAsia="Arial" w:hAnsi="Arial"/>
          <w:sz w:val="18"/>
          <w:szCs w:val="18"/>
          <w:color w:val="auto"/>
        </w:rPr>
      </w:pPr>
    </w:p>
    <w:p>
      <w:pPr>
        <w:ind w:left="880" w:hanging="467"/>
        <w:spacing w:after="0"/>
        <w:tabs>
          <w:tab w:leader="none" w:pos="8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See the exhibits filed herewith.</w:t>
      </w:r>
    </w:p>
    <w:p>
      <w:pPr>
        <w:spacing w:after="0" w:line="210" w:lineRule="exact"/>
        <w:rPr>
          <w:rFonts w:ascii="Arial" w:cs="Arial" w:eastAsia="Arial" w:hAnsi="Arial"/>
          <w:sz w:val="18"/>
          <w:szCs w:val="18"/>
          <w:color w:val="auto"/>
        </w:rPr>
      </w:pPr>
    </w:p>
    <w:p>
      <w:pPr>
        <w:ind w:left="880" w:right="7620" w:hanging="467"/>
        <w:spacing w:after="0" w:line="277" w:lineRule="auto"/>
        <w:tabs>
          <w:tab w:leader="none" w:pos="8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46" w:right="23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AGNC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185" w:lineRule="exact"/>
        <w:rPr>
          <w:sz w:val="20"/>
          <w:szCs w:val="20"/>
          <w:color w:val="auto"/>
        </w:rPr>
      </w:pPr>
    </w:p>
    <w:p>
      <w:pPr>
        <w:ind w:left="5640"/>
        <w:spacing w:after="0"/>
        <w:tabs>
          <w:tab w:leader="none" w:pos="8060" w:val="left"/>
          <w:tab w:leader="none" w:pos="8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Gary D. Kain</w:t>
      </w:r>
    </w:p>
    <w:p>
      <w:pPr>
        <w:jc w:val="center"/>
        <w:ind w:left="6140"/>
        <w:spacing w:after="0" w:line="226" w:lineRule="auto"/>
        <w:rPr>
          <w:sz w:val="20"/>
          <w:szCs w:val="20"/>
          <w:color w:val="auto"/>
        </w:rPr>
      </w:pPr>
      <w:r>
        <w:rPr>
          <w:rFonts w:ascii="Arial" w:cs="Arial" w:eastAsia="Arial" w:hAnsi="Arial"/>
          <w:sz w:val="14"/>
          <w:szCs w:val="14"/>
          <w:b w:val="1"/>
          <w:bCs w:val="1"/>
          <w:color w:val="auto"/>
        </w:rPr>
        <w:t>Chief Executive Officer and</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Chief Investment Officer (Principal Executive Officer)</w:t>
      </w:r>
    </w:p>
    <w:p>
      <w:pPr>
        <w:spacing w:after="0" w:line="34"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5, 2019</w:t>
      </w:r>
    </w:p>
    <w:p>
      <w:pPr>
        <w:spacing w:after="0" w:line="387" w:lineRule="exact"/>
        <w:rPr>
          <w:sz w:val="20"/>
          <w:szCs w:val="20"/>
          <w:color w:val="auto"/>
        </w:rPr>
      </w:pPr>
    </w:p>
    <w:p>
      <w:pPr>
        <w:ind w:left="5640"/>
        <w:spacing w:after="0"/>
        <w:tabs>
          <w:tab w:leader="none" w:pos="7980" w:val="left"/>
          <w:tab w:leader="none" w:pos="8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Bernice E. Bell</w:t>
      </w:r>
    </w:p>
    <w:p>
      <w:pPr>
        <w:ind w:left="7980"/>
        <w:spacing w:after="0" w:line="226" w:lineRule="auto"/>
        <w:rPr>
          <w:sz w:val="20"/>
          <w:szCs w:val="20"/>
          <w:color w:val="auto"/>
        </w:rPr>
      </w:pPr>
      <w:r>
        <w:rPr>
          <w:rFonts w:ascii="Arial" w:cs="Arial" w:eastAsia="Arial" w:hAnsi="Arial"/>
          <w:sz w:val="14"/>
          <w:szCs w:val="14"/>
          <w:b w:val="1"/>
          <w:bCs w:val="1"/>
          <w:color w:val="auto"/>
        </w:rPr>
        <w:t>Senior Vice President and</w:t>
      </w:r>
    </w:p>
    <w:p>
      <w:pPr>
        <w:ind w:left="6420"/>
        <w:spacing w:after="0"/>
        <w:rPr>
          <w:sz w:val="20"/>
          <w:szCs w:val="20"/>
          <w:color w:val="auto"/>
        </w:rPr>
      </w:pPr>
      <w:r>
        <w:rPr>
          <w:rFonts w:ascii="Arial" w:cs="Arial" w:eastAsia="Arial" w:hAnsi="Arial"/>
          <w:sz w:val="13"/>
          <w:szCs w:val="13"/>
          <w:b w:val="1"/>
          <w:bCs w:val="1"/>
          <w:color w:val="auto"/>
        </w:rPr>
        <w:t>Chief Financial Officer (Principal Financial Officer and Principal Accounting</w:t>
      </w:r>
    </w:p>
    <w:p>
      <w:pPr>
        <w:ind w:left="8560"/>
        <w:spacing w:after="0"/>
        <w:rPr>
          <w:sz w:val="20"/>
          <w:szCs w:val="20"/>
          <w:color w:val="auto"/>
        </w:rPr>
      </w:pPr>
      <w:r>
        <w:rPr>
          <w:rFonts w:ascii="Arial" w:cs="Arial" w:eastAsia="Arial" w:hAnsi="Arial"/>
          <w:sz w:val="14"/>
          <w:szCs w:val="14"/>
          <w:b w:val="1"/>
          <w:bCs w:val="1"/>
          <w:color w:val="auto"/>
        </w:rPr>
        <w:t>Officer)</w:t>
      </w:r>
    </w:p>
    <w:p>
      <w:pPr>
        <w:spacing w:after="0" w:line="34"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5, 2019</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580" w:right="279" w:bottom="1440" w:gutter="0" w:footer="0" w:header="0"/>
        </w:sectPr>
      </w:pPr>
    </w:p>
    <w:bookmarkStart w:id="53" w:name="page54"/>
    <w:bookmarkEnd w:id="53"/>
    <w:p>
      <w:pPr>
        <w:ind w:left="10520"/>
        <w:spacing w:after="0"/>
        <w:rPr>
          <w:sz w:val="20"/>
          <w:szCs w:val="20"/>
          <w:color w:val="auto"/>
        </w:rPr>
      </w:pPr>
      <w:r>
        <w:rPr>
          <w:rFonts w:ascii="Arial" w:cs="Arial" w:eastAsia="Arial" w:hAnsi="Arial"/>
          <w:sz w:val="16"/>
          <w:szCs w:val="16"/>
          <w:color w:val="auto"/>
        </w:rPr>
        <w:t>Exhibit 31.1</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Gary D. Kain, certify that:</w:t>
      </w:r>
    </w:p>
    <w:p>
      <w:pPr>
        <w:spacing w:after="0" w:line="158" w:lineRule="exact"/>
        <w:rPr>
          <w:sz w:val="20"/>
          <w:szCs w:val="20"/>
          <w:color w:val="auto"/>
        </w:rPr>
      </w:pPr>
    </w:p>
    <w:p>
      <w:pPr>
        <w:ind w:left="860" w:hanging="467"/>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2019</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Gary D. Kain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Executive Officer and Chief Investment</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00"/>
          </w:cols>
          <w:pgMar w:left="260" w:top="584" w:right="239" w:bottom="1440" w:gutter="0" w:footer="0" w:header="0"/>
        </w:sectPr>
      </w:pPr>
    </w:p>
    <w:bookmarkStart w:id="54" w:name="page55"/>
    <w:bookmarkEnd w:id="54"/>
    <w:p>
      <w:pPr>
        <w:ind w:left="10520"/>
        <w:spacing w:after="0"/>
        <w:rPr>
          <w:sz w:val="20"/>
          <w:szCs w:val="20"/>
          <w:color w:val="auto"/>
        </w:rPr>
      </w:pPr>
      <w:r>
        <w:rPr>
          <w:rFonts w:ascii="Arial" w:cs="Arial" w:eastAsia="Arial" w:hAnsi="Arial"/>
          <w:sz w:val="16"/>
          <w:szCs w:val="16"/>
          <w:color w:val="auto"/>
        </w:rPr>
        <w:t>Exhibit 31.2</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Bernice E. Bell, certify that:</w:t>
      </w:r>
    </w:p>
    <w:p>
      <w:pPr>
        <w:spacing w:after="0" w:line="158" w:lineRule="exact"/>
        <w:rPr>
          <w:sz w:val="20"/>
          <w:szCs w:val="20"/>
          <w:color w:val="auto"/>
        </w:rPr>
      </w:pPr>
    </w:p>
    <w:p>
      <w:pPr>
        <w:ind w:left="860" w:hanging="467"/>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2019</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Bernice E. Bell</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00"/>
          </w:cols>
          <w:pgMar w:left="260" w:top="58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Gary D. Kain, Chief Executive Officer and Chief Investment Officer, and Bernice E. Bell, Senior Vice President and Chief Financial Officer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AGNC Investment Corp. (the “Company”), certify pursuant to Section 906 of the Sarbanes-Oxley Act of 2002, 18 U.S.C. Section 1350 that:</w:t>
      </w:r>
    </w:p>
    <w:p>
      <w:pPr>
        <w:spacing w:after="0" w:line="157" w:lineRule="exact"/>
        <w:rPr>
          <w:sz w:val="20"/>
          <w:szCs w:val="20"/>
          <w:color w:val="auto"/>
        </w:rPr>
      </w:pPr>
    </w:p>
    <w:p>
      <w:pPr>
        <w:ind w:left="660" w:right="1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2019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Gary D. Kain</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Investment Officer (Principal Executive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November 5, 2019</w:t>
            </w:r>
          </w:p>
        </w:tc>
        <w:tc>
          <w:tcPr>
            <w:tcW w:w="0" w:type="dxa"/>
            <w:vAlign w:val="bottom"/>
          </w:tcPr>
          <w:p>
            <w:pPr>
              <w:spacing w:after="0"/>
              <w:rPr>
                <w:sz w:val="1"/>
                <w:szCs w:val="1"/>
                <w:color w:val="auto"/>
              </w:rPr>
            </w:pPr>
          </w:p>
        </w:tc>
      </w:tr>
      <w:tr>
        <w:trPr>
          <w:trHeight w:val="567"/>
        </w:trPr>
        <w:tc>
          <w:tcPr>
            <w:tcW w:w="6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ERNICE</w:t>
            </w:r>
            <w:r>
              <w:rPr>
                <w:rFonts w:ascii="Arial" w:cs="Arial" w:eastAsia="Arial" w:hAnsi="Arial"/>
                <w:sz w:val="18"/>
                <w:szCs w:val="18"/>
                <w:color w:val="auto"/>
              </w:rPr>
              <w:t xml:space="preserve"> E. B</w:t>
            </w:r>
            <w:r>
              <w:rPr>
                <w:rFonts w:ascii="Arial" w:cs="Arial" w:eastAsia="Arial" w:hAnsi="Arial"/>
                <w:sz w:val="14"/>
                <w:szCs w:val="14"/>
                <w:color w:val="auto"/>
              </w:rPr>
              <w:t>ELL</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Bernice E. Bell</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November 5, 2019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lowerRoman"/>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lvl w:ilvl="1">
      <w:lvlJc w:val="left"/>
      <w:lvlText w:val="(%2)"/>
      <w:numFmt w:val="lowerLetter"/>
      <w:start w:val="2"/>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42" Type="http://schemas.openxmlformats.org/officeDocument/2006/relationships/image" Target="media/image19.png"/><Relationship Id="rId43" Type="http://schemas.openxmlformats.org/officeDocument/2006/relationships/image" Target="media/image20.png"/><Relationship Id="rId44" Type="http://schemas.openxmlformats.org/officeDocument/2006/relationships/image" Target="media/image21.png"/><Relationship Id="rId45" Type="http://schemas.openxmlformats.org/officeDocument/2006/relationships/image" Target="media/image22.png"/><Relationship Id="rId26" Type="http://schemas.openxmlformats.org/officeDocument/2006/relationships/hyperlink" Target="http://www.sec.gov/Archives/edgar/data/1423689/000142368918000016/agncexhibit313311810-q.htm" TargetMode="External"/><Relationship Id="rId27" Type="http://schemas.openxmlformats.org/officeDocument/2006/relationships/hyperlink" Target="http://www.sec.gov/Archives/edgar/data/1423689/000142368916000104/agncexhibit329301610-qbyla.htm" TargetMode="External"/><Relationship Id="rId28" Type="http://schemas.openxmlformats.org/officeDocument/2006/relationships/hyperlink" Target="http://www.sec.gov/Archives/edgar/data/1423689/000142368914000023/exh34certificateofdesignat.htm" TargetMode="External"/><Relationship Id="rId29" Type="http://schemas.openxmlformats.org/officeDocument/2006/relationships/hyperlink" Target="http://www.sec.gov/Archives/edgar/data/1423689/000142368917000044/ex35certificateofdesignati.htm" TargetMode="External"/><Relationship Id="rId30" Type="http://schemas.openxmlformats.org/officeDocument/2006/relationships/hyperlink" Target="http://www.sec.gov/Archives/edgar/data/1423689/000142368917000065/certificateofelimination.htm" TargetMode="External"/><Relationship Id="rId31" Type="http://schemas.openxmlformats.org/officeDocument/2006/relationships/hyperlink" Target="http://www.sec.gov/Archives/edgar/data/1423689/000142368919000019/certificateofdesignations.htm" TargetMode="External"/><Relationship Id="rId32" Type="http://schemas.openxmlformats.org/officeDocument/2006/relationships/hyperlink" Target="http://www.sec.gov/Archives/edgar/data/1423689/000142368919000064/certofdesignations.htm" TargetMode="External"/><Relationship Id="rId33" Type="http://schemas.openxmlformats.org/officeDocument/2006/relationships/hyperlink" Target="http://www.sec.gov/Archives/edgar/data/1423689/000142368916000104/agncexhibit43.htm" TargetMode="External"/><Relationship Id="rId34" Type="http://schemas.openxmlformats.org/officeDocument/2006/relationships/hyperlink" Target="http://www.sec.gov/Archives/edgar/data/1423689/000142368914000023/agncspecimenseriesbcumul.htm" TargetMode="External"/><Relationship Id="rId35" Type="http://schemas.openxmlformats.org/officeDocument/2006/relationships/hyperlink" Target="http://www.sec.gov/Archives/edgar/data/1423689/000142368917000044/exhibit41.htm" TargetMode="External"/><Relationship Id="rId36" Type="http://schemas.openxmlformats.org/officeDocument/2006/relationships/hyperlink" Target="http://www.sec.gov/Archives/edgar/data/1423689/000142368919000019/stockcertificateb98.htm" TargetMode="External"/><Relationship Id="rId37" Type="http://schemas.openxmlformats.org/officeDocument/2006/relationships/hyperlink" Target="http://www.sec.gov/Archives/edgar/data/1423689/000142368919000064/stockcertificate.htm" TargetMode="External"/><Relationship Id="rId38" Type="http://schemas.openxmlformats.org/officeDocument/2006/relationships/hyperlink" Target="http://www.sec.gov/Archives/edgar/data/1423689/000142368914000026/exhibit42depositagreement.htm" TargetMode="External"/><Relationship Id="rId39" Type="http://schemas.openxmlformats.org/officeDocument/2006/relationships/hyperlink" Target="http://www.sec.gov/Archives/edgar/data/1423689/000142368917000049/depositagreement.htm" TargetMode="External"/><Relationship Id="rId40" Type="http://schemas.openxmlformats.org/officeDocument/2006/relationships/hyperlink" Target="http://www.sec.gov/Archives/edgar/data/1423689/000142368919000021/prefddepositagmt.htm" TargetMode="External"/><Relationship Id="rId41" Type="http://schemas.openxmlformats.org/officeDocument/2006/relationships/hyperlink" Target="http://www.sec.gov/Archives/edgar/data/1423689/000142368919000068/depositagmt-pref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2019-12-28T02:40:20Z</dcterms:created>
  <dcterms:modified xsi:type="dcterms:W3CDTF">2019-12-28T02:40:20Z</dcterms:modified>
</cp:coreProperties>
</file>