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right="3740"/>
        <w:spacing w:after="0" w:line="238" w:lineRule="auto"/>
        <w:rPr>
          <w:sz w:val="20"/>
          <w:szCs w:val="20"/>
          <w:color w:val="auto"/>
        </w:rPr>
      </w:pPr>
      <w:r>
        <w:rPr>
          <w:rFonts w:ascii="Times New Roman" w:cs="Times New Roman" w:eastAsia="Times New Roman" w:hAnsi="Times New Roman"/>
          <w:sz w:val="64"/>
          <w:szCs w:val="64"/>
          <w:color w:val="FFFFFF"/>
        </w:rPr>
        <w:t>INVESTING IN AMERICA’S GREATEST ASSET</w:t>
      </w:r>
    </w:p>
    <w:p>
      <w:pPr>
        <w:sectPr>
          <w:pgSz w:w="11880" w:h="15480" w:orient="portrait"/>
          <w:cols w:equalWidth="0" w:num="1">
            <w:col w:w="9720"/>
          </w:cols>
          <w:pgMar w:left="720" w:top="1440" w:right="1440" w:bottom="209" w:gutter="0" w:footer="0" w:header="0"/>
        </w:sectPr>
      </w:pPr>
    </w:p>
    <w:p>
      <w:pPr>
        <w:spacing w:after="0" w:line="338" w:lineRule="exact"/>
        <w:rPr>
          <w:sz w:val="24"/>
          <w:szCs w:val="24"/>
          <w:color w:val="auto"/>
        </w:rPr>
      </w:pPr>
    </w:p>
    <w:p>
      <w:pPr>
        <w:spacing w:after="0"/>
        <w:rPr>
          <w:sz w:val="20"/>
          <w:szCs w:val="20"/>
          <w:color w:val="auto"/>
        </w:rPr>
      </w:pPr>
      <w:r>
        <w:rPr>
          <w:rFonts w:ascii="Arial" w:cs="Arial" w:eastAsia="Arial" w:hAnsi="Arial"/>
          <w:sz w:val="24"/>
          <w:szCs w:val="24"/>
          <w:b w:val="1"/>
          <w:bCs w:val="1"/>
          <w:color w:val="FFFFFF"/>
        </w:rPr>
        <w:t>2024 ANNUAL REPORT</w:t>
      </w:r>
    </w:p>
    <w:p>
      <w:pPr>
        <w:sectPr>
          <w:pgSz w:w="11880" w:h="15480" w:orient="portrait"/>
          <w:cols w:equalWidth="0" w:num="1">
            <w:col w:w="9720"/>
          </w:cols>
          <w:pgMar w:left="720" w:top="1440" w:right="1440" w:bottom="209"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140" w:type="dxa"/>
        <w:tblCellMar>
          <w:top w:w="0" w:type="dxa"/>
          <w:left w:w="0" w:type="dxa"/>
          <w:bottom w:w="0" w:type="dxa"/>
          <w:right w:w="0" w:type="dxa"/>
        </w:tblCellMar>
      </w:tblPr>
      <w:tr>
        <w:trPr>
          <w:trHeight w:val="853"/>
        </w:trPr>
        <w:tc>
          <w:tcPr>
            <w:tcW w:w="2740" w:type="dxa"/>
            <w:vAlign w:val="bottom"/>
          </w:tcPr>
          <w:p>
            <w:pPr>
              <w:jc w:val="center"/>
              <w:ind w:right="613"/>
              <w:spacing w:after="0"/>
              <w:rPr>
                <w:sz w:val="20"/>
                <w:szCs w:val="20"/>
                <w:color w:val="auto"/>
              </w:rPr>
            </w:pPr>
            <w:r>
              <w:rPr>
                <w:rFonts w:ascii="Times New Roman" w:cs="Times New Roman" w:eastAsia="Times New Roman" w:hAnsi="Times New Roman"/>
                <w:sz w:val="60"/>
                <w:szCs w:val="60"/>
                <w:color w:val="FFFFFF"/>
              </w:rPr>
              <w:t>$8.3B</w:t>
            </w:r>
          </w:p>
        </w:tc>
        <w:tc>
          <w:tcPr>
            <w:tcW w:w="4380" w:type="dxa"/>
            <w:vAlign w:val="bottom"/>
          </w:tcPr>
          <w:p>
            <w:pPr>
              <w:jc w:val="center"/>
              <w:spacing w:after="0"/>
              <w:rPr>
                <w:sz w:val="20"/>
                <w:szCs w:val="20"/>
                <w:color w:val="auto"/>
              </w:rPr>
            </w:pPr>
            <w:r>
              <w:rPr>
                <w:rFonts w:ascii="Times New Roman" w:cs="Times New Roman" w:eastAsia="Times New Roman" w:hAnsi="Times New Roman"/>
                <w:sz w:val="60"/>
                <w:szCs w:val="60"/>
                <w:color w:val="FFFFFF"/>
              </w:rPr>
              <w:t>May 2008</w:t>
            </w:r>
          </w:p>
        </w:tc>
        <w:tc>
          <w:tcPr>
            <w:tcW w:w="2740" w:type="dxa"/>
            <w:vAlign w:val="bottom"/>
          </w:tcPr>
          <w:p>
            <w:pPr>
              <w:jc w:val="center"/>
              <w:ind w:left="633"/>
              <w:spacing w:after="0"/>
              <w:rPr>
                <w:sz w:val="20"/>
                <w:szCs w:val="20"/>
                <w:color w:val="auto"/>
              </w:rPr>
            </w:pPr>
            <w:r>
              <w:rPr>
                <w:rFonts w:ascii="Times New Roman" w:cs="Times New Roman" w:eastAsia="Times New Roman" w:hAnsi="Times New Roman"/>
                <w:sz w:val="60"/>
                <w:szCs w:val="60"/>
                <w:color w:val="FFFFFF"/>
              </w:rPr>
              <w:t>$73.3B</w:t>
            </w:r>
          </w:p>
        </w:tc>
      </w:tr>
      <w:tr>
        <w:trPr>
          <w:trHeight w:val="282"/>
        </w:trPr>
        <w:tc>
          <w:tcPr>
            <w:tcW w:w="2740" w:type="dxa"/>
            <w:vAlign w:val="bottom"/>
          </w:tcPr>
          <w:p>
            <w:pPr>
              <w:jc w:val="center"/>
              <w:ind w:right="613"/>
              <w:spacing w:after="0"/>
              <w:rPr>
                <w:sz w:val="20"/>
                <w:szCs w:val="20"/>
                <w:color w:val="auto"/>
              </w:rPr>
            </w:pPr>
            <w:r>
              <w:rPr>
                <w:rFonts w:ascii="Arial" w:cs="Arial" w:eastAsia="Arial" w:hAnsi="Arial"/>
                <w:sz w:val="20"/>
                <w:szCs w:val="20"/>
                <w:color w:val="FFFFFF"/>
              </w:rPr>
              <w:t>MARKET</w:t>
            </w:r>
          </w:p>
        </w:tc>
        <w:tc>
          <w:tcPr>
            <w:tcW w:w="4380" w:type="dxa"/>
            <w:vAlign w:val="bottom"/>
          </w:tcPr>
          <w:p>
            <w:pPr>
              <w:jc w:val="center"/>
              <w:spacing w:after="0"/>
              <w:rPr>
                <w:sz w:val="20"/>
                <w:szCs w:val="20"/>
                <w:color w:val="auto"/>
              </w:rPr>
            </w:pPr>
            <w:r>
              <w:rPr>
                <w:rFonts w:ascii="Arial" w:cs="Arial" w:eastAsia="Arial" w:hAnsi="Arial"/>
                <w:sz w:val="20"/>
                <w:szCs w:val="20"/>
                <w:color w:val="FFFFFF"/>
              </w:rPr>
              <w:t>INITIAL PUBLIC</w:t>
            </w:r>
          </w:p>
        </w:tc>
        <w:tc>
          <w:tcPr>
            <w:tcW w:w="2740" w:type="dxa"/>
            <w:vAlign w:val="bottom"/>
          </w:tcPr>
          <w:p>
            <w:pPr>
              <w:jc w:val="center"/>
              <w:ind w:left="633"/>
              <w:spacing w:after="0"/>
              <w:rPr>
                <w:sz w:val="20"/>
                <w:szCs w:val="20"/>
                <w:color w:val="auto"/>
              </w:rPr>
            </w:pPr>
            <w:r>
              <w:rPr>
                <w:rFonts w:ascii="Arial" w:cs="Arial" w:eastAsia="Arial" w:hAnsi="Arial"/>
                <w:sz w:val="20"/>
                <w:szCs w:val="20"/>
                <w:color w:val="FFFFFF"/>
              </w:rPr>
              <w:t>INVESTMENT</w:t>
            </w:r>
          </w:p>
        </w:tc>
      </w:tr>
      <w:tr>
        <w:trPr>
          <w:trHeight w:val="427"/>
        </w:trPr>
        <w:tc>
          <w:tcPr>
            <w:tcW w:w="2740" w:type="dxa"/>
            <w:vAlign w:val="bottom"/>
          </w:tcPr>
          <w:p>
            <w:pPr>
              <w:jc w:val="center"/>
              <w:ind w:right="633"/>
              <w:spacing w:after="0"/>
              <w:rPr>
                <w:sz w:val="20"/>
                <w:szCs w:val="20"/>
                <w:color w:val="auto"/>
              </w:rPr>
            </w:pPr>
            <w:r>
              <w:rPr>
                <w:rFonts w:ascii="Arial" w:cs="Arial" w:eastAsia="Arial" w:hAnsi="Arial"/>
                <w:sz w:val="20"/>
                <w:szCs w:val="20"/>
                <w:color w:val="FFFFFF"/>
              </w:rPr>
              <w:t>CAPITALIZATION</w:t>
            </w:r>
            <w:r>
              <w:rPr>
                <w:rFonts w:ascii="Arial" w:cs="Arial" w:eastAsia="Arial" w:hAnsi="Arial"/>
                <w:sz w:val="11"/>
                <w:szCs w:val="11"/>
                <w:color w:val="FFFFFF"/>
              </w:rPr>
              <w:t>1</w:t>
            </w:r>
          </w:p>
        </w:tc>
        <w:tc>
          <w:tcPr>
            <w:tcW w:w="4380" w:type="dxa"/>
            <w:vAlign w:val="bottom"/>
          </w:tcPr>
          <w:p>
            <w:pPr>
              <w:jc w:val="center"/>
              <w:spacing w:after="0"/>
              <w:rPr>
                <w:sz w:val="20"/>
                <w:szCs w:val="20"/>
                <w:color w:val="auto"/>
              </w:rPr>
            </w:pPr>
            <w:r>
              <w:rPr>
                <w:rFonts w:ascii="Arial" w:cs="Arial" w:eastAsia="Arial" w:hAnsi="Arial"/>
                <w:sz w:val="20"/>
                <w:szCs w:val="20"/>
                <w:color w:val="FFFFFF"/>
              </w:rPr>
              <w:t>OFFERING</w:t>
            </w:r>
          </w:p>
        </w:tc>
        <w:tc>
          <w:tcPr>
            <w:tcW w:w="2740" w:type="dxa"/>
            <w:vAlign w:val="bottom"/>
          </w:tcPr>
          <w:p>
            <w:pPr>
              <w:jc w:val="center"/>
              <w:ind w:left="613"/>
              <w:spacing w:after="0"/>
              <w:rPr>
                <w:sz w:val="20"/>
                <w:szCs w:val="20"/>
                <w:color w:val="auto"/>
              </w:rPr>
            </w:pPr>
            <w:r>
              <w:rPr>
                <w:rFonts w:ascii="Arial" w:cs="Arial" w:eastAsia="Arial" w:hAnsi="Arial"/>
                <w:sz w:val="20"/>
                <w:szCs w:val="20"/>
                <w:color w:val="FFFFFF"/>
              </w:rPr>
              <w:t>PORTFOLIO</w:t>
            </w:r>
            <w:r>
              <w:rPr>
                <w:rFonts w:ascii="Arial" w:cs="Arial" w:eastAsia="Arial" w:hAnsi="Arial"/>
                <w:sz w:val="11"/>
                <w:szCs w:val="11"/>
                <w:color w:val="FFFFFF"/>
              </w:rPr>
              <w:t>1</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853"/>
        </w:trPr>
        <w:tc>
          <w:tcPr>
            <w:tcW w:w="3280" w:type="dxa"/>
            <w:vAlign w:val="bottom"/>
          </w:tcPr>
          <w:p>
            <w:pPr>
              <w:jc w:val="center"/>
              <w:ind w:right="893"/>
              <w:spacing w:after="0"/>
              <w:rPr>
                <w:sz w:val="20"/>
                <w:szCs w:val="20"/>
                <w:color w:val="auto"/>
              </w:rPr>
            </w:pPr>
            <w:r>
              <w:rPr>
                <w:rFonts w:ascii="Times New Roman" w:cs="Times New Roman" w:eastAsia="Times New Roman" w:hAnsi="Times New Roman"/>
                <w:sz w:val="60"/>
                <w:szCs w:val="60"/>
                <w:color w:val="FFFFFF"/>
              </w:rPr>
              <w:t>389%</w:t>
            </w:r>
          </w:p>
        </w:tc>
        <w:tc>
          <w:tcPr>
            <w:tcW w:w="3740" w:type="dxa"/>
            <w:vAlign w:val="bottom"/>
          </w:tcPr>
          <w:p>
            <w:pPr>
              <w:jc w:val="right"/>
              <w:ind w:right="1380"/>
              <w:spacing w:after="0"/>
              <w:rPr>
                <w:sz w:val="20"/>
                <w:szCs w:val="20"/>
                <w:color w:val="auto"/>
              </w:rPr>
            </w:pPr>
            <w:r>
              <w:rPr>
                <w:rFonts w:ascii="Times New Roman" w:cs="Times New Roman" w:eastAsia="Times New Roman" w:hAnsi="Times New Roman"/>
                <w:sz w:val="60"/>
                <w:szCs w:val="60"/>
                <w:color w:val="FFFFFF"/>
              </w:rPr>
              <w:t>53</w:t>
            </w:r>
          </w:p>
        </w:tc>
        <w:tc>
          <w:tcPr>
            <w:tcW w:w="2820" w:type="dxa"/>
            <w:vAlign w:val="bottom"/>
          </w:tcPr>
          <w:p>
            <w:pPr>
              <w:jc w:val="center"/>
              <w:ind w:left="1033"/>
              <w:spacing w:after="0"/>
              <w:rPr>
                <w:sz w:val="20"/>
                <w:szCs w:val="20"/>
                <w:color w:val="auto"/>
              </w:rPr>
            </w:pPr>
            <w:r>
              <w:rPr>
                <w:rFonts w:ascii="Times New Roman" w:cs="Times New Roman" w:eastAsia="Times New Roman" w:hAnsi="Times New Roman"/>
                <w:sz w:val="60"/>
                <w:szCs w:val="60"/>
                <w:color w:val="FFFFFF"/>
              </w:rPr>
              <w:t>97%</w:t>
            </w:r>
          </w:p>
        </w:tc>
      </w:tr>
      <w:tr>
        <w:trPr>
          <w:trHeight w:val="282"/>
        </w:trPr>
        <w:tc>
          <w:tcPr>
            <w:tcW w:w="3280" w:type="dxa"/>
            <w:vAlign w:val="bottom"/>
          </w:tcPr>
          <w:p>
            <w:pPr>
              <w:jc w:val="center"/>
              <w:ind w:right="873"/>
              <w:spacing w:after="0"/>
              <w:rPr>
                <w:sz w:val="20"/>
                <w:szCs w:val="20"/>
                <w:color w:val="auto"/>
              </w:rPr>
            </w:pPr>
            <w:r>
              <w:rPr>
                <w:rFonts w:ascii="Arial" w:cs="Arial" w:eastAsia="Arial" w:hAnsi="Arial"/>
                <w:sz w:val="20"/>
                <w:szCs w:val="20"/>
                <w:color w:val="FFFFFF"/>
              </w:rPr>
              <w:t>TOTAL STOCK</w:t>
            </w:r>
          </w:p>
        </w:tc>
        <w:tc>
          <w:tcPr>
            <w:tcW w:w="3740" w:type="dxa"/>
            <w:vAlign w:val="bottom"/>
          </w:tcPr>
          <w:p>
            <w:pPr>
              <w:jc w:val="center"/>
              <w:spacing w:after="0"/>
              <w:rPr>
                <w:sz w:val="20"/>
                <w:szCs w:val="20"/>
                <w:color w:val="auto"/>
              </w:rPr>
            </w:pPr>
            <w:r>
              <w:rPr>
                <w:rFonts w:ascii="Arial" w:cs="Arial" w:eastAsia="Arial" w:hAnsi="Arial"/>
                <w:sz w:val="20"/>
                <w:szCs w:val="20"/>
                <w:color w:val="FFFFFF"/>
              </w:rPr>
              <w:t>EMPLOYEES</w:t>
            </w:r>
            <w:r>
              <w:rPr>
                <w:rFonts w:ascii="Arial" w:cs="Arial" w:eastAsia="Arial" w:hAnsi="Arial"/>
                <w:sz w:val="11"/>
                <w:szCs w:val="11"/>
                <w:color w:val="FFFFFF"/>
              </w:rPr>
              <w:t>1</w:t>
            </w:r>
          </w:p>
        </w:tc>
        <w:tc>
          <w:tcPr>
            <w:tcW w:w="2820" w:type="dxa"/>
            <w:vAlign w:val="bottom"/>
          </w:tcPr>
          <w:p>
            <w:pPr>
              <w:jc w:val="center"/>
              <w:ind w:left="1013"/>
              <w:spacing w:after="0"/>
              <w:rPr>
                <w:sz w:val="20"/>
                <w:szCs w:val="20"/>
                <w:color w:val="auto"/>
              </w:rPr>
            </w:pPr>
            <w:r>
              <w:rPr>
                <w:rFonts w:ascii="Arial" w:cs="Arial" w:eastAsia="Arial" w:hAnsi="Arial"/>
                <w:sz w:val="20"/>
                <w:szCs w:val="20"/>
                <w:color w:val="FFFFFF"/>
              </w:rPr>
              <w:t>FIXED RATE</w:t>
            </w:r>
          </w:p>
        </w:tc>
      </w:tr>
      <w:tr>
        <w:trPr>
          <w:trHeight w:val="427"/>
        </w:trPr>
        <w:tc>
          <w:tcPr>
            <w:tcW w:w="3280" w:type="dxa"/>
            <w:vAlign w:val="bottom"/>
          </w:tcPr>
          <w:p>
            <w:pPr>
              <w:jc w:val="center"/>
              <w:ind w:right="893"/>
              <w:spacing w:after="0"/>
              <w:rPr>
                <w:sz w:val="20"/>
                <w:szCs w:val="20"/>
                <w:color w:val="auto"/>
              </w:rPr>
            </w:pPr>
            <w:r>
              <w:rPr>
                <w:rFonts w:ascii="Arial" w:cs="Arial" w:eastAsia="Arial" w:hAnsi="Arial"/>
                <w:sz w:val="20"/>
                <w:szCs w:val="20"/>
                <w:color w:val="FFFFFF"/>
              </w:rPr>
              <w:t>RETURN SINCE IPO</w:t>
            </w:r>
            <w:r>
              <w:rPr>
                <w:rFonts w:ascii="Arial" w:cs="Arial" w:eastAsia="Arial" w:hAnsi="Arial"/>
                <w:sz w:val="11"/>
                <w:szCs w:val="11"/>
                <w:color w:val="FFFFFF"/>
              </w:rPr>
              <w:t>2</w:t>
            </w:r>
          </w:p>
        </w:tc>
        <w:tc>
          <w:tcPr>
            <w:tcW w:w="3740" w:type="dxa"/>
            <w:vAlign w:val="bottom"/>
          </w:tcPr>
          <w:p>
            <w:pPr>
              <w:spacing w:after="0"/>
              <w:rPr>
                <w:sz w:val="24"/>
                <w:szCs w:val="24"/>
                <w:color w:val="auto"/>
              </w:rPr>
            </w:pPr>
          </w:p>
        </w:tc>
        <w:tc>
          <w:tcPr>
            <w:tcW w:w="2820" w:type="dxa"/>
            <w:vAlign w:val="bottom"/>
          </w:tcPr>
          <w:p>
            <w:pPr>
              <w:jc w:val="center"/>
              <w:ind w:left="1033"/>
              <w:spacing w:after="0"/>
              <w:rPr>
                <w:sz w:val="20"/>
                <w:szCs w:val="20"/>
                <w:color w:val="auto"/>
              </w:rPr>
            </w:pPr>
            <w:r>
              <w:rPr>
                <w:rFonts w:ascii="Arial" w:cs="Arial" w:eastAsia="Arial" w:hAnsi="Arial"/>
                <w:sz w:val="20"/>
                <w:szCs w:val="20"/>
                <w:color w:val="FFFFFF"/>
              </w:rPr>
              <w:t>AGENCY MBS</w:t>
            </w:r>
            <w:r>
              <w:rPr>
                <w:rFonts w:ascii="Arial" w:cs="Arial" w:eastAsia="Arial" w:hAnsi="Arial"/>
                <w:sz w:val="11"/>
                <w:szCs w:val="11"/>
                <w:color w:val="FFFFFF"/>
              </w:rPr>
              <w:t>1</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360" w:type="dxa"/>
        <w:tblCellMar>
          <w:top w:w="0" w:type="dxa"/>
          <w:left w:w="0" w:type="dxa"/>
          <w:bottom w:w="0" w:type="dxa"/>
          <w:right w:w="0" w:type="dxa"/>
        </w:tblCellMar>
      </w:tblPr>
      <w:tr>
        <w:trPr>
          <w:trHeight w:val="853"/>
        </w:trPr>
        <w:tc>
          <w:tcPr>
            <w:tcW w:w="2500" w:type="dxa"/>
            <w:vAlign w:val="bottom"/>
          </w:tcPr>
          <w:p>
            <w:pPr>
              <w:jc w:val="center"/>
              <w:ind w:right="813"/>
              <w:spacing w:after="0"/>
              <w:rPr>
                <w:sz w:val="20"/>
                <w:szCs w:val="20"/>
                <w:color w:val="auto"/>
              </w:rPr>
            </w:pPr>
            <w:r>
              <w:rPr>
                <w:rFonts w:ascii="Times New Roman" w:cs="Times New Roman" w:eastAsia="Times New Roman" w:hAnsi="Times New Roman"/>
                <w:sz w:val="60"/>
                <w:szCs w:val="60"/>
                <w:color w:val="FFFFFF"/>
                <w:w w:val="98"/>
              </w:rPr>
              <w:t>15.6%</w:t>
            </w:r>
          </w:p>
        </w:tc>
        <w:tc>
          <w:tcPr>
            <w:tcW w:w="4220" w:type="dxa"/>
            <w:vAlign w:val="bottom"/>
          </w:tcPr>
          <w:p>
            <w:pPr>
              <w:jc w:val="center"/>
              <w:ind w:left="33"/>
              <w:spacing w:after="0"/>
              <w:rPr>
                <w:sz w:val="20"/>
                <w:szCs w:val="20"/>
                <w:color w:val="auto"/>
              </w:rPr>
            </w:pPr>
            <w:r>
              <w:rPr>
                <w:rFonts w:ascii="Times New Roman" w:cs="Times New Roman" w:eastAsia="Times New Roman" w:hAnsi="Times New Roman"/>
                <w:sz w:val="60"/>
                <w:szCs w:val="60"/>
                <w:color w:val="FFFFFF"/>
                <w:w w:val="96"/>
              </w:rPr>
              <w:t>1.24%</w:t>
            </w:r>
          </w:p>
        </w:tc>
        <w:tc>
          <w:tcPr>
            <w:tcW w:w="3120" w:type="dxa"/>
            <w:vAlign w:val="bottom"/>
          </w:tcPr>
          <w:p>
            <w:pPr>
              <w:jc w:val="center"/>
              <w:ind w:left="613"/>
              <w:spacing w:after="0"/>
              <w:rPr>
                <w:sz w:val="20"/>
                <w:szCs w:val="20"/>
                <w:color w:val="auto"/>
              </w:rPr>
            </w:pPr>
            <w:r>
              <w:rPr>
                <w:rFonts w:ascii="Times New Roman" w:cs="Times New Roman" w:eastAsia="Times New Roman" w:hAnsi="Times New Roman"/>
                <w:sz w:val="60"/>
                <w:szCs w:val="60"/>
                <w:color w:val="FFFFFF"/>
              </w:rPr>
              <w:t>350,000</w:t>
            </w:r>
          </w:p>
        </w:tc>
      </w:tr>
      <w:tr>
        <w:trPr>
          <w:trHeight w:val="282"/>
        </w:trPr>
        <w:tc>
          <w:tcPr>
            <w:tcW w:w="2500" w:type="dxa"/>
            <w:vAlign w:val="bottom"/>
          </w:tcPr>
          <w:p>
            <w:pPr>
              <w:jc w:val="center"/>
              <w:ind w:right="813"/>
              <w:spacing w:after="0"/>
              <w:rPr>
                <w:sz w:val="20"/>
                <w:szCs w:val="20"/>
                <w:color w:val="auto"/>
              </w:rPr>
            </w:pPr>
            <w:r>
              <w:rPr>
                <w:rFonts w:ascii="Arial" w:cs="Arial" w:eastAsia="Arial" w:hAnsi="Arial"/>
                <w:sz w:val="20"/>
                <w:szCs w:val="20"/>
                <w:color w:val="FFFFFF"/>
              </w:rPr>
              <w:t>DIVIDEND</w:t>
            </w:r>
          </w:p>
        </w:tc>
        <w:tc>
          <w:tcPr>
            <w:tcW w:w="4220" w:type="dxa"/>
            <w:vAlign w:val="bottom"/>
          </w:tcPr>
          <w:p>
            <w:pPr>
              <w:jc w:val="center"/>
              <w:ind w:left="33"/>
              <w:spacing w:after="0"/>
              <w:rPr>
                <w:sz w:val="20"/>
                <w:szCs w:val="20"/>
                <w:color w:val="auto"/>
              </w:rPr>
            </w:pPr>
            <w:r>
              <w:rPr>
                <w:rFonts w:ascii="Arial" w:cs="Arial" w:eastAsia="Arial" w:hAnsi="Arial"/>
                <w:sz w:val="20"/>
                <w:szCs w:val="20"/>
                <w:color w:val="FFFFFF"/>
              </w:rPr>
              <w:t>OPERATING EXPENSE</w:t>
            </w:r>
          </w:p>
        </w:tc>
        <w:tc>
          <w:tcPr>
            <w:tcW w:w="3120" w:type="dxa"/>
            <w:vAlign w:val="bottom"/>
          </w:tcPr>
          <w:p>
            <w:pPr>
              <w:jc w:val="center"/>
              <w:ind w:left="613"/>
              <w:spacing w:after="0"/>
              <w:rPr>
                <w:sz w:val="20"/>
                <w:szCs w:val="20"/>
                <w:color w:val="auto"/>
              </w:rPr>
            </w:pPr>
            <w:r>
              <w:rPr>
                <w:rFonts w:ascii="Arial" w:cs="Arial" w:eastAsia="Arial" w:hAnsi="Arial"/>
                <w:sz w:val="20"/>
                <w:szCs w:val="20"/>
                <w:color w:val="FFFFFF"/>
              </w:rPr>
              <w:t>HOMES</w:t>
            </w:r>
          </w:p>
        </w:tc>
      </w:tr>
      <w:tr>
        <w:trPr>
          <w:trHeight w:val="427"/>
        </w:trPr>
        <w:tc>
          <w:tcPr>
            <w:tcW w:w="2500" w:type="dxa"/>
            <w:vAlign w:val="bottom"/>
          </w:tcPr>
          <w:p>
            <w:pPr>
              <w:jc w:val="center"/>
              <w:ind w:right="833"/>
              <w:spacing w:after="0"/>
              <w:rPr>
                <w:sz w:val="20"/>
                <w:szCs w:val="20"/>
                <w:color w:val="auto"/>
              </w:rPr>
            </w:pPr>
            <w:r>
              <w:rPr>
                <w:rFonts w:ascii="Arial" w:cs="Arial" w:eastAsia="Arial" w:hAnsi="Arial"/>
                <w:sz w:val="20"/>
                <w:szCs w:val="20"/>
                <w:color w:val="FFFFFF"/>
              </w:rPr>
              <w:t>YIELD</w:t>
            </w:r>
            <w:r>
              <w:rPr>
                <w:rFonts w:ascii="Arial" w:cs="Arial" w:eastAsia="Arial" w:hAnsi="Arial"/>
                <w:sz w:val="11"/>
                <w:szCs w:val="11"/>
                <w:color w:val="FFFFFF"/>
              </w:rPr>
              <w:t>1</w:t>
            </w:r>
          </w:p>
        </w:tc>
        <w:tc>
          <w:tcPr>
            <w:tcW w:w="4220" w:type="dxa"/>
            <w:vAlign w:val="bottom"/>
          </w:tcPr>
          <w:p>
            <w:pPr>
              <w:jc w:val="center"/>
              <w:ind w:left="33"/>
              <w:spacing w:after="0"/>
              <w:rPr>
                <w:sz w:val="20"/>
                <w:szCs w:val="20"/>
                <w:color w:val="auto"/>
              </w:rPr>
            </w:pPr>
            <w:r>
              <w:rPr>
                <w:rFonts w:ascii="Arial" w:cs="Arial" w:eastAsia="Arial" w:hAnsi="Arial"/>
                <w:sz w:val="20"/>
                <w:szCs w:val="20"/>
                <w:color w:val="FFFFFF"/>
              </w:rPr>
              <w:t>STRUCTURE</w:t>
            </w:r>
            <w:r>
              <w:rPr>
                <w:rFonts w:ascii="Arial" w:cs="Arial" w:eastAsia="Arial" w:hAnsi="Arial"/>
                <w:sz w:val="11"/>
                <w:szCs w:val="11"/>
                <w:color w:val="FFFFFF"/>
              </w:rPr>
              <w:t>3</w:t>
            </w:r>
          </w:p>
        </w:tc>
        <w:tc>
          <w:tcPr>
            <w:tcW w:w="3120" w:type="dxa"/>
            <w:vAlign w:val="bottom"/>
          </w:tcPr>
          <w:p>
            <w:pPr>
              <w:jc w:val="center"/>
              <w:ind w:left="593"/>
              <w:spacing w:after="0"/>
              <w:rPr>
                <w:sz w:val="20"/>
                <w:szCs w:val="20"/>
                <w:color w:val="auto"/>
              </w:rPr>
            </w:pPr>
            <w:r>
              <w:rPr>
                <w:rFonts w:ascii="Arial" w:cs="Arial" w:eastAsia="Arial" w:hAnsi="Arial"/>
                <w:sz w:val="20"/>
                <w:szCs w:val="20"/>
                <w:color w:val="FFFFFF"/>
              </w:rPr>
              <w:t>FINANCED</w:t>
            </w:r>
            <w:r>
              <w:rPr>
                <w:rFonts w:ascii="Arial" w:cs="Arial" w:eastAsia="Arial" w:hAnsi="Arial"/>
                <w:sz w:val="11"/>
                <w:szCs w:val="11"/>
                <w:color w:val="FFFFFF"/>
              </w:rPr>
              <w:t>4</w:t>
            </w:r>
          </w:p>
        </w:tc>
      </w:tr>
    </w:tbl>
    <w:p>
      <w:pPr>
        <w:sectPr>
          <w:pgSz w:w="11880" w:h="15480" w:orient="portrait"/>
          <w:cols w:equalWidth="0" w:num="1">
            <w:col w:w="10200"/>
          </w:cols>
          <w:pgMar w:left="860" w:top="1440" w:right="820" w:bottom="1440" w:gutter="0" w:footer="0" w:header="0"/>
        </w:sectPr>
      </w:pPr>
    </w:p>
    <w:bookmarkStart w:id="2" w:name="page3"/>
    <w:bookmarkEnd w:id="2"/>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04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704850"/>
                    </a:xfrm>
                    <a:prstGeom prst="rect">
                      <a:avLst/>
                    </a:prstGeom>
                    <a:noFill/>
                  </pic:spPr>
                </pic:pic>
              </a:graphicData>
            </a:graphic>
          </wp:anchor>
        </w:drawing>
      </w:r>
    </w:p>
    <w:p>
      <w:pPr>
        <w:ind w:left="720"/>
        <w:spacing w:after="0"/>
        <w:rPr>
          <w:sz w:val="20"/>
          <w:szCs w:val="20"/>
          <w:color w:val="auto"/>
        </w:rPr>
      </w:pPr>
      <w:r>
        <w:rPr>
          <w:rFonts w:ascii="Arial" w:cs="Arial" w:eastAsia="Arial" w:hAnsi="Arial"/>
          <w:sz w:val="24"/>
          <w:szCs w:val="24"/>
          <w:b w:val="1"/>
          <w:bCs w:val="1"/>
          <w:color w:val="274CA2"/>
        </w:rPr>
        <w:t>DEAR FELLOW STOCKHOLDERS:</w:t>
      </w:r>
    </w:p>
    <w:p>
      <w:pPr>
        <w:spacing w:after="0" w:line="296" w:lineRule="exact"/>
        <w:rPr>
          <w:sz w:val="20"/>
          <w:szCs w:val="20"/>
          <w:color w:val="auto"/>
        </w:rPr>
      </w:pPr>
    </w:p>
    <w:p>
      <w:pPr>
        <w:ind w:left="720" w:right="760"/>
        <w:spacing w:after="0" w:line="321" w:lineRule="auto"/>
        <w:rPr>
          <w:sz w:val="20"/>
          <w:szCs w:val="20"/>
          <w:color w:val="auto"/>
        </w:rPr>
      </w:pPr>
      <w:r>
        <w:rPr>
          <w:rFonts w:ascii="Arial" w:cs="Arial" w:eastAsia="Arial" w:hAnsi="Arial"/>
          <w:sz w:val="20"/>
          <w:szCs w:val="20"/>
          <w:color w:val="161921"/>
        </w:rPr>
        <w:t>The favorable Agency MBS investment environment that we had anticipated definitively arrived in 2024. Following an unprecedented dual-track approach to monetary policy tightening that began in March 2022, the Federal Reserve (the “Fed”) finally took the initial steps in its pivot from a highly restrictive monetary policy stance to a more accommodative posture. Importantly, interest rate volatility eased, the yield curve steepened, and Agency MBS spreads to benchmark rates stabilized in a relatively narrow and advantageous trading range. Against this improved macroeconomic backdrop, AGNC delivered a 13.2% economic return for the year, powered by our compelling monthly dividend. AGNC’s economic return was the highest among our Agency REIT Peer Group and significantly above the peer average of 5.6%.</w:t>
      </w:r>
      <w:r>
        <w:rPr>
          <w:rFonts w:ascii="Arial" w:cs="Arial" w:eastAsia="Arial" w:hAnsi="Arial"/>
          <w:sz w:val="11"/>
          <w:szCs w:val="11"/>
          <w:color w:val="161921"/>
        </w:rPr>
        <w:t>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660"/>
        </w:trPr>
        <w:tc>
          <w:tcPr>
            <w:tcW w:w="5940" w:type="dxa"/>
            <w:vAlign w:val="bottom"/>
            <w:vMerge w:val="restart"/>
            <w:shd w:val="clear" w:color="auto" w:fill="F2F2F2"/>
          </w:tcPr>
          <w:p>
            <w:pPr>
              <w:jc w:val="center"/>
              <w:ind w:left="120"/>
              <w:spacing w:after="0"/>
              <w:rPr>
                <w:sz w:val="20"/>
                <w:szCs w:val="20"/>
                <w:color w:val="auto"/>
              </w:rPr>
            </w:pPr>
            <w:r>
              <w:rPr>
                <w:rFonts w:ascii="Times New Roman" w:cs="Times New Roman" w:eastAsia="Times New Roman" w:hAnsi="Times New Roman"/>
                <w:sz w:val="32"/>
                <w:szCs w:val="32"/>
                <w:color w:val="274CA2"/>
              </w:rPr>
              <w:t>Driven by an attractive</w:t>
            </w:r>
          </w:p>
        </w:tc>
        <w:tc>
          <w:tcPr>
            <w:tcW w:w="20" w:type="dxa"/>
            <w:vAlign w:val="bottom"/>
            <w:shd w:val="clear" w:color="auto" w:fill="F2F2F2"/>
          </w:tcPr>
          <w:p>
            <w:pPr>
              <w:spacing w:after="0"/>
              <w:rPr>
                <w:sz w:val="24"/>
                <w:szCs w:val="24"/>
                <w:color w:val="auto"/>
              </w:rPr>
            </w:pPr>
          </w:p>
        </w:tc>
        <w:tc>
          <w:tcPr>
            <w:tcW w:w="5920" w:type="dxa"/>
            <w:vAlign w:val="bottom"/>
            <w:gridSpan w:val="2"/>
            <w:vMerge w:val="restart"/>
            <w:shd w:val="clear" w:color="auto" w:fill="F2F2F2"/>
          </w:tcPr>
          <w:p>
            <w:pPr>
              <w:jc w:val="center"/>
              <w:ind w:right="180"/>
              <w:spacing w:after="0"/>
              <w:rPr>
                <w:sz w:val="20"/>
                <w:szCs w:val="20"/>
                <w:color w:val="auto"/>
              </w:rPr>
            </w:pPr>
            <w:r>
              <w:rPr>
                <w:rFonts w:ascii="Arial" w:cs="Arial" w:eastAsia="Arial" w:hAnsi="Arial"/>
                <w:sz w:val="24"/>
                <w:szCs w:val="24"/>
                <w:b w:val="1"/>
                <w:bCs w:val="1"/>
                <w:color w:val="auto"/>
              </w:rPr>
              <w:t>OUTPERFORMANCE OF OUR</w:t>
            </w:r>
          </w:p>
        </w:tc>
        <w:tc>
          <w:tcPr>
            <w:tcW w:w="0" w:type="dxa"/>
            <w:vAlign w:val="bottom"/>
          </w:tcPr>
          <w:p>
            <w:pPr>
              <w:spacing w:after="0"/>
              <w:rPr>
                <w:sz w:val="1"/>
                <w:szCs w:val="1"/>
                <w:color w:val="auto"/>
              </w:rPr>
            </w:pPr>
          </w:p>
        </w:tc>
      </w:tr>
      <w:tr>
        <w:trPr>
          <w:trHeight w:val="402"/>
        </w:trPr>
        <w:tc>
          <w:tcPr>
            <w:tcW w:w="5940" w:type="dxa"/>
            <w:vAlign w:val="bottom"/>
            <w:vMerge w:val="continue"/>
            <w:shd w:val="clear" w:color="auto" w:fill="F2F2F2"/>
          </w:tcPr>
          <w:p>
            <w:pPr>
              <w:spacing w:after="0"/>
              <w:rPr>
                <w:sz w:val="24"/>
                <w:szCs w:val="24"/>
                <w:color w:val="auto"/>
              </w:rPr>
            </w:pPr>
          </w:p>
        </w:tc>
        <w:tc>
          <w:tcPr>
            <w:tcW w:w="20" w:type="dxa"/>
            <w:vAlign w:val="bottom"/>
            <w:shd w:val="clear" w:color="auto" w:fill="274CA2"/>
          </w:tcPr>
          <w:p>
            <w:pPr>
              <w:spacing w:after="0"/>
              <w:rPr>
                <w:sz w:val="24"/>
                <w:szCs w:val="24"/>
                <w:color w:val="auto"/>
              </w:rPr>
            </w:pPr>
          </w:p>
        </w:tc>
        <w:tc>
          <w:tcPr>
            <w:tcW w:w="5920" w:type="dxa"/>
            <w:vAlign w:val="bottom"/>
            <w:gridSpan w:val="2"/>
            <w:vMerge w:val="continue"/>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940" w:type="dxa"/>
            <w:vAlign w:val="bottom"/>
            <w:vMerge w:val="restart"/>
            <w:shd w:val="clear" w:color="auto" w:fill="F2F2F2"/>
          </w:tcPr>
          <w:p>
            <w:pPr>
              <w:jc w:val="center"/>
              <w:ind w:left="120"/>
              <w:spacing w:after="0"/>
              <w:rPr>
                <w:sz w:val="20"/>
                <w:szCs w:val="20"/>
                <w:color w:val="auto"/>
              </w:rPr>
            </w:pPr>
            <w:r>
              <w:rPr>
                <w:rFonts w:ascii="Times New Roman" w:cs="Times New Roman" w:eastAsia="Times New Roman" w:hAnsi="Times New Roman"/>
                <w:sz w:val="32"/>
                <w:szCs w:val="32"/>
                <w:color w:val="274CA2"/>
              </w:rPr>
              <w:t>dividend yield component,</w:t>
            </w:r>
          </w:p>
        </w:tc>
        <w:tc>
          <w:tcPr>
            <w:tcW w:w="20" w:type="dxa"/>
            <w:vAlign w:val="bottom"/>
            <w:shd w:val="clear" w:color="auto" w:fill="274CA2"/>
          </w:tcPr>
          <w:p>
            <w:pPr>
              <w:spacing w:after="0"/>
              <w:rPr>
                <w:sz w:val="7"/>
                <w:szCs w:val="7"/>
                <w:color w:val="auto"/>
              </w:rPr>
            </w:pPr>
          </w:p>
        </w:tc>
        <w:tc>
          <w:tcPr>
            <w:tcW w:w="5920" w:type="dxa"/>
            <w:vAlign w:val="bottom"/>
            <w:gridSpan w:val="2"/>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940" w:type="dxa"/>
            <w:vAlign w:val="bottom"/>
            <w:vMerge w:val="continue"/>
            <w:shd w:val="clear" w:color="auto" w:fill="F2F2F2"/>
          </w:tcPr>
          <w:p>
            <w:pPr>
              <w:spacing w:after="0"/>
              <w:rPr>
                <w:sz w:val="24"/>
                <w:szCs w:val="24"/>
                <w:color w:val="auto"/>
              </w:rPr>
            </w:pPr>
          </w:p>
        </w:tc>
        <w:tc>
          <w:tcPr>
            <w:tcW w:w="20" w:type="dxa"/>
            <w:vAlign w:val="bottom"/>
            <w:shd w:val="clear" w:color="auto" w:fill="274CA2"/>
          </w:tcPr>
          <w:p>
            <w:pPr>
              <w:spacing w:after="0"/>
              <w:rPr>
                <w:sz w:val="24"/>
                <w:szCs w:val="24"/>
                <w:color w:val="auto"/>
              </w:rPr>
            </w:pPr>
          </w:p>
        </w:tc>
        <w:tc>
          <w:tcPr>
            <w:tcW w:w="5920" w:type="dxa"/>
            <w:vAlign w:val="bottom"/>
            <w:gridSpan w:val="2"/>
            <w:shd w:val="clear" w:color="auto" w:fill="F2F2F2"/>
          </w:tcPr>
          <w:p>
            <w:pPr>
              <w:jc w:val="center"/>
              <w:ind w:right="180"/>
              <w:spacing w:after="0"/>
              <w:rPr>
                <w:sz w:val="20"/>
                <w:szCs w:val="20"/>
                <w:color w:val="auto"/>
              </w:rPr>
            </w:pPr>
            <w:r>
              <w:rPr>
                <w:rFonts w:ascii="Arial" w:cs="Arial" w:eastAsia="Arial" w:hAnsi="Arial"/>
                <w:sz w:val="24"/>
                <w:szCs w:val="24"/>
                <w:b w:val="1"/>
                <w:bCs w:val="1"/>
                <w:color w:val="auto"/>
              </w:rPr>
              <w:t>AGENCY-FOCUSED REIT PEERS</w:t>
            </w:r>
            <w:r>
              <w:rPr>
                <w:rFonts w:ascii="Arial" w:cs="Arial" w:eastAsia="Arial" w:hAnsi="Arial"/>
                <w:sz w:val="13"/>
                <w:szCs w:val="13"/>
                <w:b w:val="1"/>
                <w:bCs w:val="1"/>
                <w:color w:val="auto"/>
              </w:rPr>
              <w:t>5</w:t>
            </w:r>
          </w:p>
        </w:tc>
        <w:tc>
          <w:tcPr>
            <w:tcW w:w="0" w:type="dxa"/>
            <w:vAlign w:val="bottom"/>
          </w:tcPr>
          <w:p>
            <w:pPr>
              <w:spacing w:after="0"/>
              <w:rPr>
                <w:sz w:val="1"/>
                <w:szCs w:val="1"/>
                <w:color w:val="auto"/>
              </w:rPr>
            </w:pPr>
          </w:p>
        </w:tc>
      </w:tr>
      <w:tr>
        <w:trPr>
          <w:trHeight w:val="400"/>
        </w:trPr>
        <w:tc>
          <w:tcPr>
            <w:tcW w:w="5940" w:type="dxa"/>
            <w:vAlign w:val="bottom"/>
            <w:shd w:val="clear" w:color="auto" w:fill="F2F2F2"/>
          </w:tcPr>
          <w:p>
            <w:pPr>
              <w:jc w:val="center"/>
              <w:ind w:left="120"/>
              <w:spacing w:after="0"/>
              <w:rPr>
                <w:sz w:val="20"/>
                <w:szCs w:val="20"/>
                <w:color w:val="auto"/>
              </w:rPr>
            </w:pPr>
            <w:r>
              <w:rPr>
                <w:rFonts w:ascii="Times New Roman" w:cs="Times New Roman" w:eastAsia="Times New Roman" w:hAnsi="Times New Roman"/>
                <w:sz w:val="32"/>
                <w:szCs w:val="32"/>
                <w:color w:val="274CA2"/>
              </w:rPr>
              <w:t>AGNC generated an economic</w:t>
            </w:r>
          </w:p>
        </w:tc>
        <w:tc>
          <w:tcPr>
            <w:tcW w:w="20" w:type="dxa"/>
            <w:vAlign w:val="bottom"/>
            <w:shd w:val="clear" w:color="auto" w:fill="274CA2"/>
          </w:tcPr>
          <w:p>
            <w:pPr>
              <w:spacing w:after="0"/>
              <w:rPr>
                <w:sz w:val="24"/>
                <w:szCs w:val="24"/>
                <w:color w:val="auto"/>
              </w:rPr>
            </w:pPr>
          </w:p>
        </w:tc>
        <w:tc>
          <w:tcPr>
            <w:tcW w:w="5920" w:type="dxa"/>
            <w:vAlign w:val="bottom"/>
            <w:gridSpan w:val="2"/>
            <w:shd w:val="clear" w:color="auto" w:fill="F2F2F2"/>
          </w:tcPr>
          <w:p>
            <w:pPr>
              <w:jc w:val="center"/>
              <w:ind w:right="180"/>
              <w:spacing w:after="0"/>
              <w:rPr>
                <w:sz w:val="20"/>
                <w:szCs w:val="20"/>
                <w:color w:val="auto"/>
              </w:rPr>
            </w:pPr>
            <w:r>
              <w:rPr>
                <w:rFonts w:ascii="Arial" w:cs="Arial" w:eastAsia="Arial" w:hAnsi="Arial"/>
                <w:sz w:val="16"/>
                <w:szCs w:val="16"/>
                <w:color w:val="auto"/>
              </w:rPr>
              <w:t>(Economic return outperformance in percentage points)</w:t>
            </w:r>
          </w:p>
        </w:tc>
        <w:tc>
          <w:tcPr>
            <w:tcW w:w="0" w:type="dxa"/>
            <w:vAlign w:val="bottom"/>
          </w:tcPr>
          <w:p>
            <w:pPr>
              <w:spacing w:after="0"/>
              <w:rPr>
                <w:sz w:val="1"/>
                <w:szCs w:val="1"/>
                <w:color w:val="auto"/>
              </w:rPr>
            </w:pPr>
          </w:p>
        </w:tc>
      </w:tr>
      <w:tr>
        <w:trPr>
          <w:trHeight w:val="400"/>
        </w:trPr>
        <w:tc>
          <w:tcPr>
            <w:tcW w:w="5940" w:type="dxa"/>
            <w:vAlign w:val="bottom"/>
            <w:shd w:val="clear" w:color="auto" w:fill="F2F2F2"/>
          </w:tcPr>
          <w:p>
            <w:pPr>
              <w:jc w:val="center"/>
              <w:ind w:left="100"/>
              <w:spacing w:after="0"/>
              <w:rPr>
                <w:sz w:val="20"/>
                <w:szCs w:val="20"/>
                <w:color w:val="auto"/>
              </w:rPr>
            </w:pPr>
            <w:r>
              <w:rPr>
                <w:rFonts w:ascii="Times New Roman" w:cs="Times New Roman" w:eastAsia="Times New Roman" w:hAnsi="Times New Roman"/>
                <w:sz w:val="32"/>
                <w:szCs w:val="32"/>
                <w:color w:val="274CA2"/>
              </w:rPr>
              <w:t>return of 13.2% in 2024, and,</w:t>
            </w:r>
          </w:p>
        </w:tc>
        <w:tc>
          <w:tcPr>
            <w:tcW w:w="20" w:type="dxa"/>
            <w:vAlign w:val="bottom"/>
            <w:shd w:val="clear" w:color="auto" w:fill="274CA2"/>
          </w:tcPr>
          <w:p>
            <w:pPr>
              <w:spacing w:after="0"/>
              <w:rPr>
                <w:sz w:val="24"/>
                <w:szCs w:val="24"/>
                <w:color w:val="auto"/>
              </w:rPr>
            </w:pPr>
          </w:p>
        </w:tc>
        <w:tc>
          <w:tcPr>
            <w:tcW w:w="272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60"/>
                <w:szCs w:val="60"/>
                <w:color w:val="274CA2"/>
              </w:rPr>
              <w:t>+7.6 pp</w:t>
            </w:r>
          </w:p>
        </w:tc>
        <w:tc>
          <w:tcPr>
            <w:tcW w:w="3200" w:type="dxa"/>
            <w:vAlign w:val="bottom"/>
            <w:vMerge w:val="restart"/>
            <w:shd w:val="clear" w:color="auto" w:fill="F2F2F2"/>
          </w:tcPr>
          <w:p>
            <w:pPr>
              <w:ind w:left="340"/>
              <w:spacing w:after="0"/>
              <w:rPr>
                <w:sz w:val="20"/>
                <w:szCs w:val="20"/>
                <w:color w:val="auto"/>
              </w:rPr>
            </w:pPr>
            <w:r>
              <w:rPr>
                <w:rFonts w:ascii="Times New Roman" w:cs="Times New Roman" w:eastAsia="Times New Roman" w:hAnsi="Times New Roman"/>
                <w:sz w:val="60"/>
                <w:szCs w:val="60"/>
                <w:color w:val="274CA2"/>
              </w:rPr>
              <w:t>+169 pp</w:t>
            </w:r>
          </w:p>
        </w:tc>
        <w:tc>
          <w:tcPr>
            <w:tcW w:w="0" w:type="dxa"/>
            <w:vAlign w:val="bottom"/>
          </w:tcPr>
          <w:p>
            <w:pPr>
              <w:spacing w:after="0"/>
              <w:rPr>
                <w:sz w:val="1"/>
                <w:szCs w:val="1"/>
                <w:color w:val="auto"/>
              </w:rPr>
            </w:pPr>
          </w:p>
        </w:tc>
      </w:tr>
      <w:tr>
        <w:trPr>
          <w:trHeight w:val="400"/>
        </w:trPr>
        <w:tc>
          <w:tcPr>
            <w:tcW w:w="5940" w:type="dxa"/>
            <w:vAlign w:val="bottom"/>
            <w:shd w:val="clear" w:color="auto" w:fill="F2F2F2"/>
          </w:tcPr>
          <w:p>
            <w:pPr>
              <w:jc w:val="center"/>
              <w:ind w:left="120"/>
              <w:spacing w:after="0"/>
              <w:rPr>
                <w:sz w:val="20"/>
                <w:szCs w:val="20"/>
                <w:color w:val="auto"/>
              </w:rPr>
            </w:pPr>
            <w:r>
              <w:rPr>
                <w:rFonts w:ascii="Times New Roman" w:cs="Times New Roman" w:eastAsia="Times New Roman" w:hAnsi="Times New Roman"/>
                <w:sz w:val="32"/>
                <w:szCs w:val="32"/>
                <w:color w:val="274CA2"/>
              </w:rPr>
              <w:t>notably, we have delivered an</w:t>
            </w:r>
          </w:p>
        </w:tc>
        <w:tc>
          <w:tcPr>
            <w:tcW w:w="20" w:type="dxa"/>
            <w:vAlign w:val="bottom"/>
            <w:shd w:val="clear" w:color="auto" w:fill="274CA2"/>
          </w:tcPr>
          <w:p>
            <w:pPr>
              <w:spacing w:after="0"/>
              <w:rPr>
                <w:sz w:val="24"/>
                <w:szCs w:val="24"/>
                <w:color w:val="auto"/>
              </w:rPr>
            </w:pPr>
          </w:p>
        </w:tc>
        <w:tc>
          <w:tcPr>
            <w:tcW w:w="2720" w:type="dxa"/>
            <w:vAlign w:val="bottom"/>
            <w:vMerge w:val="continue"/>
            <w:shd w:val="clear" w:color="auto" w:fill="F2F2F2"/>
          </w:tcPr>
          <w:p>
            <w:pPr>
              <w:spacing w:after="0"/>
              <w:rPr>
                <w:sz w:val="24"/>
                <w:szCs w:val="24"/>
                <w:color w:val="auto"/>
              </w:rPr>
            </w:pPr>
          </w:p>
        </w:tc>
        <w:tc>
          <w:tcPr>
            <w:tcW w:w="3200" w:type="dxa"/>
            <w:vAlign w:val="bottom"/>
            <w:vMerge w:val="continue"/>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940" w:type="dxa"/>
            <w:vAlign w:val="bottom"/>
            <w:shd w:val="clear" w:color="auto" w:fill="F2F2F2"/>
          </w:tcPr>
          <w:p>
            <w:pPr>
              <w:jc w:val="center"/>
              <w:ind w:left="80"/>
              <w:spacing w:after="0"/>
              <w:rPr>
                <w:sz w:val="20"/>
                <w:szCs w:val="20"/>
                <w:color w:val="auto"/>
              </w:rPr>
            </w:pPr>
            <w:r>
              <w:rPr>
                <w:rFonts w:ascii="Times New Roman" w:cs="Times New Roman" w:eastAsia="Times New Roman" w:hAnsi="Times New Roman"/>
                <w:sz w:val="32"/>
                <w:szCs w:val="32"/>
                <w:color w:val="274CA2"/>
              </w:rPr>
              <w:t>annualized total stock return of</w:t>
            </w:r>
          </w:p>
        </w:tc>
        <w:tc>
          <w:tcPr>
            <w:tcW w:w="20" w:type="dxa"/>
            <w:vAlign w:val="bottom"/>
            <w:shd w:val="clear" w:color="auto" w:fill="274CA2"/>
          </w:tcPr>
          <w:p>
            <w:pPr>
              <w:spacing w:after="0"/>
              <w:rPr>
                <w:sz w:val="24"/>
                <w:szCs w:val="24"/>
                <w:color w:val="auto"/>
              </w:rPr>
            </w:pPr>
          </w:p>
        </w:tc>
        <w:tc>
          <w:tcPr>
            <w:tcW w:w="2720" w:type="dxa"/>
            <w:vAlign w:val="bottom"/>
            <w:vMerge w:val="restart"/>
            <w:shd w:val="clear" w:color="auto" w:fill="F2F2F2"/>
          </w:tcPr>
          <w:p>
            <w:pPr>
              <w:jc w:val="center"/>
              <w:spacing w:after="0"/>
              <w:rPr>
                <w:sz w:val="20"/>
                <w:szCs w:val="20"/>
                <w:color w:val="auto"/>
              </w:rPr>
            </w:pPr>
            <w:r>
              <w:rPr>
                <w:rFonts w:ascii="Arial" w:cs="Arial" w:eastAsia="Arial" w:hAnsi="Arial"/>
                <w:sz w:val="20"/>
                <w:szCs w:val="20"/>
                <w:color w:val="161921"/>
              </w:rPr>
              <w:t>ONE YEAR</w:t>
            </w:r>
          </w:p>
        </w:tc>
        <w:tc>
          <w:tcPr>
            <w:tcW w:w="3200" w:type="dxa"/>
            <w:vAlign w:val="bottom"/>
            <w:vMerge w:val="restart"/>
            <w:shd w:val="clear" w:color="auto" w:fill="F2F2F2"/>
          </w:tcPr>
          <w:p>
            <w:pPr>
              <w:ind w:left="400"/>
              <w:spacing w:after="0"/>
              <w:rPr>
                <w:sz w:val="20"/>
                <w:szCs w:val="20"/>
                <w:color w:val="auto"/>
              </w:rPr>
            </w:pPr>
            <w:r>
              <w:rPr>
                <w:rFonts w:ascii="Arial" w:cs="Arial" w:eastAsia="Arial" w:hAnsi="Arial"/>
                <w:sz w:val="20"/>
                <w:szCs w:val="20"/>
                <w:color w:val="161921"/>
              </w:rPr>
              <w:t>SINCE INCEPTION</w:t>
            </w:r>
          </w:p>
        </w:tc>
        <w:tc>
          <w:tcPr>
            <w:tcW w:w="0" w:type="dxa"/>
            <w:vAlign w:val="bottom"/>
          </w:tcPr>
          <w:p>
            <w:pPr>
              <w:spacing w:after="0"/>
              <w:rPr>
                <w:sz w:val="1"/>
                <w:szCs w:val="1"/>
                <w:color w:val="auto"/>
              </w:rPr>
            </w:pPr>
          </w:p>
        </w:tc>
      </w:tr>
      <w:tr>
        <w:trPr>
          <w:trHeight w:val="274"/>
        </w:trPr>
        <w:tc>
          <w:tcPr>
            <w:tcW w:w="5940" w:type="dxa"/>
            <w:vAlign w:val="bottom"/>
            <w:vMerge w:val="restart"/>
            <w:shd w:val="clear" w:color="auto" w:fill="F2F2F2"/>
          </w:tcPr>
          <w:p>
            <w:pPr>
              <w:jc w:val="center"/>
              <w:ind w:left="100"/>
              <w:spacing w:after="0"/>
              <w:rPr>
                <w:sz w:val="20"/>
                <w:szCs w:val="20"/>
                <w:color w:val="auto"/>
              </w:rPr>
            </w:pPr>
            <w:r>
              <w:rPr>
                <w:rFonts w:ascii="Times New Roman" w:cs="Times New Roman" w:eastAsia="Times New Roman" w:hAnsi="Times New Roman"/>
                <w:sz w:val="32"/>
                <w:szCs w:val="32"/>
                <w:color w:val="274CA2"/>
              </w:rPr>
              <w:t>10.0% since inception in 2008.</w:t>
            </w:r>
            <w:r>
              <w:rPr>
                <w:rFonts w:ascii="Times New Roman" w:cs="Times New Roman" w:eastAsia="Times New Roman" w:hAnsi="Times New Roman"/>
                <w:sz w:val="18"/>
                <w:szCs w:val="18"/>
                <w:color w:val="274CA2"/>
              </w:rPr>
              <w:t>2,5</w:t>
            </w:r>
          </w:p>
        </w:tc>
        <w:tc>
          <w:tcPr>
            <w:tcW w:w="20" w:type="dxa"/>
            <w:vAlign w:val="bottom"/>
            <w:shd w:val="clear" w:color="auto" w:fill="274CA2"/>
          </w:tcPr>
          <w:p>
            <w:pPr>
              <w:spacing w:after="0"/>
              <w:rPr>
                <w:sz w:val="23"/>
                <w:szCs w:val="23"/>
                <w:color w:val="auto"/>
              </w:rPr>
            </w:pPr>
          </w:p>
        </w:tc>
        <w:tc>
          <w:tcPr>
            <w:tcW w:w="2720" w:type="dxa"/>
            <w:vAlign w:val="bottom"/>
            <w:vMerge w:val="continue"/>
            <w:shd w:val="clear" w:color="auto" w:fill="F2F2F2"/>
          </w:tcPr>
          <w:p>
            <w:pPr>
              <w:spacing w:after="0"/>
              <w:rPr>
                <w:sz w:val="23"/>
                <w:szCs w:val="23"/>
                <w:color w:val="auto"/>
              </w:rPr>
            </w:pPr>
          </w:p>
        </w:tc>
        <w:tc>
          <w:tcPr>
            <w:tcW w:w="3200" w:type="dxa"/>
            <w:vAlign w:val="bottom"/>
            <w:vMerge w:val="continue"/>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5940" w:type="dxa"/>
            <w:vAlign w:val="bottom"/>
            <w:tcBorders>
              <w:bottom w:val="single" w:sz="8" w:color="F2F2F2"/>
            </w:tcBorders>
            <w:vMerge w:val="continue"/>
            <w:shd w:val="clear" w:color="auto" w:fill="F2F2F2"/>
          </w:tcPr>
          <w:p>
            <w:pPr>
              <w:spacing w:after="0"/>
              <w:rPr>
                <w:sz w:val="16"/>
                <w:szCs w:val="16"/>
                <w:color w:val="auto"/>
              </w:rPr>
            </w:pPr>
          </w:p>
        </w:tc>
        <w:tc>
          <w:tcPr>
            <w:tcW w:w="20" w:type="dxa"/>
            <w:vAlign w:val="bottom"/>
            <w:tcBorders>
              <w:bottom w:val="single" w:sz="8" w:color="274CA2"/>
            </w:tcBorders>
            <w:shd w:val="clear" w:color="auto" w:fill="274CA2"/>
          </w:tcPr>
          <w:p>
            <w:pPr>
              <w:spacing w:after="0"/>
              <w:rPr>
                <w:sz w:val="16"/>
                <w:szCs w:val="16"/>
                <w:color w:val="auto"/>
              </w:rPr>
            </w:pPr>
          </w:p>
        </w:tc>
        <w:tc>
          <w:tcPr>
            <w:tcW w:w="2720" w:type="dxa"/>
            <w:vAlign w:val="bottom"/>
            <w:tcBorders>
              <w:bottom w:val="single" w:sz="8" w:color="F2F2F2"/>
            </w:tcBorders>
            <w:shd w:val="clear" w:color="auto" w:fill="F2F2F2"/>
          </w:tcPr>
          <w:p>
            <w:pPr>
              <w:spacing w:after="0"/>
              <w:rPr>
                <w:sz w:val="16"/>
                <w:szCs w:val="16"/>
                <w:color w:val="auto"/>
              </w:rPr>
            </w:pPr>
          </w:p>
        </w:tc>
        <w:tc>
          <w:tcPr>
            <w:tcW w:w="320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600"/>
        </w:trPr>
        <w:tc>
          <w:tcPr>
            <w:tcW w:w="5940" w:type="dxa"/>
            <w:vAlign w:val="bottom"/>
            <w:shd w:val="clear" w:color="auto" w:fill="F2F2F2"/>
          </w:tcPr>
          <w:p>
            <w:pPr>
              <w:spacing w:after="0"/>
              <w:rPr>
                <w:sz w:val="24"/>
                <w:szCs w:val="24"/>
                <w:color w:val="auto"/>
              </w:rPr>
            </w:pPr>
          </w:p>
        </w:tc>
        <w:tc>
          <w:tcPr>
            <w:tcW w:w="20" w:type="dxa"/>
            <w:vAlign w:val="bottom"/>
            <w:shd w:val="clear" w:color="auto" w:fill="F2F2F2"/>
          </w:tcPr>
          <w:p>
            <w:pPr>
              <w:spacing w:after="0"/>
              <w:rPr>
                <w:sz w:val="24"/>
                <w:szCs w:val="24"/>
                <w:color w:val="auto"/>
              </w:rPr>
            </w:pPr>
          </w:p>
        </w:tc>
        <w:tc>
          <w:tcPr>
            <w:tcW w:w="2720" w:type="dxa"/>
            <w:vAlign w:val="bottom"/>
            <w:shd w:val="clear" w:color="auto" w:fill="F2F2F2"/>
          </w:tcPr>
          <w:p>
            <w:pPr>
              <w:spacing w:after="0"/>
              <w:rPr>
                <w:sz w:val="24"/>
                <w:szCs w:val="24"/>
                <w:color w:val="auto"/>
              </w:rPr>
            </w:pPr>
          </w:p>
        </w:tc>
        <w:tc>
          <w:tcPr>
            <w:tcW w:w="320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720" w:right="840"/>
        <w:spacing w:after="0" w:line="333" w:lineRule="auto"/>
        <w:rPr>
          <w:sz w:val="20"/>
          <w:szCs w:val="20"/>
          <w:color w:val="auto"/>
        </w:rPr>
      </w:pPr>
      <w:r>
        <w:rPr>
          <w:rFonts w:ascii="Arial" w:cs="Arial" w:eastAsia="Arial" w:hAnsi="Arial"/>
          <w:sz w:val="20"/>
          <w:szCs w:val="20"/>
          <w:color w:val="161921"/>
        </w:rPr>
        <w:t>Our strong 2024 annual results illustrate our ability to generate compelling risk-adjusted returns during periods of moderate interest rate volatility and wide and stable Agency MBS spreads. Entering 2025, we maintain our very positive outlook for Agency MBS, a fundamental building block of a well-diversified portfolio. AGNC provides our stockholders access to this asset class through a platform that has generated best-in-class returns since our IPO, highlighting the benefits of our active portfolio management strategies, industry-leading operating efficiency, and accretive capital management approach.</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02"/>
        </w:trPr>
        <w:tc>
          <w:tcPr>
            <w:tcW w:w="4060" w:type="dxa"/>
            <w:vAlign w:val="bottom"/>
            <w:shd w:val="clear" w:color="auto" w:fill="000000"/>
          </w:tcPr>
          <w:p>
            <w:pPr>
              <w:jc w:val="center"/>
              <w:ind w:left="340"/>
              <w:spacing w:after="0"/>
              <w:rPr>
                <w:sz w:val="20"/>
                <w:szCs w:val="20"/>
                <w:color w:val="auto"/>
              </w:rPr>
            </w:pPr>
            <w:r>
              <w:rPr>
                <w:rFonts w:ascii="Arial" w:cs="Arial" w:eastAsia="Arial" w:hAnsi="Arial"/>
                <w:sz w:val="20"/>
                <w:szCs w:val="20"/>
                <w:b w:val="1"/>
                <w:bCs w:val="1"/>
                <w:color w:val="FFFFFF"/>
              </w:rPr>
              <w:t>THE OPPORTUNITY</w:t>
            </w:r>
          </w:p>
        </w:tc>
        <w:tc>
          <w:tcPr>
            <w:tcW w:w="3800" w:type="dxa"/>
            <w:vAlign w:val="bottom"/>
            <w:shd w:val="clear" w:color="auto" w:fill="000000"/>
          </w:tcPr>
          <w:p>
            <w:pPr>
              <w:jc w:val="center"/>
              <w:spacing w:after="0"/>
              <w:rPr>
                <w:sz w:val="20"/>
                <w:szCs w:val="20"/>
                <w:color w:val="auto"/>
              </w:rPr>
            </w:pPr>
            <w:r>
              <w:rPr>
                <w:rFonts w:ascii="Arial" w:cs="Arial" w:eastAsia="Arial" w:hAnsi="Arial"/>
                <w:sz w:val="20"/>
                <w:szCs w:val="20"/>
                <w:b w:val="1"/>
                <w:bCs w:val="1"/>
                <w:color w:val="FFFFFF"/>
              </w:rPr>
              <w:t>THE OBJECTIVE</w:t>
            </w:r>
          </w:p>
        </w:tc>
        <w:tc>
          <w:tcPr>
            <w:tcW w:w="4020" w:type="dxa"/>
            <w:vAlign w:val="bottom"/>
            <w:shd w:val="clear" w:color="auto" w:fill="000000"/>
          </w:tcPr>
          <w:p>
            <w:pPr>
              <w:jc w:val="center"/>
              <w:ind w:right="380"/>
              <w:spacing w:after="0"/>
              <w:rPr>
                <w:sz w:val="20"/>
                <w:szCs w:val="20"/>
                <w:color w:val="auto"/>
              </w:rPr>
            </w:pPr>
            <w:r>
              <w:rPr>
                <w:rFonts w:ascii="Arial" w:cs="Arial" w:eastAsia="Arial" w:hAnsi="Arial"/>
                <w:sz w:val="20"/>
                <w:szCs w:val="20"/>
                <w:b w:val="1"/>
                <w:bCs w:val="1"/>
                <w:color w:val="FFFFFF"/>
              </w:rPr>
              <w:t>THE IMPACT</w:t>
            </w:r>
          </w:p>
        </w:tc>
      </w:tr>
      <w:tr>
        <w:trPr>
          <w:trHeight w:val="280"/>
        </w:trPr>
        <w:tc>
          <w:tcPr>
            <w:tcW w:w="4060" w:type="dxa"/>
            <w:vAlign w:val="bottom"/>
            <w:shd w:val="clear" w:color="auto" w:fill="000000"/>
          </w:tcPr>
          <w:p>
            <w:pPr>
              <w:jc w:val="center"/>
              <w:ind w:left="340"/>
              <w:spacing w:after="0"/>
              <w:rPr>
                <w:sz w:val="20"/>
                <w:szCs w:val="20"/>
                <w:color w:val="auto"/>
              </w:rPr>
            </w:pPr>
            <w:r>
              <w:rPr>
                <w:rFonts w:ascii="Arial" w:cs="Arial" w:eastAsia="Arial" w:hAnsi="Arial"/>
                <w:sz w:val="20"/>
                <w:szCs w:val="20"/>
                <w:color w:val="FFFFFF"/>
              </w:rPr>
              <w:t>Agency-guaranteed residential</w:t>
            </w:r>
          </w:p>
        </w:tc>
        <w:tc>
          <w:tcPr>
            <w:tcW w:w="380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Favorable long-term stockholder</w:t>
            </w:r>
          </w:p>
        </w:tc>
        <w:tc>
          <w:tcPr>
            <w:tcW w:w="4020" w:type="dxa"/>
            <w:vAlign w:val="bottom"/>
            <w:shd w:val="clear" w:color="auto" w:fill="000000"/>
          </w:tcPr>
          <w:p>
            <w:pPr>
              <w:jc w:val="center"/>
              <w:ind w:right="380"/>
              <w:spacing w:after="0"/>
              <w:rPr>
                <w:sz w:val="20"/>
                <w:szCs w:val="20"/>
                <w:color w:val="auto"/>
              </w:rPr>
            </w:pPr>
            <w:r>
              <w:rPr>
                <w:rFonts w:ascii="Arial" w:cs="Arial" w:eastAsia="Arial" w:hAnsi="Arial"/>
                <w:sz w:val="20"/>
                <w:szCs w:val="20"/>
                <w:color w:val="FFFFFF"/>
              </w:rPr>
              <w:t>Permanent capital supporting</w:t>
            </w:r>
          </w:p>
        </w:tc>
      </w:tr>
      <w:tr>
        <w:trPr>
          <w:trHeight w:val="280"/>
        </w:trPr>
        <w:tc>
          <w:tcPr>
            <w:tcW w:w="4060" w:type="dxa"/>
            <w:vAlign w:val="bottom"/>
            <w:shd w:val="clear" w:color="auto" w:fill="000000"/>
          </w:tcPr>
          <w:p>
            <w:pPr>
              <w:jc w:val="center"/>
              <w:ind w:left="340"/>
              <w:spacing w:after="0"/>
              <w:rPr>
                <w:sz w:val="20"/>
                <w:szCs w:val="20"/>
                <w:color w:val="auto"/>
              </w:rPr>
            </w:pPr>
            <w:r>
              <w:rPr>
                <w:rFonts w:ascii="Arial" w:cs="Arial" w:eastAsia="Arial" w:hAnsi="Arial"/>
                <w:sz w:val="20"/>
                <w:szCs w:val="20"/>
                <w:color w:val="FFFFFF"/>
              </w:rPr>
              <w:t>MBS investments paired with</w:t>
            </w:r>
          </w:p>
        </w:tc>
        <w:tc>
          <w:tcPr>
            <w:tcW w:w="380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returns with a substantial</w:t>
            </w:r>
          </w:p>
        </w:tc>
        <w:tc>
          <w:tcPr>
            <w:tcW w:w="4020" w:type="dxa"/>
            <w:vAlign w:val="bottom"/>
            <w:shd w:val="clear" w:color="auto" w:fill="000000"/>
          </w:tcPr>
          <w:p>
            <w:pPr>
              <w:jc w:val="center"/>
              <w:ind w:right="380"/>
              <w:spacing w:after="0"/>
              <w:rPr>
                <w:sz w:val="20"/>
                <w:szCs w:val="20"/>
                <w:color w:val="auto"/>
              </w:rPr>
            </w:pPr>
            <w:r>
              <w:rPr>
                <w:rFonts w:ascii="Arial" w:cs="Arial" w:eastAsia="Arial" w:hAnsi="Arial"/>
                <w:sz w:val="20"/>
                <w:szCs w:val="20"/>
                <w:color w:val="FFFFFF"/>
              </w:rPr>
              <w:t>American homeownership</w:t>
            </w:r>
          </w:p>
        </w:tc>
      </w:tr>
      <w:tr>
        <w:trPr>
          <w:trHeight w:val="427"/>
        </w:trPr>
        <w:tc>
          <w:tcPr>
            <w:tcW w:w="4060" w:type="dxa"/>
            <w:vAlign w:val="bottom"/>
            <w:shd w:val="clear" w:color="auto" w:fill="000000"/>
          </w:tcPr>
          <w:p>
            <w:pPr>
              <w:jc w:val="center"/>
              <w:ind w:left="340"/>
              <w:spacing w:after="0"/>
              <w:rPr>
                <w:sz w:val="20"/>
                <w:szCs w:val="20"/>
                <w:color w:val="auto"/>
              </w:rPr>
            </w:pPr>
            <w:r>
              <w:rPr>
                <w:rFonts w:ascii="Arial" w:cs="Arial" w:eastAsia="Arial" w:hAnsi="Arial"/>
                <w:sz w:val="20"/>
                <w:szCs w:val="20"/>
                <w:color w:val="FFFFFF"/>
              </w:rPr>
              <w:t>highly attractive funding</w:t>
            </w:r>
          </w:p>
        </w:tc>
        <w:tc>
          <w:tcPr>
            <w:tcW w:w="380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dividend yield component</w:t>
            </w:r>
          </w:p>
        </w:tc>
        <w:tc>
          <w:tcPr>
            <w:tcW w:w="4020" w:type="dxa"/>
            <w:vAlign w:val="bottom"/>
            <w:shd w:val="clear" w:color="auto" w:fill="000000"/>
          </w:tcPr>
          <w:p>
            <w:pPr>
              <w:jc w:val="center"/>
              <w:ind w:right="380"/>
              <w:spacing w:after="0"/>
              <w:rPr>
                <w:sz w:val="20"/>
                <w:szCs w:val="20"/>
                <w:color w:val="auto"/>
              </w:rPr>
            </w:pPr>
            <w:r>
              <w:rPr>
                <w:rFonts w:ascii="Arial" w:cs="Arial" w:eastAsia="Arial" w:hAnsi="Arial"/>
                <w:sz w:val="20"/>
                <w:szCs w:val="20"/>
                <w:color w:val="FFFFFF"/>
              </w:rPr>
              <w:t>across generations</w:t>
            </w:r>
          </w:p>
        </w:tc>
      </w:tr>
      <w:tr>
        <w:trPr>
          <w:trHeight w:val="284"/>
        </w:trPr>
        <w:tc>
          <w:tcPr>
            <w:tcW w:w="4060" w:type="dxa"/>
            <w:vAlign w:val="bottom"/>
            <w:shd w:val="clear" w:color="auto" w:fill="000000"/>
          </w:tcPr>
          <w:p>
            <w:pPr>
              <w:spacing w:after="0"/>
              <w:rPr>
                <w:sz w:val="24"/>
                <w:szCs w:val="24"/>
                <w:color w:val="auto"/>
              </w:rPr>
            </w:pPr>
          </w:p>
        </w:tc>
        <w:tc>
          <w:tcPr>
            <w:tcW w:w="3800" w:type="dxa"/>
            <w:vAlign w:val="bottom"/>
            <w:shd w:val="clear" w:color="auto" w:fill="000000"/>
          </w:tcPr>
          <w:p>
            <w:pPr>
              <w:spacing w:after="0"/>
              <w:rPr>
                <w:sz w:val="24"/>
                <w:szCs w:val="24"/>
                <w:color w:val="auto"/>
              </w:rPr>
            </w:pPr>
          </w:p>
        </w:tc>
        <w:tc>
          <w:tcPr>
            <w:tcW w:w="402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-1593850</wp:posOffset>
            </wp:positionV>
            <wp:extent cx="456565" cy="45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6565" cy="45656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-1593850</wp:posOffset>
            </wp:positionV>
            <wp:extent cx="456565" cy="456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45656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-1593850</wp:posOffset>
            </wp:positionV>
            <wp:extent cx="456565" cy="456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6565" cy="4565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2600325</wp:posOffset>
                </wp:positionH>
                <wp:positionV relativeFrom="paragraph">
                  <wp:posOffset>-1595120</wp:posOffset>
                </wp:positionV>
                <wp:extent cx="0" cy="136715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67155"/>
                        </a:xfrm>
                        <a:prstGeom prst="line">
                          <a:avLst/>
                        </a:prstGeom>
                        <a:solidFill>
                          <a:srgbClr val="FFFFFF"/>
                        </a:solidFill>
                        <a:ln w="6350">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75pt,-125.5999pt" to="204.75pt,-17.9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4943475</wp:posOffset>
                </wp:positionH>
                <wp:positionV relativeFrom="paragraph">
                  <wp:posOffset>-1595120</wp:posOffset>
                </wp:positionV>
                <wp:extent cx="0" cy="136715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67155"/>
                        </a:xfrm>
                        <a:prstGeom prst="line">
                          <a:avLst/>
                        </a:prstGeom>
                        <a:solidFill>
                          <a:srgbClr val="FFFFFF"/>
                        </a:solidFill>
                        <a:ln w="6350">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25pt,-125.5999pt" to="389.25pt,-17.9499pt" o:allowincell="f" strokecolor="#FFFFFF" strokeweight="0.5pt"/>
            </w:pict>
          </mc:Fallback>
        </mc:AlternateContent>
      </w:r>
    </w:p>
    <w:p>
      <w:pPr>
        <w:sectPr>
          <w:pgSz w:w="11880" w:h="15480" w:orient="portrait"/>
          <w:cols w:equalWidth="0" w:num="1">
            <w:col w:w="11880"/>
          </w:cols>
          <w:pgMar w:left="0" w:top="1440" w:right="0" w:bottom="0" w:gutter="0" w:footer="0" w:header="0"/>
        </w:sectPr>
      </w:pPr>
    </w:p>
    <w:p>
      <w:pPr>
        <w:spacing w:after="0" w:line="265" w:lineRule="exact"/>
        <w:rPr>
          <w:sz w:val="20"/>
          <w:szCs w:val="20"/>
          <w:color w:val="auto"/>
        </w:rPr>
      </w:pPr>
    </w:p>
    <w:p>
      <w:pPr>
        <w:ind w:left="9080"/>
        <w:spacing w:after="0"/>
        <w:rPr>
          <w:sz w:val="20"/>
          <w:szCs w:val="20"/>
          <w:color w:val="auto"/>
        </w:rPr>
      </w:pPr>
      <w:r>
        <w:rPr>
          <w:rFonts w:ascii="Arial" w:cs="Arial" w:eastAsia="Arial" w:hAnsi="Arial"/>
          <w:sz w:val="16"/>
          <w:szCs w:val="16"/>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7232015</wp:posOffset>
                </wp:positionH>
                <wp:positionV relativeFrom="paragraph">
                  <wp:posOffset>-56515</wp:posOffset>
                </wp:positionV>
                <wp:extent cx="0" cy="22796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7965"/>
                        </a:xfrm>
                        <a:prstGeom prst="line">
                          <a:avLst/>
                        </a:prstGeom>
                        <a:solidFill>
                          <a:srgbClr val="FFFFFF"/>
                        </a:solidFill>
                        <a:ln w="19050">
                          <a:solidFill>
                            <a:srgbClr val="274CA2"/>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9.45pt,-4.4499pt" to="569.45pt,13.5pt" o:allowincell="f" strokecolor="#274CA2" strokeweight="1.5pt"/>
            </w:pict>
          </mc:Fallback>
        </mc:AlternateContent>
      </w:r>
    </w:p>
    <w:p>
      <w:pPr>
        <w:ind w:left="9080"/>
        <w:spacing w:after="0"/>
        <w:rPr>
          <w:sz w:val="20"/>
          <w:szCs w:val="20"/>
          <w:color w:val="auto"/>
        </w:rPr>
      </w:pPr>
      <w:r>
        <w:rPr>
          <w:rFonts w:ascii="Arial" w:cs="Arial" w:eastAsia="Arial" w:hAnsi="Arial"/>
          <w:sz w:val="16"/>
          <w:szCs w:val="16"/>
          <w:color w:val="auto"/>
        </w:rPr>
        <w:t xml:space="preserve">2024 Annual Report </w:t>
      </w:r>
      <w:r>
        <w:rPr>
          <w:rFonts w:ascii="Arial" w:cs="Arial" w:eastAsia="Arial" w:hAnsi="Arial"/>
          <w:sz w:val="16"/>
          <w:szCs w:val="16"/>
          <w:color w:val="274CA2"/>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1</w:t>
      </w:r>
    </w:p>
    <w:p>
      <w:pPr>
        <w:sectPr>
          <w:pgSz w:w="11880" w:h="15480" w:orient="portrait"/>
          <w:cols w:equalWidth="0" w:num="1">
            <w:col w:w="11880"/>
          </w:cols>
          <w:pgMar w:left="0" w:top="1440" w:right="0" w:bottom="0" w:gutter="0" w:footer="0" w:header="0"/>
          <w:type w:val="continuous"/>
        </w:sectPr>
      </w:pPr>
    </w:p>
    <w:bookmarkStart w:id="3" w:name="page4"/>
    <w:bookmarkEnd w:id="3"/>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7543800" cy="685800"/>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274CA2"/>
        </w:rPr>
        <w:t xml:space="preserve">MONETARY POLICY: </w:t>
      </w:r>
      <w:r>
        <w:rPr>
          <w:rFonts w:ascii="Arial" w:cs="Arial" w:eastAsia="Arial" w:hAnsi="Arial"/>
          <w:sz w:val="24"/>
          <w:szCs w:val="24"/>
          <w:b w:val="1"/>
          <w:bCs w:val="1"/>
          <w:color w:val="000000"/>
        </w:rPr>
        <w:t>A GRADUAL PATH TO NEUTRAL</w:t>
      </w:r>
    </w:p>
    <w:p>
      <w:pPr>
        <w:spacing w:after="0" w:line="296" w:lineRule="exact"/>
        <w:rPr>
          <w:sz w:val="20"/>
          <w:szCs w:val="20"/>
          <w:color w:val="auto"/>
        </w:rPr>
      </w:pPr>
    </w:p>
    <w:p>
      <w:pPr>
        <w:ind w:right="80"/>
        <w:spacing w:after="0" w:line="326" w:lineRule="auto"/>
        <w:rPr>
          <w:sz w:val="20"/>
          <w:szCs w:val="20"/>
          <w:color w:val="auto"/>
        </w:rPr>
      </w:pPr>
      <w:r>
        <w:rPr>
          <w:rFonts w:ascii="Arial" w:cs="Arial" w:eastAsia="Arial" w:hAnsi="Arial"/>
          <w:sz w:val="20"/>
          <w:szCs w:val="20"/>
          <w:color w:val="161921"/>
        </w:rPr>
        <w:t>Throughout 2022 and 2023, the Fed raised the federal funds rate by 525 basis points while simultaneously reducing its balance sheet by $1.3 trillion. As a result of this multi-year hiking cycle, the federal funds rate remained at its 22-year peak of 5.50%</w:t>
      </w:r>
      <w:r>
        <w:rPr>
          <w:rFonts w:ascii="Arial" w:cs="Arial" w:eastAsia="Arial" w:hAnsi="Arial"/>
          <w:sz w:val="11"/>
          <w:szCs w:val="11"/>
          <w:color w:val="161921"/>
        </w:rPr>
        <w:t>6</w:t>
      </w:r>
      <w:r>
        <w:rPr>
          <w:rFonts w:ascii="Arial" w:cs="Arial" w:eastAsia="Arial" w:hAnsi="Arial"/>
          <w:sz w:val="20"/>
          <w:szCs w:val="20"/>
          <w:color w:val="161921"/>
        </w:rPr>
        <w:t xml:space="preserve"> for over a year. This aggressive monetary policy campaign, along with a persistently turbulent macroeconomic climate, led to sharply higher interest rates, a dramatic widening of Agency MBS spreads, and prolonged volatility across both of these measures. These adverse dynamics ultimately reduced Agency MBS valuations significantly and created an extremely challenging environment for managing a levered Agency MBS portfolio.</w:t>
      </w:r>
    </w:p>
    <w:p>
      <w:pPr>
        <w:spacing w:after="0" w:line="13" w:lineRule="exact"/>
        <w:rPr>
          <w:sz w:val="20"/>
          <w:szCs w:val="20"/>
          <w:color w:val="auto"/>
        </w:rPr>
      </w:pPr>
    </w:p>
    <w:p>
      <w:pPr>
        <w:ind w:right="80"/>
        <w:spacing w:after="0" w:line="343" w:lineRule="auto"/>
        <w:rPr>
          <w:sz w:val="20"/>
          <w:szCs w:val="20"/>
          <w:color w:val="auto"/>
        </w:rPr>
      </w:pPr>
      <w:r>
        <w:rPr>
          <w:rFonts w:ascii="Arial" w:cs="Arial" w:eastAsia="Arial" w:hAnsi="Arial"/>
          <w:sz w:val="20"/>
          <w:szCs w:val="20"/>
          <w:color w:val="161921"/>
        </w:rPr>
        <w:t>In September 2024, the Fed finally began to recalibrate monetary policy by delivering its first rate cut in over four years, ultimately reducing the federal funds rate by 100 basis points by the end of the year. With this shift to a more accommodative monetary policy stance, supported by declining inflationary pressures and a stabilizing labor market, interest rate volatility eased, and the yield curve steepened after being inverted for the second longest episode on record.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6854825</wp:posOffset>
                </wp:positionH>
                <wp:positionV relativeFrom="paragraph">
                  <wp:posOffset>33655</wp:posOffset>
                </wp:positionV>
                <wp:extent cx="0" cy="274002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0025"/>
                        </a:xfrm>
                        <a:prstGeom prst="line">
                          <a:avLst/>
                        </a:prstGeom>
                        <a:solidFill>
                          <a:srgbClr val="FFFFFF"/>
                        </a:solidFill>
                        <a:ln w="6350">
                          <a:solidFill>
                            <a:srgbClr val="274CA2"/>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2.65pt" to="539.75pt,218.4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36830</wp:posOffset>
                </wp:positionV>
                <wp:extent cx="70866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9pt" to="540pt,2.9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-225425</wp:posOffset>
                </wp:positionH>
                <wp:positionV relativeFrom="paragraph">
                  <wp:posOffset>33655</wp:posOffset>
                </wp:positionV>
                <wp:extent cx="0" cy="274002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0025"/>
                        </a:xfrm>
                        <a:prstGeom prst="line">
                          <a:avLst/>
                        </a:prstGeom>
                        <a:solidFill>
                          <a:srgbClr val="FFFFFF"/>
                        </a:solidFill>
                        <a:ln w="6350">
                          <a:solidFill>
                            <a:srgbClr val="274CA2"/>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499pt,2.65pt" to="-17.7499pt,218.4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2770505</wp:posOffset>
                </wp:positionV>
                <wp:extent cx="70866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18.15pt" to="540pt,218.15pt" o:allowincell="f" strokecolor="#274CA2" strokeweight="0.5pt"/>
            </w:pict>
          </mc:Fallback>
        </mc:AlternateContent>
      </w:r>
    </w:p>
    <w:p>
      <w:pPr>
        <w:sectPr>
          <w:pgSz w:w="11880" w:h="15480" w:orient="portrait"/>
          <w:cols w:equalWidth="0" w:num="1">
            <w:col w:w="10440"/>
          </w:cols>
          <w:pgMar w:left="720" w:top="1440" w:right="720" w:bottom="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Volatility (MOVE Index)</w:t>
      </w:r>
      <w:r>
        <w:rPr>
          <w:rFonts w:ascii="Arial" w:cs="Arial" w:eastAsia="Arial" w:hAnsi="Arial"/>
          <w:sz w:val="11"/>
          <w:szCs w:val="11"/>
          <w:b w:val="1"/>
          <w:bCs w:val="1"/>
          <w:color w:val="auto"/>
        </w:rPr>
        <w:t>7</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414"/>
        </w:trPr>
        <w:tc>
          <w:tcPr>
            <w:tcW w:w="480" w:type="dxa"/>
            <w:vAlign w:val="bottom"/>
          </w:tcPr>
          <w:p>
            <w:pPr>
              <w:jc w:val="right"/>
              <w:ind w:right="40"/>
              <w:spacing w:after="0"/>
              <w:rPr>
                <w:sz w:val="20"/>
                <w:szCs w:val="20"/>
                <w:color w:val="auto"/>
              </w:rPr>
            </w:pPr>
            <w:r>
              <w:rPr>
                <w:rFonts w:ascii="Arial" w:cs="Arial" w:eastAsia="Arial" w:hAnsi="Arial"/>
                <w:sz w:val="20"/>
                <w:szCs w:val="20"/>
                <w:color w:val="161920"/>
                <w:w w:val="95"/>
              </w:rPr>
              <w:t>250</w:t>
            </w:r>
          </w:p>
        </w:tc>
        <w:tc>
          <w:tcPr>
            <w:tcW w:w="3100" w:type="dxa"/>
            <w:vAlign w:val="bottom"/>
          </w:tcPr>
          <w:p>
            <w:pPr>
              <w:spacing w:after="0"/>
              <w:rPr>
                <w:sz w:val="24"/>
                <w:szCs w:val="24"/>
                <w:color w:val="auto"/>
              </w:rPr>
            </w:pPr>
          </w:p>
        </w:tc>
      </w:tr>
      <w:tr>
        <w:trPr>
          <w:trHeight w:val="278"/>
        </w:trPr>
        <w:tc>
          <w:tcPr>
            <w:tcW w:w="480" w:type="dxa"/>
            <w:vAlign w:val="bottom"/>
          </w:tcPr>
          <w:p>
            <w:pPr>
              <w:jc w:val="right"/>
              <w:ind w:right="40"/>
              <w:spacing w:after="0"/>
              <w:rPr>
                <w:sz w:val="20"/>
                <w:szCs w:val="20"/>
                <w:color w:val="auto"/>
              </w:rPr>
            </w:pPr>
            <w:r>
              <w:rPr>
                <w:rFonts w:ascii="Arial" w:cs="Arial" w:eastAsia="Arial" w:hAnsi="Arial"/>
                <w:sz w:val="20"/>
                <w:szCs w:val="20"/>
                <w:color w:val="161920"/>
                <w:w w:val="95"/>
              </w:rPr>
              <w:t>200</w:t>
            </w:r>
          </w:p>
        </w:tc>
        <w:tc>
          <w:tcPr>
            <w:tcW w:w="3100" w:type="dxa"/>
            <w:vAlign w:val="bottom"/>
          </w:tcPr>
          <w:p>
            <w:pPr>
              <w:ind w:left="160"/>
              <w:spacing w:after="0"/>
              <w:rPr>
                <w:sz w:val="20"/>
                <w:szCs w:val="20"/>
                <w:color w:val="auto"/>
              </w:rPr>
            </w:pPr>
            <w:r>
              <w:rPr>
                <w:rFonts w:ascii="Arial" w:cs="Arial" w:eastAsia="Arial" w:hAnsi="Arial"/>
                <w:sz w:val="16"/>
                <w:szCs w:val="16"/>
                <w:b w:val="1"/>
                <w:bCs w:val="1"/>
                <w:color w:val="auto"/>
              </w:rPr>
              <w:t>GFC</w:t>
            </w:r>
          </w:p>
        </w:tc>
      </w:tr>
      <w:tr>
        <w:trPr>
          <w:trHeight w:val="193"/>
        </w:trPr>
        <w:tc>
          <w:tcPr>
            <w:tcW w:w="480" w:type="dxa"/>
            <w:vAlign w:val="bottom"/>
          </w:tcPr>
          <w:p>
            <w:pPr>
              <w:spacing w:after="0"/>
              <w:rPr>
                <w:sz w:val="16"/>
                <w:szCs w:val="16"/>
                <w:color w:val="auto"/>
              </w:rPr>
            </w:pPr>
          </w:p>
        </w:tc>
        <w:tc>
          <w:tcPr>
            <w:tcW w:w="3100" w:type="dxa"/>
            <w:vAlign w:val="bottom"/>
          </w:tcPr>
          <w:p>
            <w:pPr>
              <w:ind w:left="2640"/>
              <w:spacing w:after="0"/>
              <w:rPr>
                <w:sz w:val="20"/>
                <w:szCs w:val="20"/>
                <w:color w:val="auto"/>
              </w:rPr>
            </w:pPr>
            <w:r>
              <w:rPr>
                <w:rFonts w:ascii="Arial" w:cs="Arial" w:eastAsia="Arial" w:hAnsi="Arial"/>
                <w:sz w:val="16"/>
                <w:szCs w:val="16"/>
                <w:b w:val="1"/>
                <w:bCs w:val="1"/>
                <w:color w:val="auto"/>
                <w:w w:val="98"/>
              </w:rPr>
              <w:t>Covid</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398780</wp:posOffset>
                </wp:positionH>
                <wp:positionV relativeFrom="paragraph">
                  <wp:posOffset>-447040</wp:posOffset>
                </wp:positionV>
                <wp:extent cx="0" cy="144272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2720"/>
                        </a:xfrm>
                        <a:prstGeom prst="line">
                          <a:avLst/>
                        </a:prstGeom>
                        <a:solidFill>
                          <a:srgbClr val="FFFFFF"/>
                        </a:solidFill>
                        <a:ln w="9525">
                          <a:solidFill>
                            <a:srgbClr val="DBD8D3"/>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pt,-35.1999pt" to="31.4pt,78.4pt" o:allowincell="f" strokecolor="#DBD8D3" strokeweight="0.75pt"/>
            </w:pict>
          </mc:Fallback>
        </mc:AlternateContent>
        <w:drawing>
          <wp:anchor simplePos="0" relativeHeight="251657728" behindDoc="1" locked="0" layoutInCell="0" allowOverlap="1">
            <wp:simplePos x="0" y="0"/>
            <wp:positionH relativeFrom="column">
              <wp:posOffset>2400300</wp:posOffset>
            </wp:positionH>
            <wp:positionV relativeFrom="paragraph">
              <wp:posOffset>-248285</wp:posOffset>
            </wp:positionV>
            <wp:extent cx="563245" cy="871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563245" cy="871220"/>
                    </a:xfrm>
                    <a:prstGeom prst="rect">
                      <a:avLst/>
                    </a:prstGeom>
                    <a:noFill/>
                  </pic:spPr>
                </pic:pic>
              </a:graphicData>
            </a:graphic>
          </wp:anchor>
        </w:drawing>
      </w:r>
    </w:p>
    <w:p>
      <w:pPr>
        <w:ind w:left="1560" w:hanging="1527"/>
        <w:spacing w:after="0" w:line="185" w:lineRule="auto"/>
        <w:tabs>
          <w:tab w:leader="none" w:pos="1560" w:val="left"/>
        </w:tabs>
        <w:numPr>
          <w:ilvl w:val="0"/>
          <w:numId w:val="1"/>
        </w:numPr>
        <w:rPr>
          <w:rFonts w:ascii="Arial" w:cs="Arial" w:eastAsia="Arial" w:hAnsi="Arial"/>
          <w:sz w:val="19"/>
          <w:szCs w:val="19"/>
          <w:color w:val="161920"/>
          <w:vertAlign w:val="subscript"/>
        </w:rPr>
      </w:pPr>
      <w:r>
        <w:rPr>
          <w:rFonts w:ascii="Arial" w:cs="Arial" w:eastAsia="Arial" w:hAnsi="Arial"/>
          <w:sz w:val="11"/>
          <w:szCs w:val="11"/>
          <w:b w:val="1"/>
          <w:bCs w:val="1"/>
          <w:color w:val="auto"/>
        </w:rPr>
        <w:t>Taper</w:t>
      </w:r>
    </w:p>
    <w:p>
      <w:pPr>
        <w:ind w:left="1460"/>
        <w:spacing w:after="0"/>
        <w:rPr>
          <w:rFonts w:ascii="Arial" w:cs="Arial" w:eastAsia="Arial" w:hAnsi="Arial"/>
          <w:sz w:val="19"/>
          <w:szCs w:val="19"/>
          <w:color w:val="161920"/>
          <w:vertAlign w:val="subscript"/>
        </w:rPr>
      </w:pPr>
      <w:r>
        <w:rPr>
          <w:rFonts w:ascii="Arial" w:cs="Arial" w:eastAsia="Arial" w:hAnsi="Arial"/>
          <w:sz w:val="16"/>
          <w:szCs w:val="16"/>
          <w:b w:val="1"/>
          <w:bCs w:val="1"/>
          <w:color w:val="auto"/>
        </w:rPr>
        <w:t>Tantrum</w:t>
      </w:r>
    </w:p>
    <w:p>
      <w:pPr>
        <w:spacing w:after="0" w:line="100" w:lineRule="exact"/>
        <w:rPr>
          <w:sz w:val="20"/>
          <w:szCs w:val="20"/>
          <w:color w:val="auto"/>
        </w:rPr>
      </w:pPr>
    </w:p>
    <w:p>
      <w:pPr>
        <w:jc w:val="right"/>
        <w:ind w:right="4300"/>
        <w:spacing w:after="0"/>
        <w:rPr>
          <w:sz w:val="20"/>
          <w:szCs w:val="20"/>
          <w:color w:val="auto"/>
        </w:rPr>
      </w:pPr>
      <w:r>
        <w:rPr>
          <w:rFonts w:ascii="Arial" w:cs="Arial" w:eastAsia="Arial" w:hAnsi="Arial"/>
          <w:sz w:val="20"/>
          <w:szCs w:val="20"/>
          <w:color w:val="161920"/>
        </w:rPr>
        <w:t>100</w:t>
      </w:r>
    </w:p>
    <w:p>
      <w:pPr>
        <w:spacing w:after="0" w:line="223" w:lineRule="exact"/>
        <w:rPr>
          <w:sz w:val="20"/>
          <w:szCs w:val="20"/>
          <w:color w:val="auto"/>
        </w:rPr>
      </w:pPr>
    </w:p>
    <w:p>
      <w:pPr>
        <w:jc w:val="right"/>
        <w:ind w:right="4300"/>
        <w:spacing w:after="0"/>
        <w:rPr>
          <w:sz w:val="20"/>
          <w:szCs w:val="20"/>
          <w:color w:val="auto"/>
        </w:rPr>
      </w:pPr>
      <w:r>
        <w:rPr>
          <w:rFonts w:ascii="Arial" w:cs="Arial" w:eastAsia="Arial" w:hAnsi="Arial"/>
          <w:sz w:val="20"/>
          <w:szCs w:val="20"/>
          <w:color w:val="161920"/>
        </w:rPr>
        <w:t>50</w:t>
      </w:r>
    </w:p>
    <w:p>
      <w:pPr>
        <w:spacing w:after="0" w:line="223" w:lineRule="exact"/>
        <w:rPr>
          <w:sz w:val="20"/>
          <w:szCs w:val="20"/>
          <w:color w:val="auto"/>
        </w:rPr>
      </w:pPr>
    </w:p>
    <w:p>
      <w:pPr>
        <w:jc w:val="right"/>
        <w:ind w:right="4300"/>
        <w:spacing w:after="0"/>
        <w:rPr>
          <w:sz w:val="20"/>
          <w:szCs w:val="20"/>
          <w:color w:val="auto"/>
        </w:rPr>
      </w:pPr>
      <w:r>
        <w:rPr>
          <w:rFonts w:ascii="Arial" w:cs="Arial" w:eastAsia="Arial" w:hAnsi="Arial"/>
          <w:sz w:val="20"/>
          <w:szCs w:val="20"/>
          <w:color w:val="161920"/>
        </w:rPr>
        <w:t>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-17780</wp:posOffset>
                </wp:positionV>
                <wp:extent cx="252412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4125" cy="4763"/>
                        </a:xfrm>
                        <a:prstGeom prst="line">
                          <a:avLst/>
                        </a:prstGeom>
                        <a:solidFill>
                          <a:srgbClr val="FFFFFF"/>
                        </a:solidFill>
                        <a:ln w="9525">
                          <a:solidFill>
                            <a:srgbClr val="DBD8D3"/>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1.3999pt" to="229.75pt,-1.3999pt" o:allowincell="f" strokecolor="#DBD8D3" strokeweight="0.75pt"/>
            </w:pict>
          </mc:Fallback>
        </mc:AlternateContent>
      </w:r>
    </w:p>
    <w:p>
      <w:pPr>
        <w:spacing w:after="0" w:line="97" w:lineRule="exact"/>
        <w:rPr>
          <w:sz w:val="20"/>
          <w:szCs w:val="20"/>
          <w:color w:val="auto"/>
        </w:rPr>
      </w:pPr>
    </w:p>
    <w:tbl>
      <w:tblPr>
        <w:tblLayout w:type="fixed"/>
        <w:tblInd w:w="4643" w:type="dxa"/>
        <w:tblCellMar>
          <w:top w:w="0" w:type="dxa"/>
          <w:left w:w="0" w:type="dxa"/>
          <w:bottom w:w="0" w:type="dxa"/>
          <w:right w:w="0" w:type="dxa"/>
        </w:tblCellMar>
      </w:tblPr>
      <w:tr>
        <w:trPr>
          <w:trHeight w:val="4294967277"/>
        </w:trPr>
        <w:tc>
          <w:tcPr>
            <w:tcW w:w="23" w:type="dxa"/>
            <w:vAlign w:val="bottom"/>
            <w:textDirection w:val="btLr"/>
          </w:tcPr>
          <w:p>
            <w:pPr>
              <w:spacing w:after="0"/>
              <w:rPr>
                <w:sz w:val="20"/>
                <w:szCs w:val="20"/>
                <w:color w:val="auto"/>
              </w:rPr>
            </w:pPr>
            <w:r>
              <w:rPr>
                <w:rFonts w:ascii="Arial" w:cs="Arial" w:eastAsia="Arial" w:hAnsi="Arial"/>
                <w:sz w:val="1"/>
                <w:szCs w:val="1"/>
                <w:color w:val="161920"/>
              </w:rPr>
              <w:t>Dec-24</w:t>
            </w:r>
          </w:p>
        </w:tc>
      </w:tr>
    </w:tbl>
    <w:p>
      <w:pPr>
        <w:spacing w:after="0" w:line="1" w:lineRule="exact"/>
        <w:rPr>
          <w:sz w:val="20"/>
          <w:szCs w:val="20"/>
          <w:color w:val="auto"/>
        </w:rPr>
      </w:pPr>
    </w:p>
    <w:tbl>
      <w:tblPr>
        <w:tblLayout w:type="fixed"/>
        <w:tblInd w:w="4147"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Dec-22</w:t>
            </w:r>
          </w:p>
        </w:tc>
      </w:tr>
    </w:tbl>
    <w:p>
      <w:pPr>
        <w:spacing w:after="0" w:line="1" w:lineRule="exact"/>
        <w:rPr>
          <w:sz w:val="20"/>
          <w:szCs w:val="20"/>
          <w:color w:val="auto"/>
        </w:rPr>
      </w:pPr>
    </w:p>
    <w:tbl>
      <w:tblPr>
        <w:tblLayout w:type="fixed"/>
        <w:tblInd w:w="3651"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Dec-20</w:t>
            </w:r>
          </w:p>
        </w:tc>
      </w:tr>
    </w:tbl>
    <w:p>
      <w:pPr>
        <w:spacing w:after="0" w:line="1" w:lineRule="exact"/>
        <w:rPr>
          <w:sz w:val="20"/>
          <w:szCs w:val="20"/>
          <w:color w:val="auto"/>
        </w:rPr>
      </w:pPr>
    </w:p>
    <w:tbl>
      <w:tblPr>
        <w:tblLayout w:type="fixed"/>
        <w:tblInd w:w="3155"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Dec-18</w:t>
            </w:r>
          </w:p>
        </w:tc>
      </w:tr>
    </w:tbl>
    <w:p>
      <w:pPr>
        <w:spacing w:after="0" w:line="1" w:lineRule="exact"/>
        <w:rPr>
          <w:sz w:val="20"/>
          <w:szCs w:val="20"/>
          <w:color w:val="auto"/>
        </w:rPr>
      </w:pPr>
    </w:p>
    <w:tbl>
      <w:tblPr>
        <w:tblLayout w:type="fixed"/>
        <w:tblInd w:w="2659"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Dec-16</w:t>
            </w:r>
          </w:p>
        </w:tc>
      </w:tr>
    </w:tbl>
    <w:p>
      <w:pPr>
        <w:spacing w:after="0" w:line="1" w:lineRule="exact"/>
        <w:rPr>
          <w:sz w:val="20"/>
          <w:szCs w:val="20"/>
          <w:color w:val="auto"/>
        </w:rPr>
      </w:pPr>
    </w:p>
    <w:tbl>
      <w:tblPr>
        <w:tblLayout w:type="fixed"/>
        <w:tblInd w:w="2163"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Dec-14</w:t>
            </w:r>
          </w:p>
        </w:tc>
      </w:tr>
    </w:tbl>
    <w:p>
      <w:pPr>
        <w:spacing w:after="0" w:line="1" w:lineRule="exact"/>
        <w:rPr>
          <w:sz w:val="20"/>
          <w:szCs w:val="20"/>
          <w:color w:val="auto"/>
        </w:rPr>
      </w:pPr>
    </w:p>
    <w:tbl>
      <w:tblPr>
        <w:tblLayout w:type="fixed"/>
        <w:tblInd w:w="1667"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Dec-12</w:t>
            </w:r>
          </w:p>
        </w:tc>
      </w:tr>
    </w:tbl>
    <w:p>
      <w:pPr>
        <w:spacing w:after="0" w:line="1" w:lineRule="exact"/>
        <w:rPr>
          <w:sz w:val="20"/>
          <w:szCs w:val="20"/>
          <w:color w:val="auto"/>
        </w:rPr>
      </w:pPr>
    </w:p>
    <w:tbl>
      <w:tblPr>
        <w:tblLayout w:type="fixed"/>
        <w:tblInd w:w="1171" w:type="dxa"/>
        <w:tblCellMar>
          <w:top w:w="0" w:type="dxa"/>
          <w:left w:w="0" w:type="dxa"/>
          <w:bottom w:w="0" w:type="dxa"/>
          <w:right w:w="0" w:type="dxa"/>
        </w:tblCellMar>
      </w:tblPr>
      <w:tr>
        <w:trPr>
          <w:trHeight w:val="2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Dec-10</w:t>
            </w:r>
          </w:p>
        </w:tc>
      </w:tr>
    </w:tbl>
    <w:p>
      <w:pPr>
        <w:spacing w:after="0" w:line="1" w:lineRule="exact"/>
        <w:rPr>
          <w:sz w:val="20"/>
          <w:szCs w:val="20"/>
          <w:color w:val="auto"/>
        </w:rPr>
      </w:pPr>
    </w:p>
    <w:tbl>
      <w:tblPr>
        <w:tblLayout w:type="fixed"/>
        <w:tblInd w:w="469" w:type="dxa"/>
        <w:tblCellMar>
          <w:top w:w="0" w:type="dxa"/>
          <w:left w:w="0" w:type="dxa"/>
          <w:bottom w:w="0" w:type="dxa"/>
          <w:right w:w="0" w:type="dxa"/>
        </w:tblCellMar>
      </w:tblPr>
      <w:tr>
        <w:trPr>
          <w:trHeight w:val="680"/>
        </w:trPr>
        <w:tc>
          <w:tcPr>
            <w:tcW w:w="230" w:type="dxa"/>
            <w:vAlign w:val="bottom"/>
            <w:textDirection w:val="btLr"/>
          </w:tcPr>
          <w:p>
            <w:pPr>
              <w:spacing w:after="0"/>
              <w:rPr>
                <w:sz w:val="20"/>
                <w:szCs w:val="20"/>
                <w:color w:val="auto"/>
              </w:rPr>
            </w:pPr>
            <w:r>
              <w:rPr>
                <w:rFonts w:ascii="Arial" w:cs="Arial" w:eastAsia="Arial" w:hAnsi="Arial"/>
                <w:sz w:val="20"/>
                <w:szCs w:val="20"/>
                <w:color w:val="161920"/>
              </w:rPr>
              <w:t>Dec-08</w:t>
            </w:r>
          </w:p>
        </w:tc>
      </w:tr>
    </w:tbl>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Treasury Yield Curve</w:t>
      </w:r>
      <w:r>
        <w:rPr>
          <w:rFonts w:ascii="Arial" w:cs="Arial" w:eastAsia="Arial" w:hAnsi="Arial"/>
          <w:sz w:val="11"/>
          <w:szCs w:val="11"/>
          <w:b w:val="1"/>
          <w:bCs w:val="1"/>
          <w:color w:val="auto"/>
        </w:rPr>
        <w:t>8</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40" w:type="dxa"/>
            <w:vAlign w:val="bottom"/>
            <w:vMerge w:val="restart"/>
          </w:tcPr>
          <w:p>
            <w:pPr>
              <w:jc w:val="right"/>
              <w:ind w:right="80"/>
              <w:spacing w:after="0"/>
              <w:rPr>
                <w:sz w:val="20"/>
                <w:szCs w:val="20"/>
                <w:color w:val="auto"/>
              </w:rPr>
            </w:pPr>
            <w:r>
              <w:rPr>
                <w:rFonts w:ascii="Arial" w:cs="Arial" w:eastAsia="Arial" w:hAnsi="Arial"/>
                <w:sz w:val="20"/>
                <w:szCs w:val="20"/>
                <w:color w:val="161920"/>
                <w:w w:val="96"/>
              </w:rPr>
              <w:t>5.5%</w:t>
            </w:r>
          </w:p>
        </w:tc>
        <w:tc>
          <w:tcPr>
            <w:tcW w:w="920" w:type="dxa"/>
            <w:vAlign w:val="bottom"/>
          </w:tcPr>
          <w:p>
            <w:pPr>
              <w:spacing w:after="0"/>
              <w:rPr>
                <w:sz w:val="15"/>
                <w:szCs w:val="15"/>
                <w:color w:val="auto"/>
              </w:rPr>
            </w:pPr>
          </w:p>
        </w:tc>
        <w:tc>
          <w:tcPr>
            <w:tcW w:w="3440" w:type="dxa"/>
            <w:vAlign w:val="bottom"/>
            <w:vMerge w:val="restart"/>
          </w:tcPr>
          <w:p>
            <w:pPr>
              <w:jc w:val="right"/>
              <w:ind w:right="150"/>
              <w:spacing w:after="0"/>
              <w:rPr>
                <w:sz w:val="20"/>
                <w:szCs w:val="20"/>
                <w:color w:val="auto"/>
              </w:rPr>
            </w:pPr>
            <w:r>
              <w:rPr>
                <w:rFonts w:ascii="Times New Roman" w:cs="Times New Roman" w:eastAsia="Times New Roman" w:hAnsi="Times New Roman"/>
                <w:sz w:val="24"/>
                <w:szCs w:val="24"/>
                <w:color w:val="274CA2"/>
              </w:rPr>
              <w:t>Dec '24</w:t>
            </w:r>
          </w:p>
        </w:tc>
        <w:tc>
          <w:tcPr>
            <w:tcW w:w="0" w:type="dxa"/>
            <w:vAlign w:val="bottom"/>
          </w:tcPr>
          <w:p>
            <w:pPr>
              <w:spacing w:after="0"/>
              <w:rPr>
                <w:sz w:val="1"/>
                <w:szCs w:val="1"/>
                <w:color w:val="auto"/>
              </w:rPr>
            </w:pPr>
          </w:p>
        </w:tc>
      </w:tr>
      <w:tr>
        <w:trPr>
          <w:trHeight w:val="242"/>
        </w:trPr>
        <w:tc>
          <w:tcPr>
            <w:tcW w:w="640" w:type="dxa"/>
            <w:vAlign w:val="bottom"/>
            <w:vMerge w:val="continue"/>
          </w:tcPr>
          <w:p>
            <w:pPr>
              <w:spacing w:after="0"/>
              <w:rPr>
                <w:sz w:val="21"/>
                <w:szCs w:val="21"/>
                <w:color w:val="auto"/>
              </w:rPr>
            </w:pPr>
          </w:p>
        </w:tc>
        <w:tc>
          <w:tcPr>
            <w:tcW w:w="920" w:type="dxa"/>
            <w:vAlign w:val="bottom"/>
            <w:tcBorders>
              <w:left w:val="single" w:sz="8" w:color="DBD8D3"/>
            </w:tcBorders>
          </w:tcPr>
          <w:p>
            <w:pPr>
              <w:spacing w:after="0"/>
              <w:rPr>
                <w:sz w:val="21"/>
                <w:szCs w:val="21"/>
                <w:color w:val="auto"/>
              </w:rPr>
            </w:pPr>
          </w:p>
        </w:tc>
        <w:tc>
          <w:tcPr>
            <w:tcW w:w="3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18"/>
        </w:trPr>
        <w:tc>
          <w:tcPr>
            <w:tcW w:w="640" w:type="dxa"/>
            <w:vAlign w:val="bottom"/>
          </w:tcPr>
          <w:p>
            <w:pPr>
              <w:jc w:val="right"/>
              <w:ind w:right="80"/>
              <w:spacing w:after="0"/>
              <w:rPr>
                <w:sz w:val="20"/>
                <w:szCs w:val="20"/>
                <w:color w:val="auto"/>
              </w:rPr>
            </w:pPr>
            <w:r>
              <w:rPr>
                <w:rFonts w:ascii="Arial" w:cs="Arial" w:eastAsia="Arial" w:hAnsi="Arial"/>
                <w:sz w:val="20"/>
                <w:szCs w:val="20"/>
                <w:color w:val="161920"/>
                <w:w w:val="96"/>
              </w:rPr>
              <w:t>5.0%</w:t>
            </w:r>
          </w:p>
        </w:tc>
        <w:tc>
          <w:tcPr>
            <w:tcW w:w="920" w:type="dxa"/>
            <w:vAlign w:val="bottom"/>
            <w:tcBorders>
              <w:left w:val="single" w:sz="8" w:color="DBD8D3"/>
            </w:tcBorders>
          </w:tcPr>
          <w:p>
            <w:pPr>
              <w:spacing w:after="0"/>
              <w:rPr>
                <w:sz w:val="24"/>
                <w:szCs w:val="24"/>
                <w:color w:val="auto"/>
              </w:rPr>
            </w:pPr>
          </w:p>
        </w:tc>
        <w:tc>
          <w:tcPr>
            <w:tcW w:w="3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640" w:type="dxa"/>
            <w:vAlign w:val="bottom"/>
          </w:tcPr>
          <w:p>
            <w:pPr>
              <w:jc w:val="right"/>
              <w:ind w:right="80"/>
              <w:spacing w:after="0"/>
              <w:rPr>
                <w:sz w:val="20"/>
                <w:szCs w:val="20"/>
                <w:color w:val="auto"/>
              </w:rPr>
            </w:pPr>
            <w:r>
              <w:rPr>
                <w:rFonts w:ascii="Arial" w:cs="Arial" w:eastAsia="Arial" w:hAnsi="Arial"/>
                <w:sz w:val="20"/>
                <w:szCs w:val="20"/>
                <w:color w:val="161920"/>
                <w:w w:val="96"/>
              </w:rPr>
              <w:t>4.5%</w:t>
            </w:r>
          </w:p>
        </w:tc>
        <w:tc>
          <w:tcPr>
            <w:tcW w:w="920" w:type="dxa"/>
            <w:vAlign w:val="bottom"/>
            <w:tcBorders>
              <w:left w:val="single" w:sz="8" w:color="DBD8D3"/>
            </w:tcBorders>
          </w:tcPr>
          <w:p>
            <w:pPr>
              <w:spacing w:after="0"/>
              <w:rPr>
                <w:sz w:val="24"/>
                <w:szCs w:val="24"/>
                <w:color w:val="auto"/>
              </w:rPr>
            </w:pPr>
          </w:p>
        </w:tc>
        <w:tc>
          <w:tcPr>
            <w:tcW w:w="3440" w:type="dxa"/>
            <w:vAlign w:val="bottom"/>
          </w:tcPr>
          <w:p>
            <w:pPr>
              <w:jc w:val="right"/>
              <w:ind w:right="170"/>
              <w:spacing w:after="0"/>
              <w:rPr>
                <w:sz w:val="20"/>
                <w:szCs w:val="20"/>
                <w:color w:val="auto"/>
              </w:rPr>
            </w:pPr>
            <w:r>
              <w:rPr>
                <w:rFonts w:ascii="Arial" w:cs="Arial" w:eastAsia="Arial" w:hAnsi="Arial"/>
                <w:sz w:val="16"/>
                <w:szCs w:val="16"/>
                <w:b w:val="1"/>
                <w:bCs w:val="1"/>
                <w:color w:val="BBC2E0"/>
              </w:rPr>
              <w:t>Jun '24</w:t>
            </w:r>
          </w:p>
        </w:tc>
        <w:tc>
          <w:tcPr>
            <w:tcW w:w="0" w:type="dxa"/>
            <w:vAlign w:val="bottom"/>
          </w:tcPr>
          <w:p>
            <w:pPr>
              <w:spacing w:after="0"/>
              <w:rPr>
                <w:sz w:val="1"/>
                <w:szCs w:val="1"/>
                <w:color w:val="auto"/>
              </w:rPr>
            </w:pPr>
          </w:p>
        </w:tc>
      </w:tr>
      <w:tr>
        <w:trPr>
          <w:trHeight w:val="445"/>
        </w:trPr>
        <w:tc>
          <w:tcPr>
            <w:tcW w:w="640" w:type="dxa"/>
            <w:vAlign w:val="bottom"/>
          </w:tcPr>
          <w:p>
            <w:pPr>
              <w:jc w:val="right"/>
              <w:ind w:right="80"/>
              <w:spacing w:after="0"/>
              <w:rPr>
                <w:sz w:val="20"/>
                <w:szCs w:val="20"/>
                <w:color w:val="auto"/>
              </w:rPr>
            </w:pPr>
            <w:r>
              <w:rPr>
                <w:rFonts w:ascii="Arial" w:cs="Arial" w:eastAsia="Arial" w:hAnsi="Arial"/>
                <w:sz w:val="20"/>
                <w:szCs w:val="20"/>
                <w:color w:val="161920"/>
                <w:w w:val="96"/>
              </w:rPr>
              <w:t>4.0%</w:t>
            </w:r>
          </w:p>
        </w:tc>
        <w:tc>
          <w:tcPr>
            <w:tcW w:w="920" w:type="dxa"/>
            <w:vAlign w:val="bottom"/>
            <w:tcBorders>
              <w:left w:val="single" w:sz="8" w:color="DBD8D3"/>
            </w:tcBorders>
          </w:tcPr>
          <w:p>
            <w:pPr>
              <w:spacing w:after="0"/>
              <w:rPr>
                <w:sz w:val="24"/>
                <w:szCs w:val="24"/>
                <w:color w:val="auto"/>
              </w:rPr>
            </w:pPr>
          </w:p>
        </w:tc>
        <w:tc>
          <w:tcPr>
            <w:tcW w:w="3440" w:type="dxa"/>
            <w:vAlign w:val="bottom"/>
          </w:tcPr>
          <w:p>
            <w:pPr>
              <w:jc w:val="right"/>
              <w:ind w:right="1410"/>
              <w:spacing w:after="0"/>
              <w:rPr>
                <w:sz w:val="20"/>
                <w:szCs w:val="20"/>
                <w:color w:val="auto"/>
              </w:rPr>
            </w:pPr>
            <w:r>
              <w:rPr>
                <w:rFonts w:ascii="Arial" w:cs="Arial" w:eastAsia="Arial" w:hAnsi="Arial"/>
                <w:sz w:val="16"/>
                <w:szCs w:val="16"/>
                <w:b w:val="1"/>
                <w:bCs w:val="1"/>
                <w:color w:val="6F6769"/>
              </w:rPr>
              <w:t>Dec '22</w:t>
            </w:r>
          </w:p>
        </w:tc>
        <w:tc>
          <w:tcPr>
            <w:tcW w:w="0" w:type="dxa"/>
            <w:vAlign w:val="bottom"/>
          </w:tcPr>
          <w:p>
            <w:pPr>
              <w:spacing w:after="0"/>
              <w:rPr>
                <w:sz w:val="1"/>
                <w:szCs w:val="1"/>
                <w:color w:val="auto"/>
              </w:rPr>
            </w:pPr>
          </w:p>
        </w:tc>
      </w:tr>
      <w:tr>
        <w:trPr>
          <w:trHeight w:val="339"/>
        </w:trPr>
        <w:tc>
          <w:tcPr>
            <w:tcW w:w="640" w:type="dxa"/>
            <w:vAlign w:val="bottom"/>
            <w:vMerge w:val="restart"/>
          </w:tcPr>
          <w:p>
            <w:pPr>
              <w:jc w:val="right"/>
              <w:ind w:right="80"/>
              <w:spacing w:after="0"/>
              <w:rPr>
                <w:sz w:val="20"/>
                <w:szCs w:val="20"/>
                <w:color w:val="auto"/>
              </w:rPr>
            </w:pPr>
            <w:r>
              <w:rPr>
                <w:rFonts w:ascii="Arial" w:cs="Arial" w:eastAsia="Arial" w:hAnsi="Arial"/>
                <w:sz w:val="20"/>
                <w:szCs w:val="20"/>
                <w:color w:val="161920"/>
                <w:w w:val="96"/>
              </w:rPr>
              <w:t>3.5%</w:t>
            </w:r>
          </w:p>
        </w:tc>
        <w:tc>
          <w:tcPr>
            <w:tcW w:w="920" w:type="dxa"/>
            <w:vAlign w:val="bottom"/>
            <w:tcBorders>
              <w:left w:val="single" w:sz="8" w:color="DBD8D3"/>
            </w:tcBorders>
          </w:tcPr>
          <w:p>
            <w:pPr>
              <w:spacing w:after="0"/>
              <w:rPr>
                <w:sz w:val="24"/>
                <w:szCs w:val="24"/>
                <w:color w:val="auto"/>
              </w:rPr>
            </w:pPr>
          </w:p>
        </w:tc>
        <w:tc>
          <w:tcPr>
            <w:tcW w:w="3440" w:type="dxa"/>
            <w:vAlign w:val="bottom"/>
          </w:tcPr>
          <w:p>
            <w:pPr>
              <w:jc w:val="right"/>
              <w:ind w:right="2210"/>
              <w:spacing w:after="0"/>
              <w:rPr>
                <w:sz w:val="20"/>
                <w:szCs w:val="20"/>
                <w:color w:val="auto"/>
              </w:rPr>
            </w:pPr>
            <w:r>
              <w:rPr>
                <w:rFonts w:ascii="Arial" w:cs="Arial" w:eastAsia="Arial" w:hAnsi="Arial"/>
                <w:sz w:val="16"/>
                <w:szCs w:val="16"/>
                <w:b w:val="1"/>
                <w:bCs w:val="1"/>
                <w:color w:val="3D8AA1"/>
              </w:rPr>
              <w:t>Dec '23</w:t>
            </w:r>
          </w:p>
        </w:tc>
        <w:tc>
          <w:tcPr>
            <w:tcW w:w="0" w:type="dxa"/>
            <w:vAlign w:val="bottom"/>
          </w:tcPr>
          <w:p>
            <w:pPr>
              <w:spacing w:after="0"/>
              <w:rPr>
                <w:sz w:val="1"/>
                <w:szCs w:val="1"/>
                <w:color w:val="auto"/>
              </w:rPr>
            </w:pPr>
          </w:p>
        </w:tc>
      </w:tr>
      <w:tr>
        <w:trPr>
          <w:trHeight w:val="342"/>
        </w:trPr>
        <w:tc>
          <w:tcPr>
            <w:tcW w:w="640" w:type="dxa"/>
            <w:vAlign w:val="bottom"/>
            <w:vMerge w:val="continue"/>
          </w:tcPr>
          <w:p>
            <w:pPr>
              <w:spacing w:after="0"/>
              <w:rPr>
                <w:sz w:val="24"/>
                <w:szCs w:val="24"/>
                <w:color w:val="auto"/>
              </w:rPr>
            </w:pPr>
          </w:p>
        </w:tc>
        <w:tc>
          <w:tcPr>
            <w:tcW w:w="920" w:type="dxa"/>
            <w:vAlign w:val="bottom"/>
            <w:tcBorders>
              <w:left w:val="single" w:sz="8" w:color="DBD8D3"/>
            </w:tcBorders>
          </w:tcPr>
          <w:p>
            <w:pPr>
              <w:spacing w:after="0"/>
              <w:rPr>
                <w:sz w:val="24"/>
                <w:szCs w:val="24"/>
                <w:color w:val="auto"/>
              </w:rPr>
            </w:pPr>
          </w:p>
        </w:tc>
        <w:tc>
          <w:tcPr>
            <w:tcW w:w="3440" w:type="dxa"/>
            <w:vAlign w:val="bottom"/>
          </w:tcPr>
          <w:p>
            <w:pPr>
              <w:jc w:val="right"/>
              <w:ind w:right="1350"/>
              <w:spacing w:after="0"/>
              <w:rPr>
                <w:sz w:val="20"/>
                <w:szCs w:val="20"/>
                <w:color w:val="auto"/>
              </w:rPr>
            </w:pPr>
            <w:r>
              <w:rPr>
                <w:rFonts w:ascii="Arial" w:cs="Arial" w:eastAsia="Arial" w:hAnsi="Arial"/>
                <w:sz w:val="16"/>
                <w:szCs w:val="16"/>
                <w:b w:val="1"/>
                <w:bCs w:val="1"/>
                <w:color w:val="BCB8B2"/>
              </w:rPr>
              <w:t>Sep '24</w:t>
            </w:r>
          </w:p>
        </w:tc>
        <w:tc>
          <w:tcPr>
            <w:tcW w:w="0" w:type="dxa"/>
            <w:vAlign w:val="bottom"/>
          </w:tcPr>
          <w:p>
            <w:pPr>
              <w:spacing w:after="0"/>
              <w:rPr>
                <w:sz w:val="1"/>
                <w:szCs w:val="1"/>
                <w:color w:val="auto"/>
              </w:rPr>
            </w:pPr>
          </w:p>
        </w:tc>
      </w:tr>
      <w:tr>
        <w:trPr>
          <w:trHeight w:val="244"/>
        </w:trPr>
        <w:tc>
          <w:tcPr>
            <w:tcW w:w="640" w:type="dxa"/>
            <w:vAlign w:val="bottom"/>
            <w:vMerge w:val="restart"/>
          </w:tcPr>
          <w:p>
            <w:pPr>
              <w:jc w:val="right"/>
              <w:ind w:right="80"/>
              <w:spacing w:after="0"/>
              <w:rPr>
                <w:sz w:val="20"/>
                <w:szCs w:val="20"/>
                <w:color w:val="auto"/>
              </w:rPr>
            </w:pPr>
            <w:r>
              <w:rPr>
                <w:rFonts w:ascii="Arial" w:cs="Arial" w:eastAsia="Arial" w:hAnsi="Arial"/>
                <w:sz w:val="20"/>
                <w:szCs w:val="20"/>
                <w:color w:val="161920"/>
                <w:w w:val="96"/>
              </w:rPr>
              <w:t>3.0%</w:t>
            </w:r>
          </w:p>
        </w:tc>
        <w:tc>
          <w:tcPr>
            <w:tcW w:w="920" w:type="dxa"/>
            <w:vAlign w:val="bottom"/>
            <w:tcBorders>
              <w:left w:val="single" w:sz="8" w:color="DBD8D3"/>
              <w:bottom w:val="single" w:sz="8" w:color="DBD8D3"/>
            </w:tcBorders>
          </w:tcPr>
          <w:p>
            <w:pPr>
              <w:spacing w:after="0"/>
              <w:rPr>
                <w:sz w:val="21"/>
                <w:szCs w:val="21"/>
                <w:color w:val="auto"/>
              </w:rPr>
            </w:pPr>
          </w:p>
        </w:tc>
        <w:tc>
          <w:tcPr>
            <w:tcW w:w="3440" w:type="dxa"/>
            <w:vAlign w:val="bottom"/>
            <w:tcBorders>
              <w:bottom w:val="single" w:sz="8" w:color="DBD8D3"/>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40" w:type="dxa"/>
            <w:vAlign w:val="bottom"/>
            <w:vMerge w:val="continue"/>
          </w:tcPr>
          <w:p>
            <w:pPr>
              <w:spacing w:after="0"/>
              <w:rPr>
                <w:sz w:val="18"/>
                <w:szCs w:val="18"/>
                <w:color w:val="auto"/>
              </w:rPr>
            </w:pPr>
          </w:p>
        </w:tc>
        <w:tc>
          <w:tcPr>
            <w:tcW w:w="920" w:type="dxa"/>
            <w:vAlign w:val="bottom"/>
            <w:vMerge w:val="restart"/>
          </w:tcPr>
          <w:p>
            <w:pPr>
              <w:ind w:left="80"/>
              <w:spacing w:after="0"/>
              <w:rPr>
                <w:sz w:val="20"/>
                <w:szCs w:val="20"/>
                <w:color w:val="auto"/>
              </w:rPr>
            </w:pPr>
            <w:r>
              <w:rPr>
                <w:rFonts w:ascii="Arial" w:cs="Arial" w:eastAsia="Arial" w:hAnsi="Arial"/>
                <w:sz w:val="20"/>
                <w:szCs w:val="20"/>
                <w:color w:val="161920"/>
              </w:rPr>
              <w:t>3 Month</w:t>
            </w:r>
          </w:p>
        </w:tc>
        <w:tc>
          <w:tcPr>
            <w:tcW w:w="3440" w:type="dxa"/>
            <w:vAlign w:val="bottom"/>
            <w:vMerge w:val="restart"/>
          </w:tcPr>
          <w:p>
            <w:pPr>
              <w:jc w:val="right"/>
              <w:spacing w:after="0"/>
              <w:rPr>
                <w:sz w:val="20"/>
                <w:szCs w:val="20"/>
                <w:color w:val="auto"/>
              </w:rPr>
            </w:pPr>
            <w:r>
              <w:rPr>
                <w:rFonts w:ascii="Arial" w:cs="Arial" w:eastAsia="Arial" w:hAnsi="Arial"/>
                <w:sz w:val="20"/>
                <w:szCs w:val="20"/>
                <w:color w:val="161920"/>
              </w:rPr>
              <w:t>2 Year   5 Year  10 Year  20 Year</w:t>
            </w:r>
          </w:p>
        </w:tc>
        <w:tc>
          <w:tcPr>
            <w:tcW w:w="0" w:type="dxa"/>
            <w:vAlign w:val="bottom"/>
          </w:tcPr>
          <w:p>
            <w:pPr>
              <w:spacing w:after="0"/>
              <w:rPr>
                <w:sz w:val="1"/>
                <w:szCs w:val="1"/>
                <w:color w:val="auto"/>
              </w:rPr>
            </w:pPr>
          </w:p>
        </w:tc>
      </w:tr>
      <w:tr>
        <w:trPr>
          <w:trHeight w:val="275"/>
        </w:trPr>
        <w:tc>
          <w:tcPr>
            <w:tcW w:w="64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3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635635</wp:posOffset>
            </wp:positionV>
            <wp:extent cx="7543800" cy="2171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7543800" cy="217170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-1984375</wp:posOffset>
            </wp:positionV>
            <wp:extent cx="2413000" cy="1403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2413000" cy="140398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680" w:space="720"/>
            <w:col w:w="5040"/>
          </w:cols>
          <w:pgMar w:left="720" w:top="1440"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620" w:right="620"/>
        <w:spacing w:after="0" w:line="279" w:lineRule="auto"/>
        <w:rPr>
          <w:sz w:val="20"/>
          <w:szCs w:val="20"/>
          <w:color w:val="auto"/>
        </w:rPr>
      </w:pPr>
      <w:r>
        <w:rPr>
          <w:rFonts w:ascii="Times New Roman" w:cs="Times New Roman" w:eastAsia="Times New Roman" w:hAnsi="Times New Roman"/>
          <w:sz w:val="32"/>
          <w:szCs w:val="32"/>
          <w:color w:val="FFFFFF"/>
        </w:rPr>
        <w:t>While bouts of financial market volatility are inevitable, a more accommodative monetary policy outlook provides a constructive backdrop for investing in fixed income securities, including Agency MBS.</w:t>
      </w:r>
    </w:p>
    <w:p>
      <w:pPr>
        <w:sectPr>
          <w:pgSz w:w="11880" w:h="15480" w:orient="portrait"/>
          <w:cols w:equalWidth="0" w:num="1">
            <w:col w:w="10440"/>
          </w:cols>
          <w:pgMar w:left="720" w:top="1440"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-145415</wp:posOffset>
                </wp:positionH>
                <wp:positionV relativeFrom="paragraph">
                  <wp:posOffset>-56515</wp:posOffset>
                </wp:positionV>
                <wp:extent cx="0" cy="22796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7965"/>
                        </a:xfrm>
                        <a:prstGeom prst="line">
                          <a:avLst/>
                        </a:prstGeom>
                        <a:solidFill>
                          <a:srgbClr val="FFFFFF"/>
                        </a:solidFill>
                        <a:ln w="19050">
                          <a:solidFill>
                            <a:srgbClr val="274CA2"/>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499pt,-4.4499pt" to="-11.4499pt,13.5pt" o:allowincell="f" strokecolor="#274CA2" strokeweight="1.5pt"/>
            </w:pict>
          </mc:Fallback>
        </mc:AlternateContent>
      </w:r>
    </w:p>
    <w:p>
      <w:pPr>
        <w:spacing w:after="0"/>
        <w:rPr>
          <w:sz w:val="20"/>
          <w:szCs w:val="20"/>
          <w:color w:val="auto"/>
        </w:rPr>
      </w:pPr>
      <w:r>
        <w:rPr>
          <w:rFonts w:ascii="Arial" w:cs="Arial" w:eastAsia="Arial" w:hAnsi="Arial"/>
          <w:sz w:val="16"/>
          <w:szCs w:val="16"/>
          <w:color w:val="auto"/>
        </w:rPr>
        <w:t xml:space="preserve">2024 Annual Report </w:t>
      </w:r>
      <w:r>
        <w:rPr>
          <w:rFonts w:ascii="Arial" w:cs="Arial" w:eastAsia="Arial" w:hAnsi="Arial"/>
          <w:sz w:val="16"/>
          <w:szCs w:val="16"/>
          <w:color w:val="274CA2"/>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w:t>
      </w:r>
    </w:p>
    <w:p>
      <w:pPr>
        <w:sectPr>
          <w:pgSz w:w="11880" w:h="15480" w:orient="portrait"/>
          <w:cols w:equalWidth="0" w:num="1">
            <w:col w:w="10440"/>
          </w:cols>
          <w:pgMar w:left="720" w:top="1440" w:right="720" w:bottom="0" w:gutter="0" w:footer="0" w:header="0"/>
          <w:type w:val="continuous"/>
        </w:sectPr>
      </w:pPr>
    </w:p>
    <w:bookmarkStart w:id="4" w:name="page5"/>
    <w:bookmarkEnd w:id="4"/>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04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7543800" cy="704850"/>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274CA2"/>
        </w:rPr>
        <w:t xml:space="preserve">AGENCY MBS: </w:t>
      </w:r>
      <w:r>
        <w:rPr>
          <w:rFonts w:ascii="Arial" w:cs="Arial" w:eastAsia="Arial" w:hAnsi="Arial"/>
          <w:sz w:val="24"/>
          <w:szCs w:val="24"/>
          <w:b w:val="1"/>
          <w:bCs w:val="1"/>
          <w:color w:val="000000"/>
        </w:rPr>
        <w:t>A COMPELLING PORTFOLIO BUILDING BLOCK</w:t>
      </w:r>
    </w:p>
    <w:p>
      <w:pPr>
        <w:spacing w:after="0" w:line="296" w:lineRule="exact"/>
        <w:rPr>
          <w:sz w:val="20"/>
          <w:szCs w:val="20"/>
          <w:color w:val="auto"/>
        </w:rPr>
      </w:pPr>
    </w:p>
    <w:p>
      <w:pPr>
        <w:ind w:right="180"/>
        <w:spacing w:after="0" w:line="343" w:lineRule="auto"/>
        <w:rPr>
          <w:sz w:val="20"/>
          <w:szCs w:val="20"/>
          <w:color w:val="auto"/>
        </w:rPr>
      </w:pPr>
      <w:r>
        <w:rPr>
          <w:rFonts w:ascii="Arial" w:cs="Arial" w:eastAsia="Arial" w:hAnsi="Arial"/>
          <w:sz w:val="20"/>
          <w:szCs w:val="20"/>
          <w:color w:val="161921"/>
        </w:rPr>
        <w:t>AGNC’s book value and earnings power – and by extension, stock price – are driven by our portfolio of Agency MBS. As such, through an investment in AGNC common stock, a stockholder gains exposure to Agency MBS – on a levered and hedged basis – and the diversification advantages this asset class offers. These assets benefit from compelling fundamentals and favorable attributes that we believe make them an important building block of any 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-3175</wp:posOffset>
            </wp:positionV>
            <wp:extent cx="7543800" cy="2540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7543800" cy="2540635"/>
                    </a:xfrm>
                    <a:prstGeom prst="rect">
                      <a:avLst/>
                    </a:prstGeom>
                    <a:noFill/>
                  </pic:spPr>
                </pic:pic>
              </a:graphicData>
            </a:graphic>
          </wp:anchor>
        </w:drawing>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FFFFFF"/>
        </w:rPr>
        <w:t>BENEFITS OF INVESTING IN AGENCY MBS</w:t>
      </w:r>
    </w:p>
    <w:p>
      <w:pPr>
        <w:sectPr>
          <w:pgSz w:w="11880" w:h="15480" w:orient="portrait"/>
          <w:cols w:equalWidth="0" w:num="1">
            <w:col w:w="10460"/>
          </w:cols>
          <w:pgMar w:left="720" w:top="1440" w:right="700" w:bottom="0" w:gutter="0" w:footer="0" w:header="0"/>
        </w:sectPr>
      </w:pPr>
    </w:p>
    <w:p>
      <w:pPr>
        <w:spacing w:after="0" w:line="200" w:lineRule="exact"/>
        <w:rPr>
          <w:sz w:val="20"/>
          <w:szCs w:val="20"/>
          <w:color w:val="auto"/>
        </w:rPr>
      </w:pPr>
    </w:p>
    <w:p>
      <w:pPr>
        <w:spacing w:after="0" w:line="330" w:lineRule="exact"/>
        <w:rPr>
          <w:sz w:val="20"/>
          <w:szCs w:val="20"/>
          <w:color w:val="auto"/>
        </w:rPr>
      </w:pPr>
    </w:p>
    <w:p>
      <w:pPr>
        <w:ind w:left="720" w:right="820"/>
        <w:spacing w:after="0" w:line="354" w:lineRule="auto"/>
        <w:rPr>
          <w:sz w:val="20"/>
          <w:szCs w:val="20"/>
          <w:color w:val="auto"/>
        </w:rPr>
      </w:pPr>
      <w:r>
        <w:rPr>
          <w:rFonts w:ascii="Arial" w:cs="Arial" w:eastAsia="Arial" w:hAnsi="Arial"/>
          <w:sz w:val="20"/>
          <w:szCs w:val="20"/>
          <w:b w:val="1"/>
          <w:bCs w:val="1"/>
          <w:color w:val="FFFFFF"/>
        </w:rPr>
        <w:t xml:space="preserve">DIFFERENTIATED ASSET </w:t>
      </w:r>
      <w:r>
        <w:rPr>
          <w:rFonts w:ascii="Arial" w:cs="Arial" w:eastAsia="Arial" w:hAnsi="Arial"/>
          <w:sz w:val="20"/>
          <w:szCs w:val="20"/>
          <w:color w:val="FFFFFF"/>
        </w:rPr>
        <w:t>Fundamental fixed income asset class that supports the U.S. mortgage market with minimal correlation to equities</w:t>
      </w:r>
    </w:p>
    <w:p>
      <w:pPr>
        <w:spacing w:after="0" w:line="3" w:lineRule="exact"/>
        <w:rPr>
          <w:sz w:val="20"/>
          <w:szCs w:val="20"/>
          <w:color w:val="auto"/>
        </w:rPr>
      </w:pPr>
    </w:p>
    <w:p>
      <w:pPr>
        <w:ind w:left="720" w:right="460"/>
        <w:spacing w:after="0" w:line="360" w:lineRule="auto"/>
        <w:rPr>
          <w:sz w:val="20"/>
          <w:szCs w:val="20"/>
          <w:color w:val="auto"/>
        </w:rPr>
      </w:pPr>
      <w:r>
        <w:rPr>
          <w:rFonts w:ascii="Arial" w:cs="Arial" w:eastAsia="Arial" w:hAnsi="Arial"/>
          <w:sz w:val="20"/>
          <w:szCs w:val="20"/>
          <w:b w:val="1"/>
          <w:bCs w:val="1"/>
          <w:color w:val="FFFFFF"/>
        </w:rPr>
        <w:t xml:space="preserve">SUBSTANTIAL YIELD OPPORTUNITY </w:t>
      </w:r>
      <w:r>
        <w:rPr>
          <w:rFonts w:ascii="Arial" w:cs="Arial" w:eastAsia="Arial" w:hAnsi="Arial"/>
          <w:sz w:val="20"/>
          <w:szCs w:val="20"/>
          <w:color w:val="FFFFFF"/>
        </w:rPr>
        <w:t>Compelling current income with an ability to employ leverage through highly attractive funding that enhances return potential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right="320"/>
        <w:spacing w:after="0" w:line="354" w:lineRule="auto"/>
        <w:rPr>
          <w:sz w:val="20"/>
          <w:szCs w:val="20"/>
          <w:color w:val="auto"/>
        </w:rPr>
      </w:pPr>
      <w:r>
        <w:rPr>
          <w:rFonts w:ascii="Arial" w:cs="Arial" w:eastAsia="Arial" w:hAnsi="Arial"/>
          <w:sz w:val="20"/>
          <w:szCs w:val="20"/>
          <w:b w:val="1"/>
          <w:bCs w:val="1"/>
          <w:color w:val="FFFFFF"/>
        </w:rPr>
        <w:t xml:space="preserve">GOVERNMENT SUPPORT </w:t>
      </w:r>
      <w:r>
        <w:rPr>
          <w:rFonts w:ascii="Arial" w:cs="Arial" w:eastAsia="Arial" w:hAnsi="Arial"/>
          <w:sz w:val="20"/>
          <w:szCs w:val="20"/>
          <w:color w:val="FFFFFF"/>
        </w:rPr>
        <w:t>Agency-backed guarantee from Fannie Mae, Freddie Mac, or Ginnie Mae substantially eliminates credit risk for investors</w:t>
      </w:r>
    </w:p>
    <w:p>
      <w:pPr>
        <w:spacing w:after="0" w:line="3" w:lineRule="exact"/>
        <w:rPr>
          <w:sz w:val="20"/>
          <w:szCs w:val="20"/>
          <w:color w:val="auto"/>
        </w:rPr>
      </w:pPr>
    </w:p>
    <w:p>
      <w:pPr>
        <w:ind w:right="140"/>
        <w:spacing w:after="0" w:line="360" w:lineRule="auto"/>
        <w:rPr>
          <w:sz w:val="20"/>
          <w:szCs w:val="20"/>
          <w:color w:val="auto"/>
        </w:rPr>
      </w:pPr>
      <w:r>
        <w:rPr>
          <w:rFonts w:ascii="Arial" w:cs="Arial" w:eastAsia="Arial" w:hAnsi="Arial"/>
          <w:sz w:val="20"/>
          <w:szCs w:val="20"/>
          <w:b w:val="1"/>
          <w:bCs w:val="1"/>
          <w:color w:val="FFFFFF"/>
        </w:rPr>
        <w:t xml:space="preserve">HIGHLY LIQUID MARKET </w:t>
      </w:r>
      <w:r>
        <w:rPr>
          <w:rFonts w:ascii="Arial" w:cs="Arial" w:eastAsia="Arial" w:hAnsi="Arial"/>
          <w:sz w:val="20"/>
          <w:szCs w:val="20"/>
          <w:color w:val="FFFFFF"/>
        </w:rPr>
        <w:t>Massive fixed income asset class with substantial trading liquidity, second only to the U.S. Treasury market</w:t>
      </w:r>
    </w:p>
    <w:p>
      <w:pPr>
        <w:spacing w:after="0" w:line="200" w:lineRule="exact"/>
        <w:rPr>
          <w:sz w:val="20"/>
          <w:szCs w:val="20"/>
          <w:color w:val="auto"/>
        </w:rPr>
      </w:pPr>
    </w:p>
    <w:p>
      <w:pPr>
        <w:sectPr>
          <w:pgSz w:w="11880" w:h="15480" w:orient="portrait"/>
          <w:cols w:equalWidth="0" w:num="2">
            <w:col w:w="5400" w:space="720"/>
            <w:col w:w="4340"/>
          </w:cols>
          <w:pgMar w:left="720" w:top="1440" w:right="700" w:bottom="0" w:gutter="0" w:footer="0" w:header="0"/>
          <w:type w:val="continuous"/>
        </w:sectPr>
      </w:pPr>
    </w:p>
    <w:p>
      <w:pPr>
        <w:spacing w:after="0" w:line="81" w:lineRule="exact"/>
        <w:rPr>
          <w:sz w:val="20"/>
          <w:szCs w:val="20"/>
          <w:color w:val="auto"/>
        </w:rPr>
      </w:pPr>
    </w:p>
    <w:p>
      <w:pPr>
        <w:ind w:right="320"/>
        <w:spacing w:after="0" w:line="326" w:lineRule="auto"/>
        <w:rPr>
          <w:sz w:val="20"/>
          <w:szCs w:val="20"/>
          <w:color w:val="auto"/>
        </w:rPr>
      </w:pPr>
      <w:r>
        <w:rPr>
          <w:rFonts w:ascii="Arial" w:cs="Arial" w:eastAsia="Arial" w:hAnsi="Arial"/>
          <w:sz w:val="20"/>
          <w:szCs w:val="20"/>
          <w:color w:val="161921"/>
        </w:rPr>
        <w:t>The current outlook for Agency MBS is enhanced by an attractive technical backdrop, as a confluence of factors has created a highly compelling entry point for new investments in this asset class. Most importantly, Agency MBS spreads to benchmark rates have generally stabilized in an advantageous trading range, and interest rate volatility has eased. Further, this newly established range is meaningfully wider than historical averages and disproportionately wide when compared to other fixed income asset classes. These technical factors present attractive projected returns for levered investors and enhance the relative value of Agency MBS investment opportunities within the broader fixed income universe.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6854825</wp:posOffset>
                </wp:positionH>
                <wp:positionV relativeFrom="paragraph">
                  <wp:posOffset>116205</wp:posOffset>
                </wp:positionV>
                <wp:extent cx="0" cy="263334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33345"/>
                        </a:xfrm>
                        <a:prstGeom prst="line">
                          <a:avLst/>
                        </a:prstGeom>
                        <a:solidFill>
                          <a:srgbClr val="FFFFFF"/>
                        </a:solidFill>
                        <a:ln w="6350">
                          <a:solidFill>
                            <a:srgbClr val="274CA2"/>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9.15pt" to="539.75pt,216.5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119380</wp:posOffset>
                </wp:positionV>
                <wp:extent cx="70866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9.4pt" to="540pt,9.4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-225425</wp:posOffset>
                </wp:positionH>
                <wp:positionV relativeFrom="paragraph">
                  <wp:posOffset>116205</wp:posOffset>
                </wp:positionV>
                <wp:extent cx="0" cy="263334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33345"/>
                        </a:xfrm>
                        <a:prstGeom prst="line">
                          <a:avLst/>
                        </a:prstGeom>
                        <a:solidFill>
                          <a:srgbClr val="FFFFFF"/>
                        </a:solidFill>
                        <a:ln w="6350">
                          <a:solidFill>
                            <a:srgbClr val="274CA2"/>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499pt,9.15pt" to="-17.7499pt,216.5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2746375</wp:posOffset>
                </wp:positionV>
                <wp:extent cx="70866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16.25pt" to="540pt,216.25pt" o:allowincell="f" strokecolor="#274CA2" strokeweight="0.5pt"/>
            </w:pict>
          </mc:Fallback>
        </mc:AlternateConten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Agency MBS Spreads</w:t>
      </w:r>
      <w:r>
        <w:rPr>
          <w:rFonts w:ascii="Arial" w:cs="Arial" w:eastAsia="Arial" w:hAnsi="Arial"/>
          <w:sz w:val="11"/>
          <w:szCs w:val="11"/>
          <w:b w:val="1"/>
          <w:bCs w:val="1"/>
          <w:color w:val="auto"/>
        </w:rPr>
        <w:t>9</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(Basis points)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73"/>
        </w:trPr>
        <w:tc>
          <w:tcPr>
            <w:tcW w:w="540" w:type="dxa"/>
            <w:vAlign w:val="bottom"/>
            <w:vMerge w:val="restart"/>
          </w:tcPr>
          <w:p>
            <w:pPr>
              <w:jc w:val="right"/>
              <w:ind w:right="100"/>
              <w:spacing w:after="0"/>
              <w:rPr>
                <w:sz w:val="20"/>
                <w:szCs w:val="20"/>
                <w:color w:val="auto"/>
              </w:rPr>
            </w:pPr>
            <w:r>
              <w:rPr>
                <w:rFonts w:ascii="Arial" w:cs="Arial" w:eastAsia="Arial" w:hAnsi="Arial"/>
                <w:sz w:val="20"/>
                <w:szCs w:val="20"/>
                <w:color w:val="161920"/>
                <w:w w:val="95"/>
              </w:rPr>
              <w:t>250</w:t>
            </w:r>
          </w:p>
        </w:tc>
        <w:tc>
          <w:tcPr>
            <w:tcW w:w="80" w:type="dxa"/>
            <w:vAlign w:val="bottom"/>
            <w:vMerge w:val="restart"/>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6"/>
                <w:szCs w:val="16"/>
                <w:b w:val="1"/>
                <w:bCs w:val="1"/>
                <w:color w:val="auto"/>
              </w:rPr>
              <w:t>GFC</w:t>
            </w: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Covid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5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shd w:val="clear" w:color="auto" w:fill="F5F5F4"/>
          </w:tcPr>
          <w:p>
            <w:pPr>
              <w:spacing w:after="0"/>
              <w:rPr>
                <w:sz w:val="11"/>
                <w:szCs w:val="11"/>
                <w:color w:val="auto"/>
              </w:rPr>
            </w:pPr>
          </w:p>
        </w:tc>
        <w:tc>
          <w:tcPr>
            <w:tcW w:w="900" w:type="dxa"/>
            <w:vAlign w:val="bottom"/>
            <w:shd w:val="clear" w:color="auto" w:fill="F5F5F4"/>
          </w:tcPr>
          <w:p>
            <w:pPr>
              <w:spacing w:after="0"/>
              <w:rPr>
                <w:sz w:val="11"/>
                <w:szCs w:val="11"/>
                <w:color w:val="auto"/>
              </w:rPr>
            </w:pPr>
          </w:p>
        </w:tc>
        <w:tc>
          <w:tcPr>
            <w:tcW w:w="220" w:type="dxa"/>
            <w:vAlign w:val="bottom"/>
            <w:shd w:val="clear" w:color="auto" w:fill="F5F5F4"/>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540" w:type="dxa"/>
            <w:vAlign w:val="bottom"/>
            <w:vMerge w:val="continue"/>
          </w:tcPr>
          <w:p>
            <w:pPr>
              <w:spacing w:after="0"/>
              <w:rPr>
                <w:sz w:val="15"/>
                <w:szCs w:val="15"/>
                <w:color w:val="auto"/>
              </w:rPr>
            </w:pPr>
          </w:p>
        </w:tc>
        <w:tc>
          <w:tcPr>
            <w:tcW w:w="80" w:type="dxa"/>
            <w:vAlign w:val="bottom"/>
            <w:tcBorders>
              <w:left w:val="single" w:sz="8" w:color="DBD8D3"/>
            </w:tcBorders>
          </w:tcPr>
          <w:p>
            <w:pPr>
              <w:spacing w:after="0"/>
              <w:rPr>
                <w:sz w:val="15"/>
                <w:szCs w:val="15"/>
                <w:color w:val="auto"/>
              </w:rPr>
            </w:pPr>
          </w:p>
        </w:tc>
        <w:tc>
          <w:tcPr>
            <w:tcW w:w="7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shd w:val="clear" w:color="auto" w:fill="F5F5F4"/>
          </w:tcPr>
          <w:p>
            <w:pPr>
              <w:spacing w:after="0"/>
              <w:rPr>
                <w:sz w:val="15"/>
                <w:szCs w:val="15"/>
                <w:color w:val="auto"/>
              </w:rPr>
            </w:pPr>
          </w:p>
        </w:tc>
        <w:tc>
          <w:tcPr>
            <w:tcW w:w="900" w:type="dxa"/>
            <w:vAlign w:val="bottom"/>
            <w:shd w:val="clear" w:color="auto" w:fill="F5F5F4"/>
          </w:tcPr>
          <w:p>
            <w:pPr>
              <w:spacing w:after="0"/>
              <w:rPr>
                <w:sz w:val="15"/>
                <w:szCs w:val="15"/>
                <w:color w:val="auto"/>
              </w:rPr>
            </w:pPr>
          </w:p>
        </w:tc>
        <w:tc>
          <w:tcPr>
            <w:tcW w:w="220" w:type="dxa"/>
            <w:vAlign w:val="bottom"/>
            <w:shd w:val="clear" w:color="auto" w:fill="F5F5F4"/>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0" w:type="dxa"/>
            <w:vAlign w:val="bottom"/>
            <w:vMerge w:val="restart"/>
          </w:tcPr>
          <w:p>
            <w:pPr>
              <w:jc w:val="right"/>
              <w:ind w:right="100"/>
              <w:spacing w:after="0"/>
              <w:rPr>
                <w:sz w:val="20"/>
                <w:szCs w:val="20"/>
                <w:color w:val="auto"/>
              </w:rPr>
            </w:pPr>
            <w:r>
              <w:rPr>
                <w:rFonts w:ascii="Arial" w:cs="Arial" w:eastAsia="Arial" w:hAnsi="Arial"/>
                <w:sz w:val="20"/>
                <w:szCs w:val="20"/>
                <w:color w:val="161920"/>
                <w:w w:val="95"/>
              </w:rPr>
              <w:t>200</w:t>
            </w:r>
          </w:p>
        </w:tc>
        <w:tc>
          <w:tcPr>
            <w:tcW w:w="80" w:type="dxa"/>
            <w:vAlign w:val="bottom"/>
            <w:tcBorders>
              <w:left w:val="single" w:sz="8" w:color="DBD8D3"/>
            </w:tcBorders>
          </w:tcPr>
          <w:p>
            <w:pPr>
              <w:spacing w:after="0"/>
              <w:rPr>
                <w:sz w:val="20"/>
                <w:szCs w:val="20"/>
                <w:color w:val="auto"/>
              </w:rPr>
            </w:pPr>
          </w:p>
        </w:tc>
        <w:tc>
          <w:tcPr>
            <w:tcW w:w="78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00" w:type="dxa"/>
            <w:vAlign w:val="bottom"/>
            <w:gridSpan w:val="3"/>
            <w:vMerge w:val="restart"/>
          </w:tcPr>
          <w:p>
            <w:pPr>
              <w:ind w:left="300"/>
              <w:spacing w:after="0"/>
              <w:rPr>
                <w:sz w:val="20"/>
                <w:szCs w:val="20"/>
                <w:color w:val="auto"/>
              </w:rPr>
            </w:pPr>
            <w:r>
              <w:rPr>
                <w:rFonts w:ascii="Arial" w:cs="Arial" w:eastAsia="Arial" w:hAnsi="Arial"/>
                <w:sz w:val="16"/>
                <w:szCs w:val="16"/>
                <w:b w:val="1"/>
                <w:bCs w:val="1"/>
                <w:color w:val="6F6769"/>
              </w:rPr>
              <w:t>Spread to Swaps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shd w:val="clear" w:color="auto" w:fill="F5F5F4"/>
          </w:tcPr>
          <w:p>
            <w:pPr>
              <w:spacing w:after="0"/>
              <w:rPr>
                <w:sz w:val="20"/>
                <w:szCs w:val="20"/>
                <w:color w:val="auto"/>
              </w:rPr>
            </w:pPr>
          </w:p>
        </w:tc>
        <w:tc>
          <w:tcPr>
            <w:tcW w:w="900" w:type="dxa"/>
            <w:vAlign w:val="bottom"/>
            <w:shd w:val="clear" w:color="auto" w:fill="F5F5F4"/>
          </w:tcPr>
          <w:p>
            <w:pPr>
              <w:spacing w:after="0"/>
              <w:rPr>
                <w:sz w:val="20"/>
                <w:szCs w:val="20"/>
                <w:color w:val="auto"/>
              </w:rPr>
            </w:pPr>
          </w:p>
        </w:tc>
        <w:tc>
          <w:tcPr>
            <w:tcW w:w="220" w:type="dxa"/>
            <w:vAlign w:val="bottom"/>
            <w:shd w:val="clear" w:color="auto" w:fill="F5F5F4"/>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540" w:type="dxa"/>
            <w:vAlign w:val="bottom"/>
            <w:vMerge w:val="continue"/>
          </w:tcPr>
          <w:p>
            <w:pPr>
              <w:spacing w:after="0"/>
              <w:rPr>
                <w:sz w:val="12"/>
                <w:szCs w:val="12"/>
                <w:color w:val="auto"/>
              </w:rPr>
            </w:pPr>
          </w:p>
        </w:tc>
        <w:tc>
          <w:tcPr>
            <w:tcW w:w="80" w:type="dxa"/>
            <w:vAlign w:val="bottom"/>
            <w:tcBorders>
              <w:left w:val="single" w:sz="8" w:color="DBD8D3"/>
            </w:tcBorders>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shd w:val="clear" w:color="auto" w:fill="F5F5F4"/>
          </w:tcPr>
          <w:p>
            <w:pPr>
              <w:spacing w:after="0"/>
              <w:rPr>
                <w:sz w:val="12"/>
                <w:szCs w:val="12"/>
                <w:color w:val="auto"/>
              </w:rPr>
            </w:pPr>
          </w:p>
        </w:tc>
        <w:tc>
          <w:tcPr>
            <w:tcW w:w="900" w:type="dxa"/>
            <w:vAlign w:val="bottom"/>
            <w:shd w:val="clear" w:color="auto" w:fill="F5F5F4"/>
          </w:tcPr>
          <w:p>
            <w:pPr>
              <w:spacing w:after="0"/>
              <w:rPr>
                <w:sz w:val="12"/>
                <w:szCs w:val="12"/>
                <w:color w:val="auto"/>
              </w:rPr>
            </w:pPr>
          </w:p>
        </w:tc>
        <w:tc>
          <w:tcPr>
            <w:tcW w:w="220" w:type="dxa"/>
            <w:vAlign w:val="bottom"/>
            <w:shd w:val="clear" w:color="auto" w:fill="F5F5F4"/>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40" w:type="dxa"/>
            <w:vAlign w:val="bottom"/>
            <w:vMerge w:val="restart"/>
          </w:tcPr>
          <w:p>
            <w:pPr>
              <w:jc w:val="right"/>
              <w:ind w:right="100"/>
              <w:spacing w:after="0"/>
              <w:rPr>
                <w:sz w:val="20"/>
                <w:szCs w:val="20"/>
                <w:color w:val="auto"/>
              </w:rPr>
            </w:pPr>
            <w:r>
              <w:rPr>
                <w:rFonts w:ascii="Arial" w:cs="Arial" w:eastAsia="Arial" w:hAnsi="Arial"/>
                <w:sz w:val="20"/>
                <w:szCs w:val="20"/>
                <w:color w:val="161920"/>
                <w:w w:val="95"/>
              </w:rPr>
              <w:t>150</w:t>
            </w:r>
          </w:p>
        </w:tc>
        <w:tc>
          <w:tcPr>
            <w:tcW w:w="80" w:type="dxa"/>
            <w:vAlign w:val="bottom"/>
            <w:tcBorders>
              <w:left w:val="single" w:sz="8" w:color="DBD8D3"/>
            </w:tcBorders>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shd w:val="clear" w:color="auto" w:fill="F5F5F4"/>
          </w:tcPr>
          <w:p>
            <w:pPr>
              <w:spacing w:after="0"/>
              <w:rPr>
                <w:sz w:val="15"/>
                <w:szCs w:val="15"/>
                <w:color w:val="auto"/>
              </w:rPr>
            </w:pPr>
          </w:p>
        </w:tc>
        <w:tc>
          <w:tcPr>
            <w:tcW w:w="900" w:type="dxa"/>
            <w:vAlign w:val="bottom"/>
            <w:shd w:val="clear" w:color="auto" w:fill="F5F5F4"/>
          </w:tcPr>
          <w:p>
            <w:pPr>
              <w:spacing w:after="0"/>
              <w:rPr>
                <w:sz w:val="15"/>
                <w:szCs w:val="15"/>
                <w:color w:val="auto"/>
              </w:rPr>
            </w:pPr>
          </w:p>
        </w:tc>
        <w:tc>
          <w:tcPr>
            <w:tcW w:w="220" w:type="dxa"/>
            <w:vAlign w:val="bottom"/>
            <w:shd w:val="clear" w:color="auto" w:fill="F5F5F4"/>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0" w:type="dxa"/>
            <w:vAlign w:val="bottom"/>
            <w:vMerge w:val="continue"/>
          </w:tcPr>
          <w:p>
            <w:pPr>
              <w:spacing w:after="0"/>
              <w:rPr>
                <w:sz w:val="17"/>
                <w:szCs w:val="17"/>
                <w:color w:val="auto"/>
              </w:rPr>
            </w:pPr>
          </w:p>
        </w:tc>
        <w:tc>
          <w:tcPr>
            <w:tcW w:w="80" w:type="dxa"/>
            <w:vAlign w:val="bottom"/>
            <w:tcBorders>
              <w:left w:val="single" w:sz="8" w:color="DBD8D3"/>
            </w:tcBorders>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shd w:val="clear" w:color="auto" w:fill="F5F5F4"/>
          </w:tcPr>
          <w:p>
            <w:pPr>
              <w:spacing w:after="0"/>
              <w:rPr>
                <w:sz w:val="17"/>
                <w:szCs w:val="17"/>
                <w:color w:val="auto"/>
              </w:rPr>
            </w:pPr>
          </w:p>
        </w:tc>
        <w:tc>
          <w:tcPr>
            <w:tcW w:w="900" w:type="dxa"/>
            <w:vAlign w:val="bottom"/>
            <w:shd w:val="clear" w:color="auto" w:fill="F5F5F4"/>
          </w:tcPr>
          <w:p>
            <w:pPr>
              <w:spacing w:after="0"/>
              <w:rPr>
                <w:sz w:val="17"/>
                <w:szCs w:val="17"/>
                <w:color w:val="auto"/>
              </w:rPr>
            </w:pPr>
          </w:p>
        </w:tc>
        <w:tc>
          <w:tcPr>
            <w:tcW w:w="220" w:type="dxa"/>
            <w:vAlign w:val="bottom"/>
            <w:shd w:val="clear" w:color="auto" w:fill="F5F5F4"/>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40" w:type="dxa"/>
            <w:vAlign w:val="bottom"/>
          </w:tcPr>
          <w:p>
            <w:pPr>
              <w:jc w:val="right"/>
              <w:ind w:right="100"/>
              <w:spacing w:after="0"/>
              <w:rPr>
                <w:sz w:val="20"/>
                <w:szCs w:val="20"/>
                <w:color w:val="auto"/>
              </w:rPr>
            </w:pPr>
            <w:r>
              <w:rPr>
                <w:rFonts w:ascii="Arial" w:cs="Arial" w:eastAsia="Arial" w:hAnsi="Arial"/>
                <w:sz w:val="20"/>
                <w:szCs w:val="20"/>
                <w:color w:val="161920"/>
                <w:w w:val="95"/>
              </w:rPr>
              <w:t>100</w:t>
            </w:r>
          </w:p>
        </w:tc>
        <w:tc>
          <w:tcPr>
            <w:tcW w:w="80" w:type="dxa"/>
            <w:vAlign w:val="bottom"/>
            <w:tcBorders>
              <w:left w:val="single" w:sz="8" w:color="DBD8D3"/>
            </w:tcBorders>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274CA2"/>
              </w:rPr>
              <w:t>Spread to Treasuries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shd w:val="clear" w:color="auto" w:fill="F5F5F4"/>
          </w:tcPr>
          <w:p>
            <w:pPr>
              <w:spacing w:after="0"/>
              <w:rPr>
                <w:sz w:val="24"/>
                <w:szCs w:val="24"/>
                <w:color w:val="auto"/>
              </w:rPr>
            </w:pPr>
          </w:p>
        </w:tc>
        <w:tc>
          <w:tcPr>
            <w:tcW w:w="900" w:type="dxa"/>
            <w:vAlign w:val="bottom"/>
            <w:shd w:val="clear" w:color="auto" w:fill="F5F5F4"/>
          </w:tcPr>
          <w:p>
            <w:pPr>
              <w:jc w:val="center"/>
              <w:ind w:left="36"/>
              <w:spacing w:after="0"/>
              <w:rPr>
                <w:sz w:val="20"/>
                <w:szCs w:val="20"/>
                <w:color w:val="auto"/>
              </w:rPr>
            </w:pPr>
            <w:r>
              <w:rPr>
                <w:rFonts w:ascii="Arial" w:cs="Arial" w:eastAsia="Arial" w:hAnsi="Arial"/>
                <w:sz w:val="16"/>
                <w:szCs w:val="16"/>
                <w:b w:val="1"/>
                <w:bCs w:val="1"/>
                <w:color w:val="auto"/>
              </w:rPr>
              <w:t>Material</w:t>
            </w:r>
          </w:p>
        </w:tc>
        <w:tc>
          <w:tcPr>
            <w:tcW w:w="220" w:type="dxa"/>
            <w:vAlign w:val="bottom"/>
            <w:shd w:val="clear" w:color="auto" w:fill="F5F5F4"/>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0" w:type="dxa"/>
            <w:vAlign w:val="bottom"/>
            <w:vMerge w:val="restart"/>
          </w:tcPr>
          <w:p>
            <w:pPr>
              <w:jc w:val="right"/>
              <w:ind w:right="100"/>
              <w:spacing w:after="0"/>
              <w:rPr>
                <w:sz w:val="20"/>
                <w:szCs w:val="20"/>
                <w:color w:val="auto"/>
              </w:rPr>
            </w:pPr>
            <w:r>
              <w:rPr>
                <w:rFonts w:ascii="Arial" w:cs="Arial" w:eastAsia="Arial" w:hAnsi="Arial"/>
                <w:sz w:val="20"/>
                <w:szCs w:val="20"/>
                <w:color w:val="161920"/>
              </w:rPr>
              <w:t>50</w:t>
            </w:r>
          </w:p>
        </w:tc>
        <w:tc>
          <w:tcPr>
            <w:tcW w:w="80" w:type="dxa"/>
            <w:vAlign w:val="bottom"/>
            <w:tcBorders>
              <w:left w:val="single" w:sz="8" w:color="DBD8D3"/>
            </w:tcBorders>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shd w:val="clear" w:color="auto" w:fill="F5F5F4"/>
          </w:tcPr>
          <w:p>
            <w:pPr>
              <w:spacing w:after="0"/>
              <w:rPr>
                <w:sz w:val="16"/>
                <w:szCs w:val="16"/>
                <w:color w:val="auto"/>
              </w:rPr>
            </w:pPr>
          </w:p>
        </w:tc>
        <w:tc>
          <w:tcPr>
            <w:tcW w:w="900" w:type="dxa"/>
            <w:vAlign w:val="bottom"/>
            <w:shd w:val="clear" w:color="auto" w:fill="F5F5F4"/>
          </w:tcPr>
          <w:p>
            <w:pPr>
              <w:jc w:val="center"/>
              <w:ind w:left="36"/>
              <w:spacing w:after="0"/>
              <w:rPr>
                <w:sz w:val="20"/>
                <w:szCs w:val="20"/>
                <w:color w:val="auto"/>
              </w:rPr>
            </w:pPr>
            <w:r>
              <w:rPr>
                <w:rFonts w:ascii="Arial" w:cs="Arial" w:eastAsia="Arial" w:hAnsi="Arial"/>
                <w:sz w:val="16"/>
                <w:szCs w:val="16"/>
                <w:b w:val="1"/>
                <w:bCs w:val="1"/>
                <w:color w:val="auto"/>
              </w:rPr>
              <w:t>spread</w:t>
            </w:r>
          </w:p>
        </w:tc>
        <w:tc>
          <w:tcPr>
            <w:tcW w:w="220" w:type="dxa"/>
            <w:vAlign w:val="bottom"/>
            <w:shd w:val="clear" w:color="auto" w:fill="F5F5F4"/>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vMerge w:val="continue"/>
          </w:tcPr>
          <w:p>
            <w:pPr>
              <w:spacing w:after="0"/>
              <w:rPr>
                <w:sz w:val="16"/>
                <w:szCs w:val="16"/>
                <w:color w:val="auto"/>
              </w:rPr>
            </w:pPr>
          </w:p>
        </w:tc>
        <w:tc>
          <w:tcPr>
            <w:tcW w:w="80" w:type="dxa"/>
            <w:vAlign w:val="bottom"/>
            <w:tcBorders>
              <w:left w:val="single" w:sz="8" w:color="DBD8D3"/>
            </w:tcBorders>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shd w:val="clear" w:color="auto" w:fill="F5F5F4"/>
          </w:tcPr>
          <w:p>
            <w:pPr>
              <w:spacing w:after="0"/>
              <w:rPr>
                <w:sz w:val="16"/>
                <w:szCs w:val="16"/>
                <w:color w:val="auto"/>
              </w:rPr>
            </w:pPr>
          </w:p>
        </w:tc>
        <w:tc>
          <w:tcPr>
            <w:tcW w:w="1120" w:type="dxa"/>
            <w:vAlign w:val="bottom"/>
            <w:gridSpan w:val="2"/>
            <w:shd w:val="clear" w:color="auto" w:fill="F5F5F4"/>
          </w:tcPr>
          <w:p>
            <w:pPr>
              <w:jc w:val="center"/>
              <w:spacing w:after="0"/>
              <w:rPr>
                <w:sz w:val="20"/>
                <w:szCs w:val="20"/>
                <w:color w:val="auto"/>
              </w:rPr>
            </w:pPr>
            <w:r>
              <w:rPr>
                <w:rFonts w:ascii="Arial" w:cs="Arial" w:eastAsia="Arial" w:hAnsi="Arial"/>
                <w:sz w:val="16"/>
                <w:szCs w:val="16"/>
                <w:b w:val="1"/>
                <w:bCs w:val="1"/>
                <w:color w:val="auto"/>
                <w:w w:val="99"/>
              </w:rPr>
              <w:t>widening and</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540" w:type="dxa"/>
            <w:vAlign w:val="bottom"/>
            <w:vMerge w:val="restart"/>
          </w:tcPr>
          <w:p>
            <w:pPr>
              <w:jc w:val="right"/>
              <w:ind w:right="100"/>
              <w:spacing w:after="0"/>
              <w:rPr>
                <w:sz w:val="20"/>
                <w:szCs w:val="20"/>
                <w:color w:val="auto"/>
              </w:rPr>
            </w:pPr>
            <w:r>
              <w:rPr>
                <w:rFonts w:ascii="Arial" w:cs="Arial" w:eastAsia="Arial" w:hAnsi="Arial"/>
                <w:sz w:val="20"/>
                <w:szCs w:val="20"/>
                <w:color w:val="161920"/>
              </w:rPr>
              <w:t>0</w:t>
            </w:r>
          </w:p>
        </w:tc>
        <w:tc>
          <w:tcPr>
            <w:tcW w:w="80" w:type="dxa"/>
            <w:vAlign w:val="bottom"/>
            <w:tcBorders>
              <w:left w:val="single" w:sz="8" w:color="DBD8D3"/>
              <w:bottom w:val="single" w:sz="8" w:color="DBD8D3"/>
            </w:tcBorders>
          </w:tcPr>
          <w:p>
            <w:pPr>
              <w:spacing w:after="0"/>
              <w:rPr>
                <w:sz w:val="24"/>
                <w:szCs w:val="24"/>
                <w:color w:val="auto"/>
              </w:rPr>
            </w:pPr>
          </w:p>
        </w:tc>
        <w:tc>
          <w:tcPr>
            <w:tcW w:w="780" w:type="dxa"/>
            <w:vAlign w:val="bottom"/>
            <w:tcBorders>
              <w:bottom w:val="single" w:sz="8" w:color="DBD8D3"/>
            </w:tcBorders>
          </w:tcPr>
          <w:p>
            <w:pPr>
              <w:spacing w:after="0"/>
              <w:rPr>
                <w:sz w:val="24"/>
                <w:szCs w:val="24"/>
                <w:color w:val="auto"/>
              </w:rPr>
            </w:pPr>
          </w:p>
        </w:tc>
        <w:tc>
          <w:tcPr>
            <w:tcW w:w="600" w:type="dxa"/>
            <w:vAlign w:val="bottom"/>
            <w:tcBorders>
              <w:bottom w:val="single" w:sz="8" w:color="DBD8D3"/>
            </w:tcBorders>
          </w:tcPr>
          <w:p>
            <w:pPr>
              <w:spacing w:after="0"/>
              <w:rPr>
                <w:sz w:val="24"/>
                <w:szCs w:val="24"/>
                <w:color w:val="auto"/>
              </w:rPr>
            </w:pPr>
          </w:p>
        </w:tc>
        <w:tc>
          <w:tcPr>
            <w:tcW w:w="620" w:type="dxa"/>
            <w:vAlign w:val="bottom"/>
            <w:tcBorders>
              <w:bottom w:val="single" w:sz="8" w:color="DBD8D3"/>
            </w:tcBorders>
          </w:tcPr>
          <w:p>
            <w:pPr>
              <w:spacing w:after="0"/>
              <w:rPr>
                <w:sz w:val="24"/>
                <w:szCs w:val="24"/>
                <w:color w:val="auto"/>
              </w:rPr>
            </w:pPr>
          </w:p>
        </w:tc>
        <w:tc>
          <w:tcPr>
            <w:tcW w:w="600" w:type="dxa"/>
            <w:vAlign w:val="bottom"/>
            <w:tcBorders>
              <w:bottom w:val="single" w:sz="8" w:color="DBD8D3"/>
            </w:tcBorders>
          </w:tcPr>
          <w:p>
            <w:pPr>
              <w:spacing w:after="0"/>
              <w:rPr>
                <w:sz w:val="24"/>
                <w:szCs w:val="24"/>
                <w:color w:val="auto"/>
              </w:rPr>
            </w:pPr>
          </w:p>
        </w:tc>
        <w:tc>
          <w:tcPr>
            <w:tcW w:w="600" w:type="dxa"/>
            <w:vAlign w:val="bottom"/>
            <w:tcBorders>
              <w:bottom w:val="single" w:sz="8" w:color="DBD8D3"/>
            </w:tcBorders>
          </w:tcPr>
          <w:p>
            <w:pPr>
              <w:spacing w:after="0"/>
              <w:rPr>
                <w:sz w:val="24"/>
                <w:szCs w:val="24"/>
                <w:color w:val="auto"/>
              </w:rPr>
            </w:pPr>
          </w:p>
        </w:tc>
        <w:tc>
          <w:tcPr>
            <w:tcW w:w="620" w:type="dxa"/>
            <w:vAlign w:val="bottom"/>
            <w:tcBorders>
              <w:bottom w:val="single" w:sz="8" w:color="DBD8D3"/>
            </w:tcBorders>
          </w:tcPr>
          <w:p>
            <w:pPr>
              <w:spacing w:after="0"/>
              <w:rPr>
                <w:sz w:val="24"/>
                <w:szCs w:val="24"/>
                <w:color w:val="auto"/>
              </w:rPr>
            </w:pPr>
          </w:p>
        </w:tc>
        <w:tc>
          <w:tcPr>
            <w:tcW w:w="620" w:type="dxa"/>
            <w:vAlign w:val="bottom"/>
            <w:tcBorders>
              <w:bottom w:val="single" w:sz="8" w:color="DBD8D3"/>
            </w:tcBorders>
          </w:tcPr>
          <w:p>
            <w:pPr>
              <w:spacing w:after="0"/>
              <w:rPr>
                <w:sz w:val="24"/>
                <w:szCs w:val="24"/>
                <w:color w:val="auto"/>
              </w:rPr>
            </w:pPr>
          </w:p>
        </w:tc>
        <w:tc>
          <w:tcPr>
            <w:tcW w:w="660" w:type="dxa"/>
            <w:vAlign w:val="bottom"/>
            <w:tcBorders>
              <w:bottom w:val="single" w:sz="8" w:color="DBD8D3"/>
            </w:tcBorders>
          </w:tcPr>
          <w:p>
            <w:pPr>
              <w:spacing w:after="0"/>
              <w:rPr>
                <w:sz w:val="24"/>
                <w:szCs w:val="24"/>
                <w:color w:val="auto"/>
              </w:rPr>
            </w:pPr>
          </w:p>
        </w:tc>
        <w:tc>
          <w:tcPr>
            <w:tcW w:w="560" w:type="dxa"/>
            <w:vAlign w:val="bottom"/>
            <w:tcBorders>
              <w:bottom w:val="single" w:sz="8" w:color="DBD8D3"/>
            </w:tcBorders>
          </w:tcPr>
          <w:p>
            <w:pPr>
              <w:spacing w:after="0"/>
              <w:rPr>
                <w:sz w:val="24"/>
                <w:szCs w:val="24"/>
                <w:color w:val="auto"/>
              </w:rPr>
            </w:pPr>
          </w:p>
        </w:tc>
        <w:tc>
          <w:tcPr>
            <w:tcW w:w="600" w:type="dxa"/>
            <w:vAlign w:val="bottom"/>
            <w:tcBorders>
              <w:bottom w:val="single" w:sz="8" w:color="DBD8D3"/>
            </w:tcBorders>
          </w:tcPr>
          <w:p>
            <w:pPr>
              <w:spacing w:after="0"/>
              <w:rPr>
                <w:sz w:val="24"/>
                <w:szCs w:val="24"/>
                <w:color w:val="auto"/>
              </w:rPr>
            </w:pPr>
          </w:p>
        </w:tc>
        <w:tc>
          <w:tcPr>
            <w:tcW w:w="740" w:type="dxa"/>
            <w:vAlign w:val="bottom"/>
            <w:tcBorders>
              <w:bottom w:val="single" w:sz="8" w:color="DBD8D3"/>
            </w:tcBorders>
          </w:tcPr>
          <w:p>
            <w:pPr>
              <w:spacing w:after="0"/>
              <w:rPr>
                <w:sz w:val="24"/>
                <w:szCs w:val="24"/>
                <w:color w:val="auto"/>
              </w:rPr>
            </w:pPr>
          </w:p>
        </w:tc>
        <w:tc>
          <w:tcPr>
            <w:tcW w:w="480" w:type="dxa"/>
            <w:vAlign w:val="bottom"/>
            <w:tcBorders>
              <w:bottom w:val="single" w:sz="8" w:color="DBD8D3"/>
            </w:tcBorders>
          </w:tcPr>
          <w:p>
            <w:pPr>
              <w:spacing w:after="0"/>
              <w:rPr>
                <w:sz w:val="24"/>
                <w:szCs w:val="24"/>
                <w:color w:val="auto"/>
              </w:rPr>
            </w:pPr>
          </w:p>
        </w:tc>
        <w:tc>
          <w:tcPr>
            <w:tcW w:w="360" w:type="dxa"/>
            <w:vAlign w:val="bottom"/>
            <w:tcBorders>
              <w:bottom w:val="single" w:sz="8" w:color="DBD8D3"/>
            </w:tcBorders>
          </w:tcPr>
          <w:p>
            <w:pPr>
              <w:spacing w:after="0"/>
              <w:rPr>
                <w:sz w:val="24"/>
                <w:szCs w:val="24"/>
                <w:color w:val="auto"/>
              </w:rPr>
            </w:pPr>
          </w:p>
        </w:tc>
        <w:tc>
          <w:tcPr>
            <w:tcW w:w="100" w:type="dxa"/>
            <w:vAlign w:val="bottom"/>
            <w:tcBorders>
              <w:bottom w:val="single" w:sz="8" w:color="DBD8D3"/>
            </w:tcBorders>
            <w:shd w:val="clear" w:color="auto" w:fill="F5F5F4"/>
          </w:tcPr>
          <w:p>
            <w:pPr>
              <w:spacing w:after="0"/>
              <w:rPr>
                <w:sz w:val="24"/>
                <w:szCs w:val="24"/>
                <w:color w:val="auto"/>
              </w:rPr>
            </w:pPr>
          </w:p>
        </w:tc>
        <w:tc>
          <w:tcPr>
            <w:tcW w:w="900" w:type="dxa"/>
            <w:vAlign w:val="bottom"/>
            <w:tcBorders>
              <w:bottom w:val="single" w:sz="8" w:color="DBD8D3"/>
            </w:tcBorders>
            <w:shd w:val="clear" w:color="auto" w:fill="F5F5F4"/>
          </w:tcPr>
          <w:p>
            <w:pPr>
              <w:jc w:val="center"/>
              <w:ind w:left="36"/>
              <w:spacing w:after="0"/>
              <w:rPr>
                <w:sz w:val="20"/>
                <w:szCs w:val="20"/>
                <w:color w:val="auto"/>
              </w:rPr>
            </w:pPr>
            <w:r>
              <w:rPr>
                <w:rFonts w:ascii="Arial" w:cs="Arial" w:eastAsia="Arial" w:hAnsi="Arial"/>
                <w:sz w:val="16"/>
                <w:szCs w:val="16"/>
                <w:b w:val="1"/>
                <w:bCs w:val="1"/>
                <w:color w:val="auto"/>
              </w:rPr>
              <w:t>volatility</w:t>
            </w:r>
          </w:p>
        </w:tc>
        <w:tc>
          <w:tcPr>
            <w:tcW w:w="220" w:type="dxa"/>
            <w:vAlign w:val="bottom"/>
            <w:tcBorders>
              <w:bottom w:val="single" w:sz="8" w:color="DBD8D3"/>
            </w:tcBorders>
            <w:shd w:val="clear" w:color="auto" w:fill="F5F5F4"/>
          </w:tcPr>
          <w:p>
            <w:pPr>
              <w:spacing w:after="0"/>
              <w:rPr>
                <w:sz w:val="24"/>
                <w:szCs w:val="24"/>
                <w:color w:val="auto"/>
              </w:rPr>
            </w:pPr>
          </w:p>
        </w:tc>
        <w:tc>
          <w:tcPr>
            <w:tcW w:w="260" w:type="dxa"/>
            <w:vAlign w:val="bottom"/>
            <w:tcBorders>
              <w:bottom w:val="single" w:sz="8" w:color="DBD8D3"/>
            </w:tcBorders>
          </w:tcPr>
          <w:p>
            <w:pPr>
              <w:spacing w:after="0"/>
              <w:rPr>
                <w:sz w:val="24"/>
                <w:szCs w:val="24"/>
                <w:color w:val="auto"/>
              </w:rPr>
            </w:pPr>
          </w:p>
        </w:tc>
        <w:tc>
          <w:tcPr>
            <w:tcW w:w="360" w:type="dxa"/>
            <w:vAlign w:val="bottom"/>
            <w:tcBorders>
              <w:bottom w:val="single" w:sz="8" w:color="DBD8D3"/>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restart"/>
            <w:textDirection w:val="btLr"/>
          </w:tcPr>
          <w:p>
            <w:pPr>
              <w:ind w:left="376"/>
              <w:spacing w:after="0"/>
              <w:rPr>
                <w:sz w:val="20"/>
                <w:szCs w:val="20"/>
                <w:color w:val="auto"/>
              </w:rPr>
            </w:pPr>
            <w:r>
              <w:rPr>
                <w:rFonts w:ascii="Arial" w:cs="Arial" w:eastAsia="Arial" w:hAnsi="Arial"/>
                <w:sz w:val="20"/>
                <w:szCs w:val="20"/>
                <w:color w:val="161920"/>
              </w:rPr>
              <w:t>Dec-11</w:t>
            </w:r>
          </w:p>
        </w:tc>
        <w:tc>
          <w:tcPr>
            <w:tcW w:w="600" w:type="dxa"/>
            <w:vAlign w:val="bottom"/>
            <w:vMerge w:val="restart"/>
            <w:textDirection w:val="btLr"/>
          </w:tcPr>
          <w:p>
            <w:pPr>
              <w:ind w:left="367"/>
              <w:spacing w:after="0"/>
              <w:rPr>
                <w:sz w:val="20"/>
                <w:szCs w:val="20"/>
                <w:color w:val="auto"/>
              </w:rPr>
            </w:pPr>
            <w:r>
              <w:rPr>
                <w:rFonts w:ascii="Arial" w:cs="Arial" w:eastAsia="Arial" w:hAnsi="Arial"/>
                <w:sz w:val="20"/>
                <w:szCs w:val="20"/>
                <w:color w:val="161920"/>
              </w:rPr>
              <w:t>Dec-12</w:t>
            </w:r>
          </w:p>
        </w:tc>
        <w:tc>
          <w:tcPr>
            <w:tcW w:w="600" w:type="dxa"/>
            <w:vAlign w:val="bottom"/>
            <w:vMerge w:val="restart"/>
            <w:textDirection w:val="btLr"/>
          </w:tcPr>
          <w:p>
            <w:pPr>
              <w:ind w:left="370"/>
              <w:spacing w:after="0"/>
              <w:rPr>
                <w:sz w:val="20"/>
                <w:szCs w:val="20"/>
                <w:color w:val="auto"/>
              </w:rPr>
            </w:pPr>
            <w:r>
              <w:rPr>
                <w:rFonts w:ascii="Arial" w:cs="Arial" w:eastAsia="Arial" w:hAnsi="Arial"/>
                <w:sz w:val="20"/>
                <w:szCs w:val="20"/>
                <w:color w:val="161920"/>
              </w:rPr>
              <w:t>Dec-13</w:t>
            </w:r>
          </w:p>
        </w:tc>
        <w:tc>
          <w:tcPr>
            <w:tcW w:w="620" w:type="dxa"/>
            <w:vAlign w:val="bottom"/>
            <w:vMerge w:val="restart"/>
            <w:textDirection w:val="btLr"/>
          </w:tcPr>
          <w:p>
            <w:pPr>
              <w:ind w:left="386"/>
              <w:spacing w:after="0"/>
              <w:rPr>
                <w:sz w:val="20"/>
                <w:szCs w:val="20"/>
                <w:color w:val="auto"/>
              </w:rPr>
            </w:pPr>
            <w:r>
              <w:rPr>
                <w:rFonts w:ascii="Arial" w:cs="Arial" w:eastAsia="Arial" w:hAnsi="Arial"/>
                <w:sz w:val="20"/>
                <w:szCs w:val="20"/>
                <w:color w:val="161920"/>
              </w:rPr>
              <w:t>Dec-14</w:t>
            </w:r>
          </w:p>
        </w:tc>
        <w:tc>
          <w:tcPr>
            <w:tcW w:w="620" w:type="dxa"/>
            <w:vAlign w:val="bottom"/>
            <w:vMerge w:val="restart"/>
            <w:textDirection w:val="btLr"/>
          </w:tcPr>
          <w:p>
            <w:pPr>
              <w:ind w:left="375"/>
              <w:spacing w:after="0"/>
              <w:rPr>
                <w:sz w:val="20"/>
                <w:szCs w:val="20"/>
                <w:color w:val="auto"/>
              </w:rPr>
            </w:pPr>
            <w:r>
              <w:rPr>
                <w:rFonts w:ascii="Arial" w:cs="Arial" w:eastAsia="Arial" w:hAnsi="Arial"/>
                <w:sz w:val="20"/>
                <w:szCs w:val="20"/>
                <w:color w:val="161920"/>
              </w:rPr>
              <w:t>Dec-15</w:t>
            </w:r>
          </w:p>
        </w:tc>
        <w:tc>
          <w:tcPr>
            <w:tcW w:w="660" w:type="dxa"/>
            <w:vAlign w:val="bottom"/>
            <w:vMerge w:val="restart"/>
            <w:textDirection w:val="btLr"/>
          </w:tcPr>
          <w:p>
            <w:pPr>
              <w:ind w:left="367"/>
              <w:spacing w:after="0"/>
              <w:rPr>
                <w:sz w:val="20"/>
                <w:szCs w:val="20"/>
                <w:color w:val="auto"/>
              </w:rPr>
            </w:pPr>
            <w:r>
              <w:rPr>
                <w:rFonts w:ascii="Arial" w:cs="Arial" w:eastAsia="Arial" w:hAnsi="Arial"/>
                <w:sz w:val="20"/>
                <w:szCs w:val="20"/>
                <w:color w:val="161920"/>
              </w:rPr>
              <w:t>Dec-16</w:t>
            </w:r>
          </w:p>
        </w:tc>
        <w:tc>
          <w:tcPr>
            <w:tcW w:w="560" w:type="dxa"/>
            <w:vAlign w:val="bottom"/>
            <w:vMerge w:val="restart"/>
            <w:textDirection w:val="btLr"/>
          </w:tcPr>
          <w:p>
            <w:pPr>
              <w:ind w:left="316"/>
              <w:spacing w:after="0"/>
              <w:rPr>
                <w:sz w:val="20"/>
                <w:szCs w:val="20"/>
                <w:color w:val="auto"/>
              </w:rPr>
            </w:pPr>
            <w:r>
              <w:rPr>
                <w:rFonts w:ascii="Arial" w:cs="Arial" w:eastAsia="Arial" w:hAnsi="Arial"/>
                <w:sz w:val="20"/>
                <w:szCs w:val="20"/>
                <w:color w:val="161920"/>
              </w:rPr>
              <w:t>Dec-17</w:t>
            </w: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9"/>
        </w:trPr>
        <w:tc>
          <w:tcPr>
            <w:tcW w:w="620" w:type="dxa"/>
            <w:vAlign w:val="bottom"/>
            <w:gridSpan w:val="2"/>
            <w:textDirection w:val="btLr"/>
          </w:tcPr>
          <w:p>
            <w:pPr>
              <w:ind w:left="390"/>
              <w:spacing w:after="0"/>
              <w:rPr>
                <w:sz w:val="20"/>
                <w:szCs w:val="20"/>
                <w:color w:val="auto"/>
              </w:rPr>
            </w:pPr>
            <w:r>
              <w:rPr>
                <w:rFonts w:ascii="Arial" w:cs="Arial" w:eastAsia="Arial" w:hAnsi="Arial"/>
                <w:sz w:val="20"/>
                <w:szCs w:val="20"/>
                <w:color w:val="161920"/>
              </w:rPr>
              <w:t>Dec-08</w:t>
            </w:r>
          </w:p>
        </w:tc>
        <w:tc>
          <w:tcPr>
            <w:tcW w:w="780" w:type="dxa"/>
            <w:vAlign w:val="bottom"/>
            <w:textDirection w:val="btLr"/>
          </w:tcPr>
          <w:p>
            <w:pPr>
              <w:ind w:left="537"/>
              <w:spacing w:after="0"/>
              <w:rPr>
                <w:sz w:val="20"/>
                <w:szCs w:val="20"/>
                <w:color w:val="auto"/>
              </w:rPr>
            </w:pPr>
            <w:r>
              <w:rPr>
                <w:rFonts w:ascii="Arial" w:cs="Arial" w:eastAsia="Arial" w:hAnsi="Arial"/>
                <w:sz w:val="20"/>
                <w:szCs w:val="20"/>
                <w:color w:val="161920"/>
              </w:rPr>
              <w:t>Dec-09</w:t>
            </w:r>
          </w:p>
        </w:tc>
        <w:tc>
          <w:tcPr>
            <w:tcW w:w="600" w:type="dxa"/>
            <w:vAlign w:val="bottom"/>
            <w:textDirection w:val="btLr"/>
          </w:tcPr>
          <w:p>
            <w:pPr>
              <w:ind w:left="366"/>
              <w:spacing w:after="0"/>
              <w:rPr>
                <w:sz w:val="20"/>
                <w:szCs w:val="20"/>
                <w:color w:val="auto"/>
              </w:rPr>
            </w:pPr>
            <w:r>
              <w:rPr>
                <w:rFonts w:ascii="Arial" w:cs="Arial" w:eastAsia="Arial" w:hAnsi="Arial"/>
                <w:sz w:val="20"/>
                <w:szCs w:val="20"/>
                <w:color w:val="161920"/>
              </w:rPr>
              <w:t>Dec-10</w:t>
            </w:r>
          </w:p>
        </w:tc>
        <w:tc>
          <w:tcPr>
            <w:tcW w:w="62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600" w:type="dxa"/>
            <w:vAlign w:val="bottom"/>
            <w:textDirection w:val="btLr"/>
          </w:tcPr>
          <w:p>
            <w:pPr>
              <w:ind w:left="366"/>
              <w:spacing w:after="0"/>
              <w:rPr>
                <w:sz w:val="20"/>
                <w:szCs w:val="20"/>
                <w:color w:val="auto"/>
              </w:rPr>
            </w:pPr>
            <w:r>
              <w:rPr>
                <w:rFonts w:ascii="Arial" w:cs="Arial" w:eastAsia="Arial" w:hAnsi="Arial"/>
                <w:sz w:val="20"/>
                <w:szCs w:val="20"/>
                <w:color w:val="161920"/>
                <w:w w:val="99"/>
              </w:rPr>
              <w:t>Dec -18</w:t>
            </w:r>
          </w:p>
        </w:tc>
        <w:tc>
          <w:tcPr>
            <w:tcW w:w="740" w:type="dxa"/>
            <w:vAlign w:val="bottom"/>
            <w:textDirection w:val="btLr"/>
          </w:tcPr>
          <w:p>
            <w:pPr>
              <w:ind w:left="375"/>
              <w:spacing w:after="0"/>
              <w:rPr>
                <w:sz w:val="20"/>
                <w:szCs w:val="20"/>
                <w:color w:val="auto"/>
              </w:rPr>
            </w:pPr>
            <w:r>
              <w:rPr>
                <w:rFonts w:ascii="Arial" w:cs="Arial" w:eastAsia="Arial" w:hAnsi="Arial"/>
                <w:sz w:val="20"/>
                <w:szCs w:val="20"/>
                <w:color w:val="161920"/>
              </w:rPr>
              <w:t>Dec-19</w:t>
            </w:r>
          </w:p>
        </w:tc>
        <w:tc>
          <w:tcPr>
            <w:tcW w:w="480" w:type="dxa"/>
            <w:vAlign w:val="bottom"/>
            <w:textDirection w:val="btLr"/>
          </w:tcPr>
          <w:p>
            <w:pPr>
              <w:ind w:left="246"/>
              <w:spacing w:after="0"/>
              <w:rPr>
                <w:sz w:val="20"/>
                <w:szCs w:val="20"/>
                <w:color w:val="auto"/>
              </w:rPr>
            </w:pPr>
            <w:r>
              <w:rPr>
                <w:rFonts w:ascii="Arial" w:cs="Arial" w:eastAsia="Arial" w:hAnsi="Arial"/>
                <w:sz w:val="20"/>
                <w:szCs w:val="20"/>
                <w:color w:val="161920"/>
              </w:rPr>
              <w:t>Dec-20</w:t>
            </w:r>
          </w:p>
        </w:tc>
        <w:tc>
          <w:tcPr>
            <w:tcW w:w="460" w:type="dxa"/>
            <w:vAlign w:val="bottom"/>
            <w:gridSpan w:val="2"/>
            <w:textDirection w:val="btLr"/>
          </w:tcPr>
          <w:p>
            <w:pPr>
              <w:ind w:left="230"/>
              <w:spacing w:after="0"/>
              <w:rPr>
                <w:sz w:val="20"/>
                <w:szCs w:val="20"/>
                <w:color w:val="auto"/>
              </w:rPr>
            </w:pPr>
            <w:r>
              <w:rPr>
                <w:rFonts w:ascii="Arial" w:cs="Arial" w:eastAsia="Arial" w:hAnsi="Arial"/>
                <w:sz w:val="20"/>
                <w:szCs w:val="20"/>
                <w:color w:val="161920"/>
              </w:rPr>
              <w:t>Dec-21</w:t>
            </w:r>
          </w:p>
        </w:tc>
        <w:tc>
          <w:tcPr>
            <w:tcW w:w="900" w:type="dxa"/>
            <w:vAlign w:val="bottom"/>
            <w:textDirection w:val="btLr"/>
          </w:tcPr>
          <w:p>
            <w:pPr>
              <w:ind w:left="526"/>
              <w:spacing w:after="0"/>
              <w:rPr>
                <w:sz w:val="20"/>
                <w:szCs w:val="20"/>
                <w:color w:val="auto"/>
              </w:rPr>
            </w:pPr>
            <w:r>
              <w:rPr>
                <w:rFonts w:ascii="Arial" w:cs="Arial" w:eastAsia="Arial" w:hAnsi="Arial"/>
                <w:sz w:val="20"/>
                <w:szCs w:val="20"/>
                <w:color w:val="161920"/>
              </w:rPr>
              <w:t>Dec-22</w:t>
            </w:r>
          </w:p>
        </w:tc>
        <w:tc>
          <w:tcPr>
            <w:tcW w:w="480" w:type="dxa"/>
            <w:vAlign w:val="bottom"/>
            <w:gridSpan w:val="2"/>
            <w:textDirection w:val="btLr"/>
          </w:tcPr>
          <w:p>
            <w:pPr>
              <w:ind w:left="235"/>
              <w:spacing w:after="0"/>
              <w:rPr>
                <w:sz w:val="20"/>
                <w:szCs w:val="20"/>
                <w:color w:val="auto"/>
              </w:rPr>
            </w:pPr>
            <w:r>
              <w:rPr>
                <w:rFonts w:ascii="Arial" w:cs="Arial" w:eastAsia="Arial" w:hAnsi="Arial"/>
                <w:sz w:val="20"/>
                <w:szCs w:val="20"/>
                <w:color w:val="161920"/>
              </w:rPr>
              <w:t>Dec-23</w:t>
            </w:r>
          </w:p>
        </w:tc>
        <w:tc>
          <w:tcPr>
            <w:tcW w:w="440" w:type="dxa"/>
            <w:vAlign w:val="bottom"/>
            <w:gridSpan w:val="2"/>
            <w:textDirection w:val="btLr"/>
          </w:tcPr>
          <w:p>
            <w:pPr>
              <w:ind w:left="210"/>
              <w:spacing w:after="0"/>
              <w:rPr>
                <w:sz w:val="20"/>
                <w:szCs w:val="20"/>
                <w:color w:val="auto"/>
              </w:rPr>
            </w:pPr>
            <w:r>
              <w:rPr>
                <w:rFonts w:ascii="Arial" w:cs="Arial" w:eastAsia="Arial" w:hAnsi="Arial"/>
                <w:sz w:val="20"/>
                <w:szCs w:val="20"/>
                <w:color w:val="161920"/>
              </w:rPr>
              <w:t>Dec-24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6175375</wp:posOffset>
            </wp:positionH>
            <wp:positionV relativeFrom="paragraph">
              <wp:posOffset>-1156335</wp:posOffset>
            </wp:positionV>
            <wp:extent cx="38989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extLst>
                    </a:blip>
                    <a:srcRect/>
                    <a:stretch>
                      <a:fillRect/>
                    </a:stretch>
                  </pic:blipFill>
                  <pic:spPr bwMode="auto">
                    <a:xfrm>
                      <a:off x="0" y="0"/>
                      <a:ext cx="389890" cy="19050"/>
                    </a:xfrm>
                    <a:prstGeom prst="rect">
                      <a:avLst/>
                    </a:prstGeom>
                    <a:noFill/>
                  </pic:spPr>
                </pic:pic>
              </a:graphicData>
            </a:graphic>
          </wp:anchor>
        </w:drawing>
        <w:drawing>
          <wp:anchor simplePos="0" relativeHeight="251657728" behindDoc="1" locked="0" layoutInCell="0" allowOverlap="1">
            <wp:simplePos x="0" y="0"/>
            <wp:positionH relativeFrom="column">
              <wp:posOffset>6175375</wp:posOffset>
            </wp:positionH>
            <wp:positionV relativeFrom="paragraph">
              <wp:posOffset>-1447800</wp:posOffset>
            </wp:positionV>
            <wp:extent cx="38989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extLst>
                    </a:blip>
                    <a:srcRect/>
                    <a:stretch>
                      <a:fillRect/>
                    </a:stretch>
                  </pic:blipFill>
                  <pic:spPr bwMode="auto">
                    <a:xfrm>
                      <a:off x="0" y="0"/>
                      <a:ext cx="389890" cy="19050"/>
                    </a:xfrm>
                    <a:prstGeom prst="rect">
                      <a:avLst/>
                    </a:prstGeom>
                    <a:noFill/>
                  </pic:spPr>
                </pic:pic>
              </a:graphicData>
            </a:graphic>
          </wp:anchor>
        </w:drawing>
      </w:r>
    </w:p>
    <w:p>
      <w:pPr>
        <w:sectPr>
          <w:pgSz w:w="11880" w:h="15480" w:orient="portrait"/>
          <w:cols w:equalWidth="0" w:num="1">
            <w:col w:w="10460"/>
          </w:cols>
          <w:pgMar w:left="720" w:top="1440" w:right="700" w:bottom="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8360"/>
        <w:spacing w:after="0"/>
        <w:rPr>
          <w:sz w:val="20"/>
          <w:szCs w:val="20"/>
          <w:color w:val="auto"/>
        </w:rPr>
      </w:pPr>
      <w:r>
        <w:rPr>
          <w:rFonts w:ascii="Arial" w:cs="Arial" w:eastAsia="Arial" w:hAnsi="Arial"/>
          <w:sz w:val="16"/>
          <w:szCs w:val="16"/>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6774815</wp:posOffset>
                </wp:positionH>
                <wp:positionV relativeFrom="paragraph">
                  <wp:posOffset>-56515</wp:posOffset>
                </wp:positionV>
                <wp:extent cx="0" cy="22796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7965"/>
                        </a:xfrm>
                        <a:prstGeom prst="line">
                          <a:avLst/>
                        </a:prstGeom>
                        <a:solidFill>
                          <a:srgbClr val="FFFFFF"/>
                        </a:solidFill>
                        <a:ln w="19050">
                          <a:solidFill>
                            <a:srgbClr val="274CA2"/>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3.45pt,-4.4499pt" to="533.45pt,13.5pt" o:allowincell="f" strokecolor="#274CA2" strokeweight="1.5pt"/>
            </w:pict>
          </mc:Fallback>
        </mc:AlternateContent>
      </w:r>
    </w:p>
    <w:p>
      <w:pPr>
        <w:ind w:left="8360"/>
        <w:spacing w:after="0"/>
        <w:rPr>
          <w:sz w:val="20"/>
          <w:szCs w:val="20"/>
          <w:color w:val="auto"/>
        </w:rPr>
      </w:pPr>
      <w:r>
        <w:rPr>
          <w:rFonts w:ascii="Arial" w:cs="Arial" w:eastAsia="Arial" w:hAnsi="Arial"/>
          <w:sz w:val="16"/>
          <w:szCs w:val="16"/>
          <w:color w:val="auto"/>
        </w:rPr>
        <w:t xml:space="preserve">2024 Annual Report </w:t>
      </w:r>
      <w:r>
        <w:rPr>
          <w:rFonts w:ascii="Arial" w:cs="Arial" w:eastAsia="Arial" w:hAnsi="Arial"/>
          <w:sz w:val="16"/>
          <w:szCs w:val="16"/>
          <w:color w:val="274CA2"/>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3</w:t>
      </w:r>
    </w:p>
    <w:p>
      <w:pPr>
        <w:sectPr>
          <w:pgSz w:w="11880" w:h="15480" w:orient="portrait"/>
          <w:cols w:equalWidth="0" w:num="1">
            <w:col w:w="10460"/>
          </w:cols>
          <w:pgMar w:left="720" w:top="1440" w:right="700" w:bottom="0" w:gutter="0" w:footer="0" w:header="0"/>
          <w:type w:val="continuous"/>
        </w:sectPr>
      </w:pPr>
    </w:p>
    <w:bookmarkStart w:id="5" w:name="page6"/>
    <w:bookmarkEnd w:id="5"/>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685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extLst>
                    </a:blip>
                    <a:srcRect/>
                    <a:stretch>
                      <a:fillRect/>
                    </a:stretch>
                  </pic:blipFill>
                  <pic:spPr bwMode="auto">
                    <a:xfrm>
                      <a:off x="0" y="0"/>
                      <a:ext cx="7543800" cy="685800"/>
                    </a:xfrm>
                    <a:prstGeom prst="rect">
                      <a:avLst/>
                    </a:prstGeom>
                    <a:noFill/>
                  </pic:spPr>
                </pic:pic>
              </a:graphicData>
            </a:graphic>
          </wp:anchor>
        </w:drawing>
      </w:r>
    </w:p>
    <w:p>
      <w:pPr>
        <w:ind w:right="80"/>
        <w:spacing w:after="0" w:line="333" w:lineRule="auto"/>
        <w:rPr>
          <w:sz w:val="20"/>
          <w:szCs w:val="20"/>
          <w:color w:val="auto"/>
        </w:rPr>
      </w:pPr>
      <w:r>
        <w:rPr>
          <w:rFonts w:ascii="Arial" w:cs="Arial" w:eastAsia="Arial" w:hAnsi="Arial"/>
          <w:sz w:val="20"/>
          <w:szCs w:val="20"/>
          <w:color w:val="161921"/>
        </w:rPr>
        <w:t>The relative value that Agency MBS currently offer is quite remarkable when considering that these assets have a risk profile similar to that of U.S. Treasuries, as they benefit from government support. Other fixed income products that offer yields in excess of U.S. Treasuries, such as investment grade and high yield corporate bonds and non-Agency securities, are not guaranteed against default and expose investors to credit risk. Notably, at current valuation levels, the yield on new production Agency MBS exceeds the yield on broad investment grade corporate bond indices. This inversion first occurred in late 2022 for the first time in AGNC’s history.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6854825</wp:posOffset>
                </wp:positionH>
                <wp:positionV relativeFrom="paragraph">
                  <wp:posOffset>121285</wp:posOffset>
                </wp:positionV>
                <wp:extent cx="0" cy="27813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81300"/>
                        </a:xfrm>
                        <a:prstGeom prst="line">
                          <a:avLst/>
                        </a:prstGeom>
                        <a:solidFill>
                          <a:srgbClr val="FFFFFF"/>
                        </a:solidFill>
                        <a:ln w="6350">
                          <a:solidFill>
                            <a:srgbClr val="274CA2"/>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9.55pt" to="539.75pt,228.55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124460</wp:posOffset>
                </wp:positionV>
                <wp:extent cx="70866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9.8pt" to="540pt,9.8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-225425</wp:posOffset>
                </wp:positionH>
                <wp:positionV relativeFrom="paragraph">
                  <wp:posOffset>121285</wp:posOffset>
                </wp:positionV>
                <wp:extent cx="0" cy="27813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81300"/>
                        </a:xfrm>
                        <a:prstGeom prst="line">
                          <a:avLst/>
                        </a:prstGeom>
                        <a:solidFill>
                          <a:srgbClr val="FFFFFF"/>
                        </a:solidFill>
                        <a:ln w="6350">
                          <a:solidFill>
                            <a:srgbClr val="274CA2"/>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499pt,9.55pt" to="-17.7499pt,228.55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2899410</wp:posOffset>
                </wp:positionV>
                <wp:extent cx="70866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28.3pt" to="540pt,228.3pt" o:allowincell="f" strokecolor="#274CA2" strokeweight="0.5pt"/>
            </w:pict>
          </mc:Fallback>
        </mc:AlternateConten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Differential Between Agency MBS Spreads and Investment Grade Corporate Bond Spreads</w:t>
      </w:r>
      <w:r>
        <w:rPr>
          <w:rFonts w:ascii="Arial" w:cs="Arial" w:eastAsia="Arial" w:hAnsi="Arial"/>
          <w:sz w:val="11"/>
          <w:szCs w:val="11"/>
          <w:b w:val="1"/>
          <w:bCs w:val="1"/>
          <w:color w:val="auto"/>
        </w:rPr>
        <w:t>10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-54610</wp:posOffset>
            </wp:positionV>
            <wp:extent cx="2249170" cy="554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extLst>
                    </a:blip>
                    <a:srcRect/>
                    <a:stretch>
                      <a:fillRect/>
                    </a:stretch>
                  </pic:blipFill>
                  <pic:spPr bwMode="auto">
                    <a:xfrm>
                      <a:off x="0" y="0"/>
                      <a:ext cx="2249170" cy="5549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6"/>
          <w:szCs w:val="16"/>
          <w:b w:val="1"/>
          <w:bCs w:val="1"/>
          <w:color w:val="auto"/>
        </w:rPr>
        <w:t>Agency MBS spreads have surpassed</w:t>
      </w:r>
    </w:p>
    <w:p>
      <w:pPr>
        <w:spacing w:after="0" w:line="8" w:lineRule="exact"/>
        <w:rPr>
          <w:sz w:val="20"/>
          <w:szCs w:val="20"/>
          <w:color w:val="auto"/>
        </w:rPr>
      </w:pPr>
    </w:p>
    <w:p>
      <w:pPr>
        <w:ind w:left="5960" w:right="1900" w:hanging="6123"/>
        <w:spacing w:after="0" w:line="300" w:lineRule="auto"/>
        <w:tabs>
          <w:tab w:leader="none" w:pos="5940" w:val="left"/>
        </w:tabs>
        <w:rPr>
          <w:sz w:val="20"/>
          <w:szCs w:val="20"/>
          <w:color w:val="auto"/>
        </w:rPr>
      </w:pPr>
      <w:r>
        <w:rPr>
          <w:rFonts w:ascii="Arial" w:cs="Arial" w:eastAsia="Arial" w:hAnsi="Arial"/>
          <w:sz w:val="20"/>
          <w:szCs w:val="20"/>
          <w:color w:val="161920"/>
        </w:rPr>
        <w:t>100</w:t>
      </w:r>
      <w:r>
        <w:rPr>
          <w:sz w:val="20"/>
          <w:szCs w:val="20"/>
          <w:color w:val="auto"/>
        </w:rPr>
        <w:tab/>
      </w:r>
      <w:r>
        <w:rPr>
          <w:rFonts w:ascii="Arial" w:cs="Arial" w:eastAsia="Arial" w:hAnsi="Arial"/>
          <w:sz w:val="16"/>
          <w:szCs w:val="16"/>
          <w:b w:val="1"/>
          <w:bCs w:val="1"/>
          <w:color w:val="auto"/>
        </w:rPr>
        <w:t>IG corporate bond spreads for the first time in AGNC's history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434975</wp:posOffset>
                </wp:positionH>
                <wp:positionV relativeFrom="paragraph">
                  <wp:posOffset>-134620</wp:posOffset>
                </wp:positionV>
                <wp:extent cx="0" cy="131889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18895"/>
                        </a:xfrm>
                        <a:prstGeom prst="line">
                          <a:avLst/>
                        </a:prstGeom>
                        <a:solidFill>
                          <a:srgbClr val="FFFFFF"/>
                        </a:solidFill>
                        <a:ln w="9525">
                          <a:solidFill>
                            <a:srgbClr val="DBD8D3"/>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5pt,-10.5999pt" to="34.25pt,93.25pt" o:allowincell="f" strokecolor="#DBD8D3" strokeweight="0.75pt"/>
            </w:pict>
          </mc:Fallback>
        </mc:AlternateContent>
      </w:r>
    </w:p>
    <w:p>
      <w:pPr>
        <w:ind w:left="320"/>
        <w:spacing w:after="0"/>
        <w:rPr>
          <w:sz w:val="20"/>
          <w:szCs w:val="20"/>
          <w:color w:val="auto"/>
        </w:rPr>
      </w:pPr>
      <w:r>
        <w:rPr>
          <w:rFonts w:ascii="Arial" w:cs="Arial" w:eastAsia="Arial" w:hAnsi="Arial"/>
          <w:sz w:val="20"/>
          <w:szCs w:val="20"/>
          <w:color w:val="161920"/>
        </w:rPr>
        <w:t>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430530</wp:posOffset>
                </wp:positionH>
                <wp:positionV relativeFrom="paragraph">
                  <wp:posOffset>-17145</wp:posOffset>
                </wp:positionV>
                <wp:extent cx="612330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3305" cy="4763"/>
                        </a:xfrm>
                        <a:prstGeom prst="line">
                          <a:avLst/>
                        </a:prstGeom>
                        <a:solidFill>
                          <a:srgbClr val="FFFFFF"/>
                        </a:solidFill>
                        <a:ln w="9525">
                          <a:solidFill>
                            <a:srgbClr val="DBD8D3"/>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pt,-1.3499pt" to="516.05pt,-1.3499pt" o:allowincell="f" strokecolor="#DBD8D3" strokeweight="0.75pt"/>
            </w:pict>
          </mc:Fallback>
        </mc:AlternateContent>
      </w:r>
    </w:p>
    <w:p>
      <w:pPr>
        <w:ind w:left="960"/>
        <w:spacing w:after="0"/>
        <w:rPr>
          <w:sz w:val="20"/>
          <w:szCs w:val="20"/>
          <w:color w:val="auto"/>
        </w:rPr>
      </w:pPr>
      <w:r>
        <w:rPr>
          <w:rFonts w:ascii="Arial" w:cs="Arial" w:eastAsia="Arial" w:hAnsi="Arial"/>
          <w:sz w:val="16"/>
          <w:szCs w:val="16"/>
          <w:b w:val="1"/>
          <w:bCs w:val="1"/>
          <w:color w:val="auto"/>
        </w:rPr>
        <w:t>13-Year Average (2009-2021)</w:t>
      </w:r>
    </w:p>
    <w:p>
      <w:pPr>
        <w:ind w:left="40"/>
        <w:spacing w:after="0"/>
        <w:rPr>
          <w:sz w:val="20"/>
          <w:szCs w:val="20"/>
          <w:color w:val="auto"/>
        </w:rPr>
      </w:pPr>
      <w:r>
        <w:rPr>
          <w:rFonts w:ascii="Arial" w:cs="Arial" w:eastAsia="Arial" w:hAnsi="Arial"/>
          <w:sz w:val="20"/>
          <w:szCs w:val="20"/>
          <w:color w:val="161920"/>
        </w:rPr>
        <w:t>(100)</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0"/>
          <w:szCs w:val="20"/>
          <w:color w:val="161920"/>
        </w:rPr>
        <w:t>(200)</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0"/>
          <w:szCs w:val="20"/>
          <w:color w:val="161920"/>
        </w:rPr>
        <w:t>(300)</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0"/>
          <w:szCs w:val="20"/>
          <w:color w:val="161920"/>
        </w:rPr>
        <w:t>(400)</w:t>
      </w:r>
    </w:p>
    <w:p>
      <w:pPr>
        <w:spacing w:after="0" w:line="115" w:lineRule="exact"/>
        <w:rPr>
          <w:sz w:val="20"/>
          <w:szCs w:val="20"/>
          <w:color w:val="auto"/>
        </w:rPr>
      </w:pPr>
    </w:p>
    <w:tbl>
      <w:tblPr>
        <w:tblLayout w:type="fixed"/>
        <w:tblInd w:w="10370"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Dec-24</w:t>
            </w:r>
          </w:p>
        </w:tc>
      </w:tr>
    </w:tbl>
    <w:p>
      <w:pPr>
        <w:spacing w:after="0" w:line="1" w:lineRule="exact"/>
        <w:rPr>
          <w:sz w:val="20"/>
          <w:szCs w:val="20"/>
          <w:color w:val="auto"/>
        </w:rPr>
      </w:pPr>
    </w:p>
    <w:tbl>
      <w:tblPr>
        <w:tblLayout w:type="fixed"/>
        <w:tblInd w:w="9766"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Dec-23</w:t>
            </w:r>
          </w:p>
        </w:tc>
      </w:tr>
    </w:tbl>
    <w:p>
      <w:pPr>
        <w:spacing w:after="0" w:line="1" w:lineRule="exact"/>
        <w:rPr>
          <w:sz w:val="20"/>
          <w:szCs w:val="20"/>
          <w:color w:val="auto"/>
        </w:rPr>
      </w:pPr>
    </w:p>
    <w:tbl>
      <w:tblPr>
        <w:tblLayout w:type="fixed"/>
        <w:tblInd w:w="9165"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Dec-22</w:t>
            </w:r>
          </w:p>
        </w:tc>
      </w:tr>
    </w:tbl>
    <w:p>
      <w:pPr>
        <w:spacing w:after="0" w:line="1" w:lineRule="exact"/>
        <w:rPr>
          <w:sz w:val="20"/>
          <w:szCs w:val="20"/>
          <w:color w:val="auto"/>
        </w:rPr>
      </w:pPr>
    </w:p>
    <w:tbl>
      <w:tblPr>
        <w:tblLayout w:type="fixed"/>
        <w:tblInd w:w="8563"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Dec-21</w:t>
            </w:r>
          </w:p>
        </w:tc>
      </w:tr>
    </w:tbl>
    <w:p>
      <w:pPr>
        <w:spacing w:after="0" w:line="1" w:lineRule="exact"/>
        <w:rPr>
          <w:sz w:val="20"/>
          <w:szCs w:val="20"/>
          <w:color w:val="auto"/>
        </w:rPr>
      </w:pPr>
    </w:p>
    <w:tbl>
      <w:tblPr>
        <w:tblLayout w:type="fixed"/>
        <w:tblInd w:w="7961"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Dec-20</w:t>
            </w:r>
          </w:p>
        </w:tc>
      </w:tr>
    </w:tbl>
    <w:p>
      <w:pPr>
        <w:spacing w:after="0" w:line="1" w:lineRule="exact"/>
        <w:rPr>
          <w:sz w:val="20"/>
          <w:szCs w:val="20"/>
          <w:color w:val="auto"/>
        </w:rPr>
      </w:pPr>
    </w:p>
    <w:tbl>
      <w:tblPr>
        <w:tblLayout w:type="fixed"/>
        <w:tblInd w:w="7358"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Dec-19</w:t>
            </w:r>
          </w:p>
        </w:tc>
      </w:tr>
    </w:tbl>
    <w:p>
      <w:pPr>
        <w:spacing w:after="0" w:line="1" w:lineRule="exact"/>
        <w:rPr>
          <w:sz w:val="20"/>
          <w:szCs w:val="20"/>
          <w:color w:val="auto"/>
        </w:rPr>
      </w:pPr>
    </w:p>
    <w:tbl>
      <w:tblPr>
        <w:tblLayout w:type="fixed"/>
        <w:tblInd w:w="6756"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Dec-18</w:t>
            </w:r>
          </w:p>
        </w:tc>
      </w:tr>
    </w:tbl>
    <w:p>
      <w:pPr>
        <w:spacing w:after="0" w:line="1" w:lineRule="exact"/>
        <w:rPr>
          <w:sz w:val="20"/>
          <w:szCs w:val="20"/>
          <w:color w:val="auto"/>
        </w:rPr>
      </w:pPr>
    </w:p>
    <w:tbl>
      <w:tblPr>
        <w:tblLayout w:type="fixed"/>
        <w:tblInd w:w="6154"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Dec-17</w:t>
            </w:r>
          </w:p>
        </w:tc>
      </w:tr>
    </w:tbl>
    <w:p>
      <w:pPr>
        <w:spacing w:after="0" w:line="1" w:lineRule="exact"/>
        <w:rPr>
          <w:sz w:val="20"/>
          <w:szCs w:val="20"/>
          <w:color w:val="auto"/>
        </w:rPr>
      </w:pPr>
    </w:p>
    <w:tbl>
      <w:tblPr>
        <w:tblLayout w:type="fixed"/>
        <w:tblInd w:w="5552"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Dec-16</w:t>
            </w:r>
          </w:p>
        </w:tc>
      </w:tr>
    </w:tbl>
    <w:p>
      <w:pPr>
        <w:spacing w:after="0" w:line="1" w:lineRule="exact"/>
        <w:rPr>
          <w:sz w:val="20"/>
          <w:szCs w:val="20"/>
          <w:color w:val="auto"/>
        </w:rPr>
      </w:pPr>
    </w:p>
    <w:tbl>
      <w:tblPr>
        <w:tblLayout w:type="fixed"/>
        <w:tblInd w:w="4949"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Dec-15</w:t>
            </w:r>
          </w:p>
        </w:tc>
      </w:tr>
    </w:tbl>
    <w:p>
      <w:pPr>
        <w:spacing w:after="0" w:line="1" w:lineRule="exact"/>
        <w:rPr>
          <w:sz w:val="20"/>
          <w:szCs w:val="20"/>
          <w:color w:val="auto"/>
        </w:rPr>
      </w:pPr>
    </w:p>
    <w:tbl>
      <w:tblPr>
        <w:tblLayout w:type="fixed"/>
        <w:tblInd w:w="4347"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Dec-14</w:t>
            </w:r>
          </w:p>
        </w:tc>
      </w:tr>
    </w:tbl>
    <w:p>
      <w:pPr>
        <w:spacing w:after="0" w:line="1" w:lineRule="exact"/>
        <w:rPr>
          <w:sz w:val="20"/>
          <w:szCs w:val="20"/>
          <w:color w:val="auto"/>
        </w:rPr>
      </w:pPr>
    </w:p>
    <w:tbl>
      <w:tblPr>
        <w:tblLayout w:type="fixed"/>
        <w:tblInd w:w="3745"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Dec-13</w:t>
            </w:r>
          </w:p>
        </w:tc>
      </w:tr>
    </w:tbl>
    <w:p>
      <w:pPr>
        <w:spacing w:after="0" w:line="1" w:lineRule="exact"/>
        <w:rPr>
          <w:sz w:val="20"/>
          <w:szCs w:val="20"/>
          <w:color w:val="auto"/>
        </w:rPr>
      </w:pPr>
    </w:p>
    <w:tbl>
      <w:tblPr>
        <w:tblLayout w:type="fixed"/>
        <w:tblInd w:w="3143"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Dec-12</w:t>
            </w:r>
          </w:p>
        </w:tc>
      </w:tr>
    </w:tbl>
    <w:p>
      <w:pPr>
        <w:spacing w:after="0" w:line="1" w:lineRule="exact"/>
        <w:rPr>
          <w:sz w:val="20"/>
          <w:szCs w:val="20"/>
          <w:color w:val="auto"/>
        </w:rPr>
      </w:pPr>
    </w:p>
    <w:tbl>
      <w:tblPr>
        <w:tblLayout w:type="fixed"/>
        <w:tblInd w:w="2540"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Dec-11</w:t>
            </w:r>
          </w:p>
        </w:tc>
      </w:tr>
    </w:tbl>
    <w:p>
      <w:pPr>
        <w:spacing w:after="0" w:line="1" w:lineRule="exact"/>
        <w:rPr>
          <w:sz w:val="20"/>
          <w:szCs w:val="20"/>
          <w:color w:val="auto"/>
        </w:rPr>
      </w:pPr>
    </w:p>
    <w:tbl>
      <w:tblPr>
        <w:tblLayout w:type="fixed"/>
        <w:tblInd w:w="1938"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Dec-10</w:t>
            </w:r>
          </w:p>
        </w:tc>
      </w:tr>
    </w:tbl>
    <w:p>
      <w:pPr>
        <w:spacing w:after="0" w:line="1" w:lineRule="exact"/>
        <w:rPr>
          <w:sz w:val="20"/>
          <w:szCs w:val="20"/>
          <w:color w:val="auto"/>
        </w:rPr>
      </w:pPr>
    </w:p>
    <w:tbl>
      <w:tblPr>
        <w:tblLayout w:type="fixed"/>
        <w:tblInd w:w="1337" w:type="dxa"/>
        <w:tblCellMar>
          <w:top w:w="0" w:type="dxa"/>
          <w:left w:w="0" w:type="dxa"/>
          <w:bottom w:w="0" w:type="dxa"/>
          <w:right w:w="0" w:type="dxa"/>
        </w:tblCellMar>
      </w:tblPr>
      <w:tr>
        <w:trPr>
          <w:trHeight w:val="0"/>
        </w:trPr>
        <w:tc>
          <w:tcPr>
            <w:tcW w:w="23" w:type="dxa"/>
            <w:vAlign w:val="bottom"/>
            <w:textDirection w:val="btLr"/>
          </w:tcPr>
          <w:p>
            <w:pPr>
              <w:spacing w:after="0"/>
              <w:rPr>
                <w:sz w:val="20"/>
                <w:szCs w:val="20"/>
                <w:color w:val="auto"/>
              </w:rPr>
            </w:pPr>
            <w:r>
              <w:rPr>
                <w:rFonts w:ascii="Arial" w:cs="Arial" w:eastAsia="Arial" w:hAnsi="Arial"/>
                <w:sz w:val="1"/>
                <w:szCs w:val="1"/>
                <w:color w:val="161920"/>
              </w:rPr>
              <w:t>Dec-09</w:t>
            </w:r>
          </w:p>
        </w:tc>
      </w:tr>
    </w:tbl>
    <w:p>
      <w:pPr>
        <w:spacing w:after="0" w:line="1" w:lineRule="exact"/>
        <w:rPr>
          <w:sz w:val="20"/>
          <w:szCs w:val="20"/>
          <w:color w:val="auto"/>
        </w:rPr>
      </w:pPr>
    </w:p>
    <w:tbl>
      <w:tblPr>
        <w:tblLayout w:type="fixed"/>
        <w:tblInd w:w="528" w:type="dxa"/>
        <w:tblCellMar>
          <w:top w:w="0" w:type="dxa"/>
          <w:left w:w="0" w:type="dxa"/>
          <w:bottom w:w="0" w:type="dxa"/>
          <w:right w:w="0" w:type="dxa"/>
        </w:tblCellMar>
      </w:tblPr>
      <w:tr>
        <w:trPr>
          <w:trHeight w:val="680"/>
        </w:trPr>
        <w:tc>
          <w:tcPr>
            <w:tcW w:w="230" w:type="dxa"/>
            <w:vAlign w:val="bottom"/>
            <w:textDirection w:val="btLr"/>
          </w:tcPr>
          <w:p>
            <w:pPr>
              <w:spacing w:after="0"/>
              <w:rPr>
                <w:sz w:val="20"/>
                <w:szCs w:val="20"/>
                <w:color w:val="auto"/>
              </w:rPr>
            </w:pPr>
            <w:r>
              <w:rPr>
                <w:rFonts w:ascii="Arial" w:cs="Arial" w:eastAsia="Arial" w:hAnsi="Arial"/>
                <w:sz w:val="20"/>
                <w:szCs w:val="20"/>
                <w:color w:val="161920"/>
              </w:rPr>
              <w:t>Dec-08</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spacing w:after="0" w:line="343" w:lineRule="auto"/>
        <w:rPr>
          <w:sz w:val="20"/>
          <w:szCs w:val="20"/>
          <w:color w:val="auto"/>
        </w:rPr>
      </w:pPr>
      <w:r>
        <w:rPr>
          <w:rFonts w:ascii="Arial" w:cs="Arial" w:eastAsia="Arial" w:hAnsi="Arial"/>
          <w:sz w:val="20"/>
          <w:szCs w:val="20"/>
          <w:color w:val="161921"/>
        </w:rPr>
        <w:t>These attractive relative value attributes, coupled with the Fed’s ongoing reduction in its Agency MBS position, have led to a dramatic shift in Agency MBS market ownership to index-based money managers, a trend that continued throughout 2024. While this ownership transition has contributed somewhat to spread volatility, the increasing prevalence of index-based participants, whose investments are subject to technical money fund flows, provides further alpha generation opportunities for tactical Agency MBS specialists like AGNC.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6854825</wp:posOffset>
                </wp:positionH>
                <wp:positionV relativeFrom="paragraph">
                  <wp:posOffset>149225</wp:posOffset>
                </wp:positionV>
                <wp:extent cx="0" cy="263334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33345"/>
                        </a:xfrm>
                        <a:prstGeom prst="line">
                          <a:avLst/>
                        </a:prstGeom>
                        <a:solidFill>
                          <a:srgbClr val="FFFFFF"/>
                        </a:solidFill>
                        <a:ln w="6350">
                          <a:solidFill>
                            <a:srgbClr val="274CA2"/>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11.75pt" to="539.75pt,219.1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152400</wp:posOffset>
                </wp:positionV>
                <wp:extent cx="70866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2pt" to="540pt,12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-225425</wp:posOffset>
                </wp:positionH>
                <wp:positionV relativeFrom="paragraph">
                  <wp:posOffset>149225</wp:posOffset>
                </wp:positionV>
                <wp:extent cx="0" cy="263334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33345"/>
                        </a:xfrm>
                        <a:prstGeom prst="line">
                          <a:avLst/>
                        </a:prstGeom>
                        <a:solidFill>
                          <a:srgbClr val="FFFFFF"/>
                        </a:solidFill>
                        <a:ln w="6350">
                          <a:solidFill>
                            <a:srgbClr val="274CA2"/>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499pt,11.75pt" to="-17.7499pt,219.1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2779395</wp:posOffset>
                </wp:positionV>
                <wp:extent cx="70866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18.85pt" to="540pt,218.85pt" o:allowincell="f" strokecolor="#274CA2" strokeweight="0.5pt"/>
            </w:pict>
          </mc:Fallback>
        </mc:AlternateConten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Agency MBS Market Ownership Composition</w:t>
      </w:r>
      <w:r>
        <w:rPr>
          <w:rFonts w:ascii="Arial" w:cs="Arial" w:eastAsia="Arial" w:hAnsi="Arial"/>
          <w:sz w:val="11"/>
          <w:szCs w:val="11"/>
          <w:b w:val="1"/>
          <w:bCs w:val="1"/>
          <w:color w:val="auto"/>
        </w:rPr>
        <w:t>11</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 of Agency MBS Outstanding)</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720" w:type="dxa"/>
            <w:vAlign w:val="bottom"/>
            <w:vMerge w:val="restart"/>
          </w:tcPr>
          <w:p>
            <w:pPr>
              <w:jc w:val="right"/>
              <w:ind w:right="80"/>
              <w:spacing w:after="0"/>
              <w:rPr>
                <w:sz w:val="20"/>
                <w:szCs w:val="20"/>
                <w:color w:val="auto"/>
              </w:rPr>
            </w:pPr>
            <w:r>
              <w:rPr>
                <w:rFonts w:ascii="Arial" w:cs="Arial" w:eastAsia="Arial" w:hAnsi="Arial"/>
                <w:sz w:val="20"/>
                <w:szCs w:val="20"/>
                <w:color w:val="161920"/>
              </w:rPr>
              <w:t>100%</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20" w:type="dxa"/>
            <w:vAlign w:val="bottom"/>
            <w:vMerge w:val="continue"/>
          </w:tcPr>
          <w:p>
            <w:pPr>
              <w:spacing w:after="0"/>
              <w:rPr>
                <w:sz w:val="19"/>
                <w:szCs w:val="19"/>
                <w:color w:val="auto"/>
              </w:rPr>
            </w:pPr>
          </w:p>
        </w:tc>
        <w:tc>
          <w:tcPr>
            <w:tcW w:w="260" w:type="dxa"/>
            <w:vAlign w:val="bottom"/>
            <w:tcBorders>
              <w:left w:val="single" w:sz="8" w:color="DBD8D3"/>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720" w:type="dxa"/>
            <w:vAlign w:val="bottom"/>
          </w:tcPr>
          <w:p>
            <w:pPr>
              <w:jc w:val="right"/>
              <w:ind w:right="80"/>
              <w:spacing w:after="0"/>
              <w:rPr>
                <w:sz w:val="20"/>
                <w:szCs w:val="20"/>
                <w:color w:val="auto"/>
              </w:rPr>
            </w:pPr>
            <w:r>
              <w:rPr>
                <w:rFonts w:ascii="Arial" w:cs="Arial" w:eastAsia="Arial" w:hAnsi="Arial"/>
                <w:sz w:val="20"/>
                <w:szCs w:val="20"/>
                <w:color w:val="161920"/>
              </w:rPr>
              <w:t>80%</w:t>
            </w:r>
          </w:p>
        </w:tc>
        <w:tc>
          <w:tcPr>
            <w:tcW w:w="260" w:type="dxa"/>
            <w:vAlign w:val="bottom"/>
            <w:tcBorders>
              <w:left w:val="single" w:sz="8" w:color="DBD8D3"/>
            </w:tcBorders>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gridSpan w:val="4"/>
          </w:tcPr>
          <w:p>
            <w:pPr>
              <w:ind w:left="180"/>
              <w:spacing w:after="0"/>
              <w:rPr>
                <w:sz w:val="20"/>
                <w:szCs w:val="20"/>
                <w:color w:val="auto"/>
              </w:rPr>
            </w:pPr>
            <w:r>
              <w:rPr>
                <w:rFonts w:ascii="Arial" w:cs="Arial" w:eastAsia="Arial" w:hAnsi="Arial"/>
                <w:sz w:val="16"/>
                <w:szCs w:val="16"/>
                <w:b w:val="1"/>
                <w:bCs w:val="1"/>
                <w:color w:val="FFFFFF"/>
              </w:rPr>
              <w:t>Private Capital Investors</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20" w:type="dxa"/>
            <w:vAlign w:val="bottom"/>
          </w:tcPr>
          <w:p>
            <w:pPr>
              <w:jc w:val="right"/>
              <w:ind w:right="80"/>
              <w:spacing w:after="0"/>
              <w:rPr>
                <w:sz w:val="20"/>
                <w:szCs w:val="20"/>
                <w:color w:val="auto"/>
              </w:rPr>
            </w:pPr>
            <w:r>
              <w:rPr>
                <w:rFonts w:ascii="Arial" w:cs="Arial" w:eastAsia="Arial" w:hAnsi="Arial"/>
                <w:sz w:val="20"/>
                <w:szCs w:val="20"/>
                <w:color w:val="161920"/>
              </w:rPr>
              <w:t>60%</w:t>
            </w:r>
          </w:p>
        </w:tc>
        <w:tc>
          <w:tcPr>
            <w:tcW w:w="260" w:type="dxa"/>
            <w:vAlign w:val="bottom"/>
            <w:tcBorders>
              <w:left w:val="single" w:sz="8" w:color="DBD8D3"/>
            </w:tcBorders>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vMerge w:val="restart"/>
          </w:tcPr>
          <w:p>
            <w:pPr>
              <w:ind w:left="180"/>
              <w:spacing w:after="0"/>
              <w:rPr>
                <w:sz w:val="20"/>
                <w:szCs w:val="20"/>
                <w:color w:val="auto"/>
              </w:rPr>
            </w:pPr>
            <w:r>
              <w:rPr>
                <w:rFonts w:ascii="Arial" w:cs="Arial" w:eastAsia="Arial" w:hAnsi="Arial"/>
                <w:sz w:val="16"/>
                <w:szCs w:val="16"/>
                <w:b w:val="1"/>
                <w:bCs w:val="1"/>
                <w:color w:val="FFFFFF"/>
              </w:rPr>
              <w:t>GSEs</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20" w:type="dxa"/>
            <w:vAlign w:val="bottom"/>
            <w:vMerge w:val="restart"/>
          </w:tcPr>
          <w:p>
            <w:pPr>
              <w:jc w:val="right"/>
              <w:ind w:right="80"/>
              <w:spacing w:after="0"/>
              <w:rPr>
                <w:sz w:val="20"/>
                <w:szCs w:val="20"/>
                <w:color w:val="auto"/>
              </w:rPr>
            </w:pPr>
            <w:r>
              <w:rPr>
                <w:rFonts w:ascii="Arial" w:cs="Arial" w:eastAsia="Arial" w:hAnsi="Arial"/>
                <w:sz w:val="20"/>
                <w:szCs w:val="20"/>
                <w:color w:val="161920"/>
              </w:rPr>
              <w:t>40%</w:t>
            </w:r>
          </w:p>
        </w:tc>
        <w:tc>
          <w:tcPr>
            <w:tcW w:w="260" w:type="dxa"/>
            <w:vAlign w:val="bottom"/>
            <w:tcBorders>
              <w:left w:val="single" w:sz="8" w:color="DBD8D3"/>
            </w:tcBorders>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720" w:type="dxa"/>
            <w:vAlign w:val="bottom"/>
            <w:vMerge w:val="continue"/>
          </w:tcPr>
          <w:p>
            <w:pPr>
              <w:spacing w:after="0"/>
              <w:rPr>
                <w:sz w:val="23"/>
                <w:szCs w:val="23"/>
                <w:color w:val="auto"/>
              </w:rPr>
            </w:pPr>
          </w:p>
        </w:tc>
        <w:tc>
          <w:tcPr>
            <w:tcW w:w="260" w:type="dxa"/>
            <w:vAlign w:val="bottom"/>
            <w:tcBorders>
              <w:left w:val="single" w:sz="8" w:color="DBD8D3"/>
            </w:tcBorders>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vMerge w:val="restart"/>
          </w:tcPr>
          <w:p>
            <w:pPr>
              <w:ind w:left="180"/>
              <w:spacing w:after="0"/>
              <w:rPr>
                <w:sz w:val="20"/>
                <w:szCs w:val="20"/>
                <w:color w:val="auto"/>
              </w:rPr>
            </w:pPr>
            <w:r>
              <w:rPr>
                <w:rFonts w:ascii="Arial" w:cs="Arial" w:eastAsia="Arial" w:hAnsi="Arial"/>
                <w:sz w:val="16"/>
                <w:szCs w:val="16"/>
                <w:b w:val="1"/>
                <w:bCs w:val="1"/>
                <w:color w:val="FFFFFF"/>
              </w:rPr>
              <w:t>Banks</w:t>
            </w: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720" w:type="dxa"/>
            <w:vAlign w:val="bottom"/>
            <w:vMerge w:val="restart"/>
          </w:tcPr>
          <w:p>
            <w:pPr>
              <w:jc w:val="right"/>
              <w:ind w:right="80"/>
              <w:spacing w:after="0"/>
              <w:rPr>
                <w:sz w:val="20"/>
                <w:szCs w:val="20"/>
                <w:color w:val="auto"/>
              </w:rPr>
            </w:pPr>
            <w:r>
              <w:rPr>
                <w:rFonts w:ascii="Arial" w:cs="Arial" w:eastAsia="Arial" w:hAnsi="Arial"/>
                <w:sz w:val="20"/>
                <w:szCs w:val="20"/>
                <w:color w:val="161920"/>
              </w:rPr>
              <w:t>20%</w:t>
            </w:r>
          </w:p>
        </w:tc>
        <w:tc>
          <w:tcPr>
            <w:tcW w:w="260" w:type="dxa"/>
            <w:vAlign w:val="bottom"/>
            <w:tcBorders>
              <w:left w:val="single" w:sz="8" w:color="DBD8D3"/>
            </w:tcBorders>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720" w:type="dxa"/>
            <w:vAlign w:val="bottom"/>
            <w:vMerge w:val="continue"/>
          </w:tcPr>
          <w:p>
            <w:pPr>
              <w:spacing w:after="0"/>
              <w:rPr>
                <w:sz w:val="24"/>
                <w:szCs w:val="24"/>
                <w:color w:val="auto"/>
              </w:rPr>
            </w:pPr>
          </w:p>
        </w:tc>
        <w:tc>
          <w:tcPr>
            <w:tcW w:w="260" w:type="dxa"/>
            <w:vAlign w:val="bottom"/>
            <w:tcBorders>
              <w:left w:val="single" w:sz="8" w:color="DBD8D3"/>
            </w:tcBorders>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vMerge w:val="restart"/>
          </w:tcPr>
          <w:p>
            <w:pPr>
              <w:ind w:left="180"/>
              <w:spacing w:after="0"/>
              <w:rPr>
                <w:sz w:val="20"/>
                <w:szCs w:val="20"/>
                <w:color w:val="auto"/>
              </w:rPr>
            </w:pPr>
            <w:r>
              <w:rPr>
                <w:rFonts w:ascii="Arial" w:cs="Arial" w:eastAsia="Arial" w:hAnsi="Arial"/>
                <w:sz w:val="16"/>
                <w:szCs w:val="16"/>
                <w:b w:val="1"/>
                <w:bCs w:val="1"/>
                <w:color w:val="FFFFFF"/>
              </w:rPr>
              <w:t>Fed</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vMerge w:val="restart"/>
          </w:tcPr>
          <w:p>
            <w:pPr>
              <w:jc w:val="right"/>
              <w:ind w:right="80"/>
              <w:spacing w:after="0"/>
              <w:rPr>
                <w:sz w:val="20"/>
                <w:szCs w:val="20"/>
                <w:color w:val="auto"/>
              </w:rPr>
            </w:pPr>
            <w:r>
              <w:rPr>
                <w:rFonts w:ascii="Arial" w:cs="Arial" w:eastAsia="Arial" w:hAnsi="Arial"/>
                <w:sz w:val="20"/>
                <w:szCs w:val="20"/>
                <w:color w:val="161920"/>
              </w:rPr>
              <w:t>0%</w:t>
            </w:r>
          </w:p>
        </w:tc>
        <w:tc>
          <w:tcPr>
            <w:tcW w:w="260" w:type="dxa"/>
            <w:vAlign w:val="bottom"/>
            <w:tcBorders>
              <w:left w:val="single" w:sz="8" w:color="DBD8D3"/>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700" w:type="dxa"/>
            <w:vAlign w:val="bottom"/>
            <w:tcBorders>
              <w:bottom w:val="single" w:sz="8" w:color="DBD8D3"/>
            </w:tcBorders>
            <w:vMerge w:val="continue"/>
          </w:tcPr>
          <w:p>
            <w:pPr>
              <w:spacing w:after="0"/>
              <w:rPr>
                <w:sz w:val="16"/>
                <w:szCs w:val="16"/>
                <w:color w:val="auto"/>
              </w:rPr>
            </w:pPr>
          </w:p>
        </w:tc>
        <w:tc>
          <w:tcPr>
            <w:tcW w:w="48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58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580" w:type="dxa"/>
            <w:vAlign w:val="bottom"/>
            <w:tcBorders>
              <w:bottom w:val="single" w:sz="8" w:color="DBD8D3"/>
            </w:tcBorders>
          </w:tcPr>
          <w:p>
            <w:pPr>
              <w:spacing w:after="0"/>
              <w:rPr>
                <w:sz w:val="16"/>
                <w:szCs w:val="16"/>
                <w:color w:val="auto"/>
              </w:rPr>
            </w:pPr>
          </w:p>
        </w:tc>
        <w:tc>
          <w:tcPr>
            <w:tcW w:w="600" w:type="dxa"/>
            <w:vAlign w:val="bottom"/>
            <w:tcBorders>
              <w:bottom w:val="single" w:sz="8" w:color="DBD8D3"/>
            </w:tcBorders>
          </w:tcPr>
          <w:p>
            <w:pPr>
              <w:spacing w:after="0"/>
              <w:rPr>
                <w:sz w:val="16"/>
                <w:szCs w:val="16"/>
                <w:color w:val="auto"/>
              </w:rPr>
            </w:pPr>
          </w:p>
        </w:tc>
        <w:tc>
          <w:tcPr>
            <w:tcW w:w="360" w:type="dxa"/>
            <w:vAlign w:val="bottom"/>
            <w:tcBorders>
              <w:bottom w:val="single" w:sz="8" w:color="DBD8D3"/>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9"/>
        </w:trPr>
        <w:tc>
          <w:tcPr>
            <w:tcW w:w="980" w:type="dxa"/>
            <w:vAlign w:val="bottom"/>
            <w:gridSpan w:val="2"/>
            <w:textDirection w:val="btLr"/>
          </w:tcPr>
          <w:p>
            <w:pPr>
              <w:ind w:right="10"/>
              <w:spacing w:after="0"/>
              <w:rPr>
                <w:sz w:val="20"/>
                <w:szCs w:val="20"/>
                <w:color w:val="auto"/>
              </w:rPr>
            </w:pPr>
            <w:r>
              <w:rPr>
                <w:rFonts w:ascii="Arial" w:cs="Arial" w:eastAsia="Arial" w:hAnsi="Arial"/>
                <w:sz w:val="20"/>
                <w:szCs w:val="20"/>
                <w:color w:val="161920"/>
              </w:rPr>
              <w:t>2008</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2009</w:t>
            </w:r>
          </w:p>
        </w:tc>
        <w:tc>
          <w:tcPr>
            <w:tcW w:w="700" w:type="dxa"/>
            <w:vAlign w:val="bottom"/>
            <w:textDirection w:val="btLr"/>
          </w:tcPr>
          <w:p>
            <w:pPr>
              <w:ind w:left="354"/>
              <w:spacing w:after="0"/>
              <w:rPr>
                <w:sz w:val="20"/>
                <w:szCs w:val="20"/>
                <w:color w:val="auto"/>
              </w:rPr>
            </w:pPr>
            <w:r>
              <w:rPr>
                <w:rFonts w:ascii="Arial" w:cs="Arial" w:eastAsia="Arial" w:hAnsi="Arial"/>
                <w:sz w:val="20"/>
                <w:szCs w:val="20"/>
                <w:color w:val="161920"/>
              </w:rPr>
              <w:t>2010</w:t>
            </w:r>
          </w:p>
        </w:tc>
        <w:tc>
          <w:tcPr>
            <w:tcW w:w="480" w:type="dxa"/>
            <w:vAlign w:val="bottom"/>
            <w:textDirection w:val="btLr"/>
          </w:tcPr>
          <w:p>
            <w:pPr>
              <w:spacing w:after="0"/>
              <w:rPr>
                <w:sz w:val="20"/>
                <w:szCs w:val="20"/>
                <w:color w:val="auto"/>
              </w:rPr>
            </w:pPr>
            <w:r>
              <w:rPr>
                <w:rFonts w:ascii="Arial" w:cs="Arial" w:eastAsia="Arial" w:hAnsi="Arial"/>
                <w:sz w:val="20"/>
                <w:szCs w:val="20"/>
                <w:color w:val="161920"/>
              </w:rPr>
              <w:t>2011</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2012</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2013</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2014</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2015</w:t>
            </w:r>
          </w:p>
        </w:tc>
        <w:tc>
          <w:tcPr>
            <w:tcW w:w="580" w:type="dxa"/>
            <w:vAlign w:val="bottom"/>
            <w:textDirection w:val="btLr"/>
          </w:tcPr>
          <w:p>
            <w:pPr>
              <w:spacing w:after="0"/>
              <w:rPr>
                <w:sz w:val="20"/>
                <w:szCs w:val="20"/>
                <w:color w:val="auto"/>
              </w:rPr>
            </w:pPr>
            <w:r>
              <w:rPr>
                <w:rFonts w:ascii="Arial" w:cs="Arial" w:eastAsia="Arial" w:hAnsi="Arial"/>
                <w:sz w:val="20"/>
                <w:szCs w:val="20"/>
                <w:color w:val="161920"/>
              </w:rPr>
              <w:t>2016</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2017</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2018</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2019</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2020</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2021</w:t>
            </w:r>
          </w:p>
        </w:tc>
        <w:tc>
          <w:tcPr>
            <w:tcW w:w="580" w:type="dxa"/>
            <w:vAlign w:val="bottom"/>
            <w:textDirection w:val="btLr"/>
          </w:tcPr>
          <w:p>
            <w:pPr>
              <w:spacing w:after="0"/>
              <w:rPr>
                <w:sz w:val="20"/>
                <w:szCs w:val="20"/>
                <w:color w:val="auto"/>
              </w:rPr>
            </w:pPr>
            <w:r>
              <w:rPr>
                <w:rFonts w:ascii="Arial" w:cs="Arial" w:eastAsia="Arial" w:hAnsi="Arial"/>
                <w:sz w:val="20"/>
                <w:szCs w:val="20"/>
                <w:color w:val="161920"/>
              </w:rPr>
              <w:t>2022</w:t>
            </w:r>
          </w:p>
        </w:tc>
        <w:tc>
          <w:tcPr>
            <w:tcW w:w="600" w:type="dxa"/>
            <w:vAlign w:val="bottom"/>
            <w:textDirection w:val="btLr"/>
          </w:tcPr>
          <w:p>
            <w:pPr>
              <w:spacing w:after="0"/>
              <w:rPr>
                <w:sz w:val="20"/>
                <w:szCs w:val="20"/>
                <w:color w:val="auto"/>
              </w:rPr>
            </w:pPr>
            <w:r>
              <w:rPr>
                <w:rFonts w:ascii="Arial" w:cs="Arial" w:eastAsia="Arial" w:hAnsi="Arial"/>
                <w:sz w:val="20"/>
                <w:szCs w:val="20"/>
                <w:color w:val="161920"/>
              </w:rPr>
              <w:t>2023</w:t>
            </w:r>
          </w:p>
        </w:tc>
        <w:tc>
          <w:tcPr>
            <w:tcW w:w="440" w:type="dxa"/>
            <w:vAlign w:val="bottom"/>
            <w:gridSpan w:val="2"/>
            <w:textDirection w:val="btLr"/>
          </w:tcPr>
          <w:p>
            <w:pPr>
              <w:spacing w:after="0"/>
              <w:rPr>
                <w:sz w:val="20"/>
                <w:szCs w:val="20"/>
                <w:color w:val="auto"/>
              </w:rPr>
            </w:pPr>
            <w:r>
              <w:rPr>
                <w:rFonts w:ascii="Arial" w:cs="Arial" w:eastAsia="Arial" w:hAnsi="Arial"/>
                <w:sz w:val="20"/>
                <w:szCs w:val="20"/>
                <w:color w:val="161920"/>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-1741170</wp:posOffset>
            </wp:positionV>
            <wp:extent cx="6087745" cy="1369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a:extLst>
                        <a:ext uri="{28A0092B-C50C-407E-A947-70E740481C1C}"/>
                      </a:extLst>
                    </a:blip>
                    <a:srcRect/>
                    <a:stretch>
                      <a:fillRect/>
                    </a:stretch>
                  </pic:blipFill>
                  <pic:spPr bwMode="auto">
                    <a:xfrm>
                      <a:off x="0" y="0"/>
                      <a:ext cx="6087745" cy="1369695"/>
                    </a:xfrm>
                    <a:prstGeom prst="rect">
                      <a:avLst/>
                    </a:prstGeom>
                    <a:noFill/>
                  </pic:spPr>
                </pic:pic>
              </a:graphicData>
            </a:graphic>
          </wp:anchor>
        </w:drawing>
      </w:r>
    </w:p>
    <w:p>
      <w:pPr>
        <w:sectPr>
          <w:pgSz w:w="11880" w:h="15480" w:orient="portrait"/>
          <w:cols w:equalWidth="0" w:num="1">
            <w:col w:w="10440"/>
          </w:cols>
          <w:pgMar w:left="720" w:top="1440" w:right="720" w:bottom="0" w:gutter="0" w:footer="0" w:header="0"/>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-145415</wp:posOffset>
                </wp:positionH>
                <wp:positionV relativeFrom="paragraph">
                  <wp:posOffset>-56515</wp:posOffset>
                </wp:positionV>
                <wp:extent cx="0" cy="22796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7965"/>
                        </a:xfrm>
                        <a:prstGeom prst="line">
                          <a:avLst/>
                        </a:prstGeom>
                        <a:solidFill>
                          <a:srgbClr val="FFFFFF"/>
                        </a:solidFill>
                        <a:ln w="19050">
                          <a:solidFill>
                            <a:srgbClr val="274CA2"/>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499pt,-4.4499pt" to="-11.4499pt,13.5pt" o:allowincell="f" strokecolor="#274CA2" strokeweight="1.5pt"/>
            </w:pict>
          </mc:Fallback>
        </mc:AlternateContent>
      </w:r>
    </w:p>
    <w:p>
      <w:pPr>
        <w:spacing w:after="0"/>
        <w:rPr>
          <w:sz w:val="20"/>
          <w:szCs w:val="20"/>
          <w:color w:val="auto"/>
        </w:rPr>
      </w:pPr>
      <w:r>
        <w:rPr>
          <w:rFonts w:ascii="Arial" w:cs="Arial" w:eastAsia="Arial" w:hAnsi="Arial"/>
          <w:sz w:val="16"/>
          <w:szCs w:val="16"/>
          <w:color w:val="auto"/>
        </w:rPr>
        <w:t xml:space="preserve">2024 Annual Report </w:t>
      </w:r>
      <w:r>
        <w:rPr>
          <w:rFonts w:ascii="Arial" w:cs="Arial" w:eastAsia="Arial" w:hAnsi="Arial"/>
          <w:sz w:val="16"/>
          <w:szCs w:val="16"/>
          <w:color w:val="274CA2"/>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4</w:t>
      </w:r>
    </w:p>
    <w:p>
      <w:pPr>
        <w:sectPr>
          <w:pgSz w:w="11880" w:h="15480" w:orient="portrait"/>
          <w:cols w:equalWidth="0" w:num="1">
            <w:col w:w="10440"/>
          </w:cols>
          <w:pgMar w:left="720" w:top="1440" w:right="720" w:bottom="0" w:gutter="0" w:footer="0" w:header="0"/>
          <w:type w:val="continuous"/>
        </w:sectPr>
      </w:pPr>
    </w:p>
    <w:bookmarkStart w:id="6" w:name="page7"/>
    <w:bookmarkEnd w:id="6"/>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04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5">
                      <a:extLst>
                        <a:ext uri="{28A0092B-C50C-407E-A947-70E740481C1C}"/>
                      </a:extLst>
                    </a:blip>
                    <a:srcRect/>
                    <a:stretch>
                      <a:fillRect/>
                    </a:stretch>
                  </pic:blipFill>
                  <pic:spPr bwMode="auto">
                    <a:xfrm>
                      <a:off x="0" y="0"/>
                      <a:ext cx="7543800" cy="704850"/>
                    </a:xfrm>
                    <a:prstGeom prst="rect">
                      <a:avLst/>
                    </a:prstGeom>
                    <a:noFill/>
                  </pic:spPr>
                </pic:pic>
              </a:graphicData>
            </a:graphic>
          </wp:anchor>
        </w:drawing>
      </w:r>
    </w:p>
    <w:p>
      <w:pPr>
        <w:ind w:right="120"/>
        <w:spacing w:after="0" w:line="342" w:lineRule="auto"/>
        <w:rPr>
          <w:sz w:val="20"/>
          <w:szCs w:val="20"/>
          <w:color w:val="auto"/>
        </w:rPr>
      </w:pPr>
      <w:r>
        <w:rPr>
          <w:rFonts w:ascii="Arial" w:cs="Arial" w:eastAsia="Arial" w:hAnsi="Arial"/>
          <w:sz w:val="20"/>
          <w:szCs w:val="20"/>
          <w:color w:val="161921"/>
        </w:rPr>
        <w:t>Lastly, longer-term interest rates have risen meaningfully with the expectation of an elongated Fed easing timeline. The 30-year primary mortgage rate at year- end was once again near 7%. At this rate level, we expect the supply of Agency MBS in 2025 to be similar to that of 2024 and reasonably well-aligned with investor demand, providing support for Agency MBS valuations. In addition, potential increases in bank demand, which fell sharply in 2022 and 2023, could once again provide incremental support for Agency MBS as regulatory constraints ease.</w:t>
      </w:r>
    </w:p>
    <w:p>
      <w:pPr>
        <w:spacing w:after="0" w:line="1" w:lineRule="exact"/>
        <w:rPr>
          <w:sz w:val="20"/>
          <w:szCs w:val="20"/>
          <w:color w:val="auto"/>
        </w:rPr>
      </w:pPr>
    </w:p>
    <w:p>
      <w:pPr>
        <w:ind w:right="420"/>
        <w:spacing w:after="0" w:line="498" w:lineRule="auto"/>
        <w:rPr>
          <w:sz w:val="20"/>
          <w:szCs w:val="20"/>
          <w:color w:val="auto"/>
        </w:rPr>
      </w:pPr>
      <w:r>
        <w:rPr>
          <w:rFonts w:ascii="Arial" w:cs="Arial" w:eastAsia="Arial" w:hAnsi="Arial"/>
          <w:sz w:val="20"/>
          <w:szCs w:val="20"/>
          <w:color w:val="161921"/>
        </w:rPr>
        <w:t>Together, these positive dynamics – coupled with the compelling fundamental benefits associated with Agency MBS – create a constructive investment backdrop for this high-quality asset.</w:t>
      </w:r>
    </w:p>
    <w:p>
      <w:pPr>
        <w:spacing w:after="0" w:line="149" w:lineRule="exact"/>
        <w:rPr>
          <w:sz w:val="20"/>
          <w:szCs w:val="20"/>
          <w:color w:val="auto"/>
        </w:rPr>
      </w:pPr>
    </w:p>
    <w:p>
      <w:pPr>
        <w:spacing w:after="0"/>
        <w:rPr>
          <w:sz w:val="20"/>
          <w:szCs w:val="20"/>
          <w:color w:val="auto"/>
        </w:rPr>
      </w:pPr>
      <w:r>
        <w:rPr>
          <w:rFonts w:ascii="Arial" w:cs="Arial" w:eastAsia="Arial" w:hAnsi="Arial"/>
          <w:sz w:val="24"/>
          <w:szCs w:val="24"/>
          <w:b w:val="1"/>
          <w:bCs w:val="1"/>
          <w:color w:val="274CA2"/>
        </w:rPr>
        <w:t xml:space="preserve">AGNC: </w:t>
      </w:r>
      <w:r>
        <w:rPr>
          <w:rFonts w:ascii="Arial" w:cs="Arial" w:eastAsia="Arial" w:hAnsi="Arial"/>
          <w:sz w:val="24"/>
          <w:szCs w:val="24"/>
          <w:b w:val="1"/>
          <w:bCs w:val="1"/>
          <w:color w:val="000000"/>
        </w:rPr>
        <w:t>A YIELD-DRIVEN AGENCY MBS LEADER</w:t>
      </w:r>
    </w:p>
    <w:p>
      <w:pPr>
        <w:spacing w:after="0" w:line="296" w:lineRule="exact"/>
        <w:rPr>
          <w:sz w:val="20"/>
          <w:szCs w:val="20"/>
          <w:color w:val="auto"/>
        </w:rPr>
      </w:pPr>
    </w:p>
    <w:p>
      <w:pPr>
        <w:ind w:right="120"/>
        <w:spacing w:after="0" w:line="326" w:lineRule="auto"/>
        <w:rPr>
          <w:sz w:val="20"/>
          <w:szCs w:val="20"/>
          <w:color w:val="auto"/>
        </w:rPr>
      </w:pPr>
      <w:r>
        <w:rPr>
          <w:rFonts w:ascii="Arial" w:cs="Arial" w:eastAsia="Arial" w:hAnsi="Arial"/>
          <w:sz w:val="20"/>
          <w:szCs w:val="20"/>
          <w:color w:val="161921"/>
        </w:rPr>
        <w:t>Since our inception in 2008, we have remained steadfastly focused on our primary objective: applying our Agency MBS investment expertise to generate favorable long-term stockholder returns with a substantial dividend yield component. Throughout our 17-year history, we have navigated a myriad of market cycles and exogenous events that have driven numerous periods of significant market volatility. Despite recent prolonged turbulence across the fixed income spectrum, our long-term performance compares very favorably to yield-oriented equity alternatives and other Agency MBS investment vehicles, demonstrating the resilience of our business model and the benefit of being a long-term investor in AGNC.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6854825</wp:posOffset>
                </wp:positionH>
                <wp:positionV relativeFrom="paragraph">
                  <wp:posOffset>128270</wp:posOffset>
                </wp:positionV>
                <wp:extent cx="0" cy="457200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72000"/>
                        </a:xfrm>
                        <a:prstGeom prst="line">
                          <a:avLst/>
                        </a:prstGeom>
                        <a:solidFill>
                          <a:srgbClr val="FFFFFF"/>
                        </a:solidFill>
                        <a:ln w="6350">
                          <a:solidFill>
                            <a:srgbClr val="274CA2"/>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10.1pt" to="539.75pt,370.1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131445</wp:posOffset>
                </wp:positionV>
                <wp:extent cx="70866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0.35pt" to="540pt,10.35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-225425</wp:posOffset>
                </wp:positionH>
                <wp:positionV relativeFrom="paragraph">
                  <wp:posOffset>128270</wp:posOffset>
                </wp:positionV>
                <wp:extent cx="0" cy="457200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72000"/>
                        </a:xfrm>
                        <a:prstGeom prst="line">
                          <a:avLst/>
                        </a:prstGeom>
                        <a:solidFill>
                          <a:srgbClr val="FFFFFF"/>
                        </a:solidFill>
                        <a:ln w="6350">
                          <a:solidFill>
                            <a:srgbClr val="274CA2"/>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499pt,10.1pt" to="-17.7499pt,370.1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4697095</wp:posOffset>
                </wp:positionV>
                <wp:extent cx="70866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369.85pt" to="540pt,369.85pt" o:allowincell="f" strokecolor="#274CA2" strokeweight="0.5pt"/>
            </w:pict>
          </mc:Fallback>
        </mc:AlternateConten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Stock Returns Since AGNC’s May 2008 IPO</w:t>
      </w:r>
      <w:r>
        <w:rPr>
          <w:rFonts w:ascii="Arial" w:cs="Arial" w:eastAsia="Arial" w:hAnsi="Arial"/>
          <w:sz w:val="11"/>
          <w:szCs w:val="11"/>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158750</wp:posOffset>
            </wp:positionV>
            <wp:extent cx="202565" cy="227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6">
                      <a:extLst>
                        <a:ext uri="{28A0092B-C50C-407E-A947-70E740481C1C}"/>
                      </a:extLst>
                    </a:blip>
                    <a:srcRect/>
                    <a:stretch>
                      <a:fillRect/>
                    </a:stretch>
                  </pic:blipFill>
                  <pic:spPr bwMode="auto">
                    <a:xfrm>
                      <a:off x="0" y="0"/>
                      <a:ext cx="202565" cy="22796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158750</wp:posOffset>
            </wp:positionV>
            <wp:extent cx="202565" cy="2279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7">
                      <a:extLst>
                        <a:ext uri="{28A0092B-C50C-407E-A947-70E740481C1C}"/>
                      </a:extLst>
                    </a:blip>
                    <a:srcRect/>
                    <a:stretch>
                      <a:fillRect/>
                    </a:stretch>
                  </pic:blipFill>
                  <pic:spPr bwMode="auto">
                    <a:xfrm>
                      <a:off x="0" y="0"/>
                      <a:ext cx="202565" cy="227965"/>
                    </a:xfrm>
                    <a:prstGeom prst="rect">
                      <a:avLst/>
                    </a:prstGeom>
                    <a:noFill/>
                  </pic:spPr>
                </pic:pic>
              </a:graphicData>
            </a:graphic>
          </wp:anchor>
        </w:drawing>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20" w:type="dxa"/>
            <w:vAlign w:val="bottom"/>
            <w:vMerge w:val="restart"/>
          </w:tcPr>
          <w:p>
            <w:pPr>
              <w:jc w:val="right"/>
              <w:ind w:right="120"/>
              <w:spacing w:after="0"/>
              <w:rPr>
                <w:sz w:val="20"/>
                <w:szCs w:val="20"/>
                <w:color w:val="auto"/>
              </w:rPr>
            </w:pPr>
            <w:r>
              <w:rPr>
                <w:rFonts w:ascii="Arial" w:cs="Arial" w:eastAsia="Arial" w:hAnsi="Arial"/>
                <w:sz w:val="20"/>
                <w:szCs w:val="20"/>
                <w:color w:val="161920"/>
              </w:rPr>
              <w:t>450%</w:t>
            </w:r>
          </w:p>
        </w:tc>
        <w:tc>
          <w:tcPr>
            <w:tcW w:w="20" w:type="dxa"/>
            <w:vAlign w:val="bottom"/>
          </w:tcPr>
          <w:p>
            <w:pPr>
              <w:spacing w:after="0"/>
              <w:rPr>
                <w:sz w:val="17"/>
                <w:szCs w:val="17"/>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24"/>
                <w:szCs w:val="24"/>
                <w:color w:val="274CA2"/>
              </w:rPr>
              <w:t>389%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20" w:type="dxa"/>
            <w:vAlign w:val="bottom"/>
            <w:vMerge w:val="continue"/>
          </w:tcPr>
          <w:p>
            <w:pPr>
              <w:spacing w:after="0"/>
              <w:rPr>
                <w:sz w:val="15"/>
                <w:szCs w:val="15"/>
                <w:color w:val="auto"/>
              </w:rPr>
            </w:pPr>
          </w:p>
        </w:tc>
        <w:tc>
          <w:tcPr>
            <w:tcW w:w="20" w:type="dxa"/>
            <w:vAlign w:val="bottom"/>
            <w:shd w:val="clear" w:color="auto" w:fill="DBD8D3"/>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820" w:type="dxa"/>
            <w:vAlign w:val="bottom"/>
          </w:tcPr>
          <w:p>
            <w:pPr>
              <w:jc w:val="right"/>
              <w:ind w:right="120"/>
              <w:spacing w:after="0"/>
              <w:rPr>
                <w:sz w:val="20"/>
                <w:szCs w:val="20"/>
                <w:color w:val="auto"/>
              </w:rPr>
            </w:pPr>
            <w:r>
              <w:rPr>
                <w:rFonts w:ascii="Arial" w:cs="Arial" w:eastAsia="Arial" w:hAnsi="Arial"/>
                <w:sz w:val="20"/>
                <w:szCs w:val="20"/>
                <w:color w:val="161920"/>
              </w:rPr>
              <w:t>400%</w:t>
            </w:r>
          </w:p>
        </w:tc>
        <w:tc>
          <w:tcPr>
            <w:tcW w:w="20" w:type="dxa"/>
            <w:vAlign w:val="bottom"/>
            <w:shd w:val="clear" w:color="auto" w:fill="DBD8D3"/>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20" w:type="dxa"/>
            <w:vAlign w:val="bottom"/>
          </w:tcPr>
          <w:p>
            <w:pPr>
              <w:jc w:val="right"/>
              <w:ind w:right="120"/>
              <w:spacing w:after="0"/>
              <w:rPr>
                <w:sz w:val="20"/>
                <w:szCs w:val="20"/>
                <w:color w:val="auto"/>
              </w:rPr>
            </w:pPr>
            <w:r>
              <w:rPr>
                <w:rFonts w:ascii="Arial" w:cs="Arial" w:eastAsia="Arial" w:hAnsi="Arial"/>
                <w:sz w:val="20"/>
                <w:szCs w:val="20"/>
                <w:color w:val="161920"/>
              </w:rPr>
              <w:t>350%</w:t>
            </w:r>
          </w:p>
        </w:tc>
        <w:tc>
          <w:tcPr>
            <w:tcW w:w="20" w:type="dxa"/>
            <w:vAlign w:val="bottom"/>
            <w:shd w:val="clear" w:color="auto" w:fill="DBD8D3"/>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274CA2"/>
          </w:tcPr>
          <w:p>
            <w:pPr>
              <w:spacing w:after="0"/>
              <w:rPr>
                <w:sz w:val="24"/>
                <w:szCs w:val="24"/>
                <w:color w:val="auto"/>
              </w:rPr>
            </w:pPr>
          </w:p>
        </w:tc>
        <w:tc>
          <w:tcPr>
            <w:tcW w:w="2380" w:type="dxa"/>
            <w:vAlign w:val="bottom"/>
            <w:gridSpan w:val="12"/>
          </w:tcPr>
          <w:p>
            <w:pPr>
              <w:ind w:left="160"/>
              <w:spacing w:after="0"/>
              <w:rPr>
                <w:sz w:val="20"/>
                <w:szCs w:val="20"/>
                <w:color w:val="auto"/>
              </w:rPr>
            </w:pPr>
            <w:r>
              <w:rPr>
                <w:rFonts w:ascii="Arial" w:cs="Arial" w:eastAsia="Arial" w:hAnsi="Arial"/>
                <w:sz w:val="16"/>
                <w:szCs w:val="16"/>
                <w:b w:val="1"/>
                <w:bCs w:val="1"/>
                <w:color w:val="BBC2E0"/>
              </w:rPr>
              <w:t>Yield- Oriented Equities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20" w:type="dxa"/>
            <w:vAlign w:val="bottom"/>
          </w:tcPr>
          <w:p>
            <w:pPr>
              <w:jc w:val="right"/>
              <w:ind w:right="120"/>
              <w:spacing w:after="0"/>
              <w:rPr>
                <w:sz w:val="20"/>
                <w:szCs w:val="20"/>
                <w:color w:val="auto"/>
              </w:rPr>
            </w:pPr>
            <w:r>
              <w:rPr>
                <w:rFonts w:ascii="Arial" w:cs="Arial" w:eastAsia="Arial" w:hAnsi="Arial"/>
                <w:sz w:val="20"/>
                <w:szCs w:val="20"/>
                <w:color w:val="161920"/>
              </w:rPr>
              <w:t>300%</w:t>
            </w:r>
          </w:p>
        </w:tc>
        <w:tc>
          <w:tcPr>
            <w:tcW w:w="20" w:type="dxa"/>
            <w:vAlign w:val="bottom"/>
            <w:shd w:val="clear" w:color="auto" w:fill="DBD8D3"/>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274CA2"/>
          </w:tcPr>
          <w:p>
            <w:pPr>
              <w:spacing w:after="0"/>
              <w:rPr>
                <w:sz w:val="24"/>
                <w:szCs w:val="24"/>
                <w:color w:val="auto"/>
              </w:rPr>
            </w:pPr>
          </w:p>
        </w:tc>
        <w:tc>
          <w:tcPr>
            <w:tcW w:w="680" w:type="dxa"/>
            <w:vAlign w:val="bottom"/>
            <w:gridSpan w:val="3"/>
          </w:tcPr>
          <w:p>
            <w:pPr>
              <w:ind w:left="160"/>
              <w:spacing w:after="0"/>
              <w:rPr>
                <w:sz w:val="20"/>
                <w:szCs w:val="20"/>
                <w:color w:val="auto"/>
              </w:rPr>
            </w:pPr>
            <w:r>
              <w:rPr>
                <w:rFonts w:ascii="Arial" w:cs="Arial" w:eastAsia="Arial" w:hAnsi="Arial"/>
                <w:sz w:val="16"/>
                <w:szCs w:val="16"/>
                <w:b w:val="1"/>
                <w:bCs w:val="1"/>
                <w:color w:val="BBC2E0"/>
              </w:rPr>
              <w:t>292%</w:t>
            </w: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BBC2E0"/>
              </w:rPr>
              <w:t>247%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18"/>
            <w:vMerge w:val="restart"/>
          </w:tcPr>
          <w:p>
            <w:pPr>
              <w:ind w:left="60"/>
              <w:spacing w:after="0"/>
              <w:rPr>
                <w:sz w:val="20"/>
                <w:szCs w:val="20"/>
                <w:color w:val="auto"/>
              </w:rPr>
            </w:pPr>
            <w:r>
              <w:rPr>
                <w:rFonts w:ascii="Arial" w:cs="Arial" w:eastAsia="Arial" w:hAnsi="Arial"/>
                <w:sz w:val="16"/>
                <w:szCs w:val="16"/>
                <w:b w:val="1"/>
                <w:bCs w:val="1"/>
                <w:color w:val="6F6769"/>
              </w:rPr>
              <w:t>Agency-Focused Mortgage REITs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0" w:type="dxa"/>
            <w:vAlign w:val="bottom"/>
            <w:vMerge w:val="restart"/>
          </w:tcPr>
          <w:p>
            <w:pPr>
              <w:jc w:val="right"/>
              <w:ind w:right="120"/>
              <w:spacing w:after="0"/>
              <w:rPr>
                <w:sz w:val="20"/>
                <w:szCs w:val="20"/>
                <w:color w:val="auto"/>
              </w:rPr>
            </w:pPr>
            <w:r>
              <w:rPr>
                <w:rFonts w:ascii="Arial" w:cs="Arial" w:eastAsia="Arial" w:hAnsi="Arial"/>
                <w:sz w:val="20"/>
                <w:szCs w:val="20"/>
                <w:color w:val="161920"/>
              </w:rPr>
              <w:t>250%</w:t>
            </w:r>
          </w:p>
        </w:tc>
        <w:tc>
          <w:tcPr>
            <w:tcW w:w="20" w:type="dxa"/>
            <w:vAlign w:val="bottom"/>
            <w:shd w:val="clear" w:color="auto" w:fill="DBD8D3"/>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shd w:val="clear" w:color="auto" w:fill="274CA2"/>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shd w:val="clear" w:color="auto" w:fill="BBC2E0"/>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BBC2E0"/>
              </w:rPr>
              <w:t>217%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gridSpan w:val="18"/>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20" w:type="dxa"/>
            <w:vAlign w:val="bottom"/>
            <w:vMerge w:val="continue"/>
          </w:tcPr>
          <w:p>
            <w:pPr>
              <w:spacing w:after="0"/>
              <w:rPr>
                <w:sz w:val="9"/>
                <w:szCs w:val="9"/>
                <w:color w:val="auto"/>
              </w:rPr>
            </w:pPr>
          </w:p>
        </w:tc>
        <w:tc>
          <w:tcPr>
            <w:tcW w:w="20" w:type="dxa"/>
            <w:vAlign w:val="bottom"/>
            <w:shd w:val="clear" w:color="auto" w:fill="DBD8D3"/>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shd w:val="clear" w:color="auto" w:fill="274CA2"/>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shd w:val="clear" w:color="auto" w:fill="BBC2E0"/>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6F6769"/>
              </w:rPr>
              <w:t>217%</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20" w:type="dxa"/>
            <w:vAlign w:val="bottom"/>
            <w:vMerge w:val="continue"/>
          </w:tcPr>
          <w:p>
            <w:pPr>
              <w:spacing w:after="0"/>
              <w:rPr>
                <w:sz w:val="13"/>
                <w:szCs w:val="13"/>
                <w:color w:val="auto"/>
              </w:rPr>
            </w:pPr>
          </w:p>
        </w:tc>
        <w:tc>
          <w:tcPr>
            <w:tcW w:w="20" w:type="dxa"/>
            <w:vAlign w:val="bottom"/>
            <w:shd w:val="clear" w:color="auto" w:fill="DBD8D3"/>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shd w:val="clear" w:color="auto" w:fill="274CA2"/>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shd w:val="clear" w:color="auto" w:fill="BBC2E0"/>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shd w:val="clear" w:color="auto" w:fill="BBC2E0"/>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820" w:type="dxa"/>
            <w:vAlign w:val="bottom"/>
            <w:vMerge w:val="restart"/>
          </w:tcPr>
          <w:p>
            <w:pPr>
              <w:jc w:val="right"/>
              <w:ind w:right="120"/>
              <w:spacing w:after="0"/>
              <w:rPr>
                <w:sz w:val="20"/>
                <w:szCs w:val="20"/>
                <w:color w:val="auto"/>
              </w:rPr>
            </w:pPr>
            <w:r>
              <w:rPr>
                <w:rFonts w:ascii="Arial" w:cs="Arial" w:eastAsia="Arial" w:hAnsi="Arial"/>
                <w:sz w:val="20"/>
                <w:szCs w:val="20"/>
                <w:color w:val="161920"/>
              </w:rPr>
              <w:t>200%</w:t>
            </w:r>
          </w:p>
        </w:tc>
        <w:tc>
          <w:tcPr>
            <w:tcW w:w="20" w:type="dxa"/>
            <w:vAlign w:val="bottom"/>
            <w:shd w:val="clear" w:color="auto" w:fill="DBD8D3"/>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274CA2"/>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shd w:val="clear" w:color="auto" w:fill="BBC2E0"/>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BBC2E0"/>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820" w:type="dxa"/>
            <w:vAlign w:val="bottom"/>
            <w:vMerge w:val="continue"/>
          </w:tcPr>
          <w:p>
            <w:pPr>
              <w:spacing w:after="0"/>
              <w:rPr>
                <w:sz w:val="24"/>
                <w:szCs w:val="24"/>
                <w:color w:val="auto"/>
              </w:rPr>
            </w:pPr>
          </w:p>
        </w:tc>
        <w:tc>
          <w:tcPr>
            <w:tcW w:w="20" w:type="dxa"/>
            <w:vAlign w:val="bottom"/>
            <w:shd w:val="clear" w:color="auto" w:fill="DBD8D3"/>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274CA2"/>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6F6769"/>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820" w:type="dxa"/>
            <w:vAlign w:val="bottom"/>
          </w:tcPr>
          <w:p>
            <w:pPr>
              <w:jc w:val="right"/>
              <w:ind w:right="120"/>
              <w:spacing w:after="0"/>
              <w:rPr>
                <w:sz w:val="20"/>
                <w:szCs w:val="20"/>
                <w:color w:val="auto"/>
              </w:rPr>
            </w:pPr>
            <w:r>
              <w:rPr>
                <w:rFonts w:ascii="Arial" w:cs="Arial" w:eastAsia="Arial" w:hAnsi="Arial"/>
                <w:sz w:val="20"/>
                <w:szCs w:val="20"/>
                <w:color w:val="161920"/>
              </w:rPr>
              <w:t>150%</w:t>
            </w:r>
          </w:p>
        </w:tc>
        <w:tc>
          <w:tcPr>
            <w:tcW w:w="20" w:type="dxa"/>
            <w:vAlign w:val="bottom"/>
            <w:shd w:val="clear" w:color="auto" w:fill="DBD8D3"/>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274CA2"/>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BBC2E0"/>
              </w:rPr>
              <w:t>115%</w:t>
            </w:r>
          </w:p>
        </w:tc>
        <w:tc>
          <w:tcPr>
            <w:tcW w:w="5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BBC2E0"/>
              </w:rPr>
              <w:t>109%</w:t>
            </w:r>
          </w:p>
        </w:tc>
        <w:tc>
          <w:tcPr>
            <w:tcW w:w="120" w:type="dxa"/>
            <w:vAlign w:val="bottom"/>
          </w:tcPr>
          <w:p>
            <w:pPr>
              <w:spacing w:after="0"/>
              <w:rPr>
                <w:sz w:val="24"/>
                <w:szCs w:val="24"/>
                <w:color w:val="auto"/>
              </w:rPr>
            </w:pPr>
          </w:p>
        </w:tc>
        <w:tc>
          <w:tcPr>
            <w:tcW w:w="320" w:type="dxa"/>
            <w:vAlign w:val="bottom"/>
            <w:shd w:val="clear" w:color="auto" w:fill="6F6769"/>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6F6769"/>
              </w:rPr>
              <w:t>126%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jc w:val="right"/>
              <w:ind w:right="120"/>
              <w:spacing w:after="0"/>
              <w:rPr>
                <w:sz w:val="20"/>
                <w:szCs w:val="20"/>
                <w:color w:val="auto"/>
              </w:rPr>
            </w:pPr>
            <w:r>
              <w:rPr>
                <w:rFonts w:ascii="Arial" w:cs="Arial" w:eastAsia="Arial" w:hAnsi="Arial"/>
                <w:sz w:val="20"/>
                <w:szCs w:val="20"/>
                <w:color w:val="161920"/>
              </w:rPr>
              <w:t>100%</w:t>
            </w:r>
          </w:p>
        </w:tc>
        <w:tc>
          <w:tcPr>
            <w:tcW w:w="20" w:type="dxa"/>
            <w:vAlign w:val="bottom"/>
            <w:tcBorders>
              <w:bottom w:val="single" w:sz="8" w:color="DBD8D3"/>
            </w:tcBorders>
            <w:shd w:val="clear" w:color="auto" w:fill="DBD8D3"/>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274CA2"/>
            </w:tcBorders>
            <w:shd w:val="clear" w:color="auto" w:fill="274CA2"/>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BBC2E0"/>
            </w:tcBorders>
            <w:shd w:val="clear" w:color="auto" w:fill="BBC2E0"/>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BBC2E0"/>
            </w:tcBorders>
            <w:shd w:val="clear" w:color="auto" w:fill="BBC2E0"/>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BBC2E0"/>
            </w:tcBorders>
            <w:shd w:val="clear" w:color="auto" w:fill="BBC2E0"/>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BBC2E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6F6769"/>
            </w:tcBorders>
            <w:shd w:val="clear" w:color="auto" w:fill="6F6769"/>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6F6769"/>
            </w:tcBorders>
            <w:shd w:val="clear" w:color="auto" w:fill="6F6769"/>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gridSpan w:val="12"/>
            <w:vMerge w:val="restart"/>
          </w:tcPr>
          <w:p>
            <w:pPr>
              <w:ind w:left="100"/>
              <w:spacing w:after="0"/>
              <w:rPr>
                <w:sz w:val="20"/>
                <w:szCs w:val="20"/>
                <w:color w:val="auto"/>
              </w:rPr>
            </w:pPr>
            <w:r>
              <w:rPr>
                <w:rFonts w:ascii="Arial" w:cs="Arial" w:eastAsia="Arial" w:hAnsi="Arial"/>
                <w:sz w:val="16"/>
                <w:szCs w:val="16"/>
                <w:b w:val="1"/>
                <w:bCs w:val="1"/>
                <w:color w:val="3C89A1"/>
              </w:rPr>
              <w:t>Agency MBS ETFs</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820" w:type="dxa"/>
            <w:vAlign w:val="bottom"/>
            <w:vMerge w:val="continue"/>
          </w:tcPr>
          <w:p>
            <w:pPr>
              <w:spacing w:after="0"/>
              <w:rPr>
                <w:sz w:val="14"/>
                <w:szCs w:val="14"/>
                <w:color w:val="auto"/>
              </w:rPr>
            </w:pPr>
          </w:p>
        </w:tc>
        <w:tc>
          <w:tcPr>
            <w:tcW w:w="20" w:type="dxa"/>
            <w:vAlign w:val="bottom"/>
            <w:shd w:val="clear" w:color="auto" w:fill="DBD8D3"/>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274CA2"/>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shd w:val="clear" w:color="auto" w:fill="BBC2E0"/>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BBC2E0"/>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BBC2E0"/>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BBC2E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BBC2E0"/>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6F6769"/>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6F6769"/>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1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820" w:type="dxa"/>
            <w:vAlign w:val="bottom"/>
          </w:tcPr>
          <w:p>
            <w:pPr>
              <w:jc w:val="right"/>
              <w:ind w:right="120"/>
              <w:spacing w:after="0"/>
              <w:rPr>
                <w:sz w:val="20"/>
                <w:szCs w:val="20"/>
                <w:color w:val="auto"/>
              </w:rPr>
            </w:pPr>
            <w:r>
              <w:rPr>
                <w:rFonts w:ascii="Arial" w:cs="Arial" w:eastAsia="Arial" w:hAnsi="Arial"/>
                <w:sz w:val="20"/>
                <w:szCs w:val="20"/>
                <w:color w:val="161920"/>
              </w:rPr>
              <w:t>50%</w:t>
            </w:r>
          </w:p>
        </w:tc>
        <w:tc>
          <w:tcPr>
            <w:tcW w:w="20" w:type="dxa"/>
            <w:vAlign w:val="bottom"/>
            <w:shd w:val="clear" w:color="auto" w:fill="DBD8D3"/>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274CA2"/>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shd w:val="clear" w:color="auto" w:fill="BBC2E0"/>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6F6769"/>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shd w:val="clear" w:color="auto" w:fill="6F6769"/>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Arial" w:cs="Arial" w:eastAsia="Arial" w:hAnsi="Arial"/>
                <w:sz w:val="16"/>
                <w:szCs w:val="16"/>
                <w:b w:val="1"/>
                <w:bCs w:val="1"/>
                <w:color w:val="6F6769"/>
              </w:rPr>
              <w:t>30%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3"/>
          </w:tcPr>
          <w:p>
            <w:pPr>
              <w:ind w:left="100"/>
              <w:spacing w:after="0"/>
              <w:rPr>
                <w:sz w:val="20"/>
                <w:szCs w:val="20"/>
                <w:color w:val="auto"/>
              </w:rPr>
            </w:pPr>
            <w:r>
              <w:rPr>
                <w:rFonts w:ascii="Arial" w:cs="Arial" w:eastAsia="Arial" w:hAnsi="Arial"/>
                <w:sz w:val="16"/>
                <w:szCs w:val="16"/>
                <w:b w:val="1"/>
                <w:bCs w:val="1"/>
                <w:color w:val="3D8AA1"/>
              </w:rPr>
              <w:t>43%</w:t>
            </w:r>
          </w:p>
        </w:tc>
        <w:tc>
          <w:tcPr>
            <w:tcW w:w="560" w:type="dxa"/>
            <w:vAlign w:val="bottom"/>
            <w:gridSpan w:val="3"/>
          </w:tcPr>
          <w:p>
            <w:pPr>
              <w:ind w:left="120"/>
              <w:spacing w:after="0"/>
              <w:rPr>
                <w:sz w:val="20"/>
                <w:szCs w:val="20"/>
                <w:color w:val="auto"/>
              </w:rPr>
            </w:pPr>
            <w:r>
              <w:rPr>
                <w:rFonts w:ascii="Arial" w:cs="Arial" w:eastAsia="Arial" w:hAnsi="Arial"/>
                <w:sz w:val="16"/>
                <w:szCs w:val="16"/>
                <w:b w:val="1"/>
                <w:bCs w:val="1"/>
                <w:color w:val="3D8AA1"/>
              </w:rPr>
              <w:t>36%</w:t>
            </w:r>
          </w:p>
        </w:tc>
        <w:tc>
          <w:tcPr>
            <w:tcW w:w="560" w:type="dxa"/>
            <w:vAlign w:val="bottom"/>
            <w:gridSpan w:val="3"/>
          </w:tcPr>
          <w:p>
            <w:pPr>
              <w:ind w:left="120"/>
              <w:spacing w:after="0"/>
              <w:rPr>
                <w:sz w:val="20"/>
                <w:szCs w:val="20"/>
                <w:color w:val="auto"/>
              </w:rPr>
            </w:pPr>
            <w:r>
              <w:rPr>
                <w:rFonts w:ascii="Arial" w:cs="Arial" w:eastAsia="Arial" w:hAnsi="Arial"/>
                <w:sz w:val="16"/>
                <w:szCs w:val="16"/>
                <w:b w:val="1"/>
                <w:bCs w:val="1"/>
                <w:color w:val="3D8AA1"/>
              </w:rPr>
              <w:t>30%</w:t>
            </w:r>
          </w:p>
        </w:tc>
        <w:tc>
          <w:tcPr>
            <w:tcW w:w="560" w:type="dxa"/>
            <w:vAlign w:val="bottom"/>
            <w:gridSpan w:val="3"/>
          </w:tcPr>
          <w:p>
            <w:pPr>
              <w:ind w:left="120"/>
              <w:spacing w:after="0"/>
              <w:rPr>
                <w:sz w:val="20"/>
                <w:szCs w:val="20"/>
                <w:color w:val="auto"/>
              </w:rPr>
            </w:pPr>
            <w:r>
              <w:rPr>
                <w:rFonts w:ascii="Arial" w:cs="Arial" w:eastAsia="Arial" w:hAnsi="Arial"/>
                <w:sz w:val="16"/>
                <w:szCs w:val="16"/>
                <w:b w:val="1"/>
                <w:bCs w:val="1"/>
                <w:color w:val="3D8AA1"/>
              </w:rPr>
              <w:t>29%</w:t>
            </w: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3D8AA1"/>
              </w:rPr>
              <w:t>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vMerge w:val="restart"/>
          </w:tcPr>
          <w:p>
            <w:pPr>
              <w:jc w:val="right"/>
              <w:ind w:right="140"/>
              <w:spacing w:after="0"/>
              <w:rPr>
                <w:sz w:val="20"/>
                <w:szCs w:val="20"/>
                <w:color w:val="auto"/>
              </w:rPr>
            </w:pPr>
            <w:r>
              <w:rPr>
                <w:rFonts w:ascii="Arial" w:cs="Arial" w:eastAsia="Arial" w:hAnsi="Arial"/>
                <w:sz w:val="20"/>
                <w:szCs w:val="20"/>
                <w:color w:val="161920"/>
              </w:rPr>
              <w:t>0%</w:t>
            </w:r>
          </w:p>
        </w:tc>
        <w:tc>
          <w:tcPr>
            <w:tcW w:w="20" w:type="dxa"/>
            <w:vAlign w:val="bottom"/>
            <w:tcBorders>
              <w:top w:val="single" w:sz="8" w:color="DBD8D3"/>
            </w:tcBorders>
            <w:shd w:val="clear" w:color="auto" w:fill="DBD8D3"/>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274CA2"/>
            </w:tcBorders>
            <w:shd w:val="clear" w:color="auto" w:fill="274CA2"/>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BBC2E0"/>
            </w:tcBorders>
            <w:shd w:val="clear" w:color="auto" w:fill="BBC2E0"/>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BBC2E0"/>
            </w:tcBorders>
            <w:shd w:val="clear" w:color="auto" w:fill="BBC2E0"/>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BBC2E0"/>
            </w:tcBorders>
            <w:shd w:val="clear" w:color="auto" w:fill="BBC2E0"/>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BBC2E0"/>
            </w:tcBorders>
            <w:shd w:val="clear" w:color="auto" w:fill="BBC2E0"/>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BBC2E0"/>
            </w:tcBorders>
            <w:shd w:val="clear" w:color="auto" w:fill="BBC2E0"/>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6F6769"/>
            </w:tcBorders>
            <w:shd w:val="clear" w:color="auto" w:fill="6F6769"/>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6F6769"/>
            </w:tcBorders>
            <w:shd w:val="clear" w:color="auto" w:fill="6F6769"/>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6F6769"/>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3D8AA1"/>
            </w:tcBorders>
            <w:shd w:val="clear" w:color="auto" w:fill="3D8AA1"/>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3D8AA1"/>
            </w:tcBorders>
            <w:shd w:val="clear" w:color="auto" w:fill="3D8AA1"/>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shd w:val="clear" w:color="auto" w:fill="3D8AA1"/>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shd w:val="clear" w:color="auto" w:fill="3D8AA1"/>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820" w:type="dxa"/>
            <w:vAlign w:val="bottom"/>
            <w:vMerge w:val="continue"/>
          </w:tcPr>
          <w:p>
            <w:pPr>
              <w:spacing w:after="0"/>
              <w:rPr>
                <w:sz w:val="5"/>
                <w:szCs w:val="5"/>
                <w:color w:val="auto"/>
              </w:rPr>
            </w:pPr>
          </w:p>
        </w:tc>
        <w:tc>
          <w:tcPr>
            <w:tcW w:w="20" w:type="dxa"/>
            <w:vAlign w:val="bottom"/>
            <w:tcBorders>
              <w:bottom w:val="single" w:sz="8" w:color="DBD8D3"/>
            </w:tcBorders>
            <w:shd w:val="clear" w:color="auto" w:fill="DBD8D3"/>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274CA2"/>
          </w:tcPr>
          <w:p>
            <w:pPr>
              <w:spacing w:after="0"/>
              <w:rPr>
                <w:sz w:val="5"/>
                <w:szCs w:val="5"/>
                <w:color w:val="auto"/>
              </w:rPr>
            </w:pPr>
          </w:p>
        </w:tc>
        <w:tc>
          <w:tcPr>
            <w:tcW w:w="24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BBC2E0"/>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BBC2E0"/>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BBC2E0"/>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BBC2E0"/>
          </w:tcPr>
          <w:p>
            <w:pPr>
              <w:spacing w:after="0"/>
              <w:rPr>
                <w:sz w:val="5"/>
                <w:szCs w:val="5"/>
                <w:color w:val="auto"/>
              </w:rPr>
            </w:pPr>
          </w:p>
        </w:tc>
        <w:tc>
          <w:tcPr>
            <w:tcW w:w="140" w:type="dxa"/>
            <w:vAlign w:val="bottom"/>
            <w:tcBorders>
              <w:bottom w:val="single" w:sz="8" w:color="DBD8D3"/>
            </w:tcBorders>
          </w:tcPr>
          <w:p>
            <w:pPr>
              <w:spacing w:after="0"/>
              <w:rPr>
                <w:sz w:val="5"/>
                <w:szCs w:val="5"/>
                <w:color w:val="auto"/>
              </w:rPr>
            </w:pPr>
          </w:p>
        </w:tc>
        <w:tc>
          <w:tcPr>
            <w:tcW w:w="10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BBC2E0"/>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6F6769"/>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6F6769"/>
          </w:tcPr>
          <w:p>
            <w:pPr>
              <w:spacing w:after="0"/>
              <w:rPr>
                <w:sz w:val="5"/>
                <w:szCs w:val="5"/>
                <w:color w:val="auto"/>
              </w:rPr>
            </w:pPr>
          </w:p>
        </w:tc>
        <w:tc>
          <w:tcPr>
            <w:tcW w:w="140" w:type="dxa"/>
            <w:vAlign w:val="bottom"/>
            <w:tcBorders>
              <w:bottom w:val="single" w:sz="8" w:color="DBD8D3"/>
            </w:tcBorders>
          </w:tcPr>
          <w:p>
            <w:pPr>
              <w:spacing w:after="0"/>
              <w:rPr>
                <w:sz w:val="5"/>
                <w:szCs w:val="5"/>
                <w:color w:val="auto"/>
              </w:rPr>
            </w:pPr>
          </w:p>
        </w:tc>
        <w:tc>
          <w:tcPr>
            <w:tcW w:w="10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6F6769"/>
          </w:tcPr>
          <w:p>
            <w:pPr>
              <w:spacing w:after="0"/>
              <w:rPr>
                <w:sz w:val="5"/>
                <w:szCs w:val="5"/>
                <w:color w:val="auto"/>
              </w:rPr>
            </w:pPr>
          </w:p>
        </w:tc>
        <w:tc>
          <w:tcPr>
            <w:tcW w:w="100" w:type="dxa"/>
            <w:vAlign w:val="bottom"/>
            <w:tcBorders>
              <w:bottom w:val="single" w:sz="8" w:color="DBD8D3"/>
            </w:tcBorders>
          </w:tcPr>
          <w:p>
            <w:pPr>
              <w:spacing w:after="0"/>
              <w:rPr>
                <w:sz w:val="5"/>
                <w:szCs w:val="5"/>
                <w:color w:val="auto"/>
              </w:rPr>
            </w:pPr>
          </w:p>
        </w:tc>
        <w:tc>
          <w:tcPr>
            <w:tcW w:w="14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tcPr>
          <w:p>
            <w:pPr>
              <w:spacing w:after="0"/>
              <w:rPr>
                <w:sz w:val="5"/>
                <w:szCs w:val="5"/>
                <w:color w:val="auto"/>
              </w:rPr>
            </w:pPr>
          </w:p>
        </w:tc>
        <w:tc>
          <w:tcPr>
            <w:tcW w:w="140" w:type="dxa"/>
            <w:vAlign w:val="bottom"/>
            <w:tcBorders>
              <w:bottom w:val="single" w:sz="8" w:color="DBD8D3"/>
            </w:tcBorders>
          </w:tcPr>
          <w:p>
            <w:pPr>
              <w:spacing w:after="0"/>
              <w:rPr>
                <w:sz w:val="5"/>
                <w:szCs w:val="5"/>
                <w:color w:val="auto"/>
              </w:rPr>
            </w:pPr>
          </w:p>
        </w:tc>
        <w:tc>
          <w:tcPr>
            <w:tcW w:w="10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3D8AA1"/>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3D8AA1"/>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3D8AA1"/>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340" w:type="dxa"/>
            <w:vAlign w:val="bottom"/>
            <w:tcBorders>
              <w:bottom w:val="single" w:sz="8" w:color="DBD8D3"/>
            </w:tcBorders>
            <w:shd w:val="clear" w:color="auto" w:fill="3D8AA1"/>
          </w:tcPr>
          <w:p>
            <w:pPr>
              <w:spacing w:after="0"/>
              <w:rPr>
                <w:sz w:val="5"/>
                <w:szCs w:val="5"/>
                <w:color w:val="auto"/>
              </w:rPr>
            </w:pPr>
          </w:p>
        </w:tc>
        <w:tc>
          <w:tcPr>
            <w:tcW w:w="100" w:type="dxa"/>
            <w:vAlign w:val="bottom"/>
            <w:tcBorders>
              <w:bottom w:val="single" w:sz="8" w:color="DBD8D3"/>
            </w:tcBorders>
          </w:tcPr>
          <w:p>
            <w:pPr>
              <w:spacing w:after="0"/>
              <w:rPr>
                <w:sz w:val="5"/>
                <w:szCs w:val="5"/>
                <w:color w:val="auto"/>
              </w:rPr>
            </w:pPr>
          </w:p>
        </w:tc>
        <w:tc>
          <w:tcPr>
            <w:tcW w:w="140" w:type="dxa"/>
            <w:vAlign w:val="bottom"/>
            <w:tcBorders>
              <w:bottom w:val="single" w:sz="8" w:color="DBD8D3"/>
            </w:tcBorders>
          </w:tcPr>
          <w:p>
            <w:pPr>
              <w:spacing w:after="0"/>
              <w:rPr>
                <w:sz w:val="5"/>
                <w:szCs w:val="5"/>
                <w:color w:val="auto"/>
              </w:rPr>
            </w:pPr>
          </w:p>
        </w:tc>
        <w:tc>
          <w:tcPr>
            <w:tcW w:w="320" w:type="dxa"/>
            <w:vAlign w:val="bottom"/>
            <w:tcBorders>
              <w:bottom w:val="single" w:sz="8" w:color="DBD8D3"/>
            </w:tcBorders>
            <w:shd w:val="clear" w:color="auto" w:fill="3D8AA1"/>
          </w:tcPr>
          <w:p>
            <w:pPr>
              <w:spacing w:after="0"/>
              <w:rPr>
                <w:sz w:val="5"/>
                <w:szCs w:val="5"/>
                <w:color w:val="auto"/>
              </w:rPr>
            </w:pPr>
          </w:p>
        </w:tc>
        <w:tc>
          <w:tcPr>
            <w:tcW w:w="120" w:type="dxa"/>
            <w:vAlign w:val="bottom"/>
            <w:tcBorders>
              <w:bottom w:val="single" w:sz="8" w:color="DBD8D3"/>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820" w:type="dxa"/>
            <w:vAlign w:val="bottom"/>
            <w:vMerge w:val="continue"/>
          </w:tcPr>
          <w:p>
            <w:pPr>
              <w:spacing w:after="0"/>
              <w:rPr>
                <w:sz w:val="16"/>
                <w:szCs w:val="16"/>
                <w:color w:val="auto"/>
              </w:rPr>
            </w:pPr>
          </w:p>
        </w:tc>
        <w:tc>
          <w:tcPr>
            <w:tcW w:w="20" w:type="dxa"/>
            <w:vAlign w:val="bottom"/>
            <w:tcBorders>
              <w:bottom w:val="single" w:sz="8" w:color="DBD8D3"/>
            </w:tcBorders>
            <w:shd w:val="clear" w:color="auto" w:fill="DBD8D3"/>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6F6769"/>
            </w:tcBorders>
            <w:shd w:val="clear" w:color="auto" w:fill="6F6769"/>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6F6769"/>
            </w:tcBorders>
            <w:shd w:val="clear" w:color="auto" w:fill="6F6769"/>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6F6769"/>
            </w:tcBorders>
            <w:shd w:val="clear" w:color="auto" w:fill="6F6769"/>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0" w:type="dxa"/>
            <w:vAlign w:val="bottom"/>
            <w:vMerge w:val="restart"/>
          </w:tcPr>
          <w:p>
            <w:pPr>
              <w:jc w:val="right"/>
              <w:ind w:right="80"/>
              <w:spacing w:after="0"/>
              <w:rPr>
                <w:sz w:val="20"/>
                <w:szCs w:val="20"/>
                <w:color w:val="auto"/>
              </w:rPr>
            </w:pPr>
            <w:r>
              <w:rPr>
                <w:rFonts w:ascii="Arial" w:cs="Arial" w:eastAsia="Arial" w:hAnsi="Arial"/>
                <w:sz w:val="20"/>
                <w:szCs w:val="20"/>
                <w:color w:val="161920"/>
              </w:rPr>
              <w:t>(50%)</w:t>
            </w:r>
          </w:p>
        </w:tc>
        <w:tc>
          <w:tcPr>
            <w:tcW w:w="20" w:type="dxa"/>
            <w:vAlign w:val="bottom"/>
            <w:shd w:val="clear" w:color="auto" w:fill="DBD8D3"/>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6F6769"/>
              </w:rPr>
              <w:t>(28%)</w:t>
            </w:r>
          </w:p>
        </w:tc>
        <w:tc>
          <w:tcPr>
            <w:tcW w:w="120" w:type="dxa"/>
            <w:vAlign w:val="bottom"/>
          </w:tcPr>
          <w:p>
            <w:pPr>
              <w:spacing w:after="0"/>
              <w:rPr>
                <w:sz w:val="16"/>
                <w:szCs w:val="16"/>
                <w:color w:val="auto"/>
              </w:rPr>
            </w:pPr>
          </w:p>
        </w:tc>
        <w:tc>
          <w:tcPr>
            <w:tcW w:w="320" w:type="dxa"/>
            <w:vAlign w:val="bottom"/>
            <w:shd w:val="clear" w:color="auto" w:fill="6F6769"/>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shd w:val="clear" w:color="auto" w:fill="6F6769"/>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820" w:type="dxa"/>
            <w:vAlign w:val="bottom"/>
            <w:vMerge w:val="continue"/>
          </w:tcPr>
          <w:p>
            <w:pPr>
              <w:spacing w:after="0"/>
              <w:rPr>
                <w:sz w:val="7"/>
                <w:szCs w:val="7"/>
                <w:color w:val="auto"/>
              </w:rPr>
            </w:pPr>
          </w:p>
        </w:tc>
        <w:tc>
          <w:tcPr>
            <w:tcW w:w="20" w:type="dxa"/>
            <w:vAlign w:val="bottom"/>
            <w:shd w:val="clear" w:color="auto" w:fill="DBD8D3"/>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6F6769"/>
              </w:rPr>
              <w:t>(52%)</w:t>
            </w:r>
          </w:p>
        </w:tc>
        <w:tc>
          <w:tcPr>
            <w:tcW w:w="120" w:type="dxa"/>
            <w:vAlign w:val="bottom"/>
          </w:tcPr>
          <w:p>
            <w:pPr>
              <w:spacing w:after="0"/>
              <w:rPr>
                <w:sz w:val="7"/>
                <w:szCs w:val="7"/>
                <w:color w:val="auto"/>
              </w:rPr>
            </w:pPr>
          </w:p>
        </w:tc>
        <w:tc>
          <w:tcPr>
            <w:tcW w:w="320" w:type="dxa"/>
            <w:vAlign w:val="bottom"/>
            <w:shd w:val="clear" w:color="auto" w:fill="6F6769"/>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820" w:type="dxa"/>
            <w:vAlign w:val="bottom"/>
            <w:vMerge w:val="restart"/>
          </w:tcPr>
          <w:p>
            <w:pPr>
              <w:jc w:val="right"/>
              <w:ind w:right="80"/>
              <w:spacing w:after="0"/>
              <w:rPr>
                <w:sz w:val="20"/>
                <w:szCs w:val="20"/>
                <w:color w:val="auto"/>
              </w:rPr>
            </w:pPr>
            <w:r>
              <w:rPr>
                <w:rFonts w:ascii="Arial" w:cs="Arial" w:eastAsia="Arial" w:hAnsi="Arial"/>
                <w:sz w:val="20"/>
                <w:szCs w:val="20"/>
                <w:color w:val="161920"/>
                <w:w w:val="96"/>
              </w:rPr>
              <w:t>(100%)</w:t>
            </w:r>
          </w:p>
        </w:tc>
        <w:tc>
          <w:tcPr>
            <w:tcW w:w="20" w:type="dxa"/>
            <w:vAlign w:val="bottom"/>
            <w:shd w:val="clear" w:color="auto" w:fill="DBD8D3"/>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3"/>
            <w:vMerge w:val="restart"/>
            <w:textDirection w:val="btLr"/>
          </w:tcPr>
          <w:p>
            <w:pPr>
              <w:ind w:left="137"/>
              <w:spacing w:after="0"/>
              <w:rPr>
                <w:sz w:val="20"/>
                <w:szCs w:val="20"/>
                <w:color w:val="auto"/>
              </w:rPr>
            </w:pPr>
            <w:r>
              <w:rPr>
                <w:rFonts w:ascii="Arial" w:cs="Arial" w:eastAsia="Arial" w:hAnsi="Arial"/>
                <w:sz w:val="20"/>
                <w:szCs w:val="20"/>
                <w:color w:val="161920"/>
              </w:rPr>
              <w:t>Utilities</w:t>
            </w:r>
          </w:p>
        </w:tc>
        <w:tc>
          <w:tcPr>
            <w:tcW w:w="560" w:type="dxa"/>
            <w:vAlign w:val="bottom"/>
            <w:gridSpan w:val="3"/>
            <w:vMerge w:val="restart"/>
            <w:textDirection w:val="btLr"/>
          </w:tcPr>
          <w:p>
            <w:pPr>
              <w:ind w:left="140"/>
              <w:spacing w:after="0"/>
              <w:rPr>
                <w:sz w:val="20"/>
                <w:szCs w:val="20"/>
                <w:color w:val="auto"/>
              </w:rPr>
            </w:pPr>
            <w:r>
              <w:rPr>
                <w:rFonts w:ascii="Arial" w:cs="Arial" w:eastAsia="Arial" w:hAnsi="Arial"/>
                <w:sz w:val="20"/>
                <w:szCs w:val="20"/>
                <w:color w:val="161920"/>
              </w:rPr>
              <w:t>Financials</w:t>
            </w:r>
          </w:p>
        </w:tc>
        <w:tc>
          <w:tcPr>
            <w:tcW w:w="580" w:type="dxa"/>
            <w:vAlign w:val="bottom"/>
            <w:gridSpan w:val="3"/>
            <w:vMerge w:val="restart"/>
            <w:textDirection w:val="btLr"/>
          </w:tcPr>
          <w:p>
            <w:pPr>
              <w:ind w:left="122"/>
              <w:spacing w:after="0"/>
              <w:rPr>
                <w:sz w:val="20"/>
                <w:szCs w:val="20"/>
                <w:color w:val="auto"/>
              </w:rPr>
            </w:pPr>
            <w:r>
              <w:rPr>
                <w:rFonts w:ascii="Arial" w:cs="Arial" w:eastAsia="Arial" w:hAnsi="Arial"/>
                <w:sz w:val="20"/>
                <w:szCs w:val="20"/>
                <w:color w:val="161920"/>
                <w:w w:val="98"/>
              </w:rPr>
              <w:t>Real Estate</w:t>
            </w:r>
          </w:p>
        </w:tc>
        <w:tc>
          <w:tcPr>
            <w:tcW w:w="540" w:type="dxa"/>
            <w:vAlign w:val="bottom"/>
            <w:gridSpan w:val="3"/>
            <w:vMerge w:val="restart"/>
            <w:textDirection w:val="btLr"/>
          </w:tcPr>
          <w:p>
            <w:pPr>
              <w:ind w:left="125"/>
              <w:spacing w:after="0"/>
              <w:rPr>
                <w:sz w:val="20"/>
                <w:szCs w:val="20"/>
                <w:color w:val="auto"/>
              </w:rPr>
            </w:pPr>
            <w:r>
              <w:rPr>
                <w:rFonts w:ascii="Arial" w:cs="Arial" w:eastAsia="Arial" w:hAnsi="Arial"/>
                <w:sz w:val="20"/>
                <w:szCs w:val="20"/>
                <w:color w:val="161920"/>
              </w:rPr>
              <w:t>Mortgage REITs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3"/>
            <w:vMerge w:val="continue"/>
          </w:tcPr>
          <w:p>
            <w:pPr>
              <w:spacing w:after="0"/>
              <w:rPr>
                <w:sz w:val="24"/>
                <w:szCs w:val="24"/>
                <w:color w:val="auto"/>
              </w:rPr>
            </w:pPr>
          </w:p>
        </w:tc>
        <w:tc>
          <w:tcPr>
            <w:tcW w:w="58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6F6769"/>
              </w:rPr>
              <w:t>(63%)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5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2"/>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2"/>
            <w:textDirection w:val="btLr"/>
          </w:tcPr>
          <w:p>
            <w:pPr>
              <w:ind w:left="210"/>
              <w:spacing w:after="0"/>
              <w:rPr>
                <w:sz w:val="20"/>
                <w:szCs w:val="20"/>
                <w:color w:val="auto"/>
              </w:rPr>
            </w:pPr>
            <w:r>
              <w:rPr>
                <w:rFonts w:ascii="Arial" w:cs="Arial" w:eastAsia="Arial" w:hAnsi="Arial"/>
                <w:sz w:val="20"/>
                <w:szCs w:val="20"/>
                <w:color w:val="161920"/>
                <w:w w:val="96"/>
              </w:rPr>
              <w:t>AGNC</w:t>
            </w:r>
          </w:p>
        </w:tc>
        <w:tc>
          <w:tcPr>
            <w:tcW w:w="680" w:type="dxa"/>
            <w:vAlign w:val="bottom"/>
            <w:gridSpan w:val="3"/>
            <w:textDirection w:val="btLr"/>
          </w:tcPr>
          <w:p>
            <w:pPr>
              <w:ind w:left="397"/>
              <w:spacing w:after="0"/>
              <w:rPr>
                <w:sz w:val="20"/>
                <w:szCs w:val="20"/>
                <w:color w:val="auto"/>
              </w:rPr>
            </w:pPr>
            <w:r>
              <w:rPr>
                <w:rFonts w:ascii="Arial" w:cs="Arial" w:eastAsia="Arial" w:hAnsi="Arial"/>
                <w:sz w:val="20"/>
                <w:szCs w:val="20"/>
                <w:color w:val="161920"/>
                <w:w w:val="99"/>
              </w:rPr>
              <w:t>BDCs</w:t>
            </w:r>
          </w:p>
        </w:tc>
        <w:tc>
          <w:tcPr>
            <w:tcW w:w="560" w:type="dxa"/>
            <w:vAlign w:val="bottom"/>
            <w:gridSpan w:val="3"/>
            <w:vMerge w:val="continue"/>
          </w:tcPr>
          <w:p>
            <w:pPr>
              <w:spacing w:after="0"/>
              <w:rPr>
                <w:sz w:val="24"/>
                <w:szCs w:val="24"/>
                <w:color w:val="auto"/>
              </w:rPr>
            </w:pPr>
          </w:p>
        </w:tc>
        <w:tc>
          <w:tcPr>
            <w:tcW w:w="560" w:type="dxa"/>
            <w:vAlign w:val="bottom"/>
            <w:gridSpan w:val="3"/>
            <w:vMerge w:val="continue"/>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540" w:type="dxa"/>
            <w:vAlign w:val="bottom"/>
            <w:gridSpan w:val="3"/>
            <w:vMerge w:val="continue"/>
          </w:tcPr>
          <w:p>
            <w:pPr>
              <w:spacing w:after="0"/>
              <w:rPr>
                <w:sz w:val="24"/>
                <w:szCs w:val="24"/>
                <w:color w:val="auto"/>
              </w:rPr>
            </w:pPr>
          </w:p>
        </w:tc>
        <w:tc>
          <w:tcPr>
            <w:tcW w:w="560" w:type="dxa"/>
            <w:vAlign w:val="bottom"/>
            <w:gridSpan w:val="3"/>
            <w:textDirection w:val="btLr"/>
          </w:tcPr>
          <w:p>
            <w:pPr>
              <w:ind w:left="284"/>
              <w:spacing w:after="0"/>
              <w:rPr>
                <w:sz w:val="20"/>
                <w:szCs w:val="20"/>
                <w:color w:val="auto"/>
              </w:rPr>
            </w:pPr>
            <w:r>
              <w:rPr>
                <w:rFonts w:ascii="Arial" w:cs="Arial" w:eastAsia="Arial" w:hAnsi="Arial"/>
                <w:sz w:val="20"/>
                <w:szCs w:val="20"/>
                <w:color w:val="161920"/>
              </w:rPr>
              <w:t>Peer 1</w:t>
            </w:r>
          </w:p>
        </w:tc>
        <w:tc>
          <w:tcPr>
            <w:tcW w:w="580" w:type="dxa"/>
            <w:vAlign w:val="bottom"/>
            <w:gridSpan w:val="3"/>
            <w:textDirection w:val="btLr"/>
          </w:tcPr>
          <w:p>
            <w:pPr>
              <w:ind w:left="130"/>
              <w:spacing w:after="0"/>
              <w:rPr>
                <w:sz w:val="20"/>
                <w:szCs w:val="20"/>
                <w:color w:val="auto"/>
              </w:rPr>
            </w:pPr>
            <w:r>
              <w:rPr>
                <w:rFonts w:ascii="Arial" w:cs="Arial" w:eastAsia="Arial" w:hAnsi="Arial"/>
                <w:sz w:val="20"/>
                <w:szCs w:val="20"/>
                <w:color w:val="161920"/>
              </w:rPr>
              <w:t>Peer 2</w:t>
            </w:r>
          </w:p>
        </w:tc>
        <w:tc>
          <w:tcPr>
            <w:tcW w:w="520" w:type="dxa"/>
            <w:vAlign w:val="bottom"/>
            <w:gridSpan w:val="3"/>
            <w:textDirection w:val="btLr"/>
          </w:tcPr>
          <w:p>
            <w:pPr>
              <w:ind w:left="267"/>
              <w:spacing w:after="0"/>
              <w:rPr>
                <w:sz w:val="20"/>
                <w:szCs w:val="20"/>
                <w:color w:val="auto"/>
              </w:rPr>
            </w:pPr>
            <w:r>
              <w:rPr>
                <w:rFonts w:ascii="Arial" w:cs="Arial" w:eastAsia="Arial" w:hAnsi="Arial"/>
                <w:sz w:val="20"/>
                <w:szCs w:val="20"/>
                <w:color w:val="161920"/>
              </w:rPr>
              <w:t>Peer 3</w:t>
            </w:r>
          </w:p>
        </w:tc>
        <w:tc>
          <w:tcPr>
            <w:tcW w:w="580" w:type="dxa"/>
            <w:vAlign w:val="bottom"/>
            <w:gridSpan w:val="3"/>
            <w:textDirection w:val="btLr"/>
          </w:tcPr>
          <w:p>
            <w:pPr>
              <w:ind w:left="176"/>
              <w:spacing w:after="0"/>
              <w:rPr>
                <w:sz w:val="20"/>
                <w:szCs w:val="20"/>
                <w:color w:val="auto"/>
              </w:rPr>
            </w:pPr>
            <w:r>
              <w:rPr>
                <w:rFonts w:ascii="Arial" w:cs="Arial" w:eastAsia="Arial" w:hAnsi="Arial"/>
                <w:sz w:val="20"/>
                <w:szCs w:val="20"/>
                <w:color w:val="161920"/>
              </w:rPr>
              <w:t>Peer 4</w:t>
            </w:r>
          </w:p>
        </w:tc>
        <w:tc>
          <w:tcPr>
            <w:tcW w:w="560" w:type="dxa"/>
            <w:vAlign w:val="bottom"/>
            <w:gridSpan w:val="3"/>
            <w:textDirection w:val="btLr"/>
          </w:tcPr>
          <w:p>
            <w:pPr>
              <w:ind w:left="158"/>
              <w:spacing w:after="0"/>
              <w:rPr>
                <w:sz w:val="20"/>
                <w:szCs w:val="20"/>
                <w:color w:val="auto"/>
              </w:rPr>
            </w:pPr>
            <w:r>
              <w:rPr>
                <w:rFonts w:ascii="Arial" w:cs="Arial" w:eastAsia="Arial" w:hAnsi="Arial"/>
                <w:sz w:val="20"/>
                <w:szCs w:val="20"/>
                <w:color w:val="161920"/>
              </w:rPr>
              <w:t>Peer 5</w:t>
            </w:r>
          </w:p>
        </w:tc>
        <w:tc>
          <w:tcPr>
            <w:tcW w:w="580" w:type="dxa"/>
            <w:vAlign w:val="bottom"/>
            <w:gridSpan w:val="3"/>
            <w:textDirection w:val="btLr"/>
          </w:tcPr>
          <w:p>
            <w:pPr>
              <w:ind w:left="141"/>
              <w:spacing w:after="0"/>
              <w:rPr>
                <w:sz w:val="20"/>
                <w:szCs w:val="20"/>
                <w:color w:val="auto"/>
              </w:rPr>
            </w:pPr>
            <w:r>
              <w:rPr>
                <w:rFonts w:ascii="Arial" w:cs="Arial" w:eastAsia="Arial" w:hAnsi="Arial"/>
                <w:sz w:val="20"/>
                <w:szCs w:val="20"/>
                <w:color w:val="161920"/>
              </w:rPr>
              <w:t>Peer 6</w:t>
            </w:r>
          </w:p>
        </w:tc>
        <w:tc>
          <w:tcPr>
            <w:tcW w:w="540" w:type="dxa"/>
            <w:vAlign w:val="bottom"/>
            <w:gridSpan w:val="3"/>
            <w:textDirection w:val="btLr"/>
          </w:tcPr>
          <w:p>
            <w:pPr>
              <w:ind w:left="272"/>
              <w:spacing w:after="0"/>
              <w:rPr>
                <w:sz w:val="20"/>
                <w:szCs w:val="20"/>
                <w:color w:val="auto"/>
              </w:rPr>
            </w:pPr>
            <w:r>
              <w:rPr>
                <w:rFonts w:ascii="Arial" w:cs="Arial" w:eastAsia="Arial" w:hAnsi="Arial"/>
                <w:sz w:val="20"/>
                <w:szCs w:val="20"/>
                <w:color w:val="161920"/>
                <w:w w:val="95"/>
              </w:rPr>
              <w:t>ETF 1</w:t>
            </w:r>
          </w:p>
        </w:tc>
        <w:tc>
          <w:tcPr>
            <w:tcW w:w="560" w:type="dxa"/>
            <w:vAlign w:val="bottom"/>
            <w:gridSpan w:val="3"/>
            <w:textDirection w:val="btLr"/>
          </w:tcPr>
          <w:p>
            <w:pPr>
              <w:ind w:left="293"/>
              <w:spacing w:after="0"/>
              <w:rPr>
                <w:sz w:val="20"/>
                <w:szCs w:val="20"/>
                <w:color w:val="auto"/>
              </w:rPr>
            </w:pPr>
            <w:r>
              <w:rPr>
                <w:rFonts w:ascii="Arial" w:cs="Arial" w:eastAsia="Arial" w:hAnsi="Arial"/>
                <w:sz w:val="20"/>
                <w:szCs w:val="20"/>
                <w:color w:val="161920"/>
                <w:w w:val="95"/>
              </w:rPr>
              <w:t>ETF 2</w:t>
            </w:r>
          </w:p>
        </w:tc>
        <w:tc>
          <w:tcPr>
            <w:tcW w:w="560" w:type="dxa"/>
            <w:vAlign w:val="bottom"/>
            <w:gridSpan w:val="3"/>
            <w:textDirection w:val="btLr"/>
          </w:tcPr>
          <w:p>
            <w:pPr>
              <w:ind w:left="295"/>
              <w:spacing w:after="0"/>
              <w:rPr>
                <w:sz w:val="20"/>
                <w:szCs w:val="20"/>
                <w:color w:val="auto"/>
              </w:rPr>
            </w:pPr>
            <w:r>
              <w:rPr>
                <w:rFonts w:ascii="Arial" w:cs="Arial" w:eastAsia="Arial" w:hAnsi="Arial"/>
                <w:sz w:val="20"/>
                <w:szCs w:val="20"/>
                <w:color w:val="161920"/>
                <w:w w:val="95"/>
              </w:rPr>
              <w:t>ETF 3</w:t>
            </w:r>
          </w:p>
        </w:tc>
        <w:tc>
          <w:tcPr>
            <w:tcW w:w="560" w:type="dxa"/>
            <w:vAlign w:val="bottom"/>
            <w:gridSpan w:val="3"/>
            <w:textDirection w:val="btLr"/>
          </w:tcPr>
          <w:p>
            <w:pPr>
              <w:ind w:left="296"/>
              <w:spacing w:after="0"/>
              <w:rPr>
                <w:sz w:val="20"/>
                <w:szCs w:val="20"/>
                <w:color w:val="auto"/>
              </w:rPr>
            </w:pPr>
            <w:r>
              <w:rPr>
                <w:rFonts w:ascii="Arial" w:cs="Arial" w:eastAsia="Arial" w:hAnsi="Arial"/>
                <w:sz w:val="20"/>
                <w:szCs w:val="20"/>
                <w:color w:val="161920"/>
                <w:w w:val="95"/>
              </w:rPr>
              <w:t>ETF 4</w:t>
            </w:r>
          </w:p>
        </w:tc>
        <w:tc>
          <w:tcPr>
            <w:tcW w:w="460" w:type="dxa"/>
            <w:vAlign w:val="bottom"/>
            <w:gridSpan w:val="2"/>
            <w:textDirection w:val="btLr"/>
          </w:tcPr>
          <w:p>
            <w:pPr>
              <w:ind w:left="140"/>
              <w:spacing w:after="0"/>
              <w:rPr>
                <w:sz w:val="20"/>
                <w:szCs w:val="20"/>
                <w:color w:val="auto"/>
              </w:rPr>
            </w:pPr>
            <w:r>
              <w:rPr>
                <w:rFonts w:ascii="Arial" w:cs="Arial" w:eastAsia="Arial" w:hAnsi="Arial"/>
                <w:sz w:val="20"/>
                <w:szCs w:val="20"/>
                <w:color w:val="161920"/>
                <w:w w:val="95"/>
              </w:rPr>
              <w:t>ETF 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60"/>
          </w:cols>
          <w:pgMar w:left="720" w:top="1440" w:right="700" w:bottom="0" w:gutter="0" w:footer="0" w:header="0"/>
        </w:sectPr>
      </w:pPr>
    </w:p>
    <w:p>
      <w:pPr>
        <w:spacing w:after="0" w:line="200" w:lineRule="exact"/>
        <w:rPr>
          <w:sz w:val="20"/>
          <w:szCs w:val="20"/>
          <w:color w:val="auto"/>
        </w:rPr>
      </w:pPr>
    </w:p>
    <w:p>
      <w:pPr>
        <w:spacing w:after="0" w:line="222" w:lineRule="exact"/>
        <w:rPr>
          <w:sz w:val="20"/>
          <w:szCs w:val="20"/>
          <w:color w:val="auto"/>
        </w:rPr>
      </w:pPr>
    </w:p>
    <w:p>
      <w:pPr>
        <w:ind w:left="8360"/>
        <w:spacing w:after="0"/>
        <w:rPr>
          <w:sz w:val="20"/>
          <w:szCs w:val="20"/>
          <w:color w:val="auto"/>
        </w:rPr>
      </w:pPr>
      <w:r>
        <w:rPr>
          <w:rFonts w:ascii="Arial" w:cs="Arial" w:eastAsia="Arial" w:hAnsi="Arial"/>
          <w:sz w:val="16"/>
          <w:szCs w:val="16"/>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6774815</wp:posOffset>
                </wp:positionH>
                <wp:positionV relativeFrom="paragraph">
                  <wp:posOffset>-56515</wp:posOffset>
                </wp:positionV>
                <wp:extent cx="0" cy="22796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7965"/>
                        </a:xfrm>
                        <a:prstGeom prst="line">
                          <a:avLst/>
                        </a:prstGeom>
                        <a:solidFill>
                          <a:srgbClr val="FFFFFF"/>
                        </a:solidFill>
                        <a:ln w="19050">
                          <a:solidFill>
                            <a:srgbClr val="274CA2"/>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3.45pt,-4.4499pt" to="533.45pt,13.5pt" o:allowincell="f" strokecolor="#274CA2" strokeweight="1.5pt"/>
            </w:pict>
          </mc:Fallback>
        </mc:AlternateContent>
      </w:r>
    </w:p>
    <w:p>
      <w:pPr>
        <w:ind w:left="8360"/>
        <w:spacing w:after="0"/>
        <w:rPr>
          <w:sz w:val="20"/>
          <w:szCs w:val="20"/>
          <w:color w:val="auto"/>
        </w:rPr>
      </w:pPr>
      <w:r>
        <w:rPr>
          <w:rFonts w:ascii="Arial" w:cs="Arial" w:eastAsia="Arial" w:hAnsi="Arial"/>
          <w:sz w:val="16"/>
          <w:szCs w:val="16"/>
          <w:color w:val="auto"/>
        </w:rPr>
        <w:t xml:space="preserve">2024 Annual Report </w:t>
      </w:r>
      <w:r>
        <w:rPr>
          <w:rFonts w:ascii="Arial" w:cs="Arial" w:eastAsia="Arial" w:hAnsi="Arial"/>
          <w:sz w:val="16"/>
          <w:szCs w:val="16"/>
          <w:color w:val="274CA2"/>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5</w:t>
      </w:r>
    </w:p>
    <w:p>
      <w:pPr>
        <w:sectPr>
          <w:pgSz w:w="11880" w:h="15480" w:orient="portrait"/>
          <w:cols w:equalWidth="0" w:num="1">
            <w:col w:w="10460"/>
          </w:cols>
          <w:pgMar w:left="720" w:top="1440" w:right="700" w:bottom="0" w:gutter="0" w:footer="0" w:header="0"/>
          <w:type w:val="continuous"/>
        </w:sectPr>
      </w:pPr>
    </w:p>
    <w:bookmarkStart w:id="7" w:name="page8"/>
    <w:bookmarkEnd w:id="7"/>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685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8">
                      <a:extLst>
                        <a:ext uri="{28A0092B-C50C-407E-A947-70E740481C1C}"/>
                      </a:extLst>
                    </a:blip>
                    <a:srcRect/>
                    <a:stretch>
                      <a:fillRect/>
                    </a:stretch>
                  </pic:blipFill>
                  <pic:spPr bwMode="auto">
                    <a:xfrm>
                      <a:off x="0" y="0"/>
                      <a:ext cx="7543800" cy="685800"/>
                    </a:xfrm>
                    <a:prstGeom prst="rect">
                      <a:avLst/>
                    </a:prstGeom>
                    <a:noFill/>
                  </pic:spPr>
                </pic:pic>
              </a:graphicData>
            </a:graphic>
          </wp:anchor>
        </w:drawing>
      </w:r>
    </w:p>
    <w:p>
      <w:pPr>
        <w:ind w:right="140"/>
        <w:spacing w:after="0" w:line="328" w:lineRule="auto"/>
        <w:rPr>
          <w:sz w:val="20"/>
          <w:szCs w:val="20"/>
          <w:color w:val="auto"/>
        </w:rPr>
      </w:pPr>
      <w:r>
        <w:rPr>
          <w:rFonts w:ascii="Arial" w:cs="Arial" w:eastAsia="Arial" w:hAnsi="Arial"/>
          <w:sz w:val="20"/>
          <w:szCs w:val="20"/>
          <w:color w:val="161921"/>
        </w:rPr>
        <w:t>Our strong performance in 2024 underscores the benefits of our proven approach to mortgage investing. We proactively shifted the composition of our asset portfolio, strategically reallocated the mix of our hedges, and generated meaningful book value accretion through opportunistic capital raises. These actions ultimately drove material outperformance of our Agency REIT Peer Group on an economic return basis.</w:t>
      </w:r>
      <w:r>
        <w:rPr>
          <w:rFonts w:ascii="Arial" w:cs="Arial" w:eastAsia="Arial" w:hAnsi="Arial"/>
          <w:sz w:val="11"/>
          <w:szCs w:val="11"/>
          <w:color w:val="161921"/>
        </w:rPr>
        <w:t>5</w:t>
      </w:r>
      <w:r>
        <w:rPr>
          <w:rFonts w:ascii="Arial" w:cs="Arial" w:eastAsia="Arial" w:hAnsi="Arial"/>
          <w:sz w:val="20"/>
          <w:szCs w:val="20"/>
          <w:color w:val="161921"/>
        </w:rPr>
        <w:t xml:space="preserve"> With a specialized focus on Agency MBS, our team’s ability to select high-quality assets, optimize financing structures, and dynamically manage interest rate and other market risks has created meaningful relative value for AGNC stockholders over the long run.</w:t>
      </w:r>
    </w:p>
    <w:p>
      <w:pPr>
        <w:spacing w:after="0" w:line="314" w:lineRule="exact"/>
        <w:rPr>
          <w:sz w:val="20"/>
          <w:szCs w:val="20"/>
          <w:color w:val="auto"/>
        </w:rPr>
      </w:pPr>
    </w:p>
    <w:p>
      <w:pPr>
        <w:ind w:right="300"/>
        <w:spacing w:after="0" w:line="354" w:lineRule="auto"/>
        <w:rPr>
          <w:sz w:val="20"/>
          <w:szCs w:val="20"/>
          <w:color w:val="auto"/>
        </w:rPr>
      </w:pPr>
      <w:r>
        <w:rPr>
          <w:rFonts w:ascii="Arial" w:cs="Arial" w:eastAsia="Arial" w:hAnsi="Arial"/>
          <w:sz w:val="20"/>
          <w:szCs w:val="20"/>
          <w:color w:val="161921"/>
        </w:rPr>
        <w:t>Since inception, AGNC has paid over $14 billion of common stock dividends, and our dividend yield meaningfully exceeds other traditional yield-oriented equity sectors and Agency MBS-centric models. Our common stock dividend, which has remained stable for 59 consecutive months, provides stockholders with attractive current income on a monthly basis.</w:t>
      </w:r>
      <w:r>
        <w:rPr>
          <w:rFonts w:ascii="Arial" w:cs="Arial" w:eastAsia="Arial" w:hAnsi="Arial"/>
          <w:sz w:val="11"/>
          <w:szCs w:val="11"/>
          <w:color w:val="161921"/>
        </w:rPr>
        <w:t>12</w:t>
      </w:r>
    </w:p>
    <w:p>
      <w:pPr>
        <w:sectPr>
          <w:pgSz w:w="11880" w:h="15480" w:orient="portrait"/>
          <w:cols w:equalWidth="0" w:num="1">
            <w:col w:w="10440"/>
          </w:cols>
          <w:pgMar w:left="720" w:top="1440" w:right="720" w:bottom="0" w:gutter="0" w:footer="0" w:header="0"/>
        </w:sectPr>
      </w:pPr>
    </w:p>
    <w:p>
      <w:pPr>
        <w:spacing w:after="0" w:line="3" w:lineRule="exact"/>
        <w:rPr>
          <w:sz w:val="20"/>
          <w:szCs w:val="20"/>
          <w:color w:val="auto"/>
        </w:rPr>
      </w:pPr>
    </w:p>
    <w:p>
      <w:pPr>
        <w:ind w:right="200"/>
        <w:spacing w:after="0" w:line="315" w:lineRule="auto"/>
        <w:rPr>
          <w:sz w:val="20"/>
          <w:szCs w:val="20"/>
          <w:color w:val="auto"/>
        </w:rPr>
      </w:pPr>
      <w:r>
        <w:rPr>
          <w:rFonts w:ascii="Arial" w:cs="Arial" w:eastAsia="Arial" w:hAnsi="Arial"/>
          <w:sz w:val="20"/>
          <w:szCs w:val="20"/>
          <w:color w:val="161921"/>
        </w:rPr>
        <w:t>Finally, our commitment to responsible stewardship of our stockholders’ capital is unwavering, and our platform provides industry-leading operating efficiency, significant scale, and a long-standing commitment to transparency and stockholder-focused capital management. These stockholder-friendly attributes have contributed to AGNC’s positioning as a best-in-class Agency MBS investor.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2746375</wp:posOffset>
                </wp:positionH>
                <wp:positionV relativeFrom="paragraph">
                  <wp:posOffset>-1816100</wp:posOffset>
                </wp:positionV>
                <wp:extent cx="0" cy="411924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9245"/>
                        </a:xfrm>
                        <a:prstGeom prst="line">
                          <a:avLst/>
                        </a:prstGeom>
                        <a:solidFill>
                          <a:srgbClr val="FFFFFF"/>
                        </a:solidFill>
                        <a:ln w="6350">
                          <a:solidFill>
                            <a:srgbClr val="274CA2"/>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25pt,-143pt" to="216.25pt,181.35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2743200</wp:posOffset>
                </wp:positionH>
                <wp:positionV relativeFrom="paragraph">
                  <wp:posOffset>2299970</wp:posOffset>
                </wp:positionV>
                <wp:extent cx="41148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48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81.1pt" to="540pt,181.1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2743200</wp:posOffset>
                </wp:positionH>
                <wp:positionV relativeFrom="paragraph">
                  <wp:posOffset>-1812925</wp:posOffset>
                </wp:positionV>
                <wp:extent cx="41148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4800" cy="4763"/>
                        </a:xfrm>
                        <a:prstGeom prst="line">
                          <a:avLst/>
                        </a:prstGeom>
                        <a:solidFill>
                          <a:srgbClr val="FFFFFF"/>
                        </a:solidFill>
                        <a:ln w="6350">
                          <a:solidFill>
                            <a:srgbClr val="274CA2"/>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42.7499pt" to="540pt,-142.7499pt" o:allowincell="f" strokecolor="#274CA2" strokeweight="0.5pt"/>
            </w:pict>
          </mc:Fallback>
        </mc:AlternateContent>
        <mc:AlternateContent>
          <mc:Choice Requires="wps">
            <w:drawing>
              <wp:anchor simplePos="0" relativeHeight="251657728" behindDoc="1" locked="0" layoutInCell="0" allowOverlap="1">
                <wp:simplePos x="0" y="0"/>
                <wp:positionH relativeFrom="column">
                  <wp:posOffset>6854825</wp:posOffset>
                </wp:positionH>
                <wp:positionV relativeFrom="paragraph">
                  <wp:posOffset>-1816100</wp:posOffset>
                </wp:positionV>
                <wp:extent cx="0" cy="411924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9245"/>
                        </a:xfrm>
                        <a:prstGeom prst="line">
                          <a:avLst/>
                        </a:prstGeom>
                        <a:solidFill>
                          <a:srgbClr val="FFFFFF"/>
                        </a:solidFill>
                        <a:ln w="6350">
                          <a:solidFill>
                            <a:srgbClr val="274CA2"/>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143pt" to="539.75pt,181.35pt" o:allowincell="f" strokecolor="#274CA2" strokeweight="0.5pt"/>
            </w:pict>
          </mc:Fallback>
        </mc:AlternateContent>
      </w:r>
    </w:p>
    <w:p>
      <w:pPr>
        <w:spacing w:after="0" w:line="2" w:lineRule="exact"/>
        <w:rPr>
          <w:sz w:val="20"/>
          <w:szCs w:val="20"/>
          <w:color w:val="auto"/>
        </w:rPr>
      </w:pPr>
    </w:p>
    <w:p>
      <w:pPr>
        <w:ind w:right="120"/>
        <w:spacing w:after="0" w:line="317" w:lineRule="auto"/>
        <w:rPr>
          <w:sz w:val="20"/>
          <w:szCs w:val="20"/>
          <w:color w:val="auto"/>
        </w:rPr>
      </w:pPr>
      <w:r>
        <w:rPr>
          <w:rFonts w:ascii="Arial" w:cs="Arial" w:eastAsia="Arial" w:hAnsi="Arial"/>
          <w:sz w:val="20"/>
          <w:szCs w:val="20"/>
          <w:color w:val="161921"/>
        </w:rPr>
        <w:t>Whether an investor is seeking substantial monthly dividend income for a portfolio or a means of accessing the highly attractive investment opportunity in Agency MBS – an asset class that historically has only been available to institutional investors with sophisticated trading platforms – AGNC is an industry-leading solution with a proven track record of success.</w:t>
      </w:r>
    </w:p>
    <w:p>
      <w:pPr>
        <w:spacing w:after="0" w:line="26" w:lineRule="exact"/>
        <w:rPr>
          <w:sz w:val="20"/>
          <w:szCs w:val="20"/>
          <w:color w:val="auto"/>
        </w:rPr>
      </w:pPr>
    </w:p>
    <w:p>
      <w:pPr>
        <w:ind w:right="400"/>
        <w:spacing w:after="0" w:line="375" w:lineRule="auto"/>
        <w:rPr>
          <w:sz w:val="20"/>
          <w:szCs w:val="20"/>
          <w:color w:val="auto"/>
        </w:rPr>
      </w:pPr>
      <w:r>
        <w:rPr>
          <w:rFonts w:ascii="Arial" w:cs="Arial" w:eastAsia="Arial" w:hAnsi="Arial"/>
          <w:sz w:val="20"/>
          <w:szCs w:val="20"/>
          <w:color w:val="161921"/>
        </w:rPr>
        <w:t>As always, we appreciate your continued support of AGNC, and we wish you a healthy and prosperous 2025.</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161921"/>
        </w:rPr>
        <w:t>Best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161921"/>
        </w:rPr>
        <w:t>Peter J. Federico</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161921"/>
        </w:rPr>
        <w:t>President and Chief Executive Officer</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161921"/>
        </w:rPr>
        <w:t>February 21, 2025</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Yields</w:t>
      </w:r>
      <w:r>
        <w:rPr>
          <w:rFonts w:ascii="Arial" w:cs="Arial" w:eastAsia="Arial" w:hAnsi="Arial"/>
          <w:sz w:val="11"/>
          <w:szCs w:val="11"/>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158750</wp:posOffset>
            </wp:positionV>
            <wp:extent cx="203835" cy="227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9">
                      <a:extLst>
                        <a:ext uri="{28A0092B-C50C-407E-A947-70E740481C1C}"/>
                      </a:extLst>
                    </a:blip>
                    <a:srcRect/>
                    <a:stretch>
                      <a:fillRect/>
                    </a:stretch>
                  </pic:blipFill>
                  <pic:spPr bwMode="auto">
                    <a:xfrm>
                      <a:off x="0" y="0"/>
                      <a:ext cx="203835" cy="227965"/>
                    </a:xfrm>
                    <a:prstGeom prst="rect">
                      <a:avLst/>
                    </a:prstGeom>
                    <a:noFill/>
                  </pic:spPr>
                </pic:pic>
              </a:graphicData>
            </a:graphic>
          </wp:anchor>
        </w:drawing>
        <w:drawing>
          <wp:anchor simplePos="0" relativeHeight="251657728" behindDoc="1" locked="0" layoutInCell="0" allowOverlap="1">
            <wp:simplePos x="0" y="0"/>
            <wp:positionH relativeFrom="column">
              <wp:posOffset>662305</wp:posOffset>
            </wp:positionH>
            <wp:positionV relativeFrom="paragraph">
              <wp:posOffset>158750</wp:posOffset>
            </wp:positionV>
            <wp:extent cx="203835" cy="227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0">
                      <a:extLst>
                        <a:ext uri="{28A0092B-C50C-407E-A947-70E740481C1C}"/>
                      </a:extLst>
                    </a:blip>
                    <a:srcRect/>
                    <a:stretch>
                      <a:fillRect/>
                    </a:stretch>
                  </pic:blipFill>
                  <pic:spPr bwMode="auto">
                    <a:xfrm>
                      <a:off x="0" y="0"/>
                      <a:ext cx="203835" cy="227965"/>
                    </a:xfrm>
                    <a:prstGeom prst="rect">
                      <a:avLst/>
                    </a:prstGeom>
                    <a:noFill/>
                  </pic:spPr>
                </pic:pic>
              </a:graphicData>
            </a:graphic>
          </wp:anchor>
        </w:drawing>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00" w:type="dxa"/>
            <w:vAlign w:val="bottom"/>
            <w:vMerge w:val="restart"/>
          </w:tcPr>
          <w:p>
            <w:pPr>
              <w:jc w:val="right"/>
              <w:ind w:right="120"/>
              <w:spacing w:after="0"/>
              <w:rPr>
                <w:sz w:val="20"/>
                <w:szCs w:val="20"/>
                <w:color w:val="auto"/>
              </w:rPr>
            </w:pPr>
            <w:r>
              <w:rPr>
                <w:rFonts w:ascii="Arial" w:cs="Arial" w:eastAsia="Arial" w:hAnsi="Arial"/>
                <w:sz w:val="20"/>
                <w:szCs w:val="20"/>
                <w:color w:val="161920"/>
                <w:w w:val="98"/>
              </w:rPr>
              <w:t>18.0%</w:t>
            </w:r>
          </w:p>
        </w:tc>
        <w:tc>
          <w:tcPr>
            <w:tcW w:w="20" w:type="dxa"/>
            <w:vAlign w:val="bottom"/>
          </w:tcPr>
          <w:p>
            <w:pPr>
              <w:spacing w:after="0"/>
              <w:rPr>
                <w:sz w:val="17"/>
                <w:szCs w:val="17"/>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24"/>
                <w:szCs w:val="24"/>
                <w:color w:val="274CA2"/>
              </w:rPr>
              <w:t>15.6%</w:t>
            </w: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0" w:type="dxa"/>
            <w:vAlign w:val="bottom"/>
            <w:vMerge w:val="continue"/>
          </w:tcPr>
          <w:p>
            <w:pPr>
              <w:spacing w:after="0"/>
              <w:rPr>
                <w:sz w:val="19"/>
                <w:szCs w:val="19"/>
                <w:color w:val="auto"/>
              </w:rPr>
            </w:pPr>
          </w:p>
        </w:tc>
        <w:tc>
          <w:tcPr>
            <w:tcW w:w="20" w:type="dxa"/>
            <w:vAlign w:val="bottom"/>
            <w:shd w:val="clear" w:color="auto" w:fill="DBD8D3"/>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00" w:type="dxa"/>
            <w:vAlign w:val="bottom"/>
            <w:vMerge w:val="restart"/>
          </w:tcPr>
          <w:p>
            <w:pPr>
              <w:jc w:val="right"/>
              <w:ind w:right="120"/>
              <w:spacing w:after="0"/>
              <w:rPr>
                <w:sz w:val="20"/>
                <w:szCs w:val="20"/>
                <w:color w:val="auto"/>
              </w:rPr>
            </w:pPr>
            <w:r>
              <w:rPr>
                <w:rFonts w:ascii="Arial" w:cs="Arial" w:eastAsia="Arial" w:hAnsi="Arial"/>
                <w:sz w:val="20"/>
                <w:szCs w:val="20"/>
                <w:color w:val="161920"/>
                <w:w w:val="98"/>
              </w:rPr>
              <w:t>15.0%</w:t>
            </w:r>
          </w:p>
        </w:tc>
        <w:tc>
          <w:tcPr>
            <w:tcW w:w="20" w:type="dxa"/>
            <w:vAlign w:val="bottom"/>
            <w:shd w:val="clear" w:color="auto" w:fill="DBD8D3"/>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0" w:type="dxa"/>
            <w:vAlign w:val="bottom"/>
            <w:vMerge w:val="continue"/>
          </w:tcPr>
          <w:p>
            <w:pPr>
              <w:spacing w:after="0"/>
              <w:rPr>
                <w:sz w:val="2"/>
                <w:szCs w:val="2"/>
                <w:color w:val="auto"/>
              </w:rPr>
            </w:pPr>
          </w:p>
        </w:tc>
        <w:tc>
          <w:tcPr>
            <w:tcW w:w="20" w:type="dxa"/>
            <w:vAlign w:val="bottom"/>
            <w:vMerge w:val="restart"/>
            <w:shd w:val="clear" w:color="auto" w:fill="DBD8D3"/>
          </w:tcPr>
          <w:p>
            <w:pPr>
              <w:spacing w:after="0"/>
              <w:rPr>
                <w:sz w:val="2"/>
                <w:szCs w:val="2"/>
                <w:color w:val="auto"/>
              </w:rPr>
            </w:pPr>
          </w:p>
        </w:tc>
        <w:tc>
          <w:tcPr>
            <w:tcW w:w="1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6"/>
                <w:szCs w:val="16"/>
                <w:b w:val="1"/>
                <w:bCs w:val="1"/>
                <w:color w:val="6F6769"/>
              </w:rPr>
              <w:t>12.5%</w:t>
            </w:r>
          </w:p>
        </w:tc>
        <w:tc>
          <w:tcPr>
            <w:tcW w:w="720" w:type="dxa"/>
            <w:vAlign w:val="bottom"/>
            <w:vMerge w:val="restart"/>
          </w:tcPr>
          <w:p>
            <w:pPr>
              <w:jc w:val="right"/>
              <w:ind w:right="30"/>
              <w:spacing w:after="0"/>
              <w:rPr>
                <w:sz w:val="20"/>
                <w:szCs w:val="20"/>
                <w:color w:val="auto"/>
              </w:rPr>
            </w:pPr>
            <w:r>
              <w:rPr>
                <w:rFonts w:ascii="Arial" w:cs="Arial" w:eastAsia="Arial" w:hAnsi="Arial"/>
                <w:sz w:val="16"/>
                <w:szCs w:val="16"/>
                <w:b w:val="1"/>
                <w:bCs w:val="1"/>
                <w:color w:val="6F6769"/>
              </w:rPr>
              <w:t>11.5%</w:t>
            </w: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800" w:type="dxa"/>
            <w:vAlign w:val="bottom"/>
            <w:vMerge w:val="continue"/>
          </w:tcPr>
          <w:p>
            <w:pPr>
              <w:spacing w:after="0"/>
              <w:rPr>
                <w:sz w:val="24"/>
                <w:szCs w:val="24"/>
                <w:color w:val="auto"/>
              </w:rPr>
            </w:pPr>
          </w:p>
        </w:tc>
        <w:tc>
          <w:tcPr>
            <w:tcW w:w="20" w:type="dxa"/>
            <w:vAlign w:val="bottom"/>
            <w:vMerge w:val="continue"/>
            <w:shd w:val="clear" w:color="auto" w:fill="DBD8D3"/>
          </w:tcPr>
          <w:p>
            <w:pPr>
              <w:spacing w:after="0"/>
              <w:rPr>
                <w:sz w:val="24"/>
                <w:szCs w:val="24"/>
                <w:color w:val="auto"/>
              </w:rPr>
            </w:pPr>
          </w:p>
        </w:tc>
        <w:tc>
          <w:tcPr>
            <w:tcW w:w="120" w:type="dxa"/>
            <w:vAlign w:val="bottom"/>
            <w:vMerge w:val="continue"/>
          </w:tcPr>
          <w:p>
            <w:pPr>
              <w:spacing w:after="0"/>
              <w:rPr>
                <w:sz w:val="24"/>
                <w:szCs w:val="24"/>
                <w:color w:val="auto"/>
              </w:rPr>
            </w:pPr>
          </w:p>
        </w:tc>
        <w:tc>
          <w:tcPr>
            <w:tcW w:w="440" w:type="dxa"/>
            <w:vAlign w:val="bottom"/>
            <w:shd w:val="clear" w:color="auto" w:fill="274CA2"/>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0" w:type="dxa"/>
            <w:vAlign w:val="bottom"/>
            <w:vMerge w:val="restart"/>
          </w:tcPr>
          <w:p>
            <w:pPr>
              <w:jc w:val="right"/>
              <w:ind w:right="120"/>
              <w:spacing w:after="0"/>
              <w:rPr>
                <w:sz w:val="20"/>
                <w:szCs w:val="20"/>
                <w:color w:val="auto"/>
              </w:rPr>
            </w:pPr>
            <w:r>
              <w:rPr>
                <w:rFonts w:ascii="Arial" w:cs="Arial" w:eastAsia="Arial" w:hAnsi="Arial"/>
                <w:sz w:val="20"/>
                <w:szCs w:val="20"/>
                <w:color w:val="161920"/>
                <w:w w:val="98"/>
              </w:rPr>
              <w:t>12.0%</w:t>
            </w:r>
          </w:p>
        </w:tc>
        <w:tc>
          <w:tcPr>
            <w:tcW w:w="20" w:type="dxa"/>
            <w:vAlign w:val="bottom"/>
            <w:shd w:val="clear" w:color="auto" w:fill="DBD8D3"/>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shd w:val="clear" w:color="auto" w:fill="274CA2"/>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800" w:type="dxa"/>
            <w:vAlign w:val="bottom"/>
            <w:vMerge w:val="continue"/>
          </w:tcPr>
          <w:p>
            <w:pPr>
              <w:spacing w:after="0"/>
              <w:rPr>
                <w:sz w:val="24"/>
                <w:szCs w:val="24"/>
                <w:color w:val="auto"/>
              </w:rPr>
            </w:pPr>
          </w:p>
        </w:tc>
        <w:tc>
          <w:tcPr>
            <w:tcW w:w="20" w:type="dxa"/>
            <w:vAlign w:val="bottom"/>
            <w:shd w:val="clear" w:color="auto" w:fill="DBD8D3"/>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shd w:val="clear" w:color="auto" w:fill="274CA2"/>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800" w:type="dxa"/>
            <w:vAlign w:val="bottom"/>
          </w:tcPr>
          <w:p>
            <w:pPr>
              <w:jc w:val="right"/>
              <w:ind w:right="120"/>
              <w:spacing w:after="0"/>
              <w:rPr>
                <w:sz w:val="20"/>
                <w:szCs w:val="20"/>
                <w:color w:val="auto"/>
              </w:rPr>
            </w:pPr>
            <w:r>
              <w:rPr>
                <w:rFonts w:ascii="Arial" w:cs="Arial" w:eastAsia="Arial" w:hAnsi="Arial"/>
                <w:sz w:val="20"/>
                <w:szCs w:val="20"/>
                <w:color w:val="161920"/>
              </w:rPr>
              <w:t>9.0%</w:t>
            </w:r>
          </w:p>
        </w:tc>
        <w:tc>
          <w:tcPr>
            <w:tcW w:w="20" w:type="dxa"/>
            <w:vAlign w:val="bottom"/>
            <w:shd w:val="clear" w:color="auto" w:fill="DBD8D3"/>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shd w:val="clear" w:color="auto" w:fill="274CA2"/>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0" w:type="dxa"/>
            <w:vAlign w:val="bottom"/>
          </w:tcPr>
          <w:p>
            <w:pPr>
              <w:jc w:val="right"/>
              <w:ind w:right="120"/>
              <w:spacing w:after="0"/>
              <w:rPr>
                <w:sz w:val="20"/>
                <w:szCs w:val="20"/>
                <w:color w:val="auto"/>
              </w:rPr>
            </w:pPr>
            <w:r>
              <w:rPr>
                <w:rFonts w:ascii="Arial" w:cs="Arial" w:eastAsia="Arial" w:hAnsi="Arial"/>
                <w:sz w:val="20"/>
                <w:szCs w:val="20"/>
                <w:color w:val="161920"/>
              </w:rPr>
              <w:t>6.0%</w:t>
            </w:r>
          </w:p>
        </w:tc>
        <w:tc>
          <w:tcPr>
            <w:tcW w:w="20" w:type="dxa"/>
            <w:vAlign w:val="bottom"/>
            <w:shd w:val="clear" w:color="auto" w:fill="DBD8D3"/>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shd w:val="clear" w:color="auto" w:fill="274CA2"/>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6"/>
                <w:szCs w:val="16"/>
                <w:b w:val="1"/>
                <w:bCs w:val="1"/>
                <w:color w:val="6F6769"/>
              </w:rPr>
              <w:t>4.7%</w:t>
            </w:r>
          </w:p>
        </w:tc>
        <w:tc>
          <w:tcPr>
            <w:tcW w:w="700" w:type="dxa"/>
            <w:vAlign w:val="bottom"/>
            <w:vMerge w:val="restart"/>
          </w:tcPr>
          <w:p>
            <w:pPr>
              <w:ind w:left="160"/>
              <w:spacing w:after="0"/>
              <w:rPr>
                <w:sz w:val="20"/>
                <w:szCs w:val="20"/>
                <w:color w:val="auto"/>
              </w:rPr>
            </w:pPr>
            <w:r>
              <w:rPr>
                <w:rFonts w:ascii="Arial" w:cs="Arial" w:eastAsia="Arial" w:hAnsi="Arial"/>
                <w:sz w:val="16"/>
                <w:szCs w:val="16"/>
                <w:b w:val="1"/>
                <w:bCs w:val="1"/>
                <w:color w:val="6F6769"/>
              </w:rPr>
              <w:t>3.7%</w:t>
            </w:r>
          </w:p>
        </w:tc>
        <w:tc>
          <w:tcPr>
            <w:tcW w:w="700" w:type="dxa"/>
            <w:vAlign w:val="bottom"/>
            <w:vMerge w:val="restart"/>
          </w:tcPr>
          <w:p>
            <w:pPr>
              <w:ind w:left="160"/>
              <w:spacing w:after="0"/>
              <w:rPr>
                <w:sz w:val="20"/>
                <w:szCs w:val="20"/>
                <w:color w:val="auto"/>
              </w:rPr>
            </w:pPr>
            <w:r>
              <w:rPr>
                <w:rFonts w:ascii="Arial" w:cs="Arial" w:eastAsia="Arial" w:hAnsi="Arial"/>
                <w:sz w:val="16"/>
                <w:szCs w:val="16"/>
                <w:b w:val="1"/>
                <w:bCs w:val="1"/>
                <w:color w:val="6F6769"/>
              </w:rPr>
              <w:t>3.2%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00" w:type="dxa"/>
            <w:vAlign w:val="bottom"/>
            <w:vMerge w:val="restart"/>
          </w:tcPr>
          <w:p>
            <w:pPr>
              <w:jc w:val="right"/>
              <w:ind w:right="120"/>
              <w:spacing w:after="0"/>
              <w:rPr>
                <w:sz w:val="20"/>
                <w:szCs w:val="20"/>
                <w:color w:val="auto"/>
              </w:rPr>
            </w:pPr>
            <w:r>
              <w:rPr>
                <w:rFonts w:ascii="Arial" w:cs="Arial" w:eastAsia="Arial" w:hAnsi="Arial"/>
                <w:sz w:val="20"/>
                <w:szCs w:val="20"/>
                <w:color w:val="161920"/>
              </w:rPr>
              <w:t>3.0%</w:t>
            </w:r>
          </w:p>
        </w:tc>
        <w:tc>
          <w:tcPr>
            <w:tcW w:w="20" w:type="dxa"/>
            <w:vAlign w:val="bottom"/>
            <w:shd w:val="clear" w:color="auto" w:fill="DBD8D3"/>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shd w:val="clear" w:color="auto" w:fill="274CA2"/>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6"/>
                <w:szCs w:val="16"/>
                <w:b w:val="1"/>
                <w:bCs w:val="1"/>
                <w:color w:val="6F6769"/>
              </w:rPr>
              <w:t>1.9%</w:t>
            </w:r>
          </w:p>
        </w:tc>
        <w:tc>
          <w:tcPr>
            <w:tcW w:w="0" w:type="dxa"/>
            <w:vAlign w:val="bottom"/>
          </w:tcPr>
          <w:p>
            <w:pPr>
              <w:spacing w:after="0"/>
              <w:rPr>
                <w:sz w:val="1"/>
                <w:szCs w:val="1"/>
                <w:color w:val="auto"/>
              </w:rPr>
            </w:pPr>
          </w:p>
        </w:tc>
      </w:tr>
      <w:tr>
        <w:trPr>
          <w:trHeight w:val="270"/>
        </w:trPr>
        <w:tc>
          <w:tcPr>
            <w:tcW w:w="800" w:type="dxa"/>
            <w:vAlign w:val="bottom"/>
            <w:vMerge w:val="continue"/>
          </w:tcPr>
          <w:p>
            <w:pPr>
              <w:spacing w:after="0"/>
              <w:rPr>
                <w:sz w:val="23"/>
                <w:szCs w:val="23"/>
                <w:color w:val="auto"/>
              </w:rPr>
            </w:pPr>
          </w:p>
        </w:tc>
        <w:tc>
          <w:tcPr>
            <w:tcW w:w="20" w:type="dxa"/>
            <w:vAlign w:val="bottom"/>
            <w:shd w:val="clear" w:color="auto" w:fill="DBD8D3"/>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shd w:val="clear" w:color="auto" w:fill="274CA2"/>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800" w:type="dxa"/>
            <w:vAlign w:val="bottom"/>
            <w:vMerge w:val="restart"/>
          </w:tcPr>
          <w:p>
            <w:pPr>
              <w:jc w:val="right"/>
              <w:ind w:right="120"/>
              <w:spacing w:after="0"/>
              <w:rPr>
                <w:sz w:val="20"/>
                <w:szCs w:val="20"/>
                <w:color w:val="auto"/>
              </w:rPr>
            </w:pPr>
            <w:r>
              <w:rPr>
                <w:rFonts w:ascii="Arial" w:cs="Arial" w:eastAsia="Arial" w:hAnsi="Arial"/>
                <w:sz w:val="20"/>
                <w:szCs w:val="20"/>
                <w:color w:val="161920"/>
              </w:rPr>
              <w:t>0.0%</w:t>
            </w:r>
          </w:p>
        </w:tc>
        <w:tc>
          <w:tcPr>
            <w:tcW w:w="20" w:type="dxa"/>
            <w:vAlign w:val="bottom"/>
            <w:tcBorders>
              <w:bottom w:val="single" w:sz="8" w:color="DBD8D3"/>
            </w:tcBorders>
            <w:shd w:val="clear" w:color="auto" w:fill="DBD8D3"/>
          </w:tcPr>
          <w:p>
            <w:pPr>
              <w:spacing w:after="0"/>
              <w:rPr>
                <w:sz w:val="24"/>
                <w:szCs w:val="24"/>
                <w:color w:val="auto"/>
              </w:rPr>
            </w:pPr>
          </w:p>
        </w:tc>
        <w:tc>
          <w:tcPr>
            <w:tcW w:w="120" w:type="dxa"/>
            <w:vAlign w:val="bottom"/>
            <w:tcBorders>
              <w:bottom w:val="single" w:sz="8" w:color="DBD8D3"/>
            </w:tcBorders>
          </w:tcPr>
          <w:p>
            <w:pPr>
              <w:spacing w:after="0"/>
              <w:rPr>
                <w:sz w:val="24"/>
                <w:szCs w:val="24"/>
                <w:color w:val="auto"/>
              </w:rPr>
            </w:pPr>
          </w:p>
        </w:tc>
        <w:tc>
          <w:tcPr>
            <w:tcW w:w="440" w:type="dxa"/>
            <w:vAlign w:val="bottom"/>
            <w:tcBorders>
              <w:bottom w:val="single" w:sz="8" w:color="DBD8D3"/>
            </w:tcBorders>
            <w:shd w:val="clear" w:color="auto" w:fill="274CA2"/>
          </w:tcPr>
          <w:p>
            <w:pPr>
              <w:spacing w:after="0"/>
              <w:rPr>
                <w:sz w:val="24"/>
                <w:szCs w:val="24"/>
                <w:color w:val="auto"/>
              </w:rPr>
            </w:pPr>
          </w:p>
        </w:tc>
        <w:tc>
          <w:tcPr>
            <w:tcW w:w="180" w:type="dxa"/>
            <w:vAlign w:val="bottom"/>
            <w:tcBorders>
              <w:bottom w:val="single" w:sz="8" w:color="DBD8D3"/>
            </w:tcBorders>
          </w:tcPr>
          <w:p>
            <w:pPr>
              <w:spacing w:after="0"/>
              <w:rPr>
                <w:sz w:val="24"/>
                <w:szCs w:val="24"/>
                <w:color w:val="auto"/>
              </w:rPr>
            </w:pPr>
          </w:p>
        </w:tc>
        <w:tc>
          <w:tcPr>
            <w:tcW w:w="660" w:type="dxa"/>
            <w:vAlign w:val="bottom"/>
            <w:tcBorders>
              <w:bottom w:val="single" w:sz="8" w:color="DBD8D3"/>
            </w:tcBorders>
          </w:tcPr>
          <w:p>
            <w:pPr>
              <w:spacing w:after="0"/>
              <w:rPr>
                <w:sz w:val="24"/>
                <w:szCs w:val="24"/>
                <w:color w:val="auto"/>
              </w:rPr>
            </w:pPr>
          </w:p>
        </w:tc>
        <w:tc>
          <w:tcPr>
            <w:tcW w:w="720" w:type="dxa"/>
            <w:vAlign w:val="bottom"/>
            <w:tcBorders>
              <w:bottom w:val="single" w:sz="8" w:color="DBD8D3"/>
            </w:tcBorders>
          </w:tcPr>
          <w:p>
            <w:pPr>
              <w:spacing w:after="0"/>
              <w:rPr>
                <w:sz w:val="24"/>
                <w:szCs w:val="24"/>
                <w:color w:val="auto"/>
              </w:rPr>
            </w:pPr>
          </w:p>
        </w:tc>
        <w:tc>
          <w:tcPr>
            <w:tcW w:w="680" w:type="dxa"/>
            <w:vAlign w:val="bottom"/>
            <w:tcBorders>
              <w:bottom w:val="single" w:sz="8" w:color="DBD8D3"/>
            </w:tcBorders>
          </w:tcPr>
          <w:p>
            <w:pPr>
              <w:spacing w:after="0"/>
              <w:rPr>
                <w:sz w:val="24"/>
                <w:szCs w:val="24"/>
                <w:color w:val="auto"/>
              </w:rPr>
            </w:pPr>
          </w:p>
        </w:tc>
        <w:tc>
          <w:tcPr>
            <w:tcW w:w="700" w:type="dxa"/>
            <w:vAlign w:val="bottom"/>
            <w:tcBorders>
              <w:bottom w:val="single" w:sz="8" w:color="DBD8D3"/>
            </w:tcBorders>
          </w:tcPr>
          <w:p>
            <w:pPr>
              <w:spacing w:after="0"/>
              <w:rPr>
                <w:sz w:val="24"/>
                <w:szCs w:val="24"/>
                <w:color w:val="auto"/>
              </w:rPr>
            </w:pPr>
          </w:p>
        </w:tc>
        <w:tc>
          <w:tcPr>
            <w:tcW w:w="700" w:type="dxa"/>
            <w:vAlign w:val="bottom"/>
            <w:tcBorders>
              <w:bottom w:val="single" w:sz="8" w:color="DBD8D3"/>
            </w:tcBorders>
          </w:tcPr>
          <w:p>
            <w:pPr>
              <w:spacing w:after="0"/>
              <w:rPr>
                <w:sz w:val="24"/>
                <w:szCs w:val="24"/>
                <w:color w:val="auto"/>
              </w:rPr>
            </w:pPr>
          </w:p>
        </w:tc>
        <w:tc>
          <w:tcPr>
            <w:tcW w:w="700" w:type="dxa"/>
            <w:vAlign w:val="bottom"/>
            <w:tcBorders>
              <w:bottom w:val="single" w:sz="8" w:color="DBD8D3"/>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restart"/>
            <w:textDirection w:val="btLr"/>
          </w:tcPr>
          <w:p>
            <w:pPr>
              <w:spacing w:after="0"/>
              <w:rPr>
                <w:sz w:val="20"/>
                <w:szCs w:val="20"/>
                <w:color w:val="auto"/>
              </w:rPr>
            </w:pPr>
            <w:r>
              <w:rPr>
                <w:rFonts w:ascii="Arial" w:cs="Arial" w:eastAsia="Arial" w:hAnsi="Arial"/>
                <w:sz w:val="20"/>
                <w:szCs w:val="20"/>
                <w:color w:val="161920"/>
                <w:w w:val="96"/>
              </w:rPr>
              <w:t>AGNC</w:t>
            </w:r>
          </w:p>
        </w:tc>
        <w:tc>
          <w:tcPr>
            <w:tcW w:w="660" w:type="dxa"/>
            <w:vAlign w:val="bottom"/>
            <w:vMerge w:val="restart"/>
            <w:textDirection w:val="btLr"/>
          </w:tcPr>
          <w:p>
            <w:pPr>
              <w:ind w:left="106"/>
              <w:spacing w:after="0"/>
              <w:rPr>
                <w:sz w:val="20"/>
                <w:szCs w:val="20"/>
                <w:color w:val="auto"/>
              </w:rPr>
            </w:pPr>
            <w:r>
              <w:rPr>
                <w:rFonts w:ascii="Arial" w:cs="Arial" w:eastAsia="Arial" w:hAnsi="Arial"/>
                <w:sz w:val="20"/>
                <w:szCs w:val="20"/>
                <w:color w:val="161920"/>
              </w:rPr>
              <w:t>Mortgage REITs</w:t>
            </w:r>
          </w:p>
        </w:tc>
        <w:tc>
          <w:tcPr>
            <w:tcW w:w="720" w:type="dxa"/>
            <w:vAlign w:val="bottom"/>
            <w:vMerge w:val="restart"/>
            <w:textDirection w:val="btLr"/>
          </w:tcPr>
          <w:p>
            <w:pPr>
              <w:ind w:left="128"/>
              <w:spacing w:after="0"/>
              <w:rPr>
                <w:sz w:val="20"/>
                <w:szCs w:val="20"/>
                <w:color w:val="auto"/>
              </w:rPr>
            </w:pPr>
            <w:r>
              <w:rPr>
                <w:rFonts w:ascii="Arial" w:cs="Arial" w:eastAsia="Arial" w:hAnsi="Arial"/>
                <w:sz w:val="20"/>
                <w:szCs w:val="20"/>
                <w:color w:val="161920"/>
                <w:w w:val="99"/>
              </w:rPr>
              <w:t>BDCs</w:t>
            </w:r>
          </w:p>
        </w:tc>
        <w:tc>
          <w:tcPr>
            <w:tcW w:w="680" w:type="dxa"/>
            <w:vAlign w:val="bottom"/>
            <w:vMerge w:val="restart"/>
            <w:textDirection w:val="btLr"/>
          </w:tcPr>
          <w:p>
            <w:pPr>
              <w:ind w:left="335"/>
              <w:spacing w:after="0"/>
              <w:rPr>
                <w:sz w:val="20"/>
                <w:szCs w:val="20"/>
                <w:color w:val="auto"/>
              </w:rPr>
            </w:pPr>
            <w:r>
              <w:rPr>
                <w:rFonts w:ascii="Arial" w:cs="Arial" w:eastAsia="Arial" w:hAnsi="Arial"/>
                <w:sz w:val="20"/>
                <w:szCs w:val="20"/>
                <w:color w:val="161920"/>
                <w:w w:val="99"/>
              </w:rPr>
              <w:t>Agency MBS ETFs</w:t>
            </w:r>
          </w:p>
        </w:tc>
        <w:tc>
          <w:tcPr>
            <w:tcW w:w="700" w:type="dxa"/>
            <w:vAlign w:val="bottom"/>
            <w:vMerge w:val="restart"/>
            <w:textDirection w:val="btLr"/>
          </w:tcPr>
          <w:p>
            <w:pPr>
              <w:ind w:left="356"/>
              <w:spacing w:after="0"/>
              <w:rPr>
                <w:sz w:val="20"/>
                <w:szCs w:val="20"/>
                <w:color w:val="auto"/>
              </w:rPr>
            </w:pPr>
            <w:r>
              <w:rPr>
                <w:rFonts w:ascii="Arial" w:cs="Arial" w:eastAsia="Arial" w:hAnsi="Arial"/>
                <w:sz w:val="20"/>
                <w:szCs w:val="20"/>
                <w:color w:val="161920"/>
                <w:w w:val="98"/>
              </w:rPr>
              <w:t>Real Estate</w:t>
            </w:r>
          </w:p>
        </w:tc>
        <w:tc>
          <w:tcPr>
            <w:tcW w:w="700" w:type="dxa"/>
            <w:vAlign w:val="bottom"/>
            <w:vMerge w:val="restart"/>
            <w:textDirection w:val="btLr"/>
          </w:tcPr>
          <w:p>
            <w:pPr>
              <w:ind w:left="357"/>
              <w:spacing w:after="0"/>
              <w:rPr>
                <w:sz w:val="20"/>
                <w:szCs w:val="20"/>
                <w:color w:val="auto"/>
              </w:rPr>
            </w:pPr>
            <w:r>
              <w:rPr>
                <w:rFonts w:ascii="Arial" w:cs="Arial" w:eastAsia="Arial" w:hAnsi="Arial"/>
                <w:sz w:val="20"/>
                <w:szCs w:val="20"/>
                <w:color w:val="161920"/>
              </w:rPr>
              <w:t>Utilities</w:t>
            </w:r>
          </w:p>
        </w:tc>
        <w:tc>
          <w:tcPr>
            <w:tcW w:w="700" w:type="dxa"/>
            <w:vAlign w:val="bottom"/>
            <w:vMerge w:val="restart"/>
            <w:textDirection w:val="btLr"/>
          </w:tcPr>
          <w:p>
            <w:pPr>
              <w:ind w:left="358"/>
              <w:spacing w:after="0"/>
              <w:rPr>
                <w:sz w:val="20"/>
                <w:szCs w:val="20"/>
                <w:color w:val="auto"/>
              </w:rPr>
            </w:pPr>
            <w:r>
              <w:rPr>
                <w:rFonts w:ascii="Arial" w:cs="Arial" w:eastAsia="Arial" w:hAnsi="Arial"/>
                <w:sz w:val="20"/>
                <w:szCs w:val="20"/>
                <w:color w:val="161920"/>
              </w:rPr>
              <w:t>Financials</w:t>
            </w:r>
          </w:p>
        </w:tc>
        <w:tc>
          <w:tcPr>
            <w:tcW w:w="0" w:type="dxa"/>
            <w:vAlign w:val="bottom"/>
          </w:tcPr>
          <w:p>
            <w:pPr>
              <w:spacing w:after="0"/>
              <w:rPr>
                <w:sz w:val="1"/>
                <w:szCs w:val="1"/>
                <w:color w:val="auto"/>
              </w:rPr>
            </w:pPr>
          </w:p>
        </w:tc>
      </w:tr>
      <w:tr>
        <w:trPr>
          <w:trHeight w:val="1579"/>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-2576830</wp:posOffset>
            </wp:positionV>
            <wp:extent cx="2529205" cy="1447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1">
                      <a:extLst>
                        <a:ext uri="{28A0092B-C50C-407E-A947-70E740481C1C}"/>
                      </a:extLst>
                    </a:blip>
                    <a:srcRect/>
                    <a:stretch>
                      <a:fillRect/>
                    </a:stretch>
                  </pic:blipFill>
                  <pic:spPr bwMode="auto">
                    <a:xfrm>
                      <a:off x="0" y="0"/>
                      <a:ext cx="2529205" cy="1447165"/>
                    </a:xfrm>
                    <a:prstGeom prst="rect">
                      <a:avLst/>
                    </a:prstGeom>
                    <a:noFill/>
                  </pic:spPr>
                </pic:pic>
              </a:graphicData>
            </a:graphic>
          </wp:anchor>
        </w:drawing>
      </w:r>
    </w:p>
    <w:p>
      <w:pPr>
        <w:spacing w:after="0" w:line="2931" w:lineRule="exact"/>
        <w:rPr>
          <w:sz w:val="20"/>
          <w:szCs w:val="20"/>
          <w:color w:val="auto"/>
        </w:rPr>
      </w:pPr>
    </w:p>
    <w:p>
      <w:pPr>
        <w:sectPr>
          <w:pgSz w:w="11880" w:h="15480" w:orient="portrait"/>
          <w:cols w:equalWidth="0" w:num="2">
            <w:col w:w="4080" w:space="600"/>
            <w:col w:w="5760"/>
          </w:cols>
          <w:pgMar w:left="720" w:top="1440" w:right="72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-145415</wp:posOffset>
                </wp:positionH>
                <wp:positionV relativeFrom="paragraph">
                  <wp:posOffset>-56515</wp:posOffset>
                </wp:positionV>
                <wp:extent cx="0" cy="22796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7965"/>
                        </a:xfrm>
                        <a:prstGeom prst="line">
                          <a:avLst/>
                        </a:prstGeom>
                        <a:solidFill>
                          <a:srgbClr val="FFFFFF"/>
                        </a:solidFill>
                        <a:ln w="19050">
                          <a:solidFill>
                            <a:srgbClr val="274CA2"/>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499pt,-4.4499pt" to="-11.4499pt,13.5pt" o:allowincell="f" strokecolor="#274CA2" strokeweight="1.5pt"/>
            </w:pict>
          </mc:Fallback>
        </mc:AlternateContent>
      </w:r>
    </w:p>
    <w:p>
      <w:pPr>
        <w:spacing w:after="0"/>
        <w:rPr>
          <w:sz w:val="20"/>
          <w:szCs w:val="20"/>
          <w:color w:val="auto"/>
        </w:rPr>
      </w:pPr>
      <w:r>
        <w:rPr>
          <w:rFonts w:ascii="Arial" w:cs="Arial" w:eastAsia="Arial" w:hAnsi="Arial"/>
          <w:sz w:val="16"/>
          <w:szCs w:val="16"/>
          <w:color w:val="auto"/>
        </w:rPr>
        <w:t xml:space="preserve">2024 Annual Report </w:t>
      </w:r>
      <w:r>
        <w:rPr>
          <w:rFonts w:ascii="Arial" w:cs="Arial" w:eastAsia="Arial" w:hAnsi="Arial"/>
          <w:sz w:val="16"/>
          <w:szCs w:val="16"/>
          <w:color w:val="274CA2"/>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6</w:t>
      </w:r>
    </w:p>
    <w:p>
      <w:pPr>
        <w:sectPr>
          <w:pgSz w:w="11880" w:h="15480" w:orient="portrait"/>
          <w:cols w:equalWidth="0" w:num="1">
            <w:col w:w="10440"/>
          </w:cols>
          <w:pgMar w:left="720" w:top="1440" w:right="720" w:bottom="0" w:gutter="0" w:footer="0" w:header="0"/>
          <w:type w:val="continuous"/>
        </w:sectPr>
      </w:pPr>
    </w:p>
    <w:bookmarkStart w:id="8" w:name="page9"/>
    <w:bookmarkEnd w:id="8"/>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04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2">
                      <a:extLst>
                        <a:ext uri="{28A0092B-C50C-407E-A947-70E740481C1C}"/>
                      </a:extLst>
                    </a:blip>
                    <a:srcRect/>
                    <a:stretch>
                      <a:fillRect/>
                    </a:stretch>
                  </pic:blipFill>
                  <pic:spPr bwMode="auto">
                    <a:xfrm>
                      <a:off x="0" y="0"/>
                      <a:ext cx="7543800" cy="704850"/>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ENDNOTES AND IMPORTANT NOTICES</w:t>
      </w:r>
    </w:p>
    <w:p>
      <w:pPr>
        <w:spacing w:after="0" w:line="269" w:lineRule="exact"/>
        <w:rPr>
          <w:sz w:val="20"/>
          <w:szCs w:val="20"/>
          <w:color w:val="auto"/>
        </w:rPr>
      </w:pPr>
    </w:p>
    <w:p>
      <w:pPr>
        <w:ind w:left="360" w:hanging="360"/>
        <w:spacing w:after="0"/>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Unless otherwise specified, all data in this letter is presented as of December 31, 2024.</w:t>
      </w:r>
    </w:p>
    <w:p>
      <w:pPr>
        <w:spacing w:after="0" w:line="136" w:lineRule="exact"/>
        <w:rPr>
          <w:rFonts w:ascii="Arial" w:cs="Arial" w:eastAsia="Arial" w:hAnsi="Arial"/>
          <w:sz w:val="16"/>
          <w:szCs w:val="16"/>
          <w:color w:val="161921"/>
        </w:rPr>
      </w:pPr>
    </w:p>
    <w:p>
      <w:pPr>
        <w:ind w:left="360" w:right="40" w:hanging="360"/>
        <w:spacing w:after="0" w:line="272" w:lineRule="auto"/>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Total stock return is measured from AGNC’s May 2008 IPO through December 31, 2024; it includes price appreciation and dividend reinvestment, and dividends are assumed to be reinvested at the closing price of the security on the ex-dividend date. Where shown for comparison purposes, sectors reflect the following indices: BDCs (S&amp;P BDC Index), Financials (S&amp;P 500 Financials Index), Mortgage REITs (FTSE NAREIT Mortgage REITs Index), Real Estate (S&amp;P 500 Real Estate Index), and Utilities (S&amp;P 500 Utilities Index). Where shown for comparison purposes, Agency-focused residential mortgage REITs include Annaly Capital Management, Inc. (NLY), ARMOUR Residential REIT, Inc. (ARR), Dynex Capital, Inc. (DX), Invesco Mortgage Capital Inc. (IVR), Orchid Island Capital, Inc. (ORC), and Two Harbors Investment Corp. (TWO), and the Agency REIT Peer Group reflects an unweighted average of NLY, ARR, DX, IVR, ORC, and TWO. Where shown for comparison purposes, Agency MBS ETFs include First Trust Low Duration Opportunities ETF (LMBS), iShares MBS ETF (MBB), Janus Henderson Mortgage-Backed Securities ETF (JMBS), SPDR Portfolio Mortgage-Backed Bond ETF (SPMB), and Vanguard Mortgage-Backed Securities ETF (VMBS), and Agency MBS ETFs reflects an unweighted average of LMBS, MBB, JMBS, SPMB, and VMBS. If a company or ETF shown was not publicly traded as of the date of AGNC’s May 2008 IPO, its total stock return is measured beginning as of the date it became publicly traded. Comparative data provided for informational purposes only. Past performance is not indicative of future results. An investment in AGNC involves different risks and uncertainties from indices, companies, and ETFs cited. Please refer to our annual report on Form 10-K and quarterly reports on Form 10-Q for a more complete description of the risks of our business. Source: Bloomberg.</w:t>
      </w:r>
    </w:p>
    <w:p>
      <w:pPr>
        <w:ind w:left="360" w:right="220" w:hanging="360"/>
        <w:spacing w:after="0" w:line="339" w:lineRule="auto"/>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AGNC’s operating expense structure reflects operating expenses as a percentage of average stockholders’ equity for the twelve months ended December 31, 2024.</w:t>
      </w:r>
    </w:p>
    <w:p>
      <w:pPr>
        <w:ind w:left="360" w:right="540" w:hanging="360"/>
        <w:spacing w:after="0" w:line="339" w:lineRule="auto"/>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Homes financed is based upon management’s estimates of the number of homes financed by AGNC’s holdings of Agency MBS as of December 31, 2024.</w:t>
      </w:r>
    </w:p>
    <w:p>
      <w:pPr>
        <w:ind w:left="360" w:right="120" w:hanging="360"/>
        <w:spacing w:after="0" w:line="283" w:lineRule="auto"/>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When used in this letter, economic return is presented on a per common share basis and represents the sum of the change in tangible net book value per common share and dividends declared on common stock during the period over the beginning tangible net book value per common share. Where shown for comparison purposes, the Agency REIT Peer Group reflects an unweighted average of NLY, ARR, DX, IVR, ORC, and TWO. References to the one year or 2024 period are measured from December 31, 2023 through December 31, 2024. References to the since inception period are measured from June 30, 2008 (the first quarter-end following AGNC’s May 2008 IPO) through December 31, 2024 and are shown on an absolute, unannualized basis; if a company was not publicly traded as of June 30, 2008, its economic return is measured beginning as of its first quarterly reporting date following the date it became publicly traded.</w:t>
      </w:r>
    </w:p>
    <w:p>
      <w:pPr>
        <w:spacing w:after="0" w:line="1" w:lineRule="exact"/>
        <w:rPr>
          <w:rFonts w:ascii="Arial" w:cs="Arial" w:eastAsia="Arial" w:hAnsi="Arial"/>
          <w:sz w:val="16"/>
          <w:szCs w:val="16"/>
          <w:color w:val="161921"/>
        </w:rPr>
      </w:pPr>
    </w:p>
    <w:p>
      <w:pPr>
        <w:ind w:left="360" w:hanging="360"/>
        <w:spacing w:after="0"/>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Reflects the federal funds rate upper bound (target range of 5.25-5.50%).</w:t>
      </w:r>
    </w:p>
    <w:p>
      <w:pPr>
        <w:spacing w:after="0" w:line="136" w:lineRule="exact"/>
        <w:rPr>
          <w:rFonts w:ascii="Arial" w:cs="Arial" w:eastAsia="Arial" w:hAnsi="Arial"/>
          <w:sz w:val="16"/>
          <w:szCs w:val="16"/>
          <w:color w:val="161921"/>
        </w:rPr>
      </w:pPr>
    </w:p>
    <w:p>
      <w:pPr>
        <w:ind w:left="360" w:hanging="360"/>
        <w:spacing w:after="0"/>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MOVE Index reflects the ICE BofA Move Index from December 31, 2008 through December 31, 2024. Source: Bloomberg.</w:t>
      </w:r>
    </w:p>
    <w:p>
      <w:pPr>
        <w:spacing w:after="0" w:line="136" w:lineRule="exact"/>
        <w:rPr>
          <w:rFonts w:ascii="Arial" w:cs="Arial" w:eastAsia="Arial" w:hAnsi="Arial"/>
          <w:sz w:val="16"/>
          <w:szCs w:val="16"/>
          <w:color w:val="161921"/>
        </w:rPr>
      </w:pPr>
    </w:p>
    <w:p>
      <w:pPr>
        <w:ind w:left="360" w:hanging="360"/>
        <w:spacing w:after="0"/>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U.S. Treasury yield curve reflects month-end Treasury yields for each tenor and month shown. Source: Bloomberg.</w:t>
      </w:r>
    </w:p>
    <w:p>
      <w:pPr>
        <w:spacing w:after="0" w:line="136" w:lineRule="exact"/>
        <w:rPr>
          <w:rFonts w:ascii="Arial" w:cs="Arial" w:eastAsia="Arial" w:hAnsi="Arial"/>
          <w:sz w:val="16"/>
          <w:szCs w:val="16"/>
          <w:color w:val="161921"/>
        </w:rPr>
      </w:pPr>
    </w:p>
    <w:p>
      <w:pPr>
        <w:jc w:val="both"/>
        <w:ind w:left="360" w:right="80" w:hanging="360"/>
        <w:spacing w:after="0" w:line="313" w:lineRule="auto"/>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Agency MBS spread to U.S. Treasuries and Agency MBS spread to swaps reflect the 30-year current coupon Agency MBS yield spread to a 50/50 average of 5- and 10-year U.S. Treasury yields and a 50/50 average of 5- and 10-year SOFR OIS swaps, respectively, from December 31, 2008 through December 31, 2024.</w:t>
      </w:r>
    </w:p>
    <w:p>
      <w:pPr>
        <w:ind w:left="360" w:right="240" w:hanging="360"/>
        <w:spacing w:after="0" w:line="300" w:lineRule="auto"/>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Differential reflects the difference between the Agency MBS spread (as represented by the FNMA 30-year current coupon Z-spread) and the investment grade corporate bond spread (as represented by the Bloomberg U.S. Corporate Bond Index Z-spread) from December 31, 2008 through December 31, 2024. Values below -400 basis points have been excluded from the chart for scaling purposes. Source: Bloomberg and JP Morgan.</w:t>
      </w:r>
    </w:p>
    <w:p>
      <w:pPr>
        <w:ind w:left="360" w:right="380" w:hanging="360"/>
        <w:spacing w:after="0" w:line="313" w:lineRule="auto"/>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Agency MBS ownership composition data reflects approximate ownership based on the most recently available holdings data for each ownership category as of each year-end shown; private capital investors includes money managers, overseas, and REITs. Source: JP Morgan.</w:t>
      </w:r>
    </w:p>
    <w:p>
      <w:pPr>
        <w:ind w:left="360" w:hanging="360"/>
        <w:spacing w:after="0"/>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Information in this paragraph is as of the date of this letter (February 21, 2025).</w:t>
      </w:r>
    </w:p>
    <w:p>
      <w:pPr>
        <w:spacing w:after="0" w:line="136" w:lineRule="exact"/>
        <w:rPr>
          <w:rFonts w:ascii="Arial" w:cs="Arial" w:eastAsia="Arial" w:hAnsi="Arial"/>
          <w:sz w:val="16"/>
          <w:szCs w:val="16"/>
          <w:color w:val="161921"/>
        </w:rPr>
      </w:pPr>
    </w:p>
    <w:p>
      <w:pPr>
        <w:ind w:left="360" w:right="300" w:hanging="360"/>
        <w:spacing w:after="0" w:line="301" w:lineRule="auto"/>
        <w:tabs>
          <w:tab w:leader="none" w:pos="360" w:val="left"/>
        </w:tabs>
        <w:numPr>
          <w:ilvl w:val="0"/>
          <w:numId w:val="2"/>
        </w:numPr>
        <w:rPr>
          <w:rFonts w:ascii="Arial" w:cs="Arial" w:eastAsia="Arial" w:hAnsi="Arial"/>
          <w:sz w:val="16"/>
          <w:szCs w:val="16"/>
          <w:color w:val="161921"/>
        </w:rPr>
      </w:pPr>
      <w:r>
        <w:rPr>
          <w:rFonts w:ascii="Arial" w:cs="Arial" w:eastAsia="Arial" w:hAnsi="Arial"/>
          <w:sz w:val="16"/>
          <w:szCs w:val="16"/>
          <w:color w:val="161921"/>
        </w:rPr>
        <w:t>Dividend yields as of December 31, 2024. Where shown for comparison purposes, sectors reflect the following indices: Mortgage REITs (FTSE NAREIT Mortgage REITs Index), BDCs (S&amp;P BDC Index), Real Estate (S&amp;P 500 Real Estate Index), Utilities (S&amp;P 500 Utilities Index), and Financials (S&amp;P 500 Financials Index). Agency MBS ETFs reflects an unweighted average of LMBS, MBB, JMBS, SPMB, and VMBS. Comparative data provided for informational purposes only. Past performance is not indicative of future results. An investment in AGNC involves different risks and uncertainties from indices, companies, and ETFs cited. Please refer to our annual report on Form 10-K and quarterly reports on Form 10-Q for a more complete description of the risks of our business. Source: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73025</wp:posOffset>
            </wp:positionV>
            <wp:extent cx="6591300"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3">
                      <a:extLst>
                        <a:ext uri="{28A0092B-C50C-407E-A947-70E740481C1C}"/>
                      </a:extLst>
                    </a:blip>
                    <a:srcRect/>
                    <a:stretch>
                      <a:fillRect/>
                    </a:stretch>
                  </pic:blipFill>
                  <pic:spPr bwMode="auto">
                    <a:xfrm>
                      <a:off x="0" y="0"/>
                      <a:ext cx="6591300" cy="12700"/>
                    </a:xfrm>
                    <a:prstGeom prst="rect">
                      <a:avLst/>
                    </a:prstGeom>
                    <a:noFill/>
                  </pic:spPr>
                </pic:pic>
              </a:graphicData>
            </a:graphic>
          </wp:anchor>
        </w:drawing>
      </w:r>
    </w:p>
    <w:p>
      <w:pPr>
        <w:spacing w:after="0" w:line="316" w:lineRule="exact"/>
        <w:rPr>
          <w:sz w:val="20"/>
          <w:szCs w:val="20"/>
          <w:color w:val="auto"/>
        </w:rPr>
      </w:pPr>
    </w:p>
    <w:p>
      <w:pPr>
        <w:ind w:right="80"/>
        <w:spacing w:after="0" w:line="325" w:lineRule="auto"/>
        <w:rPr>
          <w:sz w:val="20"/>
          <w:szCs w:val="20"/>
          <w:color w:val="auto"/>
        </w:rPr>
      </w:pPr>
      <w:r>
        <w:rPr>
          <w:rFonts w:ascii="Arial" w:cs="Arial" w:eastAsia="Arial" w:hAnsi="Arial"/>
          <w:sz w:val="15"/>
          <w:szCs w:val="15"/>
          <w:b w:val="1"/>
          <w:bCs w:val="1"/>
          <w:color w:val="161921"/>
        </w:rPr>
        <w:t xml:space="preserve">IMPORTANT NOTICE: “AGNC,” the “Company,” “we,” “us,” or “our” refers to AGNC Investment Corp. This Annual Report contains forward-looking statements within the meaning of the Private Securities Litigation Reform Act. Forward-looking statements are based on estimates, projections, beliefs, and assumptions of management of the Company at the time of such statements and are not guarantees of future performance. As further described in the </w:t>
      </w:r>
      <w:r>
        <w:rPr>
          <w:rFonts w:ascii="Arial" w:cs="Arial" w:eastAsia="Arial" w:hAnsi="Arial"/>
          <w:sz w:val="15"/>
          <w:szCs w:val="15"/>
          <w:b w:val="1"/>
          <w:bCs w:val="1"/>
          <w:i w:val="1"/>
          <w:iCs w:val="1"/>
          <w:color w:val="161921"/>
        </w:rPr>
        <w:t>Management Discussion and Analysis</w:t>
      </w:r>
      <w:r>
        <w:rPr>
          <w:rFonts w:ascii="Arial" w:cs="Arial" w:eastAsia="Arial" w:hAnsi="Arial"/>
          <w:sz w:val="15"/>
          <w:szCs w:val="15"/>
          <w:b w:val="1"/>
          <w:bCs w:val="1"/>
          <w:color w:val="161921"/>
        </w:rPr>
        <w:t xml:space="preserve"> included in this Annual Report, forward-looking statements involve risks and uncertainties in predicting future results and conditions. Actual results could differ materially from those projected in these forward-looking statements or from our historic performance due to a variety of important factors.</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6774815</wp:posOffset>
                </wp:positionH>
                <wp:positionV relativeFrom="paragraph">
                  <wp:posOffset>-56515</wp:posOffset>
                </wp:positionV>
                <wp:extent cx="0" cy="22796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7965"/>
                        </a:xfrm>
                        <a:prstGeom prst="line">
                          <a:avLst/>
                        </a:prstGeom>
                        <a:solidFill>
                          <a:srgbClr val="FFFFFF"/>
                        </a:solidFill>
                        <a:ln w="19050">
                          <a:solidFill>
                            <a:srgbClr val="274CA2"/>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3.45pt,-4.4499pt" to="533.45pt,13.5pt" o:allowincell="f" strokecolor="#274CA2" strokeweight="1.5pt"/>
            </w:pict>
          </mc:Fallback>
        </mc:AlternateContent>
      </w:r>
    </w:p>
    <w:p>
      <w:pPr>
        <w:ind w:left="8360"/>
        <w:spacing w:after="0"/>
        <w:rPr>
          <w:sz w:val="20"/>
          <w:szCs w:val="20"/>
          <w:color w:val="auto"/>
        </w:rPr>
      </w:pPr>
      <w:r>
        <w:rPr>
          <w:rFonts w:ascii="Arial" w:cs="Arial" w:eastAsia="Arial" w:hAnsi="Arial"/>
          <w:sz w:val="16"/>
          <w:szCs w:val="16"/>
          <w:color w:val="auto"/>
        </w:rPr>
        <w:t xml:space="preserve">2024 Annual Report </w:t>
      </w:r>
      <w:r>
        <w:rPr>
          <w:rFonts w:ascii="Arial" w:cs="Arial" w:eastAsia="Arial" w:hAnsi="Arial"/>
          <w:sz w:val="16"/>
          <w:szCs w:val="16"/>
          <w:color w:val="274CA2"/>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7</w:t>
      </w:r>
    </w:p>
    <w:p>
      <w:pPr>
        <w:sectPr>
          <w:pgSz w:w="11880" w:h="15480" w:orient="portrait"/>
          <w:cols w:equalWidth="0" w:num="1">
            <w:col w:w="10460"/>
          </w:cols>
          <w:pgMar w:left="720" w:top="1440" w:right="700" w:bottom="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9"/>
          <w:szCs w:val="19"/>
          <w:b w:val="1"/>
          <w:bCs w:val="1"/>
          <w:color w:val="auto"/>
        </w:rPr>
        <mc:AlternateContent>
          <mc:Choice Requires="wps">
            <w:drawing>
              <wp:anchor simplePos="0" relativeHeight="251657728" behindDoc="1" locked="0" layoutInCell="0" allowOverlap="1">
                <wp:simplePos x="0" y="0"/>
                <wp:positionH relativeFrom="page">
                  <wp:posOffset>616585</wp:posOffset>
                </wp:positionH>
                <wp:positionV relativeFrom="page">
                  <wp:posOffset>368935</wp:posOffset>
                </wp:positionV>
                <wp:extent cx="630999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55pt,29.05pt" to="545.4pt,29.05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616585</wp:posOffset>
                </wp:positionH>
                <wp:positionV relativeFrom="page">
                  <wp:posOffset>415290</wp:posOffset>
                </wp:positionV>
                <wp:extent cx="630999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55pt,32.7pt" to="545.4pt,32.7pt" o:allowincell="f" strokecolor="#000000" strokeweight="1pt">
                <w10:wrap anchorx="page" anchory="page"/>
              </v:line>
            </w:pict>
          </mc:Fallback>
        </mc:AlternateContent>
        <w:t>UNITED STATES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68" w:lineRule="exact"/>
        <w:rPr>
          <w:sz w:val="20"/>
          <w:szCs w:val="20"/>
          <w:color w:val="auto"/>
        </w:rPr>
      </w:pPr>
    </w:p>
    <w:p>
      <w:pPr>
        <w:ind w:left="1540" w:hanging="1313"/>
        <w:spacing w:after="0"/>
        <w:tabs>
          <w:tab w:leader="none" w:pos="1540" w:val="left"/>
        </w:tabs>
        <w:numPr>
          <w:ilvl w:val="0"/>
          <w:numId w:val="3"/>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0" w:lineRule="exact"/>
        <w:rPr>
          <w:sz w:val="20"/>
          <w:szCs w:val="20"/>
          <w:color w:val="auto"/>
        </w:rPr>
      </w:pPr>
    </w:p>
    <w:p>
      <w:pPr>
        <w:ind w:left="3900" w:right="800" w:hanging="3673"/>
        <w:spacing w:after="0" w:line="396" w:lineRule="auto"/>
        <w:tabs>
          <w:tab w:leader="none" w:pos="1398" w:val="left"/>
        </w:tabs>
        <w:numPr>
          <w:ilvl w:val="0"/>
          <w:numId w:val="4"/>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001-34057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57785</wp:posOffset>
            </wp:positionV>
            <wp:extent cx="2051685" cy="619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4">
                      <a:extLst>
                        <a:ext uri="{28A0092B-C50C-407E-A947-70E740481C1C}"/>
                      </a:extLst>
                    </a:blip>
                    <a:srcRect/>
                    <a:stretch>
                      <a:fillRect/>
                    </a:stretch>
                  </pic:blipFill>
                  <pic:spPr bwMode="auto">
                    <a:xfrm>
                      <a:off x="0" y="0"/>
                      <a:ext cx="2051685" cy="61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AGNC INVESTMENT CORP.</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w:t>
      </w:r>
    </w:p>
    <w:p>
      <w:pPr>
        <w:sectPr>
          <w:pgSz w:w="11880" w:h="15480" w:orient="portrait"/>
          <w:cols w:equalWidth="0" w:num="1">
            <w:col w:w="10120"/>
          </w:cols>
          <w:pgMar w:left="880" w:top="683" w:right="880" w:bottom="98" w:gutter="0" w:footer="0" w:header="0"/>
        </w:sectPr>
      </w:pPr>
    </w:p>
    <w:p>
      <w:pPr>
        <w:spacing w:after="0" w:line="3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Delaware</w:t>
      </w:r>
    </w:p>
    <w:p>
      <w:pPr>
        <w:ind w:left="1520"/>
        <w:spacing w:after="0" w:line="231"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4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6"/>
          <w:szCs w:val="16"/>
          <w:b w:val="1"/>
          <w:bCs w:val="1"/>
          <w:color w:val="auto"/>
        </w:rPr>
        <w:t>26-1701984</w:t>
      </w:r>
    </w:p>
    <w:p>
      <w:pPr>
        <w:jc w:val="center"/>
        <w:ind w:right="1460"/>
        <w:spacing w:after="0" w:line="202" w:lineRule="auto"/>
        <w:rPr>
          <w:sz w:val="20"/>
          <w:szCs w:val="20"/>
          <w:color w:val="auto"/>
        </w:rPr>
      </w:pPr>
      <w:r>
        <w:rPr>
          <w:rFonts w:ascii="Times New Roman" w:cs="Times New Roman" w:eastAsia="Times New Roman" w:hAnsi="Times New Roman"/>
          <w:sz w:val="16"/>
          <w:szCs w:val="16"/>
          <w:b w:val="1"/>
          <w:bCs w:val="1"/>
          <w:color w:val="auto"/>
        </w:rPr>
        <w:t>(I.R.S. Employer</w:t>
      </w: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3" w:lineRule="exact"/>
        <w:rPr>
          <w:sz w:val="20"/>
          <w:szCs w:val="20"/>
          <w:color w:val="auto"/>
        </w:rPr>
      </w:pPr>
    </w:p>
    <w:p>
      <w:pPr>
        <w:sectPr>
          <w:pgSz w:w="11880" w:h="15480" w:orient="portrait"/>
          <w:cols w:equalWidth="0" w:num="2">
            <w:col w:w="6720" w:space="720"/>
            <w:col w:w="2680"/>
          </w:cols>
          <w:pgMar w:left="880" w:top="683" w:right="880" w:bottom="98"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7373 Wisconsin Avenue, 22nd Floor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Bethesda, Maryland 20814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(301) 968-9315</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w:t>
      </w:r>
    </w:p>
    <w:p>
      <w:pPr>
        <w:sectPr>
          <w:pgSz w:w="11880" w:h="15480" w:orient="portrait"/>
          <w:cols w:equalWidth="0" w:num="1">
            <w:col w:w="10120"/>
          </w:cols>
          <w:pgMar w:left="880" w:top="683" w:right="880" w:bottom="98"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60" w:type="dxa"/>
            <w:vAlign w:val="bottom"/>
          </w:tcPr>
          <w:p>
            <w:pPr>
              <w:spacing w:after="0"/>
              <w:rPr>
                <w:sz w:val="18"/>
                <w:szCs w:val="18"/>
                <w:color w:val="auto"/>
              </w:rPr>
            </w:pPr>
          </w:p>
        </w:tc>
        <w:tc>
          <w:tcPr>
            <w:tcW w:w="3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Name of Exchange on Which Registered</w:t>
            </w:r>
          </w:p>
        </w:tc>
        <w:tc>
          <w:tcPr>
            <w:tcW w:w="0" w:type="dxa"/>
            <w:vAlign w:val="bottom"/>
          </w:tcPr>
          <w:p>
            <w:pPr>
              <w:spacing w:after="0"/>
              <w:rPr>
                <w:sz w:val="1"/>
                <w:szCs w:val="1"/>
                <w:color w:val="auto"/>
              </w:rPr>
            </w:pPr>
          </w:p>
        </w:tc>
      </w:tr>
      <w:tr>
        <w:trPr>
          <w:trHeight w:val="211"/>
        </w:trPr>
        <w:tc>
          <w:tcPr>
            <w:tcW w:w="5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Common Stock, par value $0.01 per share</w:t>
            </w: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AGNC</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20" w:type="dxa"/>
            <w:vAlign w:val="bottom"/>
            <w:gridSpan w:val="3"/>
          </w:tcPr>
          <w:p>
            <w:pPr>
              <w:jc w:val="center"/>
              <w:ind w:right="582"/>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c>
          <w:tcPr>
            <w:tcW w:w="0" w:type="dxa"/>
            <w:vAlign w:val="bottom"/>
          </w:tcPr>
          <w:p>
            <w:pPr>
              <w:spacing w:after="0"/>
              <w:rPr>
                <w:sz w:val="1"/>
                <w:szCs w:val="1"/>
                <w:color w:val="auto"/>
              </w:rPr>
            </w:pPr>
          </w:p>
        </w:tc>
      </w:tr>
      <w:tr>
        <w:trPr>
          <w:trHeight w:val="160"/>
        </w:trPr>
        <w:tc>
          <w:tcPr>
            <w:tcW w:w="5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7"/>
              </w:rPr>
              <w:t>Depositary shares of 7.000% Series C Fixed-to-Floating Rate Cumulative</w:t>
            </w:r>
          </w:p>
        </w:tc>
        <w:tc>
          <w:tcPr>
            <w:tcW w:w="8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AGNCN</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20" w:type="dxa"/>
            <w:vAlign w:val="bottom"/>
            <w:gridSpan w:val="3"/>
            <w:vMerge w:val="restart"/>
          </w:tcPr>
          <w:p>
            <w:pPr>
              <w:jc w:val="center"/>
              <w:ind w:right="582"/>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c>
          <w:tcPr>
            <w:tcW w:w="0" w:type="dxa"/>
            <w:vAlign w:val="bottom"/>
          </w:tcPr>
          <w:p>
            <w:pPr>
              <w:spacing w:after="0"/>
              <w:rPr>
                <w:sz w:val="1"/>
                <w:szCs w:val="1"/>
                <w:color w:val="auto"/>
              </w:rPr>
            </w:pPr>
          </w:p>
        </w:tc>
      </w:tr>
      <w:tr>
        <w:trPr>
          <w:trHeight w:val="124"/>
        </w:trPr>
        <w:tc>
          <w:tcPr>
            <w:tcW w:w="5100" w:type="dxa"/>
            <w:vAlign w:val="bottom"/>
            <w:vMerge w:val="restart"/>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Redeemable Preferred Stock</w:t>
            </w:r>
          </w:p>
        </w:tc>
        <w:tc>
          <w:tcPr>
            <w:tcW w:w="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5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1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Depositary shares of 6.875% Series D Fixed-to-Floating Rate Cumulative</w:t>
            </w:r>
          </w:p>
        </w:tc>
        <w:tc>
          <w:tcPr>
            <w:tcW w:w="8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AGNCM</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20" w:type="dxa"/>
            <w:vAlign w:val="bottom"/>
            <w:gridSpan w:val="3"/>
            <w:vMerge w:val="restart"/>
          </w:tcPr>
          <w:p>
            <w:pPr>
              <w:jc w:val="center"/>
              <w:ind w:right="582"/>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c>
          <w:tcPr>
            <w:tcW w:w="0" w:type="dxa"/>
            <w:vAlign w:val="bottom"/>
          </w:tcPr>
          <w:p>
            <w:pPr>
              <w:spacing w:after="0"/>
              <w:rPr>
                <w:sz w:val="1"/>
                <w:szCs w:val="1"/>
                <w:color w:val="auto"/>
              </w:rPr>
            </w:pPr>
          </w:p>
        </w:tc>
      </w:tr>
      <w:tr>
        <w:trPr>
          <w:trHeight w:val="124"/>
        </w:trPr>
        <w:tc>
          <w:tcPr>
            <w:tcW w:w="5100" w:type="dxa"/>
            <w:vAlign w:val="bottom"/>
            <w:vMerge w:val="restart"/>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Redeemable Preferred Stock</w:t>
            </w:r>
          </w:p>
        </w:tc>
        <w:tc>
          <w:tcPr>
            <w:tcW w:w="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5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1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Depositary shares of 6.50% Series E Fixed-to-Floating Rate Cumulative</w:t>
            </w:r>
          </w:p>
        </w:tc>
        <w:tc>
          <w:tcPr>
            <w:tcW w:w="8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AGNCO</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20" w:type="dxa"/>
            <w:vAlign w:val="bottom"/>
            <w:gridSpan w:val="3"/>
            <w:vMerge w:val="restart"/>
          </w:tcPr>
          <w:p>
            <w:pPr>
              <w:jc w:val="center"/>
              <w:ind w:right="582"/>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c>
          <w:tcPr>
            <w:tcW w:w="0" w:type="dxa"/>
            <w:vAlign w:val="bottom"/>
          </w:tcPr>
          <w:p>
            <w:pPr>
              <w:spacing w:after="0"/>
              <w:rPr>
                <w:sz w:val="1"/>
                <w:szCs w:val="1"/>
                <w:color w:val="auto"/>
              </w:rPr>
            </w:pPr>
          </w:p>
        </w:tc>
      </w:tr>
      <w:tr>
        <w:trPr>
          <w:trHeight w:val="124"/>
        </w:trPr>
        <w:tc>
          <w:tcPr>
            <w:tcW w:w="5100" w:type="dxa"/>
            <w:vAlign w:val="bottom"/>
            <w:vMerge w:val="restart"/>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Redeemable Preferred Stock</w:t>
            </w:r>
          </w:p>
        </w:tc>
        <w:tc>
          <w:tcPr>
            <w:tcW w:w="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5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1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Depositary shares of 6.125% Series F Fixed-to-Floating Rate Cumulative</w:t>
            </w:r>
          </w:p>
        </w:tc>
        <w:tc>
          <w:tcPr>
            <w:tcW w:w="8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AGNCP</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20" w:type="dxa"/>
            <w:vAlign w:val="bottom"/>
            <w:gridSpan w:val="3"/>
            <w:vMerge w:val="restart"/>
          </w:tcPr>
          <w:p>
            <w:pPr>
              <w:jc w:val="center"/>
              <w:ind w:right="582"/>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c>
          <w:tcPr>
            <w:tcW w:w="0" w:type="dxa"/>
            <w:vAlign w:val="bottom"/>
          </w:tcPr>
          <w:p>
            <w:pPr>
              <w:spacing w:after="0"/>
              <w:rPr>
                <w:sz w:val="1"/>
                <w:szCs w:val="1"/>
                <w:color w:val="auto"/>
              </w:rPr>
            </w:pPr>
          </w:p>
        </w:tc>
      </w:tr>
      <w:tr>
        <w:trPr>
          <w:trHeight w:val="124"/>
        </w:trPr>
        <w:tc>
          <w:tcPr>
            <w:tcW w:w="5100" w:type="dxa"/>
            <w:vAlign w:val="bottom"/>
            <w:vMerge w:val="restart"/>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Redeemable Preferred Stock</w:t>
            </w:r>
          </w:p>
        </w:tc>
        <w:tc>
          <w:tcPr>
            <w:tcW w:w="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5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1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Depositary shares of 7.75% Series G Fixed-Rate Reset Cumulative</w:t>
            </w:r>
          </w:p>
        </w:tc>
        <w:tc>
          <w:tcPr>
            <w:tcW w:w="8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AGNCL</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20" w:type="dxa"/>
            <w:vAlign w:val="bottom"/>
            <w:gridSpan w:val="3"/>
            <w:vMerge w:val="restart"/>
          </w:tcPr>
          <w:p>
            <w:pPr>
              <w:jc w:val="center"/>
              <w:ind w:right="582"/>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c>
          <w:tcPr>
            <w:tcW w:w="0" w:type="dxa"/>
            <w:vAlign w:val="bottom"/>
          </w:tcPr>
          <w:p>
            <w:pPr>
              <w:spacing w:after="0"/>
              <w:rPr>
                <w:sz w:val="1"/>
                <w:szCs w:val="1"/>
                <w:color w:val="auto"/>
              </w:rPr>
            </w:pPr>
          </w:p>
        </w:tc>
      </w:tr>
      <w:tr>
        <w:trPr>
          <w:trHeight w:val="124"/>
        </w:trPr>
        <w:tc>
          <w:tcPr>
            <w:tcW w:w="5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Redeemable Preferred Stock</w:t>
            </w:r>
          </w:p>
        </w:tc>
        <w:tc>
          <w:tcPr>
            <w:tcW w:w="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51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300" w:type="dxa"/>
            <w:vAlign w:val="bottom"/>
            <w:gridSpan w:val="5"/>
          </w:tcPr>
          <w:p>
            <w:pPr>
              <w:ind w:left="2940"/>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12(g) of the Act: None</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720" w:type="dxa"/>
            <w:vAlign w:val="bottom"/>
            <w:gridSpan w:val="6"/>
          </w:tcPr>
          <w:p>
            <w:pPr>
              <w:ind w:left="340"/>
              <w:spacing w:after="0"/>
              <w:rPr>
                <w:sz w:val="20"/>
                <w:szCs w:val="20"/>
                <w:color w:val="auto"/>
              </w:rPr>
            </w:pPr>
            <w:r>
              <w:rPr>
                <w:rFonts w:ascii="Times New Roman" w:cs="Times New Roman" w:eastAsia="Times New Roman" w:hAnsi="Times New Roman"/>
                <w:sz w:val="16"/>
                <w:szCs w:val="16"/>
                <w:color w:val="auto"/>
                <w:w w:val="97"/>
              </w:rPr>
              <w:t>Indicate by check mark if the registrant is a well-known seasoned issuer, as defined in Rule 405 of the Securities Act.</w:t>
            </w:r>
          </w:p>
        </w:tc>
        <w:tc>
          <w:tcPr>
            <w:tcW w:w="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Yes </w:t>
            </w:r>
            <w:r>
              <w:rPr>
                <w:rFonts w:ascii="Arial" w:cs="Arial" w:eastAsia="Arial" w:hAnsi="Arial"/>
                <w:sz w:val="16"/>
                <w:szCs w:val="16"/>
                <w:b w:val="1"/>
                <w:bCs w:val="1"/>
                <w:color w:val="auto"/>
              </w:rPr>
              <w:t>ý</w:t>
            </w:r>
          </w:p>
        </w:tc>
        <w:tc>
          <w:tcPr>
            <w:tcW w:w="1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No </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2"/>
        </w:trPr>
        <w:tc>
          <w:tcPr>
            <w:tcW w:w="73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w w:val="97"/>
              </w:rPr>
              <w:t>Indicate by check mark if the registrant is not required to file reports pursuant to Section 13 or 15(d) of the Act.</w:t>
            </w: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Yes</w:t>
            </w:r>
          </w:p>
        </w:tc>
        <w:tc>
          <w:tcPr>
            <w:tcW w:w="560" w:type="dxa"/>
            <w:vAlign w:val="bottom"/>
          </w:tcPr>
          <w:p>
            <w:pPr>
              <w:ind w:left="60"/>
              <w:spacing w:after="0"/>
              <w:rPr>
                <w:sz w:val="20"/>
                <w:szCs w:val="20"/>
                <w:color w:val="auto"/>
              </w:rPr>
            </w:pP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No</w:t>
            </w:r>
          </w:p>
        </w:tc>
        <w:tc>
          <w:tcPr>
            <w:tcW w:w="1840" w:type="dxa"/>
            <w:vAlign w:val="bottom"/>
          </w:tcPr>
          <w:p>
            <w:pPr>
              <w:ind w:left="60"/>
              <w:spacing w:after="0"/>
              <w:rPr>
                <w:sz w:val="20"/>
                <w:szCs w:val="20"/>
                <w:color w:val="auto"/>
              </w:rPr>
            </w:pPr>
            <w:r>
              <w:rPr>
                <w:rFonts w:ascii="Arial" w:cs="Arial" w:eastAsia="Arial" w:hAnsi="Arial"/>
                <w:sz w:val="16"/>
                <w:szCs w:val="16"/>
                <w:b w:val="1"/>
                <w:bCs w:val="1"/>
                <w:color w:val="auto"/>
              </w:rPr>
              <w:t>ý</w:t>
            </w:r>
          </w:p>
        </w:tc>
        <w:tc>
          <w:tcPr>
            <w:tcW w:w="0" w:type="dxa"/>
            <w:vAlign w:val="bottom"/>
          </w:tcPr>
          <w:p>
            <w:pPr>
              <w:spacing w:after="0"/>
              <w:rPr>
                <w:sz w:val="1"/>
                <w:szCs w:val="1"/>
                <w:color w:val="auto"/>
              </w:rPr>
            </w:pPr>
          </w:p>
        </w:tc>
      </w:tr>
    </w:tbl>
    <w:p>
      <w:pPr>
        <w:jc w:val="both"/>
        <w:ind w:right="200" w:firstLine="349"/>
        <w:spacing w:after="0" w:line="18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w:t>
      </w:r>
    </w:p>
    <w:p>
      <w:pPr>
        <w:spacing w:after="0" w:line="185" w:lineRule="exact"/>
        <w:tabs>
          <w:tab w:leader="none" w:pos="8660" w:val="left"/>
        </w:tabs>
        <w:rPr>
          <w:sz w:val="20"/>
          <w:szCs w:val="20"/>
          <w:color w:val="auto"/>
        </w:rPr>
      </w:pPr>
      <w:r>
        <w:rPr>
          <w:rFonts w:ascii="Times New Roman" w:cs="Times New Roman" w:eastAsia="Times New Roman" w:hAnsi="Times New Roman"/>
          <w:sz w:val="16"/>
          <w:szCs w:val="16"/>
          <w:color w:val="auto"/>
        </w:rPr>
        <w:t xml:space="preserve">Regulation S-T during the preceding 12 months (or for such shorter period that the registrant was required to submit such files).  Yes </w:t>
      </w:r>
      <w:r>
        <w:rPr>
          <w:rFonts w:ascii="Arial" w:cs="Arial" w:eastAsia="Arial" w:hAnsi="Arial"/>
          <w:sz w:val="16"/>
          <w:szCs w:val="16"/>
          <w:b w:val="1"/>
          <w:bCs w:val="1"/>
          <w:color w:val="auto"/>
        </w:rPr>
        <w:t>x</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4" w:lineRule="exact"/>
        <w:rPr>
          <w:sz w:val="20"/>
          <w:szCs w:val="20"/>
          <w:color w:val="auto"/>
        </w:rPr>
      </w:pPr>
    </w:p>
    <w:p>
      <w:pPr>
        <w:ind w:right="100" w:firstLine="349"/>
        <w:spacing w:after="0" w:line="24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5" w:lineRule="exact"/>
        <w:rPr>
          <w:sz w:val="20"/>
          <w:szCs w:val="20"/>
          <w:color w:val="auto"/>
        </w:rPr>
      </w:pPr>
    </w:p>
    <w:tbl>
      <w:tblPr>
        <w:tblLayout w:type="fixed"/>
        <w:tblInd w:w="2100" w:type="dxa"/>
        <w:tblCellMar>
          <w:top w:w="0" w:type="dxa"/>
          <w:left w:w="0" w:type="dxa"/>
          <w:bottom w:w="0" w:type="dxa"/>
          <w:right w:w="0" w:type="dxa"/>
        </w:tblCellMar>
      </w:tblP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660" w:type="dxa"/>
            <w:vAlign w:val="bottom"/>
          </w:tcPr>
          <w:p>
            <w:pPr>
              <w:ind w:left="3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660" w:type="dxa"/>
            <w:vAlign w:val="bottom"/>
          </w:tcPr>
          <w:p>
            <w:pPr>
              <w:ind w:left="3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3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52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51" w:lineRule="exact"/>
        <w:rPr>
          <w:sz w:val="20"/>
          <w:szCs w:val="20"/>
          <w:color w:val="auto"/>
        </w:rPr>
      </w:pPr>
    </w:p>
    <w:p>
      <w:pPr>
        <w:ind w:right="280" w:firstLine="349"/>
        <w:spacing w:after="0" w:line="25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b w:val="1"/>
          <w:bCs w:val="1"/>
          <w:color w:val="auto"/>
        </w:rPr>
        <w:t>¨</w:t>
      </w:r>
    </w:p>
    <w:p>
      <w:pPr>
        <w:jc w:val="both"/>
        <w:ind w:right="100" w:firstLine="349"/>
        <w:spacing w:after="0" w:line="18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2" w:lineRule="exact"/>
        <w:rPr>
          <w:sz w:val="20"/>
          <w:szCs w:val="20"/>
          <w:color w:val="auto"/>
        </w:rPr>
      </w:pPr>
    </w:p>
    <w:p>
      <w:pPr>
        <w:ind w:right="340" w:firstLine="349"/>
        <w:spacing w:after="0" w:line="174"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ind w:right="180" w:firstLine="349"/>
        <w:spacing w:after="0" w:line="225"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6"/>
          <w:szCs w:val="16"/>
          <w:b w:val="1"/>
          <w:bCs w:val="1"/>
          <w:color w:val="auto"/>
        </w:rPr>
        <w:t>¨</w:t>
      </w:r>
    </w:p>
    <w:p>
      <w:pPr>
        <w:spacing w:after="0" w:line="1" w:lineRule="exact"/>
        <w:rPr>
          <w:sz w:val="20"/>
          <w:szCs w:val="20"/>
          <w:color w:val="auto"/>
        </w:rPr>
      </w:pPr>
    </w:p>
    <w:p>
      <w:pPr>
        <w:ind w:left="340"/>
        <w:spacing w:after="0" w:line="185" w:lineRule="exact"/>
        <w:tabs>
          <w:tab w:leader="none" w:pos="7540" w:val="left"/>
          <w:tab w:leader="none" w:pos="81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Arial" w:cs="Arial" w:eastAsia="Arial" w:hAnsi="Arial"/>
          <w:sz w:val="16"/>
          <w:szCs w:val="16"/>
          <w:b w:val="1"/>
          <w:bCs w:val="1"/>
          <w:color w:val="auto"/>
        </w:rPr>
        <w:t>x</w:t>
      </w:r>
    </w:p>
    <w:p>
      <w:pPr>
        <w:spacing w:after="0" w:line="3" w:lineRule="exact"/>
        <w:rPr>
          <w:sz w:val="20"/>
          <w:szCs w:val="20"/>
          <w:color w:val="auto"/>
        </w:rPr>
      </w:pPr>
    </w:p>
    <w:p>
      <w:pPr>
        <w:jc w:val="both"/>
        <w:ind w:firstLine="349"/>
        <w:spacing w:after="0" w:line="242" w:lineRule="auto"/>
        <w:rPr>
          <w:sz w:val="20"/>
          <w:szCs w:val="20"/>
          <w:color w:val="auto"/>
        </w:rPr>
      </w:pPr>
      <w:r>
        <w:rPr>
          <w:rFonts w:ascii="Times New Roman" w:cs="Times New Roman" w:eastAsia="Times New Roman" w:hAnsi="Times New Roman"/>
          <w:sz w:val="16"/>
          <w:szCs w:val="16"/>
          <w:color w:val="auto"/>
        </w:rPr>
        <w:t>As of June 30, 2024, the aggregate market value of the Registrant's common stock held by non-affiliates of the Registrant was approximately $6.7 billion based upon the closing price of the Registrant's common stock of $9.54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shares of the issuer's common stock, $0.01 par value, outstanding as of January 31, 2025 was 900,421,216.</w:t>
      </w:r>
    </w:p>
    <w:p>
      <w:pPr>
        <w:sectPr>
          <w:pgSz w:w="11880" w:h="15480" w:orient="portrait"/>
          <w:cols w:equalWidth="0" w:num="1">
            <w:col w:w="10120"/>
          </w:cols>
          <w:pgMar w:left="880" w:top="683" w:right="880" w:bottom="98" w:gutter="0" w:footer="0" w:header="0"/>
          <w:type w:val="continuous"/>
        </w:sectPr>
      </w:pPr>
    </w:p>
    <w:bookmarkStart w:id="11" w:name="page12"/>
    <w:bookmarkEnd w:id="11"/>
    <w:p>
      <w:pPr>
        <w:ind w:firstLine="349"/>
        <w:spacing w:after="0" w:line="289" w:lineRule="auto"/>
        <w:rPr>
          <w:sz w:val="20"/>
          <w:szCs w:val="20"/>
          <w:color w:val="auto"/>
        </w:rPr>
      </w:pPr>
      <w:r>
        <w:rPr>
          <w:rFonts w:ascii="Times New Roman" w:cs="Times New Roman" w:eastAsia="Times New Roman" w:hAnsi="Times New Roman"/>
          <w:sz w:val="14"/>
          <w:szCs w:val="14"/>
          <w:color w:val="auto"/>
        </w:rPr>
        <w:t>DOCUMENTS INCORPORATED BY REFERENCE. The information required by Part III will be incorporated by reference from the Registrant's definitive proxy statement for the 2025 Annual Meeting of Stockholders to be filed with the Securities and Exchange Commission pursuant to Regulation 14A.</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Certain exhibits previously filed with the Securities and Exchange Commission are incorporated by reference into Part IV of this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57785</wp:posOffset>
                </wp:positionH>
                <wp:positionV relativeFrom="paragraph">
                  <wp:posOffset>22225</wp:posOffset>
                </wp:positionV>
                <wp:extent cx="630999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pt,1.75pt" to="501.4pt,1.7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57785</wp:posOffset>
                </wp:positionH>
                <wp:positionV relativeFrom="paragraph">
                  <wp:posOffset>67945</wp:posOffset>
                </wp:positionV>
                <wp:extent cx="630999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pt,5.35pt" to="501.4pt,5.35pt" o:allowincell="f" strokecolor="#000000" strokeweight="1pt"/>
            </w:pict>
          </mc:Fallback>
        </mc:AlternateContent>
      </w:r>
    </w:p>
    <w:p>
      <w:pPr>
        <w:sectPr>
          <w:pgSz w:w="11880" w:h="15480" w:orient="portrait"/>
          <w:cols w:equalWidth="0" w:num="1">
            <w:col w:w="10120"/>
          </w:cols>
          <w:pgMar w:left="880" w:top="417" w:right="880" w:bottom="1440" w:gutter="0" w:footer="0" w:header="0"/>
        </w:sectPr>
      </w:pPr>
    </w:p>
    <w:bookmarkStart w:id="12" w:name="page13"/>
    <w:bookmarkEnd w:id="12"/>
    <w:p>
      <w:pPr>
        <w:ind w:left="3640"/>
        <w:spacing w:after="0"/>
        <w:rPr>
          <w:sz w:val="20"/>
          <w:szCs w:val="20"/>
          <w:color w:val="auto"/>
        </w:rPr>
      </w:pPr>
      <w:r>
        <w:rPr>
          <w:rFonts w:ascii="Times New Roman" w:cs="Times New Roman" w:eastAsia="Times New Roman" w:hAnsi="Times New Roman"/>
          <w:sz w:val="19"/>
          <w:szCs w:val="19"/>
          <w:b w:val="1"/>
          <w:bCs w:val="1"/>
          <w:color w:val="auto"/>
        </w:rPr>
        <w:t>AGNC INVESTMENT CORP.</w:t>
      </w:r>
    </w:p>
    <w:p>
      <w:pPr>
        <w:spacing w:after="0" w:line="1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PART I.</w:t>
      </w:r>
    </w:p>
    <w:p>
      <w:pPr>
        <w:spacing w:after="0" w:line="58" w:lineRule="exact"/>
        <w:rPr>
          <w:sz w:val="20"/>
          <w:szCs w:val="20"/>
          <w:color w:val="auto"/>
        </w:rPr>
      </w:pPr>
    </w:p>
    <w:p>
      <w:pPr>
        <w:spacing w:after="0"/>
        <w:tabs>
          <w:tab w:leader="none" w:pos="900" w:val="left"/>
          <w:tab w:leader="none" w:pos="9180" w:val="left"/>
        </w:tabs>
        <w:rPr>
          <w:sz w:val="20"/>
          <w:szCs w:val="20"/>
          <w:color w:val="auto"/>
        </w:rPr>
      </w:pPr>
      <w:r>
        <w:rPr>
          <w:rFonts w:ascii="Times New Roman" w:cs="Times New Roman" w:eastAsia="Times New Roman" w:hAnsi="Times New Roman"/>
          <w:sz w:val="19"/>
          <w:szCs w:val="19"/>
          <w:color w:val="auto"/>
        </w:rPr>
        <w:t>Item 1.</w:t>
      </w:r>
      <w:r>
        <w:rPr>
          <w:sz w:val="20"/>
          <w:szCs w:val="20"/>
          <w:color w:val="auto"/>
        </w:rPr>
        <w:tab/>
      </w:r>
      <w:r>
        <w:rPr>
          <w:rFonts w:ascii="Times New Roman" w:cs="Times New Roman" w:eastAsia="Times New Roman" w:hAnsi="Times New Roman"/>
          <w:sz w:val="19"/>
          <w:szCs w:val="19"/>
          <w:color w:val="auto"/>
        </w:rPr>
        <w:t xml:space="preserve">Business </w:t>
      </w:r>
      <w:r>
        <w:rPr>
          <w:rFonts w:ascii="Times New Roman" w:cs="Times New Roman" w:eastAsia="Times New Roman" w:hAnsi="Times New Roman"/>
          <w:sz w:val="19"/>
          <w:szCs w:val="19"/>
          <w:color w:val="B4B4B4"/>
        </w:rPr>
        <w:t>.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w:t>
      </w:r>
    </w:p>
    <w:p>
      <w:pPr>
        <w:spacing w:after="0" w:line="58" w:lineRule="exact"/>
        <w:rPr>
          <w:sz w:val="20"/>
          <w:szCs w:val="20"/>
          <w:color w:val="auto"/>
        </w:rPr>
      </w:pPr>
    </w:p>
    <w:p>
      <w:pPr>
        <w:spacing w:after="0"/>
        <w:tabs>
          <w:tab w:leader="none" w:pos="900" w:val="left"/>
          <w:tab w:leader="none" w:pos="9180" w:val="left"/>
        </w:tabs>
        <w:rPr>
          <w:sz w:val="20"/>
          <w:szCs w:val="20"/>
          <w:color w:val="auto"/>
        </w:rPr>
      </w:pPr>
      <w:r>
        <w:rPr>
          <w:rFonts w:ascii="Times New Roman" w:cs="Times New Roman" w:eastAsia="Times New Roman" w:hAnsi="Times New Roman"/>
          <w:sz w:val="19"/>
          <w:szCs w:val="19"/>
          <w:color w:val="auto"/>
        </w:rPr>
        <w:t>Item 1A.</w:t>
        <w:tab/>
        <w:t xml:space="preserve">Risk Factors </w:t>
      </w:r>
      <w:r>
        <w:rPr>
          <w:rFonts w:ascii="Times New Roman" w:cs="Times New Roman" w:eastAsia="Times New Roman" w:hAnsi="Times New Roman"/>
          <w:sz w:val="19"/>
          <w:szCs w:val="19"/>
          <w:color w:val="B4B4B4"/>
        </w:rPr>
        <w:t>.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7</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1B.</w:t>
        <w:tab/>
        <w:t xml:space="preserve">Unresolved Staff Comments </w:t>
      </w:r>
      <w:r>
        <w:rPr>
          <w:rFonts w:ascii="Times New Roman" w:cs="Times New Roman" w:eastAsia="Times New Roman" w:hAnsi="Times New Roman"/>
          <w:sz w:val="19"/>
          <w:szCs w:val="19"/>
          <w:color w:val="B4B4B4"/>
        </w:rPr>
        <w:t>. . . . . . . . . . . . . . . . . . . . . . . . . . . . . . . . . . . . . . . . . . . . . . . . . . . . . . . .</w:t>
      </w:r>
      <w:r>
        <w:rPr>
          <w:sz w:val="20"/>
          <w:szCs w:val="20"/>
          <w:color w:val="auto"/>
        </w:rPr>
        <w:tab/>
      </w:r>
      <w:r>
        <w:rPr>
          <w:rFonts w:ascii="Times New Roman" w:cs="Times New Roman" w:eastAsia="Times New Roman" w:hAnsi="Times New Roman"/>
          <w:sz w:val="19"/>
          <w:szCs w:val="19"/>
          <w:color w:val="auto"/>
        </w:rPr>
        <w:t>21</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1C.</w:t>
        <w:tab/>
        <w:t xml:space="preserve">Cybersecurity </w:t>
      </w:r>
      <w:r>
        <w:rPr>
          <w:rFonts w:ascii="Times New Roman" w:cs="Times New Roman" w:eastAsia="Times New Roman" w:hAnsi="Times New Roman"/>
          <w:sz w:val="19"/>
          <w:szCs w:val="19"/>
          <w:color w:val="B4B4B4"/>
        </w:rPr>
        <w:t>.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21</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2.</w:t>
      </w:r>
      <w:r>
        <w:rPr>
          <w:sz w:val="20"/>
          <w:szCs w:val="20"/>
          <w:color w:val="auto"/>
        </w:rPr>
        <w:tab/>
      </w:r>
      <w:r>
        <w:rPr>
          <w:rFonts w:ascii="Times New Roman" w:cs="Times New Roman" w:eastAsia="Times New Roman" w:hAnsi="Times New Roman"/>
          <w:sz w:val="19"/>
          <w:szCs w:val="19"/>
          <w:color w:val="auto"/>
        </w:rPr>
        <w:t xml:space="preserve">Properties </w:t>
      </w:r>
      <w:r>
        <w:rPr>
          <w:rFonts w:ascii="Times New Roman" w:cs="Times New Roman" w:eastAsia="Times New Roman" w:hAnsi="Times New Roman"/>
          <w:sz w:val="19"/>
          <w:szCs w:val="19"/>
          <w:color w:val="B4B4B4"/>
        </w:rPr>
        <w:t>.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22</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3.</w:t>
      </w:r>
      <w:r>
        <w:rPr>
          <w:sz w:val="20"/>
          <w:szCs w:val="20"/>
          <w:color w:val="auto"/>
        </w:rPr>
        <w:tab/>
      </w:r>
      <w:r>
        <w:rPr>
          <w:rFonts w:ascii="Times New Roman" w:cs="Times New Roman" w:eastAsia="Times New Roman" w:hAnsi="Times New Roman"/>
          <w:sz w:val="19"/>
          <w:szCs w:val="19"/>
          <w:color w:val="auto"/>
        </w:rPr>
        <w:t xml:space="preserve">Legal Proceedings </w:t>
      </w:r>
      <w:r>
        <w:rPr>
          <w:rFonts w:ascii="Times New Roman" w:cs="Times New Roman" w:eastAsia="Times New Roman" w:hAnsi="Times New Roman"/>
          <w:sz w:val="19"/>
          <w:szCs w:val="19"/>
          <w:color w:val="B4B4B4"/>
        </w:rPr>
        <w:t>.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22</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4.</w:t>
      </w:r>
      <w:r>
        <w:rPr>
          <w:sz w:val="20"/>
          <w:szCs w:val="20"/>
          <w:color w:val="auto"/>
        </w:rPr>
        <w:tab/>
      </w:r>
      <w:r>
        <w:rPr>
          <w:rFonts w:ascii="Times New Roman" w:cs="Times New Roman" w:eastAsia="Times New Roman" w:hAnsi="Times New Roman"/>
          <w:sz w:val="19"/>
          <w:szCs w:val="19"/>
          <w:color w:val="auto"/>
        </w:rPr>
        <w:t xml:space="preserve">Mine Safety Disclosures </w:t>
      </w:r>
      <w:r>
        <w:rPr>
          <w:rFonts w:ascii="Times New Roman" w:cs="Times New Roman" w:eastAsia="Times New Roman" w:hAnsi="Times New Roman"/>
          <w:sz w:val="19"/>
          <w:szCs w:val="19"/>
          <w:color w:val="B4B4B4"/>
        </w:rPr>
        <w:t>. . . . . . . . . . . . . . . . . . . . . . . . . . . . . . . . . . . . . . . . . . . . . . . . . . . . . . . . . . .</w:t>
      </w:r>
      <w:r>
        <w:rPr>
          <w:sz w:val="20"/>
          <w:szCs w:val="20"/>
          <w:color w:val="auto"/>
        </w:rPr>
        <w:tab/>
      </w:r>
      <w:r>
        <w:rPr>
          <w:rFonts w:ascii="Times New Roman" w:cs="Times New Roman" w:eastAsia="Times New Roman" w:hAnsi="Times New Roman"/>
          <w:sz w:val="19"/>
          <w:szCs w:val="19"/>
          <w:color w:val="auto"/>
        </w:rPr>
        <w:t>22</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PART II.</w:t>
      </w:r>
    </w:p>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Market for Registrant's Common Equity, Related Stockholder Matters, and Issuer Purchases of</w:t>
      </w: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5.</w:t>
      </w:r>
      <w:r>
        <w:rPr>
          <w:sz w:val="20"/>
          <w:szCs w:val="20"/>
          <w:color w:val="auto"/>
        </w:rPr>
        <w:tab/>
      </w:r>
      <w:r>
        <w:rPr>
          <w:rFonts w:ascii="Times New Roman" w:cs="Times New Roman" w:eastAsia="Times New Roman" w:hAnsi="Times New Roman"/>
          <w:sz w:val="19"/>
          <w:szCs w:val="19"/>
          <w:color w:val="auto"/>
        </w:rPr>
        <w:t xml:space="preserve">Equity Securities </w:t>
      </w:r>
      <w:r>
        <w:rPr>
          <w:rFonts w:ascii="Times New Roman" w:cs="Times New Roman" w:eastAsia="Times New Roman" w:hAnsi="Times New Roman"/>
          <w:sz w:val="19"/>
          <w:szCs w:val="19"/>
          <w:color w:val="B4B4B4"/>
        </w:rPr>
        <w:t>.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23</w:t>
      </w:r>
    </w:p>
    <w:p>
      <w:pPr>
        <w:spacing w:after="0" w:line="3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6.</w:t>
      </w:r>
      <w:r>
        <w:rPr>
          <w:sz w:val="20"/>
          <w:szCs w:val="20"/>
          <w:color w:val="auto"/>
        </w:rPr>
        <w:tab/>
      </w:r>
      <w:r>
        <w:rPr>
          <w:rFonts w:ascii="Times New Roman" w:cs="Times New Roman" w:eastAsia="Times New Roman" w:hAnsi="Times New Roman"/>
          <w:sz w:val="19"/>
          <w:szCs w:val="19"/>
          <w:color w:val="auto"/>
        </w:rPr>
        <w:t xml:space="preserve">Selected Financial Data  </w:t>
      </w:r>
      <w:r>
        <w:rPr>
          <w:rFonts w:ascii="Times New Roman" w:cs="Times New Roman" w:eastAsia="Times New Roman" w:hAnsi="Times New Roman"/>
          <w:sz w:val="19"/>
          <w:szCs w:val="19"/>
          <w:color w:val="B4B4B4"/>
        </w:rPr>
        <w:t>. . . . . . . . . . . . . . . . . . . . . . . . . . . . . . . . . . . . . . . . . . . . . . . . . . . . . . . . . . .</w:t>
      </w:r>
      <w:r>
        <w:rPr>
          <w:sz w:val="20"/>
          <w:szCs w:val="20"/>
          <w:color w:val="auto"/>
        </w:rPr>
        <w:tab/>
      </w:r>
      <w:r>
        <w:rPr>
          <w:rFonts w:ascii="Times New Roman" w:cs="Times New Roman" w:eastAsia="Times New Roman" w:hAnsi="Times New Roman"/>
          <w:sz w:val="19"/>
          <w:szCs w:val="19"/>
          <w:color w:val="auto"/>
        </w:rPr>
        <w:t>24</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7.</w:t>
      </w:r>
      <w:r>
        <w:rPr>
          <w:sz w:val="20"/>
          <w:szCs w:val="20"/>
          <w:color w:val="auto"/>
        </w:rPr>
        <w:tab/>
      </w:r>
      <w:r>
        <w:rPr>
          <w:rFonts w:ascii="Times New Roman" w:cs="Times New Roman" w:eastAsia="Times New Roman" w:hAnsi="Times New Roman"/>
          <w:sz w:val="19"/>
          <w:szCs w:val="19"/>
          <w:color w:val="auto"/>
        </w:rPr>
        <w:t xml:space="preserve">Management's Discussion and Analysis of Financial Condition and Results of Operations </w:t>
      </w:r>
      <w:r>
        <w:rPr>
          <w:rFonts w:ascii="Times New Roman" w:cs="Times New Roman" w:eastAsia="Times New Roman" w:hAnsi="Times New Roman"/>
          <w:sz w:val="19"/>
          <w:szCs w:val="19"/>
          <w:color w:val="B4B4B4"/>
        </w:rPr>
        <w:t>. . . . . . .</w:t>
      </w:r>
      <w:r>
        <w:rPr>
          <w:sz w:val="20"/>
          <w:szCs w:val="20"/>
          <w:color w:val="auto"/>
        </w:rPr>
        <w:tab/>
      </w:r>
      <w:r>
        <w:rPr>
          <w:rFonts w:ascii="Times New Roman" w:cs="Times New Roman" w:eastAsia="Times New Roman" w:hAnsi="Times New Roman"/>
          <w:sz w:val="19"/>
          <w:szCs w:val="19"/>
          <w:color w:val="auto"/>
        </w:rPr>
        <w:t>25</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7A.</w:t>
        <w:tab/>
        <w:t xml:space="preserve">Quantitative and Qualitative Disclosures About Market Risk </w:t>
      </w:r>
      <w:r>
        <w:rPr>
          <w:rFonts w:ascii="Times New Roman" w:cs="Times New Roman" w:eastAsia="Times New Roman" w:hAnsi="Times New Roman"/>
          <w:sz w:val="19"/>
          <w:szCs w:val="19"/>
          <w:color w:val="B4B4B4"/>
        </w:rPr>
        <w:t>. . . . . . . . . . . . . . . . . . . . . . . . . . . . . .</w:t>
      </w:r>
      <w:r>
        <w:rPr>
          <w:sz w:val="20"/>
          <w:szCs w:val="20"/>
          <w:color w:val="auto"/>
        </w:rPr>
        <w:tab/>
      </w:r>
      <w:r>
        <w:rPr>
          <w:rFonts w:ascii="Times New Roman" w:cs="Times New Roman" w:eastAsia="Times New Roman" w:hAnsi="Times New Roman"/>
          <w:sz w:val="19"/>
          <w:szCs w:val="19"/>
          <w:color w:val="auto"/>
        </w:rPr>
        <w:t>43</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8.</w:t>
      </w:r>
      <w:r>
        <w:rPr>
          <w:sz w:val="20"/>
          <w:szCs w:val="20"/>
          <w:color w:val="auto"/>
        </w:rPr>
        <w:tab/>
      </w:r>
      <w:r>
        <w:rPr>
          <w:rFonts w:ascii="Times New Roman" w:cs="Times New Roman" w:eastAsia="Times New Roman" w:hAnsi="Times New Roman"/>
          <w:sz w:val="19"/>
          <w:szCs w:val="19"/>
          <w:color w:val="auto"/>
        </w:rPr>
        <w:t xml:space="preserve">Financial Statements </w:t>
      </w:r>
      <w:r>
        <w:rPr>
          <w:rFonts w:ascii="Times New Roman" w:cs="Times New Roman" w:eastAsia="Times New Roman" w:hAnsi="Times New Roman"/>
          <w:sz w:val="19"/>
          <w:szCs w:val="19"/>
          <w:color w:val="B4B4B4"/>
        </w:rPr>
        <w:t>. . . . . . . . . . . . . . . . . . . . . . . . . . . . . . . . . . . . . . . . . . . . . . . . . . . . . . . . . . . . . .</w:t>
      </w:r>
      <w:r>
        <w:rPr>
          <w:sz w:val="20"/>
          <w:szCs w:val="20"/>
          <w:color w:val="auto"/>
        </w:rPr>
        <w:tab/>
      </w:r>
      <w:r>
        <w:rPr>
          <w:rFonts w:ascii="Times New Roman" w:cs="Times New Roman" w:eastAsia="Times New Roman" w:hAnsi="Times New Roman"/>
          <w:sz w:val="19"/>
          <w:szCs w:val="19"/>
          <w:color w:val="auto"/>
        </w:rPr>
        <w:t>46</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9.</w:t>
      </w:r>
      <w:r>
        <w:rPr>
          <w:sz w:val="20"/>
          <w:szCs w:val="20"/>
          <w:color w:val="auto"/>
        </w:rPr>
        <w:tab/>
      </w:r>
      <w:r>
        <w:rPr>
          <w:rFonts w:ascii="Times New Roman" w:cs="Times New Roman" w:eastAsia="Times New Roman" w:hAnsi="Times New Roman"/>
          <w:sz w:val="19"/>
          <w:szCs w:val="19"/>
          <w:color w:val="auto"/>
        </w:rPr>
        <w:t xml:space="preserve">Changes in and Disagreements with Accountants on Accounting and Financial Disclosure  </w:t>
      </w:r>
      <w:r>
        <w:rPr>
          <w:rFonts w:ascii="Times New Roman" w:cs="Times New Roman" w:eastAsia="Times New Roman" w:hAnsi="Times New Roman"/>
          <w:sz w:val="19"/>
          <w:szCs w:val="19"/>
          <w:color w:val="B4B4B4"/>
        </w:rPr>
        <w:t>. . . . . .</w:t>
      </w:r>
      <w:r>
        <w:rPr>
          <w:sz w:val="20"/>
          <w:szCs w:val="20"/>
          <w:color w:val="auto"/>
        </w:rPr>
        <w:tab/>
      </w:r>
      <w:r>
        <w:rPr>
          <w:rFonts w:ascii="Times New Roman" w:cs="Times New Roman" w:eastAsia="Times New Roman" w:hAnsi="Times New Roman"/>
          <w:sz w:val="19"/>
          <w:szCs w:val="19"/>
          <w:color w:val="auto"/>
        </w:rPr>
        <w:t>79</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9A.</w:t>
        <w:tab/>
        <w:t xml:space="preserve">Controls and Procedures </w:t>
      </w:r>
      <w:r>
        <w:rPr>
          <w:rFonts w:ascii="Times New Roman" w:cs="Times New Roman" w:eastAsia="Times New Roman" w:hAnsi="Times New Roman"/>
          <w:sz w:val="19"/>
          <w:szCs w:val="19"/>
          <w:color w:val="B4B4B4"/>
        </w:rPr>
        <w:t>. . . . . . . . . . . . . . . . . . . . . . . . . . . . . . . . . . . . . . . . . . . . . . . . . . . . . . . . . . .</w:t>
      </w:r>
      <w:r>
        <w:rPr>
          <w:sz w:val="20"/>
          <w:szCs w:val="20"/>
          <w:color w:val="auto"/>
        </w:rPr>
        <w:tab/>
      </w:r>
      <w:r>
        <w:rPr>
          <w:rFonts w:ascii="Times New Roman" w:cs="Times New Roman" w:eastAsia="Times New Roman" w:hAnsi="Times New Roman"/>
          <w:sz w:val="19"/>
          <w:szCs w:val="19"/>
          <w:color w:val="auto"/>
        </w:rPr>
        <w:t>79</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9B.</w:t>
        <w:tab/>
        <w:t xml:space="preserve">Other Information </w:t>
      </w:r>
      <w:r>
        <w:rPr>
          <w:rFonts w:ascii="Times New Roman" w:cs="Times New Roman" w:eastAsia="Times New Roman" w:hAnsi="Times New Roman"/>
          <w:sz w:val="19"/>
          <w:szCs w:val="19"/>
          <w:color w:val="B4B4B4"/>
        </w:rPr>
        <w:t>.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79</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PART III.</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10.</w:t>
        <w:tab/>
        <w:t xml:space="preserve">Directors, Executive Officers and Corporate Governance </w:t>
      </w:r>
      <w:r>
        <w:rPr>
          <w:rFonts w:ascii="Times New Roman" w:cs="Times New Roman" w:eastAsia="Times New Roman" w:hAnsi="Times New Roman"/>
          <w:sz w:val="19"/>
          <w:szCs w:val="19"/>
          <w:color w:val="B4B4B4"/>
        </w:rPr>
        <w:t>. . . . . . . . . . . . . . . . . . . . . . . . . . . . . . . . .</w:t>
      </w:r>
      <w:r>
        <w:rPr>
          <w:sz w:val="20"/>
          <w:szCs w:val="20"/>
          <w:color w:val="auto"/>
        </w:rPr>
        <w:tab/>
      </w:r>
      <w:r>
        <w:rPr>
          <w:rFonts w:ascii="Times New Roman" w:cs="Times New Roman" w:eastAsia="Times New Roman" w:hAnsi="Times New Roman"/>
          <w:sz w:val="19"/>
          <w:szCs w:val="19"/>
          <w:color w:val="auto"/>
        </w:rPr>
        <w:t>79</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11.</w:t>
        <w:tab/>
        <w:t xml:space="preserve">Executive Compensation </w:t>
      </w:r>
      <w:r>
        <w:rPr>
          <w:rFonts w:ascii="Times New Roman" w:cs="Times New Roman" w:eastAsia="Times New Roman" w:hAnsi="Times New Roman"/>
          <w:sz w:val="19"/>
          <w:szCs w:val="19"/>
          <w:color w:val="B4B4B4"/>
        </w:rPr>
        <w:t>. . . . . . . . . . . . . . . . . . . . . . . . . . . . . . . . . . . . . . . . . . . . . . . . . . . . . . . . . .</w:t>
      </w:r>
      <w:r>
        <w:rPr>
          <w:sz w:val="20"/>
          <w:szCs w:val="20"/>
          <w:color w:val="auto"/>
        </w:rPr>
        <w:tab/>
      </w:r>
      <w:r>
        <w:rPr>
          <w:rFonts w:ascii="Times New Roman" w:cs="Times New Roman" w:eastAsia="Times New Roman" w:hAnsi="Times New Roman"/>
          <w:sz w:val="19"/>
          <w:szCs w:val="19"/>
          <w:color w:val="auto"/>
        </w:rPr>
        <w:t>80</w:t>
      </w:r>
    </w:p>
    <w:p>
      <w:pPr>
        <w:spacing w:after="0" w:line="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Security Ownership of Certain Beneficial Owners and Management and Related Stockholder</w:t>
      </w: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12.</w:t>
        <w:tab/>
        <w:t xml:space="preserve">Matters </w:t>
      </w:r>
      <w:r>
        <w:rPr>
          <w:rFonts w:ascii="Times New Roman" w:cs="Times New Roman" w:eastAsia="Times New Roman" w:hAnsi="Times New Roman"/>
          <w:sz w:val="19"/>
          <w:szCs w:val="19"/>
          <w:color w:val="B4B4B4"/>
        </w:rPr>
        <w:t>.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80</w:t>
      </w:r>
    </w:p>
    <w:p>
      <w:pPr>
        <w:spacing w:after="0" w:line="3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13.</w:t>
        <w:tab/>
        <w:t xml:space="preserve">Certain Relationships and Related Transactions, and Director Independence </w:t>
      </w:r>
      <w:r>
        <w:rPr>
          <w:rFonts w:ascii="Times New Roman" w:cs="Times New Roman" w:eastAsia="Times New Roman" w:hAnsi="Times New Roman"/>
          <w:sz w:val="19"/>
          <w:szCs w:val="19"/>
          <w:color w:val="B4B4B4"/>
        </w:rPr>
        <w:t>. . . . . . . . . . . . . . . . . .</w:t>
      </w:r>
      <w:r>
        <w:rPr>
          <w:sz w:val="20"/>
          <w:szCs w:val="20"/>
          <w:color w:val="auto"/>
        </w:rPr>
        <w:tab/>
      </w:r>
      <w:r>
        <w:rPr>
          <w:rFonts w:ascii="Times New Roman" w:cs="Times New Roman" w:eastAsia="Times New Roman" w:hAnsi="Times New Roman"/>
          <w:sz w:val="19"/>
          <w:szCs w:val="19"/>
          <w:color w:val="auto"/>
        </w:rPr>
        <w:t>80</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14.</w:t>
        <w:tab/>
        <w:t xml:space="preserve">Principal Accounting Fees and Services </w:t>
      </w:r>
      <w:r>
        <w:rPr>
          <w:rFonts w:ascii="Times New Roman" w:cs="Times New Roman" w:eastAsia="Times New Roman" w:hAnsi="Times New Roman"/>
          <w:sz w:val="19"/>
          <w:szCs w:val="19"/>
          <w:color w:val="B4B4B4"/>
        </w:rPr>
        <w:t>. . . . . . . . . . . . . . . . . . . . . . . . . . . . . . . . . . . . . . . . . . . . . . .</w:t>
      </w:r>
      <w:r>
        <w:rPr>
          <w:sz w:val="20"/>
          <w:szCs w:val="20"/>
          <w:color w:val="auto"/>
        </w:rPr>
        <w:tab/>
      </w:r>
      <w:r>
        <w:rPr>
          <w:rFonts w:ascii="Times New Roman" w:cs="Times New Roman" w:eastAsia="Times New Roman" w:hAnsi="Times New Roman"/>
          <w:sz w:val="19"/>
          <w:szCs w:val="19"/>
          <w:color w:val="auto"/>
        </w:rPr>
        <w:t>80</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PART IV.</w:t>
      </w:r>
    </w:p>
    <w:p>
      <w:pPr>
        <w:spacing w:after="0" w:line="58" w:lineRule="exact"/>
        <w:rPr>
          <w:sz w:val="20"/>
          <w:szCs w:val="20"/>
          <w:color w:val="auto"/>
        </w:rPr>
      </w:pPr>
    </w:p>
    <w:p>
      <w:pPr>
        <w:spacing w:after="0"/>
        <w:tabs>
          <w:tab w:leader="none" w:pos="900" w:val="left"/>
          <w:tab w:leader="none" w:pos="9140" w:val="left"/>
        </w:tabs>
        <w:rPr>
          <w:sz w:val="20"/>
          <w:szCs w:val="20"/>
          <w:color w:val="auto"/>
        </w:rPr>
      </w:pPr>
      <w:r>
        <w:rPr>
          <w:rFonts w:ascii="Times New Roman" w:cs="Times New Roman" w:eastAsia="Times New Roman" w:hAnsi="Times New Roman"/>
          <w:sz w:val="19"/>
          <w:szCs w:val="19"/>
          <w:color w:val="auto"/>
        </w:rPr>
        <w:t>Item 15.</w:t>
        <w:tab/>
        <w:t xml:space="preserve">Exhibits </w:t>
      </w:r>
      <w:r>
        <w:rPr>
          <w:rFonts w:ascii="Times New Roman" w:cs="Times New Roman" w:eastAsia="Times New Roman" w:hAnsi="Times New Roman"/>
          <w:sz w:val="19"/>
          <w:szCs w:val="19"/>
          <w:color w:val="B4B4B4"/>
        </w:rPr>
        <w:t>.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81</w:t>
      </w:r>
    </w:p>
    <w:p>
      <w:pPr>
        <w:spacing w:after="0" w:line="58"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19"/>
          <w:szCs w:val="19"/>
          <w:color w:val="auto"/>
        </w:rPr>
        <w:t xml:space="preserve">Signatures  </w:t>
      </w:r>
      <w:r>
        <w:rPr>
          <w:rFonts w:ascii="Times New Roman" w:cs="Times New Roman" w:eastAsia="Times New Roman" w:hAnsi="Times New Roman"/>
          <w:sz w:val="19"/>
          <w:szCs w:val="19"/>
          <w:color w:val="B4B4B4"/>
        </w:rPr>
        <w:t>. . .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85</w:t>
      </w:r>
    </w:p>
    <w:p>
      <w:pPr>
        <w:sectPr>
          <w:pgSz w:w="11880" w:h="15480" w:orient="portrait"/>
          <w:cols w:equalWidth="0" w:num="1">
            <w:col w:w="9420"/>
          </w:cols>
          <w:pgMar w:left="1020" w:top="7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9420"/>
          </w:cols>
          <w:pgMar w:left="1020" w:top="704" w:right="1440" w:bottom="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196"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AGNC Investment Corp. ("AGNC," the "Company," "we," "us" and "our") was organized on January 7, 2008 and commenced operations on May 20, 2008 following the completion of our initial public offering. Our common stock is traded on The Nasdaq Global Select Market under the symbol "AGNC."</w:t>
      </w:r>
    </w:p>
    <w:p>
      <w:pPr>
        <w:spacing w:after="0" w:line="125"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assets related to the housing, mortgage or real estate markets that are not guaranteed by a GSE or U.S. Government agency.</w:t>
      </w:r>
    </w:p>
    <w:p>
      <w:pPr>
        <w:spacing w:after="0" w:line="13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32"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Investment Management Strategy</w:t>
      </w:r>
    </w:p>
    <w:p>
      <w:pPr>
        <w:spacing w:after="0" w:line="196" w:lineRule="exact"/>
        <w:rPr>
          <w:sz w:val="20"/>
          <w:szCs w:val="20"/>
          <w:color w:val="auto"/>
        </w:rPr>
      </w:pPr>
    </w:p>
    <w:p>
      <w:pPr>
        <w:jc w:val="both"/>
        <w:ind w:firstLine="436"/>
        <w:spacing w:after="0" w:line="271" w:lineRule="auto"/>
        <w:rPr>
          <w:sz w:val="20"/>
          <w:szCs w:val="20"/>
          <w:color w:val="auto"/>
        </w:rPr>
      </w:pPr>
      <w:r>
        <w:rPr>
          <w:rFonts w:ascii="Times New Roman" w:cs="Times New Roman" w:eastAsia="Times New Roman" w:hAnsi="Times New Roman"/>
          <w:sz w:val="19"/>
          <w:szCs w:val="19"/>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Our portfolio management philosophy is based upon the following core objectives:</w:t>
      </w:r>
    </w:p>
    <w:p>
      <w:pPr>
        <w:spacing w:after="0" w:line="308" w:lineRule="exact"/>
        <w:rPr>
          <w:sz w:val="20"/>
          <w:szCs w:val="20"/>
          <w:color w:val="auto"/>
        </w:rPr>
      </w:pPr>
    </w:p>
    <w:p>
      <w:pPr>
        <w:ind w:left="840" w:hanging="312"/>
        <w:spacing w:after="0"/>
        <w:tabs>
          <w:tab w:leader="none" w:pos="8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attractive risk-adjusted returns for our stockholders primarily through monthly dividend distributions;</w:t>
      </w:r>
    </w:p>
    <w:p>
      <w:pPr>
        <w:spacing w:after="0" w:line="72" w:lineRule="exact"/>
        <w:rPr>
          <w:rFonts w:ascii="Times New Roman" w:cs="Times New Roman" w:eastAsia="Times New Roman" w:hAnsi="Times New Roman"/>
          <w:sz w:val="19"/>
          <w:szCs w:val="19"/>
          <w:color w:val="auto"/>
        </w:rPr>
      </w:pPr>
    </w:p>
    <w:p>
      <w:pPr>
        <w:ind w:left="840" w:hanging="312"/>
        <w:spacing w:after="0"/>
        <w:tabs>
          <w:tab w:leader="none" w:pos="8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an investment portfolio consisting predominantly of Agency RMBS;</w:t>
      </w:r>
    </w:p>
    <w:p>
      <w:pPr>
        <w:spacing w:after="0" w:line="72" w:lineRule="exact"/>
        <w:rPr>
          <w:rFonts w:ascii="Times New Roman" w:cs="Times New Roman" w:eastAsia="Times New Roman" w:hAnsi="Times New Roman"/>
          <w:sz w:val="19"/>
          <w:szCs w:val="19"/>
          <w:color w:val="auto"/>
        </w:rPr>
      </w:pPr>
    </w:p>
    <w:p>
      <w:pPr>
        <w:ind w:left="840" w:hanging="312"/>
        <w:spacing w:after="0"/>
        <w:tabs>
          <w:tab w:leader="none" w:pos="8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capitalize on discrepancies in the relative valuations in the Agency and non-Agency securities market;</w:t>
      </w:r>
    </w:p>
    <w:p>
      <w:pPr>
        <w:spacing w:after="0" w:line="72" w:lineRule="exact"/>
        <w:rPr>
          <w:rFonts w:ascii="Times New Roman" w:cs="Times New Roman" w:eastAsia="Times New Roman" w:hAnsi="Times New Roman"/>
          <w:sz w:val="19"/>
          <w:szCs w:val="19"/>
          <w:color w:val="auto"/>
        </w:rPr>
      </w:pPr>
    </w:p>
    <w:p>
      <w:pPr>
        <w:ind w:left="840" w:hanging="312"/>
        <w:spacing w:after="0"/>
        <w:tabs>
          <w:tab w:leader="none" w:pos="8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 financing, interest rate, prepayment, extension and credit risks;</w:t>
      </w:r>
    </w:p>
    <w:p>
      <w:pPr>
        <w:spacing w:after="0" w:line="72" w:lineRule="exact"/>
        <w:rPr>
          <w:rFonts w:ascii="Times New Roman" w:cs="Times New Roman" w:eastAsia="Times New Roman" w:hAnsi="Times New Roman"/>
          <w:sz w:val="19"/>
          <w:szCs w:val="19"/>
          <w:color w:val="auto"/>
        </w:rPr>
      </w:pPr>
    </w:p>
    <w:p>
      <w:pPr>
        <w:ind w:left="840" w:hanging="312"/>
        <w:spacing w:after="0"/>
        <w:tabs>
          <w:tab w:leader="none" w:pos="8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qualify as a REIT; and</w:t>
      </w:r>
    </w:p>
    <w:p>
      <w:pPr>
        <w:spacing w:after="0" w:line="72" w:lineRule="exact"/>
        <w:rPr>
          <w:rFonts w:ascii="Times New Roman" w:cs="Times New Roman" w:eastAsia="Times New Roman" w:hAnsi="Times New Roman"/>
          <w:sz w:val="19"/>
          <w:szCs w:val="19"/>
          <w:color w:val="auto"/>
        </w:rPr>
      </w:pPr>
    </w:p>
    <w:p>
      <w:pPr>
        <w:ind w:left="840" w:hanging="312"/>
        <w:spacing w:after="0"/>
        <w:tabs>
          <w:tab w:leader="none" w:pos="8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remain exempt from the requirements of the Investment Company Act of 1940 (the "Investment Company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Targeted Investments</w:t>
      </w:r>
    </w:p>
    <w:p>
      <w:pPr>
        <w:spacing w:after="0" w:line="196"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Asset selection is a central component of our overall investment approach. Our investments consist predominantly of Agency RMBS which, in addition to carrying a GSE or U.S. Government guarantee against loss of principal, are considered a cornerstone of the U.S. financial system. The $8 trillion Agency market plays a vital role in providing liquidity to homeowners and prospective homeowners to purchase or refinance homes.</w:t>
      </w:r>
    </w:p>
    <w:p>
      <w:pPr>
        <w:spacing w:after="0" w:line="130"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Our team of investment professionals has decades of experience investing in Agency RMBS. Our asset selection process involves assessing relative risk-return profiles against the backdrop of broader market conditions. Utilizing sophisticated modeling techniques, we identify assets with favorable underlying loan characteristics with the objective of optimizing returns over the life of the investment.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Agency Securities</w:t>
      </w:r>
    </w:p>
    <w:p>
      <w:pPr>
        <w:spacing w:after="0" w:line="192" w:lineRule="exact"/>
        <w:rPr>
          <w:sz w:val="20"/>
          <w:szCs w:val="20"/>
          <w:color w:val="auto"/>
        </w:rPr>
      </w:pPr>
    </w:p>
    <w:p>
      <w:pPr>
        <w:jc w:val="both"/>
        <w:ind w:left="840" w:hanging="356"/>
        <w:spacing w:after="0" w:line="266" w:lineRule="auto"/>
        <w:tabs>
          <w:tab w:leader="none" w:pos="84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Agency Residential Mortgage-Backed Securities. </w:t>
      </w:r>
      <w:r>
        <w:rPr>
          <w:rFonts w:ascii="Times New Roman" w:cs="Times New Roman" w:eastAsia="Times New Roman" w:hAnsi="Times New Roman"/>
          <w:sz w:val="19"/>
          <w:szCs w:val="19"/>
          <w:color w:val="auto"/>
        </w:rPr>
        <w:t>Agency RMBS consist of pass-through certificates representing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interests in "pools" of mortgage loans secured by residential real property. Monthly payments of principal and interest made by the individual borrowers on the mortgage loans underlying the pools are in effect "passed through" to the security holders, after deducting guarantee and servicer fees. In general, mortgage pass-through certificates distribute cash flows from the underlying collateral on a pro rata basis among the security holders. Security holders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9960"/>
          </w:cols>
          <w:pgMar w:left="960" w:top="704" w:right="960" w:bottom="0" w:gutter="0" w:footer="0" w:header="0"/>
          <w:type w:val="continuous"/>
        </w:sectPr>
      </w:pPr>
    </w:p>
    <w:bookmarkStart w:id="14" w:name="page15"/>
    <w:bookmarkEnd w:id="14"/>
    <w:p>
      <w:pPr>
        <w:jc w:val="both"/>
        <w:ind w:left="840"/>
        <w:spacing w:after="0" w:line="274" w:lineRule="auto"/>
        <w:rPr>
          <w:sz w:val="20"/>
          <w:szCs w:val="20"/>
          <w:color w:val="auto"/>
        </w:rPr>
      </w:pPr>
      <w:r>
        <w:rPr>
          <w:rFonts w:ascii="Times New Roman" w:cs="Times New Roman" w:eastAsia="Times New Roman" w:hAnsi="Times New Roman"/>
          <w:sz w:val="19"/>
          <w:szCs w:val="19"/>
          <w:color w:val="auto"/>
        </w:rPr>
        <w:t>also receive guarantor advances of principal and interest for delinquent loans in the mortgage pools. We may also invest in Agency collateralized mortgage obligations ("CMOs"), which are structured instruments backed by a pool of Agency mortgage-backed securities.</w:t>
      </w:r>
    </w:p>
    <w:p>
      <w:pPr>
        <w:spacing w:after="0" w:line="121" w:lineRule="exact"/>
        <w:rPr>
          <w:sz w:val="20"/>
          <w:szCs w:val="20"/>
          <w:color w:val="auto"/>
        </w:rPr>
      </w:pPr>
    </w:p>
    <w:p>
      <w:pPr>
        <w:jc w:val="both"/>
        <w:ind w:left="840" w:hanging="356"/>
        <w:spacing w:after="0" w:line="276" w:lineRule="auto"/>
        <w:tabs>
          <w:tab w:leader="none" w:pos="840" w:val="left"/>
        </w:tabs>
        <w:numPr>
          <w:ilvl w:val="0"/>
          <w:numId w:val="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To-Be-Announced Forward Contracts ("TBAs"). </w:t>
      </w:r>
      <w:r>
        <w:rPr>
          <w:rFonts w:ascii="Times New Roman" w:cs="Times New Roman" w:eastAsia="Times New Roman" w:hAnsi="Times New Roman"/>
          <w:sz w:val="19"/>
          <w:szCs w:val="19"/>
          <w:color w:val="auto"/>
        </w:rPr>
        <w:t>TBAs are forward contracts to purchase or sell Agency RMBS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TBA market. TBA contracts specify the coupon rate, issuer, term and face value of the bonds to be delivered, with the actual bonds to be delivered only identified shortly before the TBA settlement date.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Non-Agency Securities</w:t>
      </w:r>
    </w:p>
    <w:p>
      <w:pPr>
        <w:spacing w:after="0" w:line="192" w:lineRule="exact"/>
        <w:rPr>
          <w:sz w:val="20"/>
          <w:szCs w:val="20"/>
          <w:color w:val="auto"/>
        </w:rPr>
      </w:pPr>
    </w:p>
    <w:p>
      <w:pPr>
        <w:jc w:val="both"/>
        <w:ind w:left="840" w:hanging="312"/>
        <w:spacing w:after="0" w:line="266" w:lineRule="auto"/>
        <w:tabs>
          <w:tab w:leader="none" w:pos="8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Credit Risk Transfer ("CRT") Securities. </w:t>
      </w:r>
      <w:r>
        <w:rPr>
          <w:rFonts w:ascii="Times New Roman" w:cs="Times New Roman" w:eastAsia="Times New Roman" w:hAnsi="Times New Roman"/>
          <w:sz w:val="19"/>
          <w:szCs w:val="19"/>
          <w:color w:val="auto"/>
        </w:rPr>
        <w:t>CRT securities are risk sharing instruments that transfer a portion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risk associated with credit losses within pools of conventional residential mortgage loans from the GSEs and/or third-parties to private investors. Full repayment of the original principal balance of CRT securities is not guaranteed by the GSE or other third-party; rather, "credit risk transfer" is achieved by writing down the outstanding principal balance of the CRT security if credit losses on the related pool of loans exceed certain thresholds.</w:t>
      </w:r>
    </w:p>
    <w:p>
      <w:pPr>
        <w:spacing w:after="0" w:line="138" w:lineRule="exact"/>
        <w:rPr>
          <w:rFonts w:ascii="Times New Roman" w:cs="Times New Roman" w:eastAsia="Times New Roman" w:hAnsi="Times New Roman"/>
          <w:sz w:val="19"/>
          <w:szCs w:val="19"/>
          <w:color w:val="auto"/>
        </w:rPr>
      </w:pPr>
    </w:p>
    <w:p>
      <w:pPr>
        <w:jc w:val="both"/>
        <w:ind w:left="840" w:hanging="312"/>
        <w:spacing w:after="0" w:line="248" w:lineRule="auto"/>
        <w:tabs>
          <w:tab w:leader="none" w:pos="840" w:val="left"/>
        </w:tabs>
        <w:numPr>
          <w:ilvl w:val="0"/>
          <w:numId w:val="8"/>
        </w:numPr>
        <w:rPr>
          <w:rFonts w:ascii="Calibri" w:cs="Calibri" w:eastAsia="Calibri" w:hAnsi="Calibri"/>
          <w:sz w:val="19"/>
          <w:szCs w:val="19"/>
          <w:b w:val="1"/>
          <w:bCs w:val="1"/>
          <w:color w:val="auto"/>
        </w:rPr>
      </w:pPr>
      <w:r>
        <w:rPr>
          <w:rFonts w:ascii="Times New Roman" w:cs="Times New Roman" w:eastAsia="Times New Roman" w:hAnsi="Times New Roman"/>
          <w:sz w:val="19"/>
          <w:szCs w:val="19"/>
          <w:b w:val="1"/>
          <w:bCs w:val="1"/>
          <w:color w:val="auto"/>
        </w:rPr>
        <w:t xml:space="preserve">Non-Agency Residential Mortgage-Backed Securities ("Non-Agency RMBS"). </w:t>
      </w:r>
      <w:r>
        <w:rPr>
          <w:rFonts w:ascii="Times New Roman" w:cs="Times New Roman" w:eastAsia="Times New Roman" w:hAnsi="Times New Roman"/>
          <w:sz w:val="19"/>
          <w:szCs w:val="19"/>
          <w:color w:val="auto"/>
        </w:rPr>
        <w:t>Non-Agency RMBS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structured securities backed by pools of residential mortgages packaged and issued by private institutions, such as a commercial bank or non-bank lender. Certain tranches of non-Agency RMBS may benefit from credit enhancement derived from structural elements, such as subordination, over-collateralization or insurance. We may purchase investment grade instruments that benefit from credit enhancement and non-investment grade instruments that are structured to absorb more credit risk. We focus primarily on non-Agency securities where the underlying mortgages are secured by residential properties within the United States, which may be comprised of prime, non-prime, qualified and non-qualified mortgage loans.</w:t>
      </w:r>
    </w:p>
    <w:p>
      <w:pPr>
        <w:spacing w:after="0" w:line="128" w:lineRule="exact"/>
        <w:rPr>
          <w:rFonts w:ascii="Calibri" w:cs="Calibri" w:eastAsia="Calibri" w:hAnsi="Calibri"/>
          <w:sz w:val="19"/>
          <w:szCs w:val="19"/>
          <w:b w:val="1"/>
          <w:bCs w:val="1"/>
          <w:color w:val="auto"/>
        </w:rPr>
      </w:pPr>
    </w:p>
    <w:p>
      <w:pPr>
        <w:jc w:val="both"/>
        <w:ind w:left="840" w:hanging="312"/>
        <w:spacing w:after="0" w:line="263" w:lineRule="auto"/>
        <w:tabs>
          <w:tab w:leader="none" w:pos="84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Commercial Mortgage-Backed Securities ("CMBS"). </w:t>
      </w:r>
      <w:r>
        <w:rPr>
          <w:rFonts w:ascii="Times New Roman" w:cs="Times New Roman" w:eastAsia="Times New Roman" w:hAnsi="Times New Roman"/>
          <w:sz w:val="19"/>
          <w:szCs w:val="19"/>
          <w:color w:val="auto"/>
        </w:rPr>
        <w:t>CMBS are securities backed by a pool of loans secured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one or more commercial properties. CMBS may also consist of a single loan for a single asset or multiple loans for a group of cross-collateralized assets of a single-borrower. CMBS are typically structured as multiple classes of securities where cash flows are distributed following a predetermined waterfall, which may give priority to selected classes while subordinating other classes. We may invest across the capital structure of these securities. We intend to focus on CMBS where the underlying collateral is secured by commercial properties located within the United States.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Financing Strategy</w:t>
      </w:r>
    </w:p>
    <w:p>
      <w:pPr>
        <w:spacing w:after="0" w:line="196" w:lineRule="exact"/>
        <w:rPr>
          <w:sz w:val="20"/>
          <w:szCs w:val="20"/>
          <w:color w:val="auto"/>
        </w:rPr>
      </w:pPr>
    </w:p>
    <w:p>
      <w:pPr>
        <w:jc w:val="both"/>
        <w:ind w:firstLine="436"/>
        <w:spacing w:after="0" w:line="286" w:lineRule="auto"/>
        <w:rPr>
          <w:sz w:val="20"/>
          <w:szCs w:val="20"/>
          <w:color w:val="auto"/>
        </w:rPr>
      </w:pPr>
      <w:r>
        <w:rPr>
          <w:rFonts w:ascii="Times New Roman" w:cs="Times New Roman" w:eastAsia="Times New Roman" w:hAnsi="Times New Roman"/>
          <w:sz w:val="19"/>
          <w:szCs w:val="19"/>
          <w:color w:val="auto"/>
        </w:rPr>
        <w:t>Our investments in Agency RMBS benefit from asset-driven, as well as AGNC-specific, funding advantages, that enable us to enhance returns using leverage via low-cost and highly liquid collateralized borrowings structured as repurchase agreements.</w:t>
      </w:r>
    </w:p>
    <w:p>
      <w:pPr>
        <w:spacing w:after="0" w:line="352"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Repurchase agreements ("repo") involve the sale and a simultaneous agreement to repurchase the transferred assets at a future date. Our borrowings through repurchase transactions are generally short-term, with maturities typically ranging from one day to one year, but may sometimes have maturities of up to five or more years. Our financing rates are primarily impacted by short-term benchmark rates and liquidity in the Agency repo and short-term funding markets.</w:t>
      </w:r>
    </w:p>
    <w:p>
      <w:pPr>
        <w:spacing w:after="0" w:line="130"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The amount of leverage that we utilize depends on market conditions, our assessment of risk and returns and our ability to borrow sufficient funds on favorable terms to acquire mortgage securities. We generally expect our leverage to be within six to twelve times the amount of our tangible stockholders' equity, but under certain conditions we may operate at leverage levels outside of this range.</w:t>
      </w:r>
    </w:p>
    <w:p>
      <w:pPr>
        <w:spacing w:after="0" w:line="130"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We diversify our funding exposure by entering into repurchase agreements with multiple counterparties. 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Thus, through BES, we have greater depth and diversity of funding than solely through traditional bilateral repo, while also lowering our funding cost, reducing our collateral requirements and limiting our counterparty exposure.</w:t>
      </w:r>
    </w:p>
    <w:p>
      <w:pPr>
        <w:spacing w:after="0" w:line="135"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We also finance the acquisition of Agency RMBS by entering into TBA dollar roll transactions through which we simultaneously sell a TBA contract for the current month's settlement date and purchase a similar TBA contract for a forward month's settlement date. The TBA contract purchased for the forward settlement date is typically priced at a discount to the TBA contract sold for the current month. The discount, or "price drop", is the economic equivalent of interest income on the underlying Agency RMBS, less an implied financing cost, between the current month and forward month settlement dates.</w:t>
      </w:r>
    </w:p>
    <w:p>
      <w:pPr>
        <w:sectPr>
          <w:pgSz w:w="11880" w:h="15480" w:orient="portrait"/>
          <w:cols w:equalWidth="0" w:num="1">
            <w:col w:w="9960"/>
          </w:cols>
          <w:pgMar w:left="960" w:top="711" w:right="960" w:bottom="0"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9960"/>
          </w:cols>
          <w:pgMar w:left="960" w:top="711" w:right="960" w:bottom="0" w:gutter="0" w:footer="0" w:header="0"/>
          <w:type w:val="continuous"/>
        </w:sectPr>
      </w:pPr>
    </w:p>
    <w:bookmarkStart w:id="15" w:name="page16"/>
    <w:bookmarkEnd w:id="15"/>
    <w:p>
      <w:pPr>
        <w:jc w:val="both"/>
        <w:spacing w:after="0" w:line="262" w:lineRule="auto"/>
        <w:rPr>
          <w:sz w:val="20"/>
          <w:szCs w:val="20"/>
          <w:color w:val="auto"/>
        </w:rPr>
      </w:pPr>
      <w:r>
        <w:rPr>
          <w:rFonts w:ascii="Times New Roman" w:cs="Times New Roman" w:eastAsia="Times New Roman" w:hAnsi="Times New Roman"/>
          <w:sz w:val="19"/>
          <w:szCs w:val="19"/>
          <w:color w:val="auto"/>
        </w:rPr>
        <w:t>Prior to the forward settlement date, we may choose to roll the position to a later date by entering into an offsetting TBA position, net settling the paired off positions for cash, and simultaneously entering into a similar TBA contract for a new forward settlement date. Hence the discount or price drop from rolling TBA positions forward is commonly referred to as "TBA dollar roll income." We recognize TBA contracts as derivative instruments on our consolidated financial statements at their net carrying value, which is their fair value less the purchase price to be paid or received under the TBA contract. Consequently, dollar roll transactions represent a form of off-balance sheet financing. In evaluating our overall leverage, we consider both our on-balance sheet and off-balance sheet financing.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Management Strategy</w:t>
      </w:r>
    </w:p>
    <w:p>
      <w:pPr>
        <w:spacing w:after="0" w:line="196"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As a levered investor in fixed income securities, risk management is core to our business. We are exposed to a variety of market risks, including interest rate, prepayment, extension, spread and credit risks. Our investment strategies are based on our assessment of these risks, our ability to hedge a portion of these risks and our intention to qualify as a REIT. We employ a variety of investment and risk management strategies to reduce our exposure to market risks, and we continuously monitor and adjust our hedge portfolio, the net duration (or interest rate sensitivity) of our investment portfolio, and leverage in order to optimize returns over the longer term as market conditions warrant.</w:t>
      </w:r>
    </w:p>
    <w:p>
      <w:pPr>
        <w:spacing w:after="0" w:line="135"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 xml:space="preserve">Our hedging strategies are generally not designed to protect our net book value from spread risk, which as a levered investor in mortgage-backed securities is the inherent risk we take that the spread between the market yield on our investments and the benchmark interest rates linked to our interest rate hedges fluctuates. In addition, although we attempt to protect our net book value against moves in interest rates, we may not fully hedge against interest rate, prepayment and extension risks if we believe that bearing such risks enhances our return profile, or if the hedging transaction would negatively impact our REIT status. Our risk management actions may lower our earnings and dividends in the short-term to further our objective of preserving our net book value and maintaining attractive levels of earnings and dividends over the long-term. In addition, some of our hedges are intended to provide protection against larger rate moves and as a result may be relatively ineffective for smaller interest rate changes. For additional explanation of our market risks please refer to Item 1A.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 xml:space="preserve"> and Item 7A. </w:t>
      </w:r>
      <w:r>
        <w:rPr>
          <w:rFonts w:ascii="Times New Roman" w:cs="Times New Roman" w:eastAsia="Times New Roman" w:hAnsi="Times New Roman"/>
          <w:sz w:val="19"/>
          <w:szCs w:val="19"/>
          <w:b w:val="1"/>
          <w:bCs w:val="1"/>
          <w:i w:val="1"/>
          <w:iCs w:val="1"/>
          <w:color w:val="auto"/>
        </w:rPr>
        <w:t xml:space="preserve">Quantitative and Qualitative Disclosures about Market Risk </w:t>
      </w:r>
      <w:r>
        <w:rPr>
          <w:rFonts w:ascii="Times New Roman" w:cs="Times New Roman" w:eastAsia="Times New Roman" w:hAnsi="Times New Roman"/>
          <w:sz w:val="19"/>
          <w:szCs w:val="19"/>
          <w:color w:val="auto"/>
        </w:rPr>
        <w:t>within this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Exemption from Regulation under the Investment Company Act</w:t>
      </w:r>
    </w:p>
    <w:p>
      <w:pPr>
        <w:spacing w:after="0" w:line="19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 xml:space="preserve">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registered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 For additional information regarding our exemption under the Investment Company Act please refer to Item 1A.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 xml:space="preserve"> within this Form 10-K.</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Real Estate Investment Trust Requirements</w:t>
      </w:r>
    </w:p>
    <w:p>
      <w:pPr>
        <w:spacing w:after="0" w:line="196"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taxable REIT subsidiary ("TRS"). We believe that we have been organized and operate in such a manner as to qualify for taxation as a REIT.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Tests:</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To continue to qualify as a REIT, we must satisfy two gross income requirements on an annual basis.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9960"/>
          </w:cols>
          <w:pgMar w:left="960" w:top="711" w:right="960" w:bottom="0" w:gutter="0" w:footer="0" w:header="0"/>
          <w:type w:val="continuous"/>
        </w:sectPr>
      </w:pPr>
    </w:p>
    <w:bookmarkStart w:id="16" w:name="page17"/>
    <w:bookmarkEnd w:id="16"/>
    <w:p>
      <w:pPr>
        <w:ind w:left="700" w:hanging="260"/>
        <w:spacing w:after="0" w:line="293"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75% of our gross income for each taxable year generally must be derived from investments in real property or mortgages on real property.</w:t>
      </w:r>
    </w:p>
    <w:p>
      <w:pPr>
        <w:spacing w:after="0" w:line="106" w:lineRule="exact"/>
        <w:rPr>
          <w:rFonts w:ascii="Times New Roman" w:cs="Times New Roman" w:eastAsia="Times New Roman" w:hAnsi="Times New Roman"/>
          <w:sz w:val="19"/>
          <w:szCs w:val="19"/>
          <w:color w:val="auto"/>
        </w:rPr>
      </w:pPr>
    </w:p>
    <w:p>
      <w:pPr>
        <w:jc w:val="both"/>
        <w:ind w:left="700" w:hanging="260"/>
        <w:spacing w:after="0" w:line="274" w:lineRule="auto"/>
        <w:tabs>
          <w:tab w:leader="none" w:pos="7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25"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Interest income from obligations secured by mortgages on real property (such as Agency and non-Agency MBS) generally constitutes qualifying income for purposes of the 75% gross income test described above. There is no direct authority with respect to the qualification of income or gains from TBAs for the 75% gross income test; however, we treat these as qualifying income for this purpose based on an opinion of legal counsel. The treatment of interest income from other real estate securities depends on their specific tax structure.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 Tests:</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At the close of each calendar quarter, we must satisfy five tests relating to the nature of our assets.</w:t>
      </w:r>
    </w:p>
    <w:p>
      <w:pPr>
        <w:spacing w:after="0" w:line="189" w:lineRule="exact"/>
        <w:rPr>
          <w:sz w:val="20"/>
          <w:szCs w:val="20"/>
          <w:color w:val="auto"/>
        </w:rPr>
      </w:pPr>
    </w:p>
    <w:p>
      <w:pPr>
        <w:jc w:val="both"/>
        <w:ind w:left="700" w:hanging="347"/>
        <w:spacing w:after="0" w:line="265"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32"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value of any one issuer's securities that we own may not exceed 5% of the value of our total assets.</w:t>
      </w:r>
    </w:p>
    <w:p>
      <w:pPr>
        <w:spacing w:after="0" w:line="188" w:lineRule="exact"/>
        <w:rPr>
          <w:rFonts w:ascii="Times New Roman" w:cs="Times New Roman" w:eastAsia="Times New Roman" w:hAnsi="Times New Roman"/>
          <w:sz w:val="19"/>
          <w:szCs w:val="19"/>
          <w:color w:val="auto"/>
        </w:rPr>
      </w:pPr>
    </w:p>
    <w:p>
      <w:pPr>
        <w:jc w:val="both"/>
        <w:ind w:left="700" w:hanging="347"/>
        <w:spacing w:after="0" w:line="274"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24"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value of all securities of all TRSs that we hold may not exceed 20% of the value of our total assets.</w:t>
      </w:r>
    </w:p>
    <w:p>
      <w:pPr>
        <w:spacing w:after="0" w:line="188" w:lineRule="exact"/>
        <w:rPr>
          <w:rFonts w:ascii="Times New Roman" w:cs="Times New Roman" w:eastAsia="Times New Roman" w:hAnsi="Times New Roman"/>
          <w:sz w:val="19"/>
          <w:szCs w:val="19"/>
          <w:color w:val="auto"/>
        </w:rPr>
      </w:pPr>
    </w:p>
    <w:p>
      <w:pPr>
        <w:ind w:left="700" w:hanging="347"/>
        <w:spacing w:after="0" w:line="293"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more than 25% of the total value of our assets may be represented by certain non-mortgage debt instruments issued by publicly offered REITs (even though such debt instruments qualify under the 75% asset test).</w:t>
      </w:r>
    </w:p>
    <w:p>
      <w:pPr>
        <w:spacing w:after="0" w:line="107"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 xml:space="preserve">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w:t>
      </w:r>
      <w:r>
        <w:rPr>
          <w:rFonts w:ascii="Times New Roman" w:cs="Times New Roman" w:eastAsia="Times New Roman" w:hAnsi="Times New Roman"/>
          <w:sz w:val="19"/>
          <w:szCs w:val="19"/>
          <w:b w:val="1"/>
          <w:bCs w:val="1"/>
          <w:i w:val="1"/>
          <w:iCs w:val="1"/>
          <w:color w:val="auto"/>
        </w:rPr>
        <w:t>Risks Related to Our Taxation as a REIT</w:t>
      </w:r>
      <w:r>
        <w:rPr>
          <w:rFonts w:ascii="Times New Roman" w:cs="Times New Roman" w:eastAsia="Times New Roman" w:hAnsi="Times New Roman"/>
          <w:sz w:val="19"/>
          <w:szCs w:val="19"/>
          <w:color w:val="auto"/>
        </w:rPr>
        <w:t xml:space="preserve"> in Item 1A.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 xml:space="preserve"> of this Form 10-K for further discussion of REIT qualification requirements and related items.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Regulatory Requirements of our Captive Broker-Dealer Subsidiary</w:t>
      </w:r>
    </w:p>
    <w:p>
      <w:pPr>
        <w:spacing w:after="0" w:line="196"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Thus, our ability to access tri-party repo funding through the FICC's GCF Repo service, which represents a significant portion of our total borrowing capacity, is reliant on BES' ability to continually meet FINRA and FICC regulatory and membership requirements.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 Management</w:t>
      </w:r>
    </w:p>
    <w:p>
      <w:pPr>
        <w:spacing w:after="0" w:line="196"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We believe our success as a company ultimately depends on the strength, wellness, and dedication of our workforce. We pride ourselves on robust practices in the area of human capital management that are constantly evolving to meet the needs of our people. As of December 31, 2024, our workforce consisted of 53 full-time employees. We strive to provide each of our highly skilled employees an engaging, rewarding, supportive, and inclusive atmosphere in which to grow professionally. Our competitive and comprehensive benefits package is carefully designed to attract and retain talented personnel. We believe our low voluntary employee turnover, which averaged less than 1 employee per year the past three years, and favorable employee survey results are a testament to the success of our human capital management initiatives.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9960"/>
          </w:cols>
          <w:pgMar w:left="960" w:top="711" w:right="96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9"/>
          <w:szCs w:val="19"/>
          <w:b w:val="1"/>
          <w:bCs w:val="1"/>
          <w:i w:val="1"/>
          <w:iCs w:val="1"/>
          <w:color w:val="auto"/>
        </w:rPr>
        <w:t>Employee Communications and Engagement</w:t>
      </w:r>
    </w:p>
    <w:p>
      <w:pPr>
        <w:spacing w:after="0" w:line="191"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9"/>
          <w:szCs w:val="19"/>
          <w:color w:val="auto"/>
        </w:rPr>
        <w:t xml:space="preserve">We recognize the importance of ongoing open communication and engagement with our employees and we greatly value their input. To foster this, we regularly engage with our employees in a variety of ways through direct interaction with each member of our staff, periodic anonymous employee surveys and regular town hall meetings. Our anonymous employee surveys provide important information about their job satisfaction, engagement, and specific concerns. Results consistently reflect high levels of employee satisfaction, including in areas of leadership, benefits, engagement, training, and development. To encourage candid feedback, we partner with outside vendors who analyze survey results and provide verbatim comments on an anonymous basis. In recognition of these efforts, AGNC was recertified as a Great Place to Work™ in 2023 based entirely on employee feedback. In 2024, </w:t>
      </w:r>
      <w:r>
        <w:rPr>
          <w:rFonts w:ascii="Times New Roman" w:cs="Times New Roman" w:eastAsia="Times New Roman" w:hAnsi="Times New Roman"/>
          <w:sz w:val="19"/>
          <w:szCs w:val="19"/>
          <w:b w:val="1"/>
          <w:bCs w:val="1"/>
          <w:i w:val="1"/>
          <w:iCs w:val="1"/>
          <w:color w:val="auto"/>
        </w:rPr>
        <w:t>Fortune</w:t>
      </w:r>
      <w:r>
        <w:rPr>
          <w:rFonts w:ascii="Times New Roman" w:cs="Times New Roman" w:eastAsia="Times New Roman" w:hAnsi="Times New Roman"/>
          <w:sz w:val="19"/>
          <w:szCs w:val="19"/>
          <w:color w:val="auto"/>
        </w:rPr>
        <w:t xml:space="preserve"> named AGNC one of the Best Small Workplaces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recognizing our commitment to creating a best-in-class employee experience. Our Board of Directors (our "Board") and management use survey results and regular direct feedback from employees in making adjustments to our work environment and benefits package.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Workplace Culture and Ethics</w:t>
      </w:r>
    </w:p>
    <w:p>
      <w:pPr>
        <w:spacing w:after="0" w:line="191"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Our corporate culture promotes open and honest communication, fair treatment, collegiality and high ethics and compliance standards. Our Code of Ethics and Conduct ("Code of Conduct") applies to all directors, officers and employees and provides clear expectations and guidance to facilitate appropriate decisioning. Our Code of Conduct covers topics such as compliance with securities laws, conflicts of interest, giving and receiving gifts, discrimination, harassment, privacy, appropriate use of Company assets, protecting confidential information, and reporting Code of Conduct violations (including through an anonymous third-party hotline). All employees are required to affirm their understanding of these standards on at least an annual basis. We also regularly conduct mandatory compliance training on the Code of Conduct, insider trading, whistleblower protections, anti-harassment and other legal and corporate policies. Our executive officers and human resources department maintain "open door" policies, and any form of retaliation for bona fide reporting of Code of Conduct violations is expressly prohibited.</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Employee Development</w:t>
      </w:r>
    </w:p>
    <w:p>
      <w:pPr>
        <w:spacing w:after="0" w:line="191"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We have a number of policies and programs to further the professional development of our employees. These include our professional certification and continuing education policy, reimbursement for any supervisor-approved courses, one-on-one coaching to enhance skills in a number of areas of personal and professional development, and memberships to organizations that provide employees with access to educational webinars. We also conduct periodic "Lunch and Learn" seminars and offer a formal mentoring program for employees to receive direct one-on-one career guidance and cross-functional experience across various operations. Our employees also have the opportunity to lead and/or participate in employee-led initiatives, such as our employee-led Volunteerism &amp; Community Outreach Committee, which is responsible for implementing and leading new volunteer opportunities, as well as identifying ways the Company can have a positive impact on the community. These initiatives have advanced unique and professional skill sets throughout the organization.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Inclusion</w:t>
      </w:r>
    </w:p>
    <w:p>
      <w:pPr>
        <w:spacing w:after="0" w:line="191"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Central to our core values is that every individual deserves respect and equal treatment, regardless of gender, race, ethnicity, age, disability, sexual orientation, gender identity, cultural background or religious belief. We strive to have an inclusive and welcoming work environment that is free from wrongful discrimination. We have long maintained policies against discrimination and harassment in our workplace, and we periodically conduct workplace trainings and workshops attended by all employees related to these topics. Although we have a relatively small workforce and low turnover rate, our recruitment and hiring practices attempt to ensure the diversity of applicant pools for posted job openings. We also seek to engage our employees and provide them opportunities on a non-discriminatory and inclusive basis. As of December 31, 2024, 40% of our employees were women and 32% were ethnically diverse.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Compensation and Benefits</w:t>
      </w:r>
    </w:p>
    <w:p>
      <w:pPr>
        <w:spacing w:after="0" w:line="191"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We seek to attract and retain the most talented employees in our industry by offering competitive compensation and benefits. Our pay-for-performance compensation philosophy is based on rewarding each employee’s individual contributions through a combination of fixed and variable pay elements. Each employee receives a total compensation package that includes base salary, short-term incentives in the form of an annual cash bonus and long-term equity incentives in the form of time-vesting and/or performance-vesting restricted stock units. The proportion of each employee’s variable incentive versus fixed-based elements of their compensation is directly correlated to the individual’s level of responsibility and role in the organization. Generally, higher level employees have higher proportions of variable incentive-based compensation in their target mix. Similarly, within the incentive-based elements, the proportion of long-term incentive-based elements generally corresponds to the individual’s role and level of responsibility in the organization.</w:t>
      </w:r>
    </w:p>
    <w:p>
      <w:pPr>
        <w:sectPr>
          <w:pgSz w:w="11880" w:h="15480" w:orient="portrait"/>
          <w:cols w:equalWidth="0" w:num="1">
            <w:col w:w="9960"/>
          </w:cols>
          <w:pgMar w:left="960" w:top="70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960"/>
          </w:cols>
          <w:pgMar w:left="960" w:top="709" w:right="960" w:bottom="0" w:gutter="0" w:footer="0" w:header="0"/>
          <w:type w:val="continuous"/>
        </w:sectPr>
      </w:pPr>
    </w:p>
    <w:bookmarkStart w:id="18" w:name="page19"/>
    <w:bookmarkEnd w:id="18"/>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As the success of our business is fundamentally connected to the well-being of our people, we offer benefits that support their physical, financial and emotional well-being. We provide our employees with access to flexible, comprehensive and convenient medical coverage intended to meet their needs and the needs of their families. In addition to standard medical coverage, we offer employees dental and vision coverage, health savings and flexible spending accounts, paid time off, parental leave and adoption assistance, voluntary short-term and long-term disability insurance, term life insurance, employee assistance programs, and other benefits. We also believe in the long-term financial wellness of our employees, and to foster maximum savings rates by our employees we offer a 401(k) Savings Plan with Company matching contributions of 100% up to 6% of each employee’s eligible compensation, subject to IRS limits.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8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Our success depends, in large part, on our ability to acquire assets at favorable spreads over our borrowing costs. In acquiring mortgage assets, we compete with a variety of other investors, including other mortgage REITs, government entities, banks, specialty finance companies, public and private funds, insurance companies and other financial institutions, who may have competitive advantages over us as to the price they are willing to pay due to factors such as a lower cost of funds, access to funding sources not available to us or a lack of REIT and Investment Company Act regulatory constraints.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Information</w:t>
      </w:r>
    </w:p>
    <w:p>
      <w:pPr>
        <w:spacing w:after="0" w:line="178" w:lineRule="exact"/>
        <w:rPr>
          <w:sz w:val="20"/>
          <w:szCs w:val="20"/>
          <w:color w:val="auto"/>
        </w:rPr>
      </w:pPr>
    </w:p>
    <w:p>
      <w:pPr>
        <w:jc w:val="both"/>
        <w:ind w:firstLine="436"/>
        <w:spacing w:after="0" w:line="238" w:lineRule="auto"/>
        <w:rPr>
          <w:sz w:val="20"/>
          <w:szCs w:val="20"/>
          <w:color w:val="auto"/>
        </w:rPr>
      </w:pPr>
      <w:r>
        <w:rPr>
          <w:rFonts w:ascii="Times New Roman" w:cs="Times New Roman" w:eastAsia="Times New Roman" w:hAnsi="Times New Roman"/>
          <w:sz w:val="19"/>
          <w:szCs w:val="19"/>
          <w:color w:val="auto"/>
        </w:rPr>
        <w:t>Our executive offices are located at 7373 Wisconsin Avenue, 22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9"/>
          <w:szCs w:val="19"/>
          <w:color w:val="auto"/>
        </w:rPr>
        <w:t xml:space="preserve"> Floor, Bethesda, MD 20814 and our telephone number is (301) 968-9315.</w:t>
      </w:r>
    </w:p>
    <w:p>
      <w:pPr>
        <w:spacing w:after="0" w:line="156"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 xml:space="preserve">We make available our Annual Reports on Form 10-K, quarterly reports on Form 10-Q, current reports on Form 8-K and amendments to such reports as well as our Code of Ethics and Conduct on our internet website at </w:t>
      </w:r>
      <w:r>
        <w:rPr>
          <w:rFonts w:ascii="Times New Roman" w:cs="Times New Roman" w:eastAsia="Times New Roman" w:hAnsi="Times New Roman"/>
          <w:sz w:val="19"/>
          <w:szCs w:val="19"/>
          <w:u w:val="single" w:color="auto"/>
          <w:color w:val="auto"/>
        </w:rPr>
        <w:t>www.AGNC.com.</w:t>
      </w:r>
      <w:r>
        <w:rPr>
          <w:rFonts w:ascii="Times New Roman" w:cs="Times New Roman" w:eastAsia="Times New Roman" w:hAnsi="Times New Roman"/>
          <w:sz w:val="19"/>
          <w:szCs w:val="19"/>
          <w:color w:val="auto"/>
        </w:rPr>
        <w:t xml:space="preserve"> These reports are also available on the SEC internet website at </w:t>
      </w:r>
      <w:r>
        <w:rPr>
          <w:rFonts w:ascii="Times New Roman" w:cs="Times New Roman" w:eastAsia="Times New Roman" w:hAnsi="Times New Roman"/>
          <w:sz w:val="19"/>
          <w:szCs w:val="19"/>
          <w:u w:val="single" w:color="auto"/>
          <w:color w:val="auto"/>
        </w:rPr>
        <w:t>www.sec.gov</w:t>
      </w:r>
      <w:r>
        <w:rPr>
          <w:rFonts w:ascii="Times New Roman" w:cs="Times New Roman" w:eastAsia="Times New Roman" w:hAnsi="Times New Roman"/>
          <w:sz w:val="19"/>
          <w:szCs w:val="19"/>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1A. </w:t>
      </w:r>
      <w:r>
        <w:rPr>
          <w:rFonts w:ascii="Times New Roman" w:cs="Times New Roman" w:eastAsia="Times New Roman" w:hAnsi="Times New Roman"/>
          <w:sz w:val="19"/>
          <w:szCs w:val="19"/>
          <w:b w:val="1"/>
          <w:bCs w:val="1"/>
          <w:i w:val="1"/>
          <w:iCs w:val="1"/>
          <w:color w:val="auto"/>
        </w:rPr>
        <w:t>Risk Factors</w:t>
      </w:r>
    </w:p>
    <w:p>
      <w:pPr>
        <w:spacing w:after="0" w:line="196"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You should carefully consider the risks described below and all other information contained in this Annual Report on Form 10-K, including our annual consolidated financial statements and the related notes thereto before deciding to purchase our securities. Any of the following risks could materially affect our business, financial condition or results of operations.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 Our risk factors discussed below are classified among:</w:t>
      </w:r>
    </w:p>
    <w:p>
      <w:pPr>
        <w:spacing w:after="0" w:line="76" w:lineRule="exact"/>
        <w:rPr>
          <w:sz w:val="20"/>
          <w:szCs w:val="20"/>
          <w:color w:val="auto"/>
        </w:rPr>
      </w:pPr>
    </w:p>
    <w:p>
      <w:pPr>
        <w:ind w:left="700" w:hanging="26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related to our investment and portfolio management activities;</w:t>
      </w:r>
    </w:p>
    <w:p>
      <w:pPr>
        <w:spacing w:after="0" w:line="3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related to our financing and hedging activities;</w:t>
      </w:r>
    </w:p>
    <w:p>
      <w:pPr>
        <w:spacing w:after="0" w:line="1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related to our business operations;</w:t>
      </w:r>
    </w:p>
    <w:p>
      <w:pPr>
        <w:spacing w:after="0" w:line="1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legislative and regulatory risks; and</w:t>
      </w:r>
    </w:p>
    <w:p>
      <w:pPr>
        <w:spacing w:after="0" w:line="1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related to our common stock.</w:t>
      </w:r>
    </w:p>
    <w:p>
      <w:pPr>
        <w:spacing w:after="0" w:line="162" w:lineRule="exact"/>
        <w:rPr>
          <w:sz w:val="20"/>
          <w:szCs w:val="20"/>
          <w:color w:val="auto"/>
        </w:rPr>
      </w:pPr>
    </w:p>
    <w:p>
      <w:pPr>
        <w:ind w:right="3740"/>
        <w:spacing w:after="0" w:line="451" w:lineRule="auto"/>
        <w:rPr>
          <w:sz w:val="20"/>
          <w:szCs w:val="20"/>
          <w:color w:val="auto"/>
        </w:rPr>
      </w:pPr>
      <w:r>
        <w:rPr>
          <w:rFonts w:ascii="Times New Roman" w:cs="Times New Roman" w:eastAsia="Times New Roman" w:hAnsi="Times New Roman"/>
          <w:sz w:val="19"/>
          <w:szCs w:val="19"/>
          <w:b w:val="1"/>
          <w:bCs w:val="1"/>
          <w:color w:val="auto"/>
        </w:rPr>
        <w:t xml:space="preserve">Risks Related to Our Investment and Portfolio Management Activities </w:t>
      </w:r>
      <w:r>
        <w:rPr>
          <w:rFonts w:ascii="Times New Roman" w:cs="Times New Roman" w:eastAsia="Times New Roman" w:hAnsi="Times New Roman"/>
          <w:sz w:val="19"/>
          <w:szCs w:val="19"/>
          <w:b w:val="1"/>
          <w:bCs w:val="1"/>
          <w:i w:val="1"/>
          <w:iCs w:val="1"/>
          <w:color w:val="auto"/>
        </w:rPr>
        <w:t>Spread risk is inherent to our business as a levered investor in Agency RMBS.</w:t>
      </w:r>
    </w:p>
    <w:p>
      <w:pPr>
        <w:spacing w:after="0" w:line="1"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When the differential between the market yield on our assets and our interest rate hedges widens, our tangible net book value will typically decline, a dynamic we refer to as "spread risk." As a levered investor primarily in fixed-rate Agency RMBS, spread risk is an inherent component of our business. Although we use hedging instruments in an effort to protect against moves in interest rates, our hedges will typically not protect us against spread risk. Spreads may widen due to numerous factors, including actual or expected monetary policy actions by U.S. and foreign central banks; legislative, regulatory or other administrative actions affecting the Agency RMBS market; changes in fiscal policy and rising federal budget deficits; increased market volatility; reduced market liquidity; higher Agency RMBS supply; and shifts in investor return requirements and sentiment.</w:t>
      </w:r>
    </w:p>
    <w:p>
      <w:pPr>
        <w:spacing w:after="0" w:line="36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Interest rate and spread volatility represent significant risks to our business, potentially affecting our liquidity, increasing our costs, and impacting our ability to manage risks effectively.</w:t>
      </w:r>
    </w:p>
    <w:p>
      <w:pPr>
        <w:spacing w:after="0" w:line="107"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Interest rate and spread volatility can materially and adversely impact our business, financial condition, and operating results. Elevated volatility amplifies market risks that affect the value of our assets and liabilities and can reduce earnings stability. Increased volatility also heightens our exposure to margin calls, including higher risk-based margin requirements,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9960"/>
          </w:cols>
          <w:pgMar w:left="960" w:top="711" w:right="960" w:bottom="0" w:gutter="0" w:footer="0" w:header="0"/>
          <w:type w:val="continuous"/>
        </w:sectPr>
      </w:pPr>
    </w:p>
    <w:bookmarkStart w:id="19" w:name="page20"/>
    <w:bookmarkEnd w:id="19"/>
    <w:p>
      <w:pPr>
        <w:jc w:val="both"/>
        <w:spacing w:after="0" w:line="293" w:lineRule="auto"/>
        <w:rPr>
          <w:sz w:val="20"/>
          <w:szCs w:val="20"/>
          <w:color w:val="auto"/>
        </w:rPr>
      </w:pPr>
      <w:r>
        <w:rPr>
          <w:rFonts w:ascii="Times New Roman" w:cs="Times New Roman" w:eastAsia="Times New Roman" w:hAnsi="Times New Roman"/>
          <w:sz w:val="19"/>
          <w:szCs w:val="19"/>
          <w:color w:val="auto"/>
        </w:rPr>
        <w:t>which may require us to post additional collateral, thereby reducing our unencumbered liquidity, limiting resources available for operational needs and further margin obligations.</w:t>
      </w:r>
    </w:p>
    <w:p>
      <w:pPr>
        <w:spacing w:after="0" w:line="107" w:lineRule="exact"/>
        <w:rPr>
          <w:sz w:val="20"/>
          <w:szCs w:val="20"/>
          <w:color w:val="auto"/>
        </w:rPr>
      </w:pPr>
    </w:p>
    <w:p>
      <w:pPr>
        <w:jc w:val="both"/>
        <w:ind w:firstLine="436"/>
        <w:spacing w:after="0" w:line="266" w:lineRule="auto"/>
        <w:rPr>
          <w:sz w:val="20"/>
          <w:szCs w:val="20"/>
          <w:color w:val="auto"/>
        </w:rPr>
      </w:pPr>
      <w:r>
        <w:rPr>
          <w:rFonts w:ascii="Times New Roman" w:cs="Times New Roman" w:eastAsia="Times New Roman" w:hAnsi="Times New Roman"/>
          <w:sz w:val="19"/>
          <w:szCs w:val="19"/>
          <w:color w:val="auto"/>
        </w:rPr>
        <w:t>Volatility further increases the complexity and cost of hedging against interest rate fluctuations, which can adversely affect our profitability. In addition, heightened volatility may reduce liquidity in the mortgage market as investors scale back exposure to mitigate risk, making it more difficult to buy or sell assets without significantly impacting market prices. Volatility may also diminish the effectiveness and accuracy of the predictive models we rely on for decision-making and risk management.</w:t>
      </w:r>
    </w:p>
    <w:p>
      <w:pPr>
        <w:spacing w:after="0" w:line="370"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Sustained interest rate and spread volatility has the potential to materially impact our liquidity, increase our costs, and impair our ability to manage risk effectively. While we actively monitor market conditions and adjust our strategies in response, there is no assurance that these measures will be sufficient to offset the negative effects of volatility on our business, operations, and financial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Fed’s participation in the Agency mortgage market could have an adverse effect on our Agency RMBS investments.</w:t>
      </w:r>
    </w:p>
    <w:p>
      <w:pPr>
        <w:spacing w:after="0" w:line="19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The Federal Reserve’s (the "Fed") participation in the Agency RMBS market can materially impact mortgage market conditions, affecting supply, pricing, and returns. Asset purchases by the Fed generally drive Agency RMBS values higher and tighten mortgage spreads, which increases our tangible net book value but reduces the return potential on new investments. Conversely, actual or anticipated reductions in the amount of its Agency RMBS holdings typically lead to lower values and wider spreads, thereby lowering our tangible net book value while improving the return potential on new acquisitions.</w:t>
      </w:r>
    </w:p>
    <w:p>
      <w:pPr>
        <w:spacing w:after="0" w:line="132"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The Fed first implemented large-scale asset purchases, known as quantitative easing ("QE"), during the 2008-2009 financial crisis to stabilize markets and support economic recovery. In response to the COVID-19 crisis, the Fed’s balance sheet more than doubled from $4.2 trillion in March 2020 to $8.9 trillion in May 2022, with its Agency RMBS holdings rising to nearly one-third of all outstanding Agency RMBS. Since 2022, the Fed has reduced these holdings by approximately $500 billion through prepayment runoff. While the Fed currently favors gradual balance sheet reduction through prepayment runoff, there is no assurance that it will not undertake asset sales. A faster-than-expected unwinding of Fed holdings could increase market volatility, reduce liquidity, and widen RMBS spreads, materially impacting our tangible net book value and financial condition.</w:t>
      </w:r>
    </w:p>
    <w:p>
      <w:pPr>
        <w:spacing w:after="0" w:line="3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Our active portfolio management strategy may expose us to greater losses and lower returns than compared to passive strategies.</w:t>
      </w:r>
    </w:p>
    <w:p>
      <w:pPr>
        <w:spacing w:after="0" w:line="105"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We employ an active management strategy, meaning our investment portfolio composition, leverage ratio, and hedge positions will fluctuate based on our assessment of market conditions. We may realize significant gains or losses when selling investments or adjusting hedge positions that we no longer believe offer attractive risk-adjusted returns or when reallocating to perceived better opportunities. However, our market assessments may be incorrect, leading to portfolio, leverage, or hedge decisions that underperform a more static strategy. Additionally, due to our active approach, investors may not be able to assess changes in our financial position solely by tracking changes in the mortgage market.</w:t>
      </w:r>
    </w:p>
    <w:p>
      <w:pPr>
        <w:spacing w:after="0" w:line="1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A decline in the fair value of our assets may adversely affect our financial condition and make it costlier to finance our assets.</w:t>
      </w:r>
    </w:p>
    <w:p>
      <w:pPr>
        <w:spacing w:after="0" w:line="388"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Our investment securities are reported at fair value on our consolidated balance sheet, with changes in fair value reported in net income or other comprehensive income. Therefore, a decline in the fair value of our assets reduces our total comprehensive income and adversely affects our financial position. We use our investments as collateral for our financing arrangements and certain hedge transactions; consequently, a decline in fair value, or perceived market uncertainty about the value of our assets, could reduce the amount of our unencumbered assets, subject us to margin calls or make it more difficult for us to maintain our compliance with the terms of our financing agreements. It could also reduce our ability to purchase additional investments or to renew or replace our existing borrowings as they mature. As a result, we could be required to sell assets at adverse prices and our ability to maintain or grow our total comprehensive income could be reduced.</w:t>
      </w:r>
    </w:p>
    <w:p>
      <w:pPr>
        <w:spacing w:after="0" w:line="136"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The value of our assets is influenced by multiple factors. In particular, the value of our long-term fixed-rate securities is highly sensitive to fluctuations in longer-term interest rates. Additionally, market liquidity can significantly impact asset values, as reduced liquidity may lead to price declines and increased volatility. Several factors can negatively impact market liquidity, including shifts in macro-economic conditions, market uncertainties, changes in investor sentiment, reduced or negative global money flows into U.S. fixed income markets, and regulatory capital requirements that constrain the market-making or funding capacity of banks and financial institutions. Liquidity could also be affected by the Fed’s monetary policy, particularly if balance sheet reduction occurs more rapidly than expected, as well as by legislative, regulatory or other administrative actions that affect the Agency RMBS market or changes in fiscal policy that increase the federal budget deficit.</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9960"/>
          </w:cols>
          <w:pgMar w:left="960" w:top="711" w:right="96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prepayment rates may adversely affect the return on our investments.</w:t>
      </w:r>
    </w:p>
    <w:p>
      <w:pPr>
        <w:spacing w:after="0" w:line="19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Our investment portfolio largely consists of securities backed by pools of mortgage loans, which receive payments related to the underlying mortgage loans. When borrowers prepay their mortgage loans at rates faster or slower than anticipated, it exposes us to prepayment or extension risk. Generally, prepayments increase during periods of falling mortgage interest rates and decrease during periods of rising mortgage interest rates, but other factors can also affect the rate of prepayments, including loan age and size, loan-to-value ratios, housing price trends, general economic conditions and GSE buyouts of delinquent loans.</w:t>
      </w:r>
    </w:p>
    <w:p>
      <w:pPr>
        <w:spacing w:after="0" w:line="132"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into interest income any premiums and discounts we pay or receive at purchase relative to the stated principal of our assets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35"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If our assets prepay at a slower rate than anticipated, our assets could extend beyond their expected maturity,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At the same time, the market value of our assets could decline, while most of our hedging instruments would not receive any incremental offsetting gains.</w:t>
      </w:r>
    </w:p>
    <w:p>
      <w:pPr>
        <w:spacing w:after="0" w:line="135"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To the extent that actual prepayment rates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making less favorable investments.</w:t>
      </w:r>
    </w:p>
    <w:p>
      <w:pPr>
        <w:spacing w:after="0" w:line="1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Prepayment rates are difficult to predict, and market conditions and other factors impacting mortgage origination channels may disrupt the historical correlation between interest rate changes and prepayment trends.</w:t>
      </w:r>
    </w:p>
    <w:p>
      <w:pPr>
        <w:spacing w:after="0" w:line="107"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Our success depends in part on our ability to predict prepayment behavior over a variety of economic conditions. As part of our overall portfolio risk management, we analyze interest rate changes and prepayment trends to assess their effects on our investment portfolio. Our analysis is largely based on predictive models and reliance on historical correlations between interest rates and other factors and the rate of prepayments. However, unprecedented events, market dislocations, advances in origination channel technologies and other factors may impair the usefulness of these historical correlations or render them completely invalid, reducing our ability to accurately predict future prepayment activity. Other factors beyond interest rates also impact the rate of prepayments and may be difficult to predict, such as housing turnover, lending conditions and the availability of credit to homeowners, and GSE buyouts of delinquent loans from the underlying mortgage pool.</w:t>
      </w:r>
    </w:p>
    <w:p>
      <w:pPr>
        <w:spacing w:after="0" w:line="1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analytical models and third-party data that we rely on to manage our portfolio and conduct our business objectives may be incorrect, misleading or incomplete.</w:t>
      </w:r>
    </w:p>
    <w:p>
      <w:pPr>
        <w:spacing w:after="0" w:line="107"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We use analytical models, data and other information to value our assets and assess potential investment opportunities in connection with our risk management and hedging activities. We may source our models and data from third-parties or develop them internally. Models are dependent on multiple assumptions and inputs. Models typically also assume a static portfolio. If either the models, their underlying assumptions or data inputs prove to be incorrect, misleading or incomplete, any decisions we make in reliance on such information may be faulty and expose us to potential risks.</w:t>
      </w:r>
    </w:p>
    <w:p>
      <w:pPr>
        <w:spacing w:after="0" w:line="132"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Many of the analytical models we use are predictive in nature, such as mortgage prepayment and default models. The use of predictive models has inherent risks and may incorrectly forecast future behavior, leading to potential losses. Furthermore, since predictive models are usually constructed based on historical trends using data supplied by third parties, the success of relying on such models depends heavily on the accuracy and reliability of the supplied historical data. Additionally, multiple factors could disrupt the relationships between data and historical trends, reducing the ability of our models to predict future outcomes, or even render them invalid. We are at greater risk of this occurring during periods of high volatility or unanticipated and/or unprecedented financial or economic events, including any actual or anticipated shifts in monetary or fiscal policy resulting from these events. Consequently, actual results could differ materially from our projections. Moreover, the use of different models could result in materially different projections.</w:t>
      </w:r>
    </w:p>
    <w:p>
      <w:pPr>
        <w:spacing w:after="0" w:line="140"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Analytical models and third-party data used to analyze credit sensitive assets also expose us to the risk that the (i) collateral cash flows and/or liability structures may be incorrectly modeled, or may be modeled based on simplifying assumptions that lead to errors; (ii) information about collateral may be incorrect, incomplete or misleading; (iii) collateral or</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9960"/>
          </w:cols>
          <w:pgMar w:left="960" w:top="704" w:right="960" w:bottom="0" w:gutter="0" w:footer="0" w:header="0"/>
          <w:type w:val="continuous"/>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9"/>
          <w:szCs w:val="19"/>
          <w:color w:val="auto"/>
        </w:rPr>
        <w:t>bond historical performance (such as historical prepayments, defaults, cash flows, etc.) may be incorrectly reported, or subject to interpretation (e.g., different issuers may report delinquency statistics based on different definitions of what constitutes a delinquent loan); or (iv) collateral or bond information may be outdated, in which case the models may contain incorrect assumptions as to what has occurred since the date information was last updated.</w:t>
      </w:r>
    </w:p>
    <w:p>
      <w:pPr>
        <w:spacing w:after="0" w:line="1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fair value of our investments may not be readily determinable or may be materially different from the value that we ultimately realize upon their disposal.</w:t>
      </w:r>
    </w:p>
    <w:p>
      <w:pPr>
        <w:spacing w:after="0" w:line="107"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9"/>
          <w:szCs w:val="19"/>
          <w:color w:val="auto"/>
        </w:rPr>
        <w:t xml:space="preserve">We measure the fair value of our investments in accordance with guidance set forth in Accounting Standards Codification Topic 820, </w:t>
      </w:r>
      <w:r>
        <w:rPr>
          <w:rFonts w:ascii="Times New Roman" w:cs="Times New Roman" w:eastAsia="Times New Roman" w:hAnsi="Times New Roman"/>
          <w:sz w:val="19"/>
          <w:szCs w:val="19"/>
          <w:b w:val="1"/>
          <w:bCs w:val="1"/>
          <w:i w:val="1"/>
          <w:iCs w:val="1"/>
          <w:color w:val="auto"/>
        </w:rPr>
        <w:t>Fair Value Measurements and Disclosures</w:t>
      </w:r>
      <w:r>
        <w:rPr>
          <w:rFonts w:ascii="Times New Roman" w:cs="Times New Roman" w:eastAsia="Times New Roman" w:hAnsi="Times New Roman"/>
          <w:sz w:val="19"/>
          <w:szCs w:val="19"/>
          <w:color w:val="auto"/>
        </w:rPr>
        <w:t>. Fair value is only an estimate based on good faith judgment of the price at which an investment can be sold since market prices of investments can only be determined by negotiation between a willing buyer and seller. Our determination of the fair value of our investments includes inputs provided by pricing services and third-party dealers. Valuations of certain investments in which we invest may be difficult to obtain or unreliable. In general, pricing services and dealers heavily disclaim their valuations and we do not have recourse against them in the event of inaccurate price quotes or other inputs used to determine the fair value of our investments. Depending on the complexity and illiquidity of a security, valuations of the same security can vary substantially from one pricing source to another. Moreover, values can fluctuate significantly, even over short periods of time. For these reasons, the fair value at which our investments are recorded may not be an accurate indication of their realizable value. The ultimate realization of the value of an asset depends on economic and other conditions that are beyond our control. Consequently, if we were to sell an asset, particularly through a forced liquidation, the realized value may be less than the amount at which the asset is recorded, which would negatively affect our results of operations and financial condition.</w:t>
      </w:r>
    </w:p>
    <w:p>
      <w:pPr>
        <w:spacing w:after="0" w:line="14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mortgage loans referenced by our CRT securities or that underlie our non-Agency securities may be or could become subject to delinquency or foreclosure, which could result in investment losses.</w:t>
      </w:r>
    </w:p>
    <w:p>
      <w:pPr>
        <w:spacing w:after="0" w:line="107"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Investments in credit-oriented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25"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CRT securities are risk sharing instruments issued by Fannie Mae and Freddie Mac, and similarly structured transactions arranged by third-party market participants, that are designed to synthetically transfer mortgage credit risk from the issuing entity to private investors. The transactions are structured as unguaranteed bonds whose principal payments are determined by the delinquency and prepayment experience of a reference pool of mortgages guaranteed by Fannie Mae or Freddie Mac. An investor in CRT securities bears the risk that the borrowers in the reference pool of loans may default on their obligations to make full and timely payments of principal and interest.</w:t>
      </w:r>
    </w:p>
    <w:p>
      <w:pPr>
        <w:spacing w:after="0" w:line="135"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Non-Agency RMBS are backed by residential mortgage loans, which carry the risk of delinquency, foreclosure and loss based on the borrower's ability to repay. The ability to repay is primarily influenced by the borrower's income and assets. Factors such as loss of employment, divorce, illness, acts of God, acts of war or terrorism, adverse changes in economic and market conditions, declining home values, changes in laws and regulations, changes in fiscal policies and zoning ordinances, environmental hazards such as mold, and property losses (insured or not) can impede repayment.</w:t>
      </w:r>
    </w:p>
    <w:p>
      <w:pPr>
        <w:spacing w:after="0" w:line="132" w:lineRule="exact"/>
        <w:rPr>
          <w:sz w:val="20"/>
          <w:szCs w:val="20"/>
          <w:color w:val="auto"/>
        </w:rPr>
      </w:pPr>
    </w:p>
    <w:p>
      <w:pPr>
        <w:jc w:val="both"/>
        <w:ind w:firstLine="436"/>
        <w:spacing w:after="0" w:line="266" w:lineRule="auto"/>
        <w:rPr>
          <w:sz w:val="20"/>
          <w:szCs w:val="20"/>
          <w:color w:val="auto"/>
        </w:rPr>
      </w:pPr>
      <w:r>
        <w:rPr>
          <w:rFonts w:ascii="Times New Roman" w:cs="Times New Roman" w:eastAsia="Times New Roman" w:hAnsi="Times New Roman"/>
          <w:sz w:val="19"/>
          <w:szCs w:val="19"/>
          <w:color w:val="auto"/>
        </w:rPr>
        <w:t>CMBS are backed by commercial loans, secured by multifamily or other commercial properties. These loans typically face higher risks of delinquency and loss compared to residential loans. Repayment largely depends on the property's operational success. Factors affecting the property's net operating income, such as occupancy rates, tenant mix, the success of tenant businesses, property management, location, condition, and economic conditions, can influence the borrower's repayment capacity.</w:t>
      </w:r>
    </w:p>
    <w:p>
      <w:pPr>
        <w:spacing w:after="0" w:line="370"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Geographic concentration of our assets can heighten the risk of default and loss. Both borrower repayment and the market value of the assets underlying our investments are affected by national, local and regional economic conditions. As a result, concentrations of investments tied to geographic regions increase the risk that adverse conditions affecting a region could increase the frequency and severity of losses on our investments. Additionally, assets in certain regional areas may be more susceptible to certain environmental hazards (such as earthquakes, widespread fires, rising sea levels, disease, floods, drought, hurricanes and certain climate risks) than properties in other areas; for example, assets located in coastal states may be more susceptible to hurricanes or sea level rise than properties in other parts of the country. Areas affected by these types of events often experience disruptions in travel, transportation and tourism, loss of jobs, a decrease in consumer activity, and a decline in real estate-related investments, and their economies may not recover sufficiently to support income producing real estate at pre-event levels. These types of occurrences may increase over time or become more severe due to changes in weather patterns and other climate changes.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9960"/>
          </w:cols>
          <w:pgMar w:left="960" w:top="711" w:right="960" w:bottom="0" w:gutter="0" w:footer="0" w:header="0"/>
          <w:type w:val="continuous"/>
        </w:sectPr>
      </w:pPr>
    </w:p>
    <w:bookmarkStart w:id="22" w:name="page23"/>
    <w:bookmarkEnd w:id="22"/>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Private mortgage insurance may not cover losses on loans referenced by our CRT securities and underlying our non-Agency RMBS.</w:t>
      </w:r>
    </w:p>
    <w:p>
      <w:pPr>
        <w:spacing w:after="0" w:line="107"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Certain mortgage loans referenced by our CRT securities or underlying our non-Agency RMBS may have private mortgage insurance; however, coverage is not guaranteed. Insurance may not fully protect against losses in the event of a loan default due to several factors, including coverage limits that absorb only a portion of the loss, the insurer rescinding or denying a claim, or the insurer failing to meet its obligations—whether due to breach of contract or insolvency. As a result, we may still incur losses despite the presence of mortgage insurance.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credit spreads may adversely affect our profitability.</w:t>
      </w:r>
    </w:p>
    <w:p>
      <w:pPr>
        <w:spacing w:after="0" w:line="196"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A significant portion of the fair value of CRT and non-Agency securities, as well as other credit risk-oriented investments, is typically driven by the credit spread—the difference between the value of a credit instrument and a comparable financial instrument with similar interest rate exposure but no credit risk, such as a U.S. Treasury note. Credit spreads fluctuate due to changes in economic conditions, liquidity, investor demand and other factors and can be highly volatile.</w:t>
      </w:r>
    </w:p>
    <w:p>
      <w:pPr>
        <w:spacing w:after="0" w:line="130"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Credit spreads typically widen during periods of market uncertainty or actual or anticipated economic deterioration. They may also widen due to actual or anticipated rating downgrades of the securities or similar instruments. Hedging fair value changes related to credit spreads is often inefficient, and our hedging strategies are generally not designed to mitigate credit spread risk. As a result, fluctuations in credit spreads could negatively impact our profitability and financial condition.</w:t>
      </w:r>
    </w:p>
    <w:p>
      <w:pPr>
        <w:spacing w:after="0" w:line="1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may be unable to acquire desirable investments due to competition, a reduction in the supply of new production Agency RMBS having the specific attributes we seek, and other factors.</w:t>
      </w:r>
    </w:p>
    <w:p>
      <w:pPr>
        <w:spacing w:after="0" w:line="107"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Our profitability depends on our ability to acquire our target assets at attractive prices. We may seek assets with specific attributes that influence their prepayment behavior under certain market conditions or that enable us to satisfy asset test requirements to maintain our REIT qualification status or exemption from regulation under the Investment Company Act (such as "whole pool" Agency RMBS). The supply of our target assets may be impacted by policies and procedures adopted by the GSEs, their regulator—the Federal Housing Finance Administration ("FHFA")—or other governmental agencies, such as policies impacting origination and pooling practices, as well as by legislative, regulatory or other administrative actions related to the GSEs’ government-like status or changes to their Federal conservatorships. As a result, our target assets may not be available in sufficient supply or at attractive prices. We may also compete for these assets with a variety of other investors, including other REITs, specialty finance companies, public and private funds, government entities, banks, insurance companies and other financial institutions, which may have competitive advantages over us, such as a lower cost of funds and access to funding sources not available to us. If we are unable to acquire enough target assets, we may be unable to achieve our investment objectives or maintain our REIT qualification status or exemption from regulation under the Investment Company Act.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change our targeted investments, investment guidelines and other operational policies without stockholder consent.</w:t>
      </w:r>
    </w:p>
    <w:p>
      <w:pPr>
        <w:spacing w:after="0" w:line="196"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We may change our targeted investments and investment guidelines at any time without the consent of our stockholders, which could result in our making investments that are different from, and possibly riskier than, those described in this Annual Report or under our current guidelines. We may also amend or revise our other operational policies, including our policies with respect to our REIT qualification, acquisitions, dispositions, operations, indebtedness and distributions without a vote of, or notice to, our stockholders. Any such change may increase our exposure to risks described herein or expose us to new risks that are not currently contemplated, which could materially impair our operations and financial performance.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Financing and Hedging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strategy involves the use of significant leverage, which increases the risk that we may incur substantial losses.</w:t>
      </w:r>
    </w:p>
    <w:p>
      <w:pPr>
        <w:spacing w:after="0" w:line="196"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We expect our leverage to vary with market conditions and our assessment of the tradeoffs between risk and return on investments. We generally expect to maintain our leverage between six to twelve times the amount of our tangible stockholders' equity, but we may operate at levels outside of this range for extended periods. We incur this leverage by borrowing against a substantial portion of the market value of our assets. Leverage, which is fundamental to our investment strategy, creates significant risks and amplifies our risk exposure to higher borrowing costs, changes in underlying asset values, changes in mortgage spreads, and other market factors. Leverage also exposes us to the risk of margin calls and defaults under our funding agreements, which may result in forced sales of assets in adverse market conditions. The risks associated with leverage are more acute during volatile market environments and periods of reduced market liquidity. Because of our leverage, we may incur substantial losses.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9960"/>
          </w:cols>
          <w:pgMar w:left="960" w:top="704" w:right="96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9"/>
          <w:szCs w:val="19"/>
          <w:b w:val="1"/>
          <w:bCs w:val="1"/>
          <w:i w:val="1"/>
          <w:iCs w:val="1"/>
          <w:color w:val="auto"/>
        </w:rPr>
        <w:t>We may be unable to procure or renew funding on favorable terms, or at all.</w:t>
      </w:r>
    </w:p>
    <w:p>
      <w:pPr>
        <w:spacing w:after="0" w:line="196"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We rely primarily on short-term borrowings to finance our mortgage investments. Consequently, our ability to achieve our investment objectives depends not only on our ability to borrow sufficient amounts and on favorable terms, but also our ability to renew or replace our maturing short-term borrowings on a continuous basis. A variety of factors could prevent us from being able to achieve our intended borrowing and leverage objectives, including:</w:t>
      </w:r>
    </w:p>
    <w:p>
      <w:pPr>
        <w:spacing w:after="0" w:line="130" w:lineRule="exact"/>
        <w:rPr>
          <w:sz w:val="20"/>
          <w:szCs w:val="20"/>
          <w:color w:val="auto"/>
        </w:rPr>
      </w:pPr>
    </w:p>
    <w:p>
      <w:pPr>
        <w:ind w:left="700" w:hanging="26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disruptions in the repo market generally or the infrastructure that supports it;</w:t>
      </w:r>
    </w:p>
    <w:p>
      <w:pPr>
        <w:spacing w:after="0" w:line="3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higher short-term interest rates;</w:t>
      </w:r>
    </w:p>
    <w:p>
      <w:pPr>
        <w:spacing w:after="0" w:line="1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decline in the market value of our investments available to collateralize borrowings;</w:t>
      </w:r>
    </w:p>
    <w:p>
      <w:pPr>
        <w:spacing w:after="0" w:line="14"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increases in the "haircut" lenders require on the value of our assets under repurchase agreements, resulting in higher collateral requirements;</w:t>
      </w:r>
    </w:p>
    <w:p>
      <w:pPr>
        <w:spacing w:after="0" w:line="1"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increases in member specific margin requirements assessed by the FICC for tri-party repo accessed by our wholly-owned captive broker-dealer subsidiary, BES, through the FICC's GCF Repo service;</w:t>
      </w:r>
    </w:p>
    <w:p>
      <w:pPr>
        <w:spacing w:after="0" w:line="1"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capital requirements or other limitations imposed on our lenders that negatively impact their ability or willingness to lend to us;</w:t>
      </w:r>
    </w:p>
    <w:p>
      <w:pPr>
        <w:spacing w:after="0" w:line="1"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exit by lenders from the market;</w:t>
      </w:r>
    </w:p>
    <w:p>
      <w:pPr>
        <w:spacing w:after="0" w:line="14"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circumstances that could result in our failure to satisfy covenants, leverage limits, or other requirements imposed by our lenders, in which case our lenders may terminate and cease entering into repurchase transactions with us; and</w:t>
      </w:r>
    </w:p>
    <w:p>
      <w:pPr>
        <w:spacing w:after="0" w:line="1" w:lineRule="exact"/>
        <w:rPr>
          <w:rFonts w:ascii="Times New Roman" w:cs="Times New Roman" w:eastAsia="Times New Roman" w:hAnsi="Times New Roman"/>
          <w:sz w:val="19"/>
          <w:szCs w:val="19"/>
          <w:color w:val="auto"/>
        </w:rPr>
      </w:pPr>
    </w:p>
    <w:p>
      <w:pPr>
        <w:ind w:left="700" w:hanging="260"/>
        <w:spacing w:after="0" w:line="271"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inability of BES to continually meet FINRA and FICC regulatory and membership requirements, which may change over time.</w:t>
      </w:r>
    </w:p>
    <w:p>
      <w:pPr>
        <w:spacing w:after="0" w:line="127"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Because of these and other factors, there is no assurance that we will be able to secure financing on terms that are acceptable to us. If we cannot obtain sufficient funding on acceptable terms, we may have to sell assets possibly under adverse market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borrowing costs may increase at a faster pace than the yield on our investments.</w:t>
      </w:r>
    </w:p>
    <w:p>
      <w:pPr>
        <w:spacing w:after="0" w:line="196"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Our borrowing costs are particularly sensitive to changes in short-term interest rates, as well as overall funding availability and market liquidity, whereas the yield on our fixed rate assets is largely influenced by longer-term rates and conditions in the mortgage market. Consequently, our borrowing costs may rise at a faster pace or decline at a slower pace than the yield on our assets, negatively impacting our net interest margin.</w:t>
      </w:r>
    </w:p>
    <w:p>
      <w:pPr>
        <w:spacing w:after="0" w:line="1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It may be uneconomical to roll our TBA dollar roll transactions, and we may be required to take physical delivery of the underlying securities and fund our obligations with cash or other financing sources.</w:t>
      </w:r>
    </w:p>
    <w:p>
      <w:pPr>
        <w:spacing w:after="0" w:line="107"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9"/>
          <w:szCs w:val="19"/>
          <w:color w:val="auto"/>
        </w:rPr>
        <w:t>We utilize TBA dollar roll transactions, which represent a form of off-balance sheet financing and increase our "at risk" leverage, as an alternate means of investing in and financing Agency RMBS. It may become uneconomical for us to roll forward our TBA positions prior to their settlement dates due to market conditions, which can be impacted by a variety of factors, such as changes in the pace or manner of the Fed’s runoff of its portfolio of Agency RMBS or, if they occur, the Fed’s purchases or sales of Agency RMBS in the TBA market. TBA dollar roll transactions include a deferred purchase price obligation on our part. An inability or unwillingness to continue rolling forward our position has effects similar to a termination of financing. In that circumstance, we would be required to settle the obligations for cash and would then take physical delivery of the underlying Agency RMBS. We may not have sufficient funds or alternative financing sources available to settle such obligations. Additionally, if we take delivery of the underlying securities, we can expect to receive the "cheapest to deliver" securities with the least favorable prepayment attributes that satisfy the terms of the TBA contract. Further, the specific securities that we receive may include few, if any, "whole pool" securities, which could inhibit our ability to remain exempt from regulation as an investment company under the Investment Company Act (see "</w:t>
      </w:r>
      <w:r>
        <w:rPr>
          <w:rFonts w:ascii="Times New Roman" w:cs="Times New Roman" w:eastAsia="Times New Roman" w:hAnsi="Times New Roman"/>
          <w:sz w:val="19"/>
          <w:szCs w:val="19"/>
          <w:b w:val="1"/>
          <w:bCs w:val="1"/>
          <w:i w:val="1"/>
          <w:iCs w:val="1"/>
          <w:color w:val="auto"/>
        </w:rPr>
        <w:t>Loss of our exemption from regulation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pursuant to the Investment Company Act would adversely affect us</w:t>
      </w:r>
      <w:r>
        <w:rPr>
          <w:rFonts w:ascii="Times New Roman" w:cs="Times New Roman" w:eastAsia="Times New Roman" w:hAnsi="Times New Roman"/>
          <w:sz w:val="19"/>
          <w:szCs w:val="19"/>
          <w:color w:val="auto"/>
        </w:rPr>
        <w:t>" below). TBA contracts also subject us to margin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requirements as described further below. Our inability to roll forward our TBA positions, failure to obtain adequate financing to settle our obligations, or failure to meet margin calls under our TBA contracts could force us to sell assets under adverse market conditions causing us to incur significant losses.</w:t>
      </w:r>
    </w:p>
    <w:p>
      <w:pPr>
        <w:spacing w:after="0" w:line="13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Our funding and derivative agreements subject us to margin calls that could result in defaults and force us to sell assets under adverse market conditions or through foreclosure.</w:t>
      </w:r>
    </w:p>
    <w:p>
      <w:pPr>
        <w:spacing w:after="0" w:line="10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Our funding and derivative agreements require that we maintain certain levels of collateral with our counterparties and may result in margin calls initiated against us if, for example, the value of our collateral declines. A margin call means that the counterparty requires us to pledge additional collateral to re-establish the required collateral level to protect them from loss in the event we default on our obligations. The requirement to meet margin calls can create liquidity risks. In the event of a margin call, we must generally provide additional collateral on the same business day. If we fail to meet the margin call, we would be</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9960"/>
          </w:cols>
          <w:pgMar w:left="960" w:top="704" w:right="960" w:bottom="0" w:gutter="0" w:footer="0" w:header="0"/>
          <w:type w:val="continuous"/>
        </w:sectPr>
      </w:pPr>
    </w:p>
    <w:bookmarkStart w:id="24" w:name="page25"/>
    <w:bookmarkEnd w:id="24"/>
    <w:p>
      <w:pPr>
        <w:jc w:val="both"/>
        <w:spacing w:after="0" w:line="263" w:lineRule="auto"/>
        <w:rPr>
          <w:sz w:val="20"/>
          <w:szCs w:val="20"/>
          <w:color w:val="auto"/>
        </w:rPr>
      </w:pPr>
      <w:r>
        <w:rPr>
          <w:rFonts w:ascii="Times New Roman" w:cs="Times New Roman" w:eastAsia="Times New Roman" w:hAnsi="Times New Roman"/>
          <w:sz w:val="19"/>
          <w:szCs w:val="19"/>
          <w:color w:val="auto"/>
        </w:rPr>
        <w:t>in default, and our counterparty could terminate outstanding transactions, require us to settle our entire obligation under the agreement and enforce their interests against existing collateral. Furthermore, we may also be subject to certain cross-default and acceleration rights, such that if we were to fail to meet a margin call under one agreement that failure could lead to defaults, accelerations, or other adverse events under other agreements, as well. The threat or occurrence of margin calls or the accelerated settlement of our obligations under our agreements could force us to sell our investments under adverse market conditions and result in substantial losses.</w:t>
      </w:r>
    </w:p>
    <w:p>
      <w:pPr>
        <w:spacing w:after="0" w:line="135"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Our fixed-rate collateral is generally more susceptible to margin calls due to its price sensitivity to changes in interest rates. In addition, some collateral may be less liquid than other instruments, which could cause it to be more susceptible to margin calls in a volatile market environment. Furthermore, faster rates of prepayment increase the magnitude of potential margin calls as there is a time lag between the effective date of the prepayment and the date we receive the principal payment.</w:t>
      </w:r>
    </w:p>
    <w:p>
      <w:pPr>
        <w:spacing w:after="0" w:line="130"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Our derivative agreements also subject us to margin calls. Collateral requirements under our derivative agreements are typically dictated by contract or clearinghouse rules and regulations adopted by the U.S. Commodity Futures Trading Commission (“CFTC”) and regulators of other countries. Thus, changes in clearinghouse rules and other regulations can increase our margin requirements and the cost of our hedges. Our counterparties typically have the sole discretion to determine eligible collateral, the value of our collateral and, in the case of our derivative counterparties, the value of our derivative instruments. Additionally, for cleared swaps and futures, the futures commission merchant, or FCM, that we transact through typically has the right to require more collateral than the clearinghouse requires.</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Changes to FICC margin requirements could limit our ability to enter tri-party repo transactions with the FICC’s GCF Repo service and TBA transactions with the FICC’s MBSD</w:t>
      </w:r>
    </w:p>
    <w:p>
      <w:pPr>
        <w:spacing w:after="0" w:line="107"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We finance a significant portion of our investments and execute TBA transactions through our wholly-owned captive broker-dealer subsidiary, BES. As an eligible institution, BES accesses repo funding through the FICC’s GCF Repo service and central clearing in the TBA market through the FICC's Mortgage-Backed Securities Division (MBSD).</w:t>
      </w:r>
    </w:p>
    <w:p>
      <w:pPr>
        <w:spacing w:after="0" w:line="125"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The FICC continually assesses potential changes to rules governing the calculation of margin and minimum margin requirements. The FICC may also levy member specific margin requirements, including requirements related to a member's specific portfolio risk factors as a ratio to that member’s net capital, requirements related to "back-testing" failures of collected FICC margin requirements to cover losses from a simulated liquidation of a member’s portfolio, and other charges that the FICC has the ability to implement, in some cases without a significant notice period.</w:t>
      </w:r>
    </w:p>
    <w:p>
      <w:pPr>
        <w:spacing w:after="0" w:line="132"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Increases in FICC margin requirements would have the effect of reducing our unencumbered assets and could potentially limit our ability to utilize tri-party repo funding through the FICC's GCF Repo service and engage in centrally-cleared TBA transactions through the FICC’s MBSD. Furthermore, BES' inability to meet FICC margin requirements may result in the FICC declaring an event of default and ceasing to act for BES as a member along with a liquidation of any margin collateral as well as the portfolio of outstanding transactions for which the FICC serves as BES’ central counterparty, potentially in adverse market conditions. If BES were to fail to continually meet FICC margin requirements and default on its obligations to the FICC it could have a material financial impact on our financial position.</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repurchase agreements and agreements governing certain derivative instruments may contain financial and nonfinancial covenants subjecting us to the risk of default.</w:t>
      </w:r>
    </w:p>
    <w:p>
      <w:pPr>
        <w:spacing w:after="0" w:line="107"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9"/>
          <w:szCs w:val="19"/>
          <w:color w:val="auto"/>
        </w:rPr>
        <w:t>A number of our bilateral repurchase agreements and derivative agreements require that we comply with certain financial and non-financial covenants. These financial covenants typically limit declines in our stockholders’ equity for any given quarter, calendar year, or 12-month period and limit our leverage to a maximum amount. Compliance with these covenants depends on market factors and the strength of our business and operating results. In addition, a number of these agreements require, among other things, that we maintain our status as a publicly listed REIT and remain exempt from the provisions of the 1940 Act. Various risks, uncertainties and events beyond our control, including significant fluctuations in interest rates, market volatility and changes in market conditions, could affect our ability to comply with these covenants. Unless we were able to negotiate a waiver or forbearance of such covenants, failure to comply with them could result in an event of default and generally would give the counterparty the right to exercise certain other remedies under the agreement, including termination of one or more repo or hedging transactions, acceleration of all amounts owed under an agreement, and the right to sell the collateral held by that counterparty. Any waiver or forbearance, if granted, could carry additional conditions that may be unfavorable to us. Additionally, certain of our agreements contain cross-default, cross-acceleration or similar provisions, such that if we were to violate a covenant under one agreement, that violation could lead to defaults, accelerations, or other adverse events under other agreements, as well.</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9960"/>
          </w:cols>
          <w:pgMar w:left="960" w:top="711" w:right="96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9"/>
          <w:szCs w:val="19"/>
          <w:b w:val="1"/>
          <w:bCs w:val="1"/>
          <w:i w:val="1"/>
          <w:iCs w:val="1"/>
          <w:color w:val="auto"/>
        </w:rPr>
        <w:t>Our rights under repurchase and derivative agreements in the event bankruptcy or insolvency may be limited.</w:t>
      </w:r>
    </w:p>
    <w:p>
      <w:pPr>
        <w:spacing w:after="0" w:line="19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In the event of our bankruptcy or insolvency, our repurchase agreements and hedging arrangements may qualify for special treatment under the U.S. Bankruptcy Code, the effect of which, among other things, would be to allow the counterparty under the applicable agreement to avoid the automatic stay provisions of the U.S. Bankruptcy Code and to foreclose on the collateral without delay. In the event of an insolvency or bankruptcy of one of our repurchase agreement or derivative counterparties, the counterparty may be permitted, under applicable insolvency laws, to repudiate the contract, and our claim against the counterparty for damages may be treated simply as an unsecured creditor. In addition, if the counterparty is a broker or dealer subject to the Securities Investor Protection Act of 1970, or an insured depository institution subject to the Federal Deposit Insurance Act, our ability to recover our assets under our agreements or to be compensated for any damages resulting from the counterparty's insolvency may be further limited by those statutes. Recoveries on these claims could be subject to significant delay and, if received, could be substantially less than the damages incurred.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funding and derivative agreement counterparties may not fulfill their obligations to us as and when due.</w:t>
      </w:r>
    </w:p>
    <w:p>
      <w:pPr>
        <w:spacing w:after="0" w:line="19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If a repurchase agreement counterparty defaults on its obligation to resell collateral to us, we could incur a loss on the transaction equal to the difference between the value of our collateral and the amount of our borrowing. Similarly, if a derivative agreement counterparty fails to return collateral to us at the conclusion of the derivative transaction or fails to pledge collateral to us or to make other payments we are entitled to under the terms of our agreement as and when due, we could incur a loss equal to the value of our collateral and other amounts due to us.</w:t>
      </w:r>
    </w:p>
    <w:p>
      <w:pPr>
        <w:spacing w:after="0" w:line="132"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9"/>
          <w:szCs w:val="19"/>
          <w:color w:val="auto"/>
        </w:rPr>
        <w:t>We attempt to limit our counterparty exposure by diversifying our funding across multiple counterparties and limiting our counterparties to registered central clearing exchanges and major financial institutions with acceptable credit ratings. However, these measures may not sufficiently reduce our risk of loss. Central clearing exchanges typically attempt to reduce the risk of default by requiring initial and daily variation margin from their clearinghouse members and maintain guarantee funds and other resources that are available in the event of default. Nonetheless, we could be exposed to a risk of loss if an exchange or one or more of its clearing members defaults on its obligations. Most of the swaps and futures transactions that we enter into must be cleared by a Derivatives Clearing Organization, or DCO. DCOs are subject to regulatory oversight, use extensive risk management processes, and might receive "too big to fail" support from the government in the case of insolvency. We access the DCO through several FCMs, which may establish their own collateral requirements beyond that of the DCO. Consequently, for any cleared swap or futures transaction, we bear the credit risk of both the DCO and the relevant FCM as to obligations under our swap and futures agreements. The enforceability of our derivative and repurchase agreements may also depend on compliance with applicable statutory, commodity and other regulatory requirements and, depending on the domicile of the counterparty, applicable international requirements.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hedging strategies may be ineffective.</w:t>
      </w:r>
    </w:p>
    <w:p>
      <w:pPr>
        <w:spacing w:after="0" w:line="19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We attempt to limit, or hedge against, the adverse effect of changes in interest rates on the value of our assets and financing costs, subject to complying with REIT tax requirements. Hedging strategies are complex and do not fully protect against adverse changes under all circumstances. Our business model also calls for accepting certain amounts of risk. Consequently, our hedging activities are generally designed to limit interest rate exposure, but not to eliminate it, and they are generally not designed to hedge against spread risk and other risks inherent to our business model.</w:t>
      </w:r>
    </w:p>
    <w:p>
      <w:pPr>
        <w:spacing w:after="0" w:line="132"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Our hedging strategies may vary in scope based on our portfolio composition, liabilities and our assessment of the level and volatility of interest rates, expected prepayments, credit and other market conditions, and are expected to change over time. We could inaccurately assess a risk or fail to recognize a risk entirely, leaving us exposed to losses without the benefit of any offsetting hedges. Furthermore, the techniques and derivative instruments we select may not have the effect of reducing our risk. Poorly designed hedging strategies or improperly executed transactions could increase our risk of loss. Hedging activities could also result in losses if the hedged event does not occur. Numerous other factors can impact the effectiveness of our hedging strategies, including the following:</w:t>
      </w:r>
    </w:p>
    <w:p>
      <w:pPr>
        <w:spacing w:after="0" w:line="135" w:lineRule="exact"/>
        <w:rPr>
          <w:sz w:val="20"/>
          <w:szCs w:val="20"/>
          <w:color w:val="auto"/>
        </w:rPr>
      </w:pPr>
    </w:p>
    <w:p>
      <w:pPr>
        <w:ind w:left="700" w:hanging="26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of interest rate hedges;</w:t>
      </w:r>
    </w:p>
    <w:p>
      <w:pPr>
        <w:spacing w:after="0" w:line="3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degree to which the interest rate hedge benchmark rate correlates to the interest rate risk being hedged;</w:t>
      </w:r>
    </w:p>
    <w:p>
      <w:pPr>
        <w:spacing w:after="0" w:line="14"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degree to which the duration of the hedge matches that of the related asset or liability, particularly as interest rates change;</w:t>
      </w:r>
    </w:p>
    <w:p>
      <w:pPr>
        <w:spacing w:after="0" w:line="1"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income that a REIT may earn from hedging transactions that do not satisfy certain requirements of the Internal Revenue Code or that are not done through a TRS; and</w:t>
      </w:r>
    </w:p>
    <w:p>
      <w:pPr>
        <w:spacing w:after="0" w:line="1" w:lineRule="exact"/>
        <w:rPr>
          <w:rFonts w:ascii="Times New Roman" w:cs="Times New Roman" w:eastAsia="Times New Roman" w:hAnsi="Times New Roman"/>
          <w:sz w:val="19"/>
          <w:szCs w:val="19"/>
          <w:color w:val="auto"/>
        </w:rPr>
      </w:pPr>
    </w:p>
    <w:p>
      <w:pPr>
        <w:ind w:left="700" w:hanging="260"/>
        <w:spacing w:after="0" w:line="271" w:lineRule="auto"/>
        <w:tabs>
          <w:tab w:leader="none" w:pos="7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degree to which the value of our interest rate hedges changes relative to our assets as a result of fluctuations in interest rates, passage of time, or other factors.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9960"/>
          </w:cols>
          <w:pgMar w:left="960" w:top="704" w:right="960" w:bottom="0" w:gutter="0" w:footer="0" w:header="0"/>
          <w:type w:val="continuous"/>
        </w:sectPr>
      </w:pPr>
    </w:p>
    <w:bookmarkStart w:id="26" w:name="page27"/>
    <w:bookmarkEnd w:id="26"/>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Additionally, regulations adopted by the CFTC and regulators of other countries could adversely affect our ability to engage in derivative transactions or impose increased margin requirements and require additional operational and compliance costs. Consequently, our hedging strategies may fail to protect us from loss and could even result in greater losses than if we had not entered in the hedge transaction.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Business Operations</w:t>
      </w:r>
    </w:p>
    <w:p>
      <w:pPr>
        <w:spacing w:after="0" w:line="18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executive officers and other key personnel are critical to our success and the loss of any executive officer or key employee may materially adversely affect our business.</w:t>
      </w:r>
    </w:p>
    <w:p>
      <w:pPr>
        <w:spacing w:after="0" w:line="107"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We are highly dependent on information systems and third-party service providers to conduct our operations, and system failures, cybersecurity incidents or failure of our providers to fulfill their obligations to us could significantly disrupt our ability to operate our business.</w:t>
      </w:r>
    </w:p>
    <w:p>
      <w:pPr>
        <w:spacing w:after="0" w:line="126"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Our business heavily depends on information and communication systems, including services provided by third parties and cloud-based platforms. A failure in these systems, or a failure by a third-party provider, could significantly disrupt our operations. These systems may be subject to damage or interruption from, among other things, natural disasters, public health issues such as pandemics or epidemics, terrorist attack, rogue employees, power loss, telecommunications failures, internet disruptions, and other interruptions beyond our control. Additionally, our reliance on these systems exposes us to risks of disruption or damage from cybersecurity risks, such as malware, virus, hacking, denial of service, ransomware, physical or electronic break-ins, insider threats, and phishing attacks, all of which are increasingly sophisticated and prevalent. Our systems may be misconfigured or configured in a way that exacerbates our exposure to these risks. Despite having no significant breaches detected so far, we regularly are targeted by threat actors, and completely preventing or detecting such incidents promptly is increasingly challenging.</w:t>
      </w:r>
    </w:p>
    <w:p>
      <w:pPr>
        <w:spacing w:after="0" w:line="372"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The complex nature of cybersecurity threats means a breach could go undetected for a long time, if ever, and responding to such incidents may not always be immediate or sufficient. Moreover, we depend on third-party vendors to implement security programs commensurate with their own risk. They may not be successful at defending against or detecting cybersecurity threats, and they may not be obligated to inform us of such incidents. The consequences of a cyber-attack may include operational disruption, unauthorized access to sensitive data, regulatory fines, reputational damage, liability to third parties, and financial losses.</w:t>
      </w:r>
    </w:p>
    <w:p>
      <w:pPr>
        <w:spacing w:after="0" w:line="135"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The impact of cybersecurity incidents is difficult to predict, and legal and regulatory requirements around data privacy and security could lead to increased costs and stricter compliance requirements. During an investigation of a cybersecurity incident, or a series of events, it is possible we may not necessarily know the extent of the harm or how to remediate it, which could further adversely impact us, and we may be compelled to disclose information about a material cybersecurity incident before it has been mitigated or resolved, or even fully investigated. Furthermore, whether a single or series of cyber events is material is often a matter of judgment rather than quantitative measures and might only be determinable well after the fact. Despite our efforts to enhance our cybersecurity defenses, we cannot assure complete protection against all cybersecurity threats. A cybersecurity incident, if one were to occur, could adversely affect our business, results of operations, or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Taxation as a REIT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failure to qualify as a REIT would have adverse tax consequences.</w:t>
      </w:r>
    </w:p>
    <w:p>
      <w:pPr>
        <w:spacing w:after="0" w:line="19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We believe we qualify as a REIT for U.S. federal income tax purposes under Sections 856–860 of the Internal Revenue Code of 1986, as amended, and related Treasury Regulations, and we intend to maintain our REIT status. The determination that we are a REIT requires an analysis of various factual matters and circumstances that may not be entirely within our control. Qualification and taxation as a REIT also depend on our ability to continually meet requirements imposed on REITs by the Internal Revenue Code, including satisfying certain organizational requirements, an annual distribution requirement, and quarterly asset and annual income tests. These tests depend on our ability to effectively manage the composition of our income and assets on an ongoing basis. At least 75% of our gross income must come from real estate sources, and 95% must come from real estate and certain other qualifying sources. Our ability to satisfy the asset tests depends on determining the characterization and fair market value of our assets, which may not be precisely measurable and lack independent appraisals. Additionally, the classification of certain instruments as debt or equity for tax purposes may be uncertain, which could impact the application of the REIT asset requirements. The distribution requirement mandates that we distribute at least 90% of our REIT taxable income to stockholders annually, determined without regard to the dividends paid deduction and excluding net capital gains.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9960"/>
          </w:cols>
          <w:pgMar w:left="960" w:top="711" w:right="960" w:bottom="0" w:gutter="0" w:footer="0" w:header="0"/>
          <w:type w:val="continuous"/>
        </w:sectPr>
      </w:pPr>
    </w:p>
    <w:bookmarkStart w:id="27" w:name="page28"/>
    <w:bookmarkEnd w:id="27"/>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Failure to qualify as a REIT would have significant consequences. We would lose the ability to deduct dividends paid to stockholders when computing our taxable income and would be subject to U.S. federal and state corporate income tax as a regular C corporation for any taxable year for which we did not qualify. This could result in substantial tax liabilities and reduce funds available for investments and distributions, likely adversely impacting our stock value. Additionally, we would no longer be required to make stockholder distributions. Unless the IRS granted us relief under certain statutory provisions, we would remain disqualified as a REIT for four years following the year we first fail to qualify.</w:t>
      </w:r>
    </w:p>
    <w:p>
      <w:pPr>
        <w:spacing w:after="0" w:line="135"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Relief provisions may be available if we fail to meet the REIT requirements, provided the failure was due to reasonable cause, not willful neglect, and we satisfy other requirements, including completion of applicable IRS filings. It is not possible to predict if we would be entitled to benefit from such provisions. Even if we were to qualify for relief, we may still incur penalty taxes. The penalty for failing an asset test is the greater of $50,000 per failure or the net income from non-qualifying assets that resulted in the failure multiplied by the highest U.S. federal corporate tax rate. For failing one or both gross income tests, the penalty equals 100% of the net profit from non-qualifying income that resulted in the failure, as determined under the Internal Revenue Code.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REIT distribution requirements could adversely affect our ability to execute our business plan.</w:t>
      </w:r>
    </w:p>
    <w:p>
      <w:pPr>
        <w:spacing w:after="0" w:line="19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We generally must distribute annually at least 90% of our taxable income, subject to certain adjustments and excluding any net capital gain, for U.S. federal and state corporate income tax not to apply to earnings that we distribute and to retain our REIT status.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 which limits our ability to retain earnings and thereby replenish or increase capital from operations.</w:t>
      </w:r>
    </w:p>
    <w:p>
      <w:pPr>
        <w:spacing w:after="0" w:line="375"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pacing w:after="0" w:line="135"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Our taxable income will typically differ from income prepared in accordance with GAAP due to temporary and permanent differences. For example, realized gains and losses on our hedging instruments, such as interest rate swaps, may be deferred for income tax purposes and amortized into taxable income over the remaining contract term of the instrument even if we have exited the instrument and settled such gains or losses for cash. We are also not allowed to reduce our taxable income for net capital losses incurred; instead, the capital losses may be carried forward for a period of up to five years and applied against future capital gains subject to our ability to generate sufficient capital gains, which cannot be assured. Therefore, it is possible that our taxable income could be in excess of the net cash generated from our operations. If we do not have funds available in these situations to meet our REIT distribution requirements or to avoid corporate and excise taxes altogether, we could be required to borrow funds on unfavorable terms, sell investments at disadvantageous prices or distribute amounts that would otherwise be invested in future acquisitions.</w:t>
      </w:r>
    </w:p>
    <w:p>
      <w:pPr>
        <w:spacing w:after="0" w:line="13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may choose to pay dividends in our own stock, in which case stockholders may be required to pay income taxes in excess of cash dividends received.</w:t>
      </w:r>
    </w:p>
    <w:p>
      <w:pPr>
        <w:spacing w:after="0" w:line="107"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We may in the future distribute taxable dividends that are payable at least in part in shares of our common stock.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that are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9960"/>
          </w:cols>
          <w:pgMar w:left="960" w:top="711" w:right="96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9"/>
          <w:szCs w:val="19"/>
          <w:b w:val="1"/>
          <w:bCs w:val="1"/>
          <w:i w:val="1"/>
          <w:iCs w:val="1"/>
          <w:color w:val="auto"/>
        </w:rPr>
        <w:t>Even if we remain qualified as a REIT, we may face other tax liabilities that reduce our cash flow.</w:t>
      </w:r>
    </w:p>
    <w:p>
      <w:pPr>
        <w:spacing w:after="0" w:line="196"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Even if we remain qualified for taxation as a REIT, we may nonetheless be subject to certain federal, state and local taxes on our income and assets, including the following items. Any of these or other taxes we may incur would decrease cash available for distribution to our stockholders.</w:t>
      </w:r>
    </w:p>
    <w:p>
      <w:pPr>
        <w:spacing w:after="0" w:line="125" w:lineRule="exact"/>
        <w:rPr>
          <w:sz w:val="20"/>
          <w:szCs w:val="20"/>
          <w:color w:val="auto"/>
        </w:rPr>
      </w:pPr>
    </w:p>
    <w:p>
      <w:pPr>
        <w:ind w:left="700" w:hanging="260"/>
        <w:spacing w:after="0" w:line="266" w:lineRule="auto"/>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Regular U.S. federal and state corporate income taxes on any undistributed taxable income, including undistributed net capital gains.</w:t>
      </w:r>
    </w:p>
    <w:p>
      <w:pPr>
        <w:spacing w:after="0" w:line="1"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non-deductible 4% excise tax if the actual amount distributed to our stockholders in a calendar year is less than a minimum amount specified under Federal tax laws.</w:t>
      </w:r>
    </w:p>
    <w:p>
      <w:pPr>
        <w:spacing w:after="0" w:line="1"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Corporate income taxes on the earnings of subsidiaries, to the extent that such subsidiaries are subchapter C corporations and are not qualified REIT subsidiaries or other disregarded entities for federal income tax purposes.</w:t>
      </w:r>
    </w:p>
    <w:p>
      <w:pPr>
        <w:spacing w:after="0" w:line="1"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100% tax on certain transactions between us and our TRSs that do not reflect arm's-length terms.</w:t>
      </w:r>
    </w:p>
    <w:p>
      <w:pPr>
        <w:spacing w:after="0" w:line="14" w:lineRule="exact"/>
        <w:rPr>
          <w:rFonts w:ascii="Times New Roman" w:cs="Times New Roman" w:eastAsia="Times New Roman" w:hAnsi="Times New Roman"/>
          <w:sz w:val="19"/>
          <w:szCs w:val="19"/>
          <w:color w:val="auto"/>
        </w:rPr>
      </w:pPr>
    </w:p>
    <w:p>
      <w:pPr>
        <w:jc w:val="both"/>
        <w:ind w:left="700" w:hanging="260"/>
        <w:spacing w:after="0" w:line="259" w:lineRule="auto"/>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five-year period following their acquisition from the subchapter C corporation.</w:t>
      </w:r>
    </w:p>
    <w:p>
      <w:pPr>
        <w:spacing w:after="0" w:line="217"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100% tax on net income and gains from "prohibited transactions."</w:t>
      </w:r>
    </w:p>
    <w:p>
      <w:pPr>
        <w:spacing w:after="0" w:line="1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Penalty taxes and other fines for failure to satisfy one or more requirements for REIT qualification.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Complying with REIT requirements may cause us to liquidate or forgo attractive investment opportunities.</w:t>
      </w:r>
    </w:p>
    <w:p>
      <w:pPr>
        <w:spacing w:after="0" w:line="196"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9"/>
          <w:szCs w:val="19"/>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We must also satisfy tests concerning the sources of our income and the amounts that we distribute to our stockholders. Complying with these requirements may prevent us from acquiring certain attractive investments or we may be required to sell otherwise attractive investments. Thus, the potential returns on our investment portfolio may be lower than if we were not subject to such requirements. Additionally, if we must liquidate our investments to repay our lenders or to satisfy other obligations, we may be unable to comply with these requirements, potentially jeopardizing our qualification as a REIT.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Complying with REIT requirements may limit our ability to hedge effectively and may cause us to incur tax liabilities.</w:t>
      </w:r>
    </w:p>
    <w:p>
      <w:pPr>
        <w:spacing w:after="0" w:line="196"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The REIT provisions of the Internal Revenue Code could substantially limit our ability to hedge our risks. Any income from a properly designated hedging transaction to manage risk of interest rate changes with respect to borrowings made or to be made, or ordinary obligations incurred or to be incurred, to acquire or carry real estate assets generally does not constitute "gross income" for purposes of the 75% or 95% gross income tests ("qualified hedges"). To the extent that we enter into other types of hedging transactions, or fail to properly designate qualified hedges, the income from those transactions is likely to be treated as non-qualifying income for purposes of both gross income tests. As such, we may have to limit our use of advantageous hedging techniques or implement those hedges through a TRS. This could increase the cost of our hedging activities as our TRS would be subject to tax on gains or expose us to greater risks than we would otherwise want to bear. In addition, losses in a TRS will generally not provide any tax benefit, except for being carried forward against future taxable income in the TRS.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Uncertainty exists with respect to the treatment of our TBAs for purposes of the REIT asset and income tests.</w:t>
      </w:r>
    </w:p>
    <w:p>
      <w:pPr>
        <w:spacing w:after="0" w:line="196"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 legal opinion of Skadden, Arps, Slate, Meagher &amp; Flom LLP (“Skadden”) substantially to the effect that (i) for purposes of the REIT asset tests, our ownership of a TBA should be treated as ownership of the underlying Agency RMBS, and (ii) for purposes of the 75% REIT gross income test, any gain recognized by us in</w:t>
      </w:r>
    </w:p>
    <w:p>
      <w:pPr>
        <w:sectPr>
          <w:pgSz w:w="11880" w:h="15480" w:orient="portrait"/>
          <w:cols w:equalWidth="0" w:num="1">
            <w:col w:w="9960"/>
          </w:cols>
          <w:pgMar w:left="960" w:top="704" w:right="96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9960"/>
          </w:cols>
          <w:pgMar w:left="960" w:top="704" w:right="960" w:bottom="0" w:gutter="0" w:footer="0" w:header="0"/>
          <w:type w:val="continuous"/>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9"/>
          <w:szCs w:val="19"/>
          <w:color w:val="auto"/>
        </w:rPr>
        <w:t>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Skadden’s opinion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Skadden’s opinion, we could be subject to a penalty tax or we could fail to remain qualified as a REIT if a sufficient portion of our assets consists of TBAs or a sufficient portion of our income consists of income or gains from the disposition of TBAs.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Qualifying as a REIT involves highly technical and complex provisions of the Internal Revenue Code.</w:t>
      </w:r>
    </w:p>
    <w:p>
      <w:pPr>
        <w:spacing w:after="0" w:line="196"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Qualification as a REIT involves the application of highly technical and complex Internal Revenue Code provisions on a continuous basis for which only limited judicial and administrative authorities exist. Our application of such provisions may be dependent on interpretations of the provisions by the staff of the Internal Revenue Service, which may change over time. Even a technical or inadvertent violation of the Internal Revenue Code provisions could jeopardize our REIT qualification.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tax on prohibited transactions could limit our ability to engage in certain transactions.</w:t>
      </w:r>
    </w:p>
    <w:p>
      <w:pPr>
        <w:spacing w:after="0" w:line="19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assets or structure transactions in a manner that is treated as a prohibited transaction for federal income tax purposes.</w:t>
      </w:r>
    </w:p>
    <w:p>
      <w:pPr>
        <w:spacing w:after="0" w:line="132"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We intend to structure our activities to avoid classification as prohibited transactions.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Thus, no assurance can be given that any property that we sell will not be treated as such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at the entity’s regular corporate rates.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Distributions to tax-exempt investors may be classified as unrelated business taxable income.</w:t>
      </w:r>
    </w:p>
    <w:p>
      <w:pPr>
        <w:spacing w:after="0" w:line="19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Although distributions with respect to our common stock generally do not constitute unrelated business taxable income, there are some circumstances where they may. If (i) we generate "excess inclusion income" as a result of all or a portion of our assets being subject to rules relating to "taxable mortgage pools" or as a result of holding residual interests in a REMIC or (ii) we become a "pension held REIT," then a portion of the distributions to tax exempt investors may be subject to U.S. federal income tax as unrelated business taxable income under the Internal Revenue Code.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Legislative and Regulatory Risks</w:t>
      </w:r>
    </w:p>
    <w:p>
      <w:pPr>
        <w:spacing w:after="0" w:line="18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Federal housing finance reform and potential changes to the Federal conservatorship of Fannie Mae and Freddie Mac or to laws or regulations affecting the relationship between the GSEs and the U.S. Government may adversely affect our business.</w:t>
      </w:r>
    </w:p>
    <w:p>
      <w:pPr>
        <w:spacing w:after="0" w:line="107"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The payments of principal and interest we receive on our Agency RMBS are guaranteed by Fannie Mae, Freddie Mac or Ginnie Mae. The guarantees on Agency securities created by Ginnie Mae are explicitly backed by the full faith and credit of the U.S. Government, whereas the guarantees on Agency securities created by Fannie Mae and Freddie Mac are not.</w:t>
      </w:r>
    </w:p>
    <w:p>
      <w:pPr>
        <w:spacing w:after="0" w:line="125"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In September 2008, Fannie Mae and Freddie Mac were placed into the conservatorship of the FHFA. In addition to the conservatorships, the U.S. Department of the Treasury has provided a liquidity backstop to Fannie Mae and Freddie Mac to ensure their financial stability. Over time, efforts to end the conservatorships and the guarantee-payment structure of Fannie Mae and Freddie Mac have garnered attention from U.S. Government policymakers. During the final year of the first Trump Administration, FHFA established new regulatory capital requirements necessary for Fannie Mae and Freddie Mac to exit conservatorship, and the U.S. Treasury Department amended the terms of its liquidity backstop to enable Fannie Mae and Freddie Mac to retain a greater amount of capital in order to achieve these levels, subject to certain conditions. In the final months of 2020 and early 2021, the Director of the FHFA was reported to have considered various actions to bring a prompt end to the conservatorships. The Biden Administration and the FHFA delayed implementation or reversed many of these initiatives and took steps intended to advance other housing finance policy objectives. In the final month of the Biden Administration, the FHFA and Department of Treasury further amended the liquidity backstop to, among other things, require the written consent of the Department of Treasury after a period of public notice and opportunity to comment prior to</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9960"/>
          </w:cols>
          <w:pgMar w:left="960" w:top="711" w:right="960" w:bottom="0" w:gutter="0" w:footer="0" w:header="0"/>
          <w:type w:val="continuous"/>
        </w:sectPr>
      </w:pPr>
    </w:p>
    <w:bookmarkStart w:id="30" w:name="page31"/>
    <w:bookmarkEnd w:id="30"/>
    <w:p>
      <w:pPr>
        <w:jc w:val="both"/>
        <w:spacing w:after="0" w:line="263" w:lineRule="auto"/>
        <w:rPr>
          <w:sz w:val="20"/>
          <w:szCs w:val="20"/>
          <w:color w:val="auto"/>
        </w:rPr>
      </w:pPr>
      <w:r>
        <w:rPr>
          <w:rFonts w:ascii="Times New Roman" w:cs="Times New Roman" w:eastAsia="Times New Roman" w:hAnsi="Times New Roman"/>
          <w:sz w:val="19"/>
          <w:szCs w:val="19"/>
          <w:color w:val="auto"/>
        </w:rPr>
        <w:t>terminating the conservatorships (other than through receivership) and would further require that Fannie Mae and Freddie Mac achieve sufficient capital levels prior to being released from conservatorship. Since the 2024 election, speculation has grown that the Trump Administration or Congress would take actions to bring an end to the conservatorships although it is not clear what form any such actions may take or what the timeline would be to implement them, and it is possible that the Department of Treasury and FHFA will further amend the liquidity backstop to eliminate or modify provisions that would otherwise slow or add conditionality to an end to the conservatorships.</w:t>
      </w:r>
    </w:p>
    <w:p>
      <w:pPr>
        <w:spacing w:after="0" w:line="135"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These or other administrative and/or legislative actions may be taken that affect the GSEs or the housing finance system, alter the amount or nature of the credit support provided by the U.S. Treasury to Fannie Mae and Freddie Mac, modify the future roles of Fannie Mae and Freddie Mac in housing finance or otherwise impact the value or relative fungibility of Agency RMBS issued by each GSE. Such actions may create market uncertainty, may have the effect of reducing the actual or perceived credit quality of securities issued or guaranteed by the GSEs, may impact the ability of banks, foreign investors, mutual funds or others to own Agency RMBS, or may otherwise impact the liquidity, size and scope of the Agency RMBS markets. Actions that would terminate the conservatorships without also providing for sufficiently robust U.S. government backing to preserve their government-like status or otherwise retain the functionality, scale and efficiency of the primary and secondary mortgage markets as they exist today could re-define what constitutes an Agency security. This could subject Agency RMBS to greater credit risk, make them more difficult to finance or less liquid, and cause their values to decline, all of which could have broad adverse implications for primary and secondary mortgage markets and our business.</w:t>
      </w:r>
    </w:p>
    <w:p>
      <w:pPr>
        <w:spacing w:after="0" w:line="13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Actions of the U.S. Government, including the U.S. Congress, Fed, U.S. Treasury, FHFA and other governmental and regulatory bodies may adversely affect our business.</w:t>
      </w:r>
    </w:p>
    <w:p>
      <w:pPr>
        <w:spacing w:after="0" w:line="107"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U.S. Government legislative and administrative actions may have an adverse impact on financial markets for fixed income securities, including Agency RMBS. To the extent the markets do not respond favorably to any such actions or such actions do not function as intended, they could have broad adverse market implications and could negatively impact our financial condition and results of operations. For example, the actual or anticipated actions or inaction on U.S. fiscal policy matters, including the U.S. dept ceiling and the amount and tenor of U.S. Treasury debt required to fund the government, could result in a wide range of negative economic effects, including increased financial market and interest rate volatility and wider market spreads between mortgage assets and benchmark interest rates.</w:t>
      </w:r>
    </w:p>
    <w:p>
      <w:pPr>
        <w:spacing w:after="0" w:line="135"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9"/>
          <w:szCs w:val="19"/>
          <w:color w:val="auto"/>
        </w:rPr>
        <w:t>Additionally, new regulatory requirements, including the imposition of more stringent bank capital rules and changes to the manner and timing of clearing U.S. Treasury and Agency RMBS transactions, could adversely affect the availability or terms of financing from our lending counterparties, reduce market liquidity or demand for Agency RMBS, restrict the origination of residential mortgage loans and the formation of new issuances of mortgage-backed securities, or limit the trading activities of certain banking entities and other systemically significant organizations that are important to our business. In 2023, the FDIC and Fed proposed revisions to bank capital rules that would have applied risk weights (and costs) to Agency RMBS that, if adopted, might have impacted the source, pricing, volume, financing, and nature of Agency RMBS. Although these proposals are not expected to be finally adopted in their original form, they have not yet been withdrawn, and aspects of them may be re-proposed or adopted in the future. In addition, SEC regulations that mandate the central clearing of U.S. Treasury and U.S. Treasury repurchase agreement ("U.S. Treasury Repo") transactions will necessitate significant changes to trading operations and have the potential to adversely impact liquidity, funding and efficiency of these markets. Such changes could adversely affect the cost and other terms or availability of financing and hedging arrangements for our business. Together or individually new regulatory requirements could materially affect our financial condition or results of operations in adverse ways.</w:t>
      </w:r>
    </w:p>
    <w:p>
      <w:pPr>
        <w:spacing w:after="0" w:line="3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Failure to satisfy regulatory requirements of our captive broker-dealer subsidiary could result in our inability to access tri-party repo funding through the FICC’s GCF Repo service and could be harmful to our business operations.</w:t>
      </w:r>
    </w:p>
    <w:p>
      <w:pPr>
        <w:spacing w:after="0" w:line="107"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Our ability to access tri-party repo funding through the FICC's GCF Repo service, which represents a significant portion of our total borrowing capacity, and our ability to conduct self-clearing of our investment and funding activity through BES are reliant on BES' ability to continually meet these regulatory and membership requirements. If BES were to lose its memberships in FICC and FINRA or its status as a self-clearing registered broker-dealer, we may be unable to find alternative sources of financing on favorable terms and we may experience business interruptions as we attempt to transfer custody and clearing activities to alternative providers that would be harmful to our business.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9960"/>
          </w:cols>
          <w:pgMar w:left="960" w:top="711" w:right="96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9"/>
          <w:szCs w:val="19"/>
          <w:b w:val="1"/>
          <w:bCs w:val="1"/>
          <w:i w:val="1"/>
          <w:iCs w:val="1"/>
          <w:color w:val="auto"/>
        </w:rPr>
        <w:t>Loss of our exemption from regulation pursuant to the Investment Company Act would adversely affect us.</w:t>
      </w:r>
    </w:p>
    <w:p>
      <w:pPr>
        <w:spacing w:after="0" w:line="19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32"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 ("whole pool" securities) as qualifying real estate interests based on pronouncements of the SEC staff. We treat partial pool securities, CRT and other mortgage related securities as real estate-related assets. Consequently, our ability to satisfy the exemption under the Investment Company Act is dependent upon our ability to acquire and hold on a continuous basis a sufficient amount of whole pool securities. The availability of whole pool securities may be adversely impacted by a variety of factors, including GSE pooling practices, which can change over time, housing finance reform initiatives and competition for whole pool securities with other mortgage REITs.</w:t>
      </w:r>
    </w:p>
    <w:p>
      <w:pPr>
        <w:spacing w:after="0" w:line="140"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Additionally, if the SEC determines that any of our securities are not qualifying interests in real estate or real estate-related assets, otherwise believes we do not satisfy the above exceptions or changes its interpretation with respect to these securities or the above exceptions, we could be required to restructure our activities or sell certain of our assets. As such, we cannot guarantee that we will be able to acquire or hold enough whole pool securities to maintain our exemption under the Investment Company Act, and our compliance with these requirements may at times lead us to adopt less efficient methods of investing in certain securities or to forego acquiring more desirable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New legislation or administrative or judicial action could make it more difficult or impossible for us to remain qualified as a REIT or it could otherwise adversely affect REITs and their stockholders.</w:t>
      </w:r>
    </w:p>
    <w:p>
      <w:pPr>
        <w:spacing w:after="0" w:line="107"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The present U.S. federal income tax treatment of REITs may be modified, possibly with retroactive effect, by legislative, judicial or administrative action at any time, which could affect our ability to maintain our REIT status and/or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affect the tax considerations of an investment in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market price and trading volume of our common stock may be volatile.</w:t>
      </w:r>
    </w:p>
    <w:p>
      <w:pPr>
        <w:spacing w:after="0" w:line="196"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The market price and trading volume of our common stock may be highly volatile and subject to wide fluctuations. If the market price of our common stock declines significantly, stockholders may be unable to resell shares at a gain. Furthermore, fluctuations in the trading price of our common stock may adversely affect the liquidity of our common stock and our ability to raise additional equity capital. Price fluctuations may result in our stock trading below our reported net tangible book value per share for extended periods of time. Variations in the price of our common stock can be affected by any one of the risk factors described herein. Variations may also occur due to a variety of factors unrelated to our financial performance, such as:</w:t>
      </w:r>
    </w:p>
    <w:p>
      <w:pPr>
        <w:spacing w:after="0" w:line="135" w:lineRule="exact"/>
        <w:rPr>
          <w:sz w:val="20"/>
          <w:szCs w:val="20"/>
          <w:color w:val="auto"/>
        </w:rPr>
      </w:pPr>
    </w:p>
    <w:p>
      <w:pPr>
        <w:ind w:left="700" w:hanging="260"/>
        <w:spacing w:after="0" w:line="266"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market and economic conditions, including actual and anticipated changes in interest rates and mortgage spreads;</w:t>
      </w:r>
    </w:p>
    <w:p>
      <w:pPr>
        <w:spacing w:after="0" w:line="243"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 policy, rules and regulations applicable to mortgage REITs, including tax laws, financial accounting and reporting standards, and exemptions from the Investment Company Act of 1940, as amended;</w:t>
      </w:r>
    </w:p>
    <w:p>
      <w:pPr>
        <w:spacing w:after="0" w:line="1"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variations in our quarterly operating results as well as relative to levels expected by securities analysts;</w:t>
      </w:r>
    </w:p>
    <w:p>
      <w:pPr>
        <w:spacing w:after="0" w:line="1"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issuance of shares of common stock or securities convertible into common stock, which may be issued at a price below tangible net book value per share of common stock;</w:t>
      </w:r>
    </w:p>
    <w:p>
      <w:pPr>
        <w:spacing w:after="0" w:line="1"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market valuations of similar companies;</w:t>
      </w:r>
    </w:p>
    <w:p>
      <w:pPr>
        <w:spacing w:after="0" w:line="14" w:lineRule="exact"/>
        <w:rPr>
          <w:rFonts w:ascii="Times New Roman" w:cs="Times New Roman" w:eastAsia="Times New Roman" w:hAnsi="Times New Roman"/>
          <w:sz w:val="19"/>
          <w:szCs w:val="19"/>
          <w:color w:val="auto"/>
        </w:rPr>
      </w:pPr>
    </w:p>
    <w:p>
      <w:pPr>
        <w:ind w:left="700" w:hanging="260"/>
        <w:spacing w:after="0" w:line="255"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adverse market reaction to any increased indebtedness we incur in the future or issuance of preferred stock senior in priority to our common stock;</w:t>
      </w:r>
    </w:p>
    <w:p>
      <w:pPr>
        <w:spacing w:after="0" w:line="1"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actions by stockholders, individually or collectively;</w:t>
      </w:r>
    </w:p>
    <w:p>
      <w:pPr>
        <w:spacing w:after="0" w:line="1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additions or departures of key management personnel;</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880" w:h="15480" w:orient="portrait"/>
          <w:cols w:equalWidth="0" w:num="1">
            <w:col w:w="9960"/>
          </w:cols>
          <w:pgMar w:left="960" w:top="704" w:right="960" w:bottom="0" w:gutter="0" w:footer="0" w:header="0"/>
          <w:type w:val="continuous"/>
        </w:sectPr>
      </w:pPr>
    </w:p>
    <w:bookmarkStart w:id="32" w:name="page33"/>
    <w:bookmarkEnd w:id="32"/>
    <w:p>
      <w:pPr>
        <w:ind w:left="700" w:hanging="260"/>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speculation in the press or investment community;</w:t>
      </w:r>
    </w:p>
    <w:p>
      <w:pPr>
        <w:spacing w:after="0" w:line="3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our dividend policy; and</w:t>
      </w:r>
    </w:p>
    <w:p>
      <w:pPr>
        <w:spacing w:after="0" w:line="14"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to our targeted investments or investment guidelines.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have not established a minimum dividend payment level and may be unable to pay dividends in the future.</w:t>
      </w:r>
    </w:p>
    <w:p>
      <w:pPr>
        <w:spacing w:after="0" w:line="196"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and will depend on our earnings and financial condition, the requirements for REIT qualification and such other factors as our Board deems relevant from time to time. Additionally, our preferred stock has a preference on dividend payments and liquidating distributions that could limit our ability to pay dividends to the holders of our common stock. Therefore, we may not be able to make distributions in the future or our Board may change our dividend policy.</w:t>
      </w:r>
    </w:p>
    <w:p>
      <w:pPr>
        <w:spacing w:after="0" w:line="1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certificate of incorporation generally does not permit ownership of more than 9.8% of our common or capital stock and attempts to acquire amounts above this limit will be ineffective unless an exemption is granted by our Board of Directors.</w:t>
      </w:r>
    </w:p>
    <w:p>
      <w:pPr>
        <w:spacing w:after="0" w:line="107"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For the purpose of complying with REIT ownership limitations under the Internal Revenue Code, our amended and restated certificate of incorporation generally prohibits beneficial or constructive ownership by any person of more than 9.8% of our common or capital stock (by value or by number of shares, whichever is more restrictive), unless exempted by our Board. Such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will result in the shares being automatically transferred to a charitable trust or, if the transfer to a charitable trust would not be effective, such transfer being treated as invalid from the outset. Such ownership limit could also delay or prevent a transaction or a change in our control that might involve a premium price for our common stock or otherwise be in the best interest of our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1B. </w:t>
      </w:r>
      <w:r>
        <w:rPr>
          <w:rFonts w:ascii="Times New Roman" w:cs="Times New Roman" w:eastAsia="Times New Roman" w:hAnsi="Times New Roman"/>
          <w:sz w:val="19"/>
          <w:szCs w:val="19"/>
          <w:b w:val="1"/>
          <w:bCs w:val="1"/>
          <w:i w:val="1"/>
          <w:iCs w:val="1"/>
          <w:color w:val="auto"/>
        </w:rPr>
        <w:t>Unresolved Staff Comments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None.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1C. </w:t>
      </w:r>
      <w:r>
        <w:rPr>
          <w:rFonts w:ascii="Times New Roman" w:cs="Times New Roman" w:eastAsia="Times New Roman" w:hAnsi="Times New Roman"/>
          <w:sz w:val="19"/>
          <w:szCs w:val="19"/>
          <w:b w:val="1"/>
          <w:bCs w:val="1"/>
          <w:i w:val="1"/>
          <w:iCs w:val="1"/>
          <w:color w:val="auto"/>
        </w:rPr>
        <w:t>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Management and Strategy</w:t>
      </w:r>
    </w:p>
    <w:p>
      <w:pPr>
        <w:spacing w:after="0" w:line="196"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We maintain an active cybersecurity risk management and strategy program to address the risks of cybersecurity threats to our business. Our cybersecurity program aligns with the NIST Cybersecurity Framework, and we conduct reviews of its effectiveness on a regular basis through annual testing, periodic third-party evaluations of our processes and controls, and ongoing surveillance. This program involves the use of cybersecurity tools to identify, protect, detect, respond, and recover from cybersecurity threats. Additionally, we engage with third-party cybersecurity consultants and other professional advisors to gain insight and knowledge into emerging threats, industry trends and emerging practices. Annually, we review cybersecurity risk in the context of our overall enterprise risk management assessment. As a component of these processes, our management team, including our Senior Vice President and Chief Technology Officer, identifies and assesses the likelihood and magnitude of risks, on both inherent and residual basis. These evaluations inform our overall cybersecurity strategy.</w:t>
      </w:r>
    </w:p>
    <w:p>
      <w:pPr>
        <w:spacing w:after="0" w:line="140"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Our business operations depend significantly on third party service providers. We have processes in place to evaluate the operational and cybersecurity risks posed to us by third parties on whom we are reliant for these services at the inception of our engagement, and we continuously monitor third-party firms that pose the greatest risks to our business and operations from cybersecurity threats. Nonetheless, we rely on the third parties we use to implement security programs commensurate with their own risk, and we cannot ensure that their efforts will be successful.</w:t>
      </w:r>
    </w:p>
    <w:p>
      <w:pPr>
        <w:spacing w:after="0" w:line="132" w:lineRule="exact"/>
        <w:rPr>
          <w:sz w:val="20"/>
          <w:szCs w:val="20"/>
          <w:color w:val="auto"/>
        </w:rPr>
      </w:pPr>
    </w:p>
    <w:p>
      <w:pPr>
        <w:jc w:val="both"/>
        <w:ind w:firstLine="436"/>
        <w:spacing w:after="0" w:line="244" w:lineRule="auto"/>
        <w:rPr>
          <w:sz w:val="20"/>
          <w:szCs w:val="20"/>
          <w:color w:val="auto"/>
        </w:rPr>
      </w:pPr>
      <w:r>
        <w:rPr>
          <w:rFonts w:ascii="Times New Roman" w:cs="Times New Roman" w:eastAsia="Times New Roman" w:hAnsi="Times New Roman"/>
          <w:sz w:val="19"/>
          <w:szCs w:val="19"/>
          <w:color w:val="auto"/>
        </w:rPr>
        <w:t xml:space="preserve">Our primary business involves investments in mortgages and mortgage instruments, but we do not perform mortgage servicing, maintain customer accounts, or provide any direct mortgage lending. Nor do we receive personal information on individual mortgage borrowers as part of our regular operations. However, our business is highly dependent on the availability of information systems, and a cybersecurity incident, if one were to occur, could have the potential to disrupt our operations. To date, the Company has not identified any cybersecurity incidents which have materially affected, or are reasonably likely to materially affect, our operations, business strategy, or financial condition. As discussed more fully under </w:t>
      </w:r>
      <w:r>
        <w:rPr>
          <w:rFonts w:ascii="Times New Roman" w:cs="Times New Roman" w:eastAsia="Times New Roman" w:hAnsi="Times New Roman"/>
          <w:sz w:val="19"/>
          <w:szCs w:val="19"/>
          <w:b w:val="1"/>
          <w:bCs w:val="1"/>
          <w:i w:val="1"/>
          <w:iCs w:val="1"/>
          <w:color w:val="auto"/>
        </w:rPr>
        <w:t>Risks Related to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Business Operations </w:t>
      </w:r>
      <w:r>
        <w:rPr>
          <w:rFonts w:ascii="Times New Roman" w:cs="Times New Roman" w:eastAsia="Times New Roman" w:hAnsi="Times New Roman"/>
          <w:sz w:val="19"/>
          <w:szCs w:val="19"/>
          <w:color w:val="auto"/>
        </w:rPr>
        <w:t>in Item 1A.</w:t>
      </w:r>
      <w:r>
        <w:rPr>
          <w:rFonts w:ascii="Times New Roman" w:cs="Times New Roman" w:eastAsia="Times New Roman" w:hAnsi="Times New Roman"/>
          <w:sz w:val="19"/>
          <w:szCs w:val="19"/>
          <w:b w:val="1"/>
          <w:bCs w:val="1"/>
          <w:i w:val="1"/>
          <w:iCs w:val="1"/>
          <w:color w:val="auto"/>
        </w:rPr>
        <w:t xml:space="preserve"> Risk Factors </w:t>
      </w:r>
      <w:r>
        <w:rPr>
          <w:rFonts w:ascii="Times New Roman" w:cs="Times New Roman" w:eastAsia="Times New Roman" w:hAnsi="Times New Roman"/>
          <w:sz w:val="19"/>
          <w:szCs w:val="19"/>
          <w:color w:val="auto"/>
        </w:rPr>
        <w:t>of this Form 10-K, given the evolving nature and increasing sophistication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cyber threats, there is no guarantee that future incidents will not have a material impact. While we continuously assess, identify,</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9960"/>
          </w:cols>
          <w:pgMar w:left="960" w:top="711" w:right="960" w:bottom="0" w:gutter="0" w:footer="0" w:header="0"/>
          <w:type w:val="continuous"/>
        </w:sectPr>
      </w:pPr>
    </w:p>
    <w:bookmarkStart w:id="33" w:name="page34"/>
    <w:bookmarkEnd w:id="33"/>
    <w:p>
      <w:pPr>
        <w:jc w:val="both"/>
        <w:spacing w:after="0" w:line="276" w:lineRule="auto"/>
        <w:rPr>
          <w:sz w:val="20"/>
          <w:szCs w:val="20"/>
          <w:color w:val="auto"/>
        </w:rPr>
      </w:pPr>
      <w:r>
        <w:rPr>
          <w:rFonts w:ascii="Times New Roman" w:cs="Times New Roman" w:eastAsia="Times New Roman" w:hAnsi="Times New Roman"/>
          <w:sz w:val="19"/>
          <w:szCs w:val="19"/>
          <w:color w:val="auto"/>
        </w:rPr>
        <w:t>and mitigate cybersecurity risks through policies, procedures, and industry-standard security measures, cyber threats remain dynamic and could potentially disrupt our operations, expose us to legal or regulatory liabilities, or cause reputational harm.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Governance and Oversight</w:t>
      </w:r>
    </w:p>
    <w:p>
      <w:pPr>
        <w:spacing w:after="0" w:line="19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The Audit Committee of the Board has responsibility to oversee management’s strategy to address risks from cybersecurity threats. The Audit Committee periodically reviews with management the Company’s policies, controls, and procedures used to identify, mitigate, and manage cybersecurity risks. To accomplish this objective, we have established processes for reporting cybersecurity risks to the Audit Committee of the Board on a quarterly basis. This report, which is prepared by our Senior Vice President and Chief Technology Officer, includes performance as against key performance indicators (KPIs) and service level objectives specifically defined to measure the effectiveness of our cybersecurity controls and risk management efforts, current threat landscape, and strategy. In addition, on at least an annual basis the Company’s Senior Vice President and Chief Technology Officer presents to the Audit Committee on cybersecurity matters, including material changes to the Company’s information systems, policies and controls, the results of penetration and other testing and findings from any third-party reviews. Our Audit Committee is committed to maintaining a well-informed and cybersecurity-aware posture, regularly engaging by receiving scheduled and requested updates on our strategy to address risks from cybersecurity threats and the evolving threat landscape. The Board also is apprised of cybersecurity risks as part of its review of management’s annual enterprise risk management assessment.</w:t>
      </w:r>
    </w:p>
    <w:p>
      <w:pPr>
        <w:spacing w:after="0" w:line="372"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Management plays a pivotal role in identifying, assessing, and managing material risks from cybersecurity threats. This involves continuous monitoring, analyzing emerging threats, and developing and implementing risk mitigation strategies. The Company, led by our Senior Vice President and Chief Technology Officer—who holds the Certified Information Systems Security Professional (CISSP) designation and has over 20 years of cyber and risk management experience—actively implements and enforces cybersecurity policies, procedures, and strategies, including employee training programs, security assessments, and updates to ensure alignment with our evolving threat landscape.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2. </w:t>
      </w:r>
      <w:r>
        <w:rPr>
          <w:rFonts w:ascii="Times New Roman" w:cs="Times New Roman" w:eastAsia="Times New Roman" w:hAnsi="Times New Roman"/>
          <w:sz w:val="19"/>
          <w:szCs w:val="19"/>
          <w:b w:val="1"/>
          <w:bCs w:val="1"/>
          <w:i w:val="1"/>
          <w:iCs w:val="1"/>
          <w:color w:val="auto"/>
        </w:rPr>
        <w:t>Properties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None.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3. </w:t>
      </w:r>
      <w:r>
        <w:rPr>
          <w:rFonts w:ascii="Times New Roman" w:cs="Times New Roman" w:eastAsia="Times New Roman" w:hAnsi="Times New Roman"/>
          <w:sz w:val="19"/>
          <w:szCs w:val="19"/>
          <w:b w:val="1"/>
          <w:bCs w:val="1"/>
          <w:i w:val="1"/>
          <w:iCs w:val="1"/>
          <w:color w:val="auto"/>
        </w:rPr>
        <w:t>Legal Proceedings</w:t>
      </w:r>
    </w:p>
    <w:p>
      <w:pPr>
        <w:spacing w:after="0" w:line="138"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4. </w:t>
      </w:r>
      <w:r>
        <w:rPr>
          <w:rFonts w:ascii="Times New Roman" w:cs="Times New Roman" w:eastAsia="Times New Roman" w:hAnsi="Times New Roman"/>
          <w:sz w:val="19"/>
          <w:szCs w:val="19"/>
          <w:b w:val="1"/>
          <w:bCs w:val="1"/>
          <w:i w:val="1"/>
          <w:iCs w:val="1"/>
          <w:color w:val="auto"/>
        </w:rPr>
        <w:t>Mine Safety Disclosures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9960"/>
          </w:cols>
          <w:pgMar w:left="960" w:top="711" w:right="960" w:bottom="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1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auto"/>
        </w:rPr>
        <w:t xml:space="preserve">Item 5. </w:t>
      </w:r>
      <w:r>
        <w:rPr>
          <w:rFonts w:ascii="Times New Roman" w:cs="Times New Roman" w:eastAsia="Times New Roman" w:hAnsi="Times New Roman"/>
          <w:sz w:val="19"/>
          <w:szCs w:val="19"/>
          <w:b w:val="1"/>
          <w:bCs w:val="1"/>
          <w:i w:val="1"/>
          <w:iCs w:val="1"/>
          <w:color w:val="auto"/>
        </w:rPr>
        <w:t>Market for Registrant's Common Equity, Related Stockholder Matters and Issuer Purchases of Equity Securities</w:t>
      </w:r>
    </w:p>
    <w:p>
      <w:pPr>
        <w:spacing w:after="0" w:line="196"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Our common stock is listed on the Nasdaq Global Select Market under the symbol "AGNC." As of January 31, 2025, 900,421,216 shares of common stock were issued and outstanding, which were held by 1,491 stockholders of record. Most of the shares of our common stock are held by brokers and other institutions on behalf of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Dividends</w:t>
      </w:r>
    </w:p>
    <w:p>
      <w:pPr>
        <w:spacing w:after="0" w:line="196"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 Additionally, holders of depositary shares underlying our preferred stock are entitled to receive cumulative cash dividends before holders of our common stock are entitled to receive any dividends. See Note 9 to our Consolidated Financial Statements in this Form 10-K for a description of our preferred stock and for common and preferred stock dividends paid for the three years ended December 31, 2024. All distributions to stockholders will be made at the discretion of our Board and will depend on our earnings, financial condition, maintenance of our REIT status and other factors as our Board may deem relevant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Equity Compensation Plan Information</w:t>
      </w:r>
    </w:p>
    <w:p>
      <w:pPr>
        <w:spacing w:after="0" w:line="196" w:lineRule="exact"/>
        <w:rPr>
          <w:sz w:val="20"/>
          <w:szCs w:val="20"/>
          <w:color w:val="auto"/>
        </w:rPr>
      </w:pPr>
    </w:p>
    <w:p>
      <w:pPr>
        <w:jc w:val="both"/>
        <w:ind w:firstLine="533"/>
        <w:spacing w:after="0" w:line="268" w:lineRule="auto"/>
        <w:rPr>
          <w:sz w:val="20"/>
          <w:szCs w:val="20"/>
          <w:color w:val="auto"/>
        </w:rPr>
      </w:pPr>
      <w:r>
        <w:rPr>
          <w:rFonts w:ascii="Times New Roman" w:cs="Times New Roman" w:eastAsia="Times New Roman" w:hAnsi="Times New Roman"/>
          <w:sz w:val="19"/>
          <w:szCs w:val="19"/>
          <w:color w:val="auto"/>
        </w:rPr>
        <w:t>The following table summarizes information, as of December 31, 2024, concerning shares of our common stock authorized for issuance under our equity compensation plans, pursuant to which grants of equity-based awards, namely restricted stock units ("RSUs"), may be granted from time to time. See Notes 2 and 10 to our Consolidated Financial Statements in this Form 10-K for a description of our equity compensation plans.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2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remaining available for</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to be issued upon</w:t>
            </w: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future issuance under</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exercise of</w:t>
            </w:r>
          </w:p>
        </w:tc>
        <w:tc>
          <w:tcPr>
            <w:tcW w:w="120" w:type="dxa"/>
            <w:vAlign w:val="bottom"/>
          </w:tcPr>
          <w:p>
            <w:pPr>
              <w:spacing w:after="0"/>
              <w:rPr>
                <w:sz w:val="13"/>
                <w:szCs w:val="13"/>
                <w:color w:val="auto"/>
              </w:rPr>
            </w:pPr>
          </w:p>
        </w:tc>
        <w:tc>
          <w:tcPr>
            <w:tcW w:w="13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exercise price of</w:t>
            </w:r>
          </w:p>
        </w:tc>
        <w:tc>
          <w:tcPr>
            <w:tcW w:w="12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equity compensation plans</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outstanding options,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97"/>
              <w:spacing w:after="0" w:line="155"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12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(excluding securities</w:t>
            </w:r>
          </w:p>
        </w:tc>
        <w:tc>
          <w:tcPr>
            <w:tcW w:w="0" w:type="dxa"/>
            <w:vAlign w:val="bottom"/>
          </w:tcPr>
          <w:p>
            <w:pPr>
              <w:spacing w:after="0"/>
              <w:rPr>
                <w:sz w:val="1"/>
                <w:szCs w:val="1"/>
                <w:color w:val="auto"/>
              </w:rPr>
            </w:pPr>
          </w:p>
        </w:tc>
      </w:tr>
      <w:tr>
        <w:trPr>
          <w:trHeight w:val="155"/>
        </w:trPr>
        <w:tc>
          <w:tcPr>
            <w:tcW w:w="4940" w:type="dxa"/>
            <w:vAlign w:val="bottom"/>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60" w:type="dxa"/>
            <w:vAlign w:val="bottom"/>
          </w:tcPr>
          <w:p>
            <w:pPr>
              <w:spacing w:after="0"/>
              <w:rPr>
                <w:sz w:val="13"/>
                <w:szCs w:val="13"/>
                <w:color w:val="auto"/>
              </w:rPr>
            </w:pPr>
          </w:p>
        </w:tc>
        <w:tc>
          <w:tcPr>
            <w:tcW w:w="15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warrants</w:t>
            </w:r>
          </w:p>
        </w:tc>
        <w:tc>
          <w:tcPr>
            <w:tcW w:w="120" w:type="dxa"/>
            <w:vAlign w:val="bottom"/>
          </w:tcPr>
          <w:p>
            <w:pPr>
              <w:spacing w:after="0"/>
              <w:rPr>
                <w:sz w:val="13"/>
                <w:szCs w:val="13"/>
                <w:color w:val="auto"/>
              </w:rPr>
            </w:pPr>
          </w:p>
        </w:tc>
        <w:tc>
          <w:tcPr>
            <w:tcW w:w="13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options, warrants</w:t>
            </w:r>
          </w:p>
        </w:tc>
        <w:tc>
          <w:tcPr>
            <w:tcW w:w="12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reflected in the first</w:t>
            </w:r>
          </w:p>
        </w:tc>
        <w:tc>
          <w:tcPr>
            <w:tcW w:w="0" w:type="dxa"/>
            <w:vAlign w:val="bottom"/>
          </w:tcPr>
          <w:p>
            <w:pPr>
              <w:spacing w:after="0"/>
              <w:rPr>
                <w:sz w:val="1"/>
                <w:szCs w:val="1"/>
                <w:color w:val="auto"/>
              </w:rPr>
            </w:pPr>
          </w:p>
        </w:tc>
      </w:tr>
      <w:tr>
        <w:trPr>
          <w:trHeight w:val="208"/>
        </w:trPr>
        <w:tc>
          <w:tcPr>
            <w:tcW w:w="49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4"/>
              </w:rPr>
              <w:t xml:space="preserve">and rights </w:t>
            </w:r>
            <w:r>
              <w:rPr>
                <w:rFonts w:ascii="Times New Roman" w:cs="Times New Roman" w:eastAsia="Times New Roman" w:hAnsi="Times New Roman"/>
                <w:sz w:val="20"/>
                <w:szCs w:val="20"/>
                <w:b w:val="1"/>
                <w:bCs w:val="1"/>
                <w:color w:val="auto"/>
                <w:w w:val="94"/>
                <w:vertAlign w:val="superscript"/>
              </w:rPr>
              <w:t>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7"/>
              </w:rPr>
              <w:t>and rights</w:t>
            </w:r>
          </w:p>
        </w:tc>
        <w:tc>
          <w:tcPr>
            <w:tcW w:w="120" w:type="dxa"/>
            <w:vAlign w:val="bottom"/>
          </w:tcPr>
          <w:p>
            <w:pPr>
              <w:spacing w:after="0"/>
              <w:rPr>
                <w:sz w:val="18"/>
                <w:szCs w:val="18"/>
                <w:color w:val="auto"/>
              </w:rPr>
            </w:pPr>
          </w:p>
        </w:tc>
        <w:tc>
          <w:tcPr>
            <w:tcW w:w="188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5"/>
              </w:rPr>
              <w:t xml:space="preserve">column of this table) </w:t>
            </w:r>
            <w:r>
              <w:rPr>
                <w:rFonts w:ascii="Times New Roman" w:cs="Times New Roman" w:eastAsia="Times New Roman" w:hAnsi="Times New Roman"/>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281"/>
        </w:trPr>
        <w:tc>
          <w:tcPr>
            <w:tcW w:w="4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17"/>
                <w:szCs w:val="17"/>
                <w:color w:val="B4B4B4"/>
              </w:rPr>
              <w:t>....................</w:t>
            </w:r>
          </w:p>
        </w:tc>
        <w:tc>
          <w:tcPr>
            <w:tcW w:w="156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10,312,795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25,983,630</w:t>
            </w:r>
          </w:p>
        </w:tc>
        <w:tc>
          <w:tcPr>
            <w:tcW w:w="0" w:type="dxa"/>
            <w:vAlign w:val="bottom"/>
          </w:tcPr>
          <w:p>
            <w:pPr>
              <w:spacing w:after="0"/>
              <w:rPr>
                <w:sz w:val="1"/>
                <w:szCs w:val="1"/>
                <w:color w:val="auto"/>
              </w:rPr>
            </w:pPr>
          </w:p>
        </w:tc>
      </w:tr>
      <w:tr>
        <w:trPr>
          <w:trHeight w:val="310"/>
        </w:trPr>
        <w:tc>
          <w:tcPr>
            <w:tcW w:w="4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66"/>
        </w:trPr>
        <w:tc>
          <w:tcPr>
            <w:tcW w:w="4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w:t>
            </w:r>
          </w:p>
        </w:tc>
        <w:tc>
          <w:tcPr>
            <w:tcW w:w="156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10,312,795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gridSpan w:val="2"/>
          </w:tcPr>
          <w:p>
            <w:pPr>
              <w:jc w:val="right"/>
              <w:ind w:right="441"/>
              <w:spacing w:after="0"/>
              <w:rPr>
                <w:sz w:val="20"/>
                <w:szCs w:val="20"/>
                <w:color w:val="auto"/>
              </w:rPr>
            </w:pPr>
            <w:r>
              <w:rPr>
                <w:rFonts w:ascii="Times New Roman" w:cs="Times New Roman" w:eastAsia="Times New Roman" w:hAnsi="Times New Roman"/>
                <w:sz w:val="17"/>
                <w:szCs w:val="17"/>
                <w:color w:val="auto"/>
              </w:rPr>
              <w:t>25,983,630</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-154940</wp:posOffset>
            </wp:positionV>
            <wp:extent cx="3157220"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5">
                      <a:extLst>
                        <a:ext uri="{28A0092B-C50C-407E-A947-70E740481C1C}"/>
                      </a:extLst>
                    </a:blip>
                    <a:srcRect/>
                    <a:stretch>
                      <a:fillRect/>
                    </a:stretch>
                  </pic:blipFill>
                  <pic:spPr bwMode="auto">
                    <a:xfrm>
                      <a:off x="0" y="0"/>
                      <a:ext cx="3157220" cy="50165"/>
                    </a:xfrm>
                    <a:prstGeom prst="rect">
                      <a:avLst/>
                    </a:prstGeom>
                    <a:noFill/>
                  </pic:spPr>
                </pic:pic>
              </a:graphicData>
            </a:graphic>
          </wp:anchor>
        </w:drawing>
      </w:r>
    </w:p>
    <w:p>
      <w:pPr>
        <w:jc w:val="both"/>
        <w:ind w:left="700" w:hanging="347"/>
        <w:spacing w:after="0" w:line="242" w:lineRule="auto"/>
        <w:tabs>
          <w:tab w:leader="none" w:pos="7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2024.</w:t>
      </w:r>
    </w:p>
    <w:p>
      <w:pPr>
        <w:ind w:left="700" w:hanging="347"/>
        <w:spacing w:after="0" w:line="245" w:lineRule="auto"/>
        <w:tabs>
          <w:tab w:leader="none" w:pos="7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Available shares are reduced by items (i), (ii) and (iii) noted above and by shares issued for vested awards, net of units withheld to cover minimum statutory tax withholding requirements paid by us in cash on behalf of the employee.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Performance Graph</w:t>
      </w:r>
    </w:p>
    <w:p>
      <w:pPr>
        <w:spacing w:after="0" w:line="254" w:lineRule="exact"/>
        <w:rPr>
          <w:sz w:val="20"/>
          <w:szCs w:val="20"/>
          <w:color w:val="auto"/>
        </w:rPr>
      </w:pPr>
    </w:p>
    <w:p>
      <w:pPr>
        <w:jc w:val="both"/>
        <w:ind w:firstLine="436"/>
        <w:spacing w:after="0" w:line="246" w:lineRule="auto"/>
        <w:rPr>
          <w:sz w:val="20"/>
          <w:szCs w:val="20"/>
          <w:color w:val="auto"/>
        </w:rPr>
      </w:pPr>
      <w:r>
        <w:rPr>
          <w:rFonts w:ascii="Times New Roman" w:cs="Times New Roman" w:eastAsia="Times New Roman" w:hAnsi="Times New Roman"/>
          <w:sz w:val="19"/>
          <w:szCs w:val="19"/>
          <w:color w:val="auto"/>
        </w:rPr>
        <w:t>The following graph and table compare a stockholder's cumulative total return, assuming $100 invested at December 31, 2019, with the reinvestment of all dividends, as if such amounts had been invested in: (i) our common stock; (ii) the stocks included in the Standard &amp; Poor's 500 Stock Index ("S&amp;P 500"); and (iii) the stocks included in the FTSE NAREIT Mortgage REIT Index. In prior years, we compared the cumulative total return on our common stock with that of the S&amp;P 500 and the Bloomberg Mortgage REIT Index; however, the Bloomberg Mortgage REIT Index was discontinued in February 2024 and consequently we are not able to include it in the graph.</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9960"/>
          </w:cols>
          <w:pgMar w:left="960" w:top="704" w:right="960" w:bottom="0" w:gutter="0" w:footer="0" w:header="0"/>
          <w:type w:val="continuous"/>
        </w:sectPr>
      </w:pPr>
    </w:p>
    <w:bookmarkStart w:id="35" w:name="page36"/>
    <w:bookmarkEnd w:id="35"/>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COMPARISON OF 5 YEAR CUMULATIVE TOTAL RETURN*</w:t>
      </w:r>
    </w:p>
    <w:p>
      <w:pPr>
        <w:spacing w:after="0" w:line="3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Among AGNC Investment Corp., The S&amp;P 500 Index and</w:t>
      </w:r>
    </w:p>
    <w:p>
      <w:pPr>
        <w:spacing w:after="0" w:line="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The FTSE NAREIT Mortgage REITs Index</w:t>
      </w:r>
    </w:p>
    <w:p>
      <w:pPr>
        <w:spacing w:after="0" w:line="177"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10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83"/>
              </w:rPr>
              <w:t>220</w:t>
            </w:r>
          </w:p>
        </w:tc>
        <w:tc>
          <w:tcPr>
            <w:tcW w:w="1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39"/>
        </w:trPr>
        <w:tc>
          <w:tcPr>
            <w:tcW w:w="10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83"/>
              </w:rPr>
              <w:t>200</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39"/>
        </w:trPr>
        <w:tc>
          <w:tcPr>
            <w:tcW w:w="10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83"/>
              </w:rPr>
              <w:t>180</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5"/>
        </w:trPr>
        <w:tc>
          <w:tcPr>
            <w:tcW w:w="10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83"/>
              </w:rPr>
              <w:t>160</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39"/>
        </w:trPr>
        <w:tc>
          <w:tcPr>
            <w:tcW w:w="10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83"/>
              </w:rPr>
              <w:t>140</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39"/>
        </w:trPr>
        <w:tc>
          <w:tcPr>
            <w:tcW w:w="10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83"/>
              </w:rPr>
              <w:t>120</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39"/>
        </w:trPr>
        <w:tc>
          <w:tcPr>
            <w:tcW w:w="10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83"/>
              </w:rPr>
              <w:t>100</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5"/>
        </w:trPr>
        <w:tc>
          <w:tcPr>
            <w:tcW w:w="10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80</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39"/>
        </w:trPr>
        <w:tc>
          <w:tcPr>
            <w:tcW w:w="10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60</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4"/>
        </w:trPr>
        <w:tc>
          <w:tcPr>
            <w:tcW w:w="10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12/31/19</w:t>
            </w:r>
          </w:p>
        </w:tc>
        <w:tc>
          <w:tcPr>
            <w:tcW w:w="1880" w:type="dxa"/>
            <w:vAlign w:val="bottom"/>
          </w:tcPr>
          <w:p>
            <w:pPr>
              <w:jc w:val="right"/>
              <w:ind w:right="707"/>
              <w:spacing w:after="0"/>
              <w:rPr>
                <w:sz w:val="20"/>
                <w:szCs w:val="20"/>
                <w:color w:val="auto"/>
              </w:rPr>
            </w:pPr>
            <w:r>
              <w:rPr>
                <w:rFonts w:ascii="Times New Roman" w:cs="Times New Roman" w:eastAsia="Times New Roman" w:hAnsi="Times New Roman"/>
                <w:sz w:val="16"/>
                <w:szCs w:val="16"/>
                <w:color w:val="auto"/>
              </w:rPr>
              <w:t>12/31/20</w:t>
            </w:r>
          </w:p>
        </w:tc>
        <w:tc>
          <w:tcPr>
            <w:tcW w:w="1460" w:type="dxa"/>
            <w:vAlign w:val="bottom"/>
          </w:tcPr>
          <w:p>
            <w:pPr>
              <w:jc w:val="right"/>
              <w:ind w:right="687"/>
              <w:spacing w:after="0"/>
              <w:rPr>
                <w:sz w:val="20"/>
                <w:szCs w:val="20"/>
                <w:color w:val="auto"/>
              </w:rPr>
            </w:pPr>
            <w:r>
              <w:rPr>
                <w:rFonts w:ascii="Times New Roman" w:cs="Times New Roman" w:eastAsia="Times New Roman" w:hAnsi="Times New Roman"/>
                <w:sz w:val="16"/>
                <w:szCs w:val="16"/>
                <w:color w:val="auto"/>
              </w:rPr>
              <w:t>12/31/21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12/31/22</w:t>
            </w:r>
          </w:p>
        </w:tc>
        <w:tc>
          <w:tcPr>
            <w:tcW w:w="2080" w:type="dxa"/>
            <w:vAlign w:val="bottom"/>
          </w:tcPr>
          <w:p>
            <w:pPr>
              <w:jc w:val="right"/>
              <w:ind w:right="567"/>
              <w:spacing w:after="0"/>
              <w:rPr>
                <w:sz w:val="20"/>
                <w:szCs w:val="20"/>
                <w:color w:val="auto"/>
              </w:rPr>
            </w:pPr>
            <w:r>
              <w:rPr>
                <w:rFonts w:ascii="Times New Roman" w:cs="Times New Roman" w:eastAsia="Times New Roman" w:hAnsi="Times New Roman"/>
                <w:sz w:val="16"/>
                <w:szCs w:val="16"/>
                <w:color w:val="auto"/>
              </w:rPr>
              <w:t>12/31/23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12/31/24</w:t>
            </w:r>
          </w:p>
        </w:tc>
      </w:tr>
      <w:tr>
        <w:trPr>
          <w:trHeight w:val="403"/>
        </w:trPr>
        <w:tc>
          <w:tcPr>
            <w:tcW w:w="1080" w:type="dxa"/>
            <w:vAlign w:val="bottom"/>
          </w:tcPr>
          <w:p>
            <w:pPr>
              <w:spacing w:after="0"/>
              <w:rPr>
                <w:sz w:val="24"/>
                <w:szCs w:val="24"/>
                <w:color w:val="auto"/>
              </w:rPr>
            </w:pPr>
          </w:p>
        </w:tc>
        <w:tc>
          <w:tcPr>
            <w:tcW w:w="188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AGNC Investment Corp.</w:t>
            </w:r>
          </w:p>
        </w:tc>
        <w:tc>
          <w:tcPr>
            <w:tcW w:w="146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S&amp;P 500</w:t>
            </w:r>
          </w:p>
        </w:tc>
        <w:tc>
          <w:tcPr>
            <w:tcW w:w="740" w:type="dxa"/>
            <w:vAlign w:val="bottom"/>
          </w:tcPr>
          <w:p>
            <w:pPr>
              <w:spacing w:after="0"/>
              <w:rPr>
                <w:sz w:val="24"/>
                <w:szCs w:val="24"/>
                <w:color w:val="auto"/>
              </w:rPr>
            </w:pPr>
          </w:p>
        </w:tc>
        <w:tc>
          <w:tcPr>
            <w:tcW w:w="208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w w:val="97"/>
              </w:rPr>
              <w:t>FTSE NAREIT Mortgage REITs</w:t>
            </w: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-3185795</wp:posOffset>
            </wp:positionV>
            <wp:extent cx="4770755" cy="27863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6">
                      <a:extLst>
                        <a:ext uri="{28A0092B-C50C-407E-A947-70E740481C1C}"/>
                      </a:extLst>
                    </a:blip>
                    <a:srcRect/>
                    <a:stretch>
                      <a:fillRect/>
                    </a:stretch>
                  </pic:blipFill>
                  <pic:spPr bwMode="auto">
                    <a:xfrm>
                      <a:off x="0" y="0"/>
                      <a:ext cx="4770755" cy="2786380"/>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-69850</wp:posOffset>
            </wp:positionV>
            <wp:extent cx="369570" cy="43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7">
                      <a:extLst>
                        <a:ext uri="{28A0092B-C50C-407E-A947-70E740481C1C}"/>
                      </a:extLst>
                    </a:blip>
                    <a:srcRect/>
                    <a:stretch>
                      <a:fillRect/>
                    </a:stretch>
                  </pic:blipFill>
                  <pic:spPr bwMode="auto">
                    <a:xfrm>
                      <a:off x="0" y="0"/>
                      <a:ext cx="369570" cy="43815"/>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-97155</wp:posOffset>
            </wp:positionV>
            <wp:extent cx="369570" cy="996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8">
                      <a:extLst>
                        <a:ext uri="{28A0092B-C50C-407E-A947-70E740481C1C}"/>
                      </a:extLst>
                    </a:blip>
                    <a:srcRect/>
                    <a:stretch>
                      <a:fillRect/>
                    </a:stretch>
                  </pic:blipFill>
                  <pic:spPr bwMode="auto">
                    <a:xfrm>
                      <a:off x="0" y="0"/>
                      <a:ext cx="369570" cy="9969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-97155</wp:posOffset>
            </wp:positionV>
            <wp:extent cx="369570" cy="996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9">
                      <a:extLst>
                        <a:ext uri="{28A0092B-C50C-407E-A947-70E740481C1C}"/>
                      </a:extLst>
                    </a:blip>
                    <a:srcRect/>
                    <a:stretch>
                      <a:fillRect/>
                    </a:stretch>
                  </pic:blipFill>
                  <pic:spPr bwMode="auto">
                    <a:xfrm>
                      <a:off x="0" y="0"/>
                      <a:ext cx="369570" cy="9969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right="4180" w:hanging="260"/>
        <w:spacing w:after="0" w:line="243" w:lineRule="auto"/>
        <w:tabs>
          <w:tab w:leader="none" w:pos="7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invested on 12/31/19 in stock or index, including reinvestment of dividends. Fiscal year ending December 31.</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71"/>
        </w:trPr>
        <w:tc>
          <w:tcPr>
            <w:tcW w:w="54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w w:val="98"/>
              </w:rPr>
              <w:t>AGNC Investment Corp.</w:t>
            </w:r>
            <w:r>
              <w:rPr>
                <w:rFonts w:ascii="Times New Roman" w:cs="Times New Roman" w:eastAsia="Times New Roman" w:hAnsi="Times New Roman"/>
                <w:sz w:val="16"/>
                <w:szCs w:val="16"/>
                <w:color w:val="B4B4B4"/>
                <w:w w:val="98"/>
              </w:rPr>
              <w:t>................................................................................................</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80" w:type="dxa"/>
            <w:vAlign w:val="bottom"/>
          </w:tcPr>
          <w:p>
            <w:pPr>
              <w:spacing w:after="0"/>
              <w:rPr>
                <w:sz w:val="23"/>
                <w:szCs w:val="23"/>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103.51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98.36</w:t>
            </w:r>
          </w:p>
        </w:tc>
      </w:tr>
      <w:tr>
        <w:trPr>
          <w:trHeight w:val="2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S&amp;P 500 </w:t>
            </w:r>
            <w:r>
              <w:rPr>
                <w:rFonts w:ascii="Times New Roman" w:cs="Times New Roman" w:eastAsia="Times New Roman" w:hAnsi="Times New Roman"/>
                <w:sz w:val="16"/>
                <w:szCs w:val="16"/>
                <w:color w:val="B4B4B4"/>
                <w:w w:val="98"/>
              </w:rPr>
              <w:t>.........................................................................................................................</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124.73</w:t>
            </w:r>
          </w:p>
        </w:tc>
        <w:tc>
          <w:tcPr>
            <w:tcW w:w="80" w:type="dxa"/>
            <w:vAlign w:val="bottom"/>
          </w:tcPr>
          <w:p>
            <w:pPr>
              <w:spacing w:after="0"/>
              <w:rPr>
                <w:sz w:val="24"/>
                <w:szCs w:val="24"/>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152.34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118.39</w:t>
            </w:r>
          </w:p>
        </w:tc>
      </w:tr>
      <w:tr>
        <w:trPr>
          <w:trHeight w:val="2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FTSE NAREIT Mortgage REITs </w:t>
            </w:r>
            <w:r>
              <w:rPr>
                <w:rFonts w:ascii="Times New Roman" w:cs="Times New Roman" w:eastAsia="Times New Roman" w:hAnsi="Times New Roman"/>
                <w:sz w:val="16"/>
                <w:szCs w:val="16"/>
                <w:color w:val="B4B4B4"/>
                <w:w w:val="98"/>
              </w:rPr>
              <w:t>...................................................................................</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80" w:type="dxa"/>
            <w:vAlign w:val="bottom"/>
          </w:tcPr>
          <w:p>
            <w:pPr>
              <w:spacing w:after="0"/>
              <w:rPr>
                <w:sz w:val="24"/>
                <w:szCs w:val="24"/>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93.93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81.23</w:t>
            </w:r>
          </w:p>
        </w:tc>
      </w:tr>
    </w:tbl>
    <w:p>
      <w:pPr>
        <w:spacing w:after="0" w:line="216" w:lineRule="exact"/>
        <w:rPr>
          <w:sz w:val="20"/>
          <w:szCs w:val="20"/>
          <w:color w:val="auto"/>
        </w:rPr>
      </w:pPr>
    </w:p>
    <w:p>
      <w:pPr>
        <w:jc w:val="both"/>
        <w:ind w:firstLine="547"/>
        <w:spacing w:after="0" w:line="274" w:lineRule="auto"/>
        <w:rPr>
          <w:sz w:val="20"/>
          <w:szCs w:val="20"/>
          <w:color w:val="auto"/>
        </w:rPr>
      </w:pPr>
      <w:r>
        <w:rPr>
          <w:rFonts w:ascii="Times New Roman" w:cs="Times New Roman" w:eastAsia="Times New Roman" w:hAnsi="Times New Roman"/>
          <w:sz w:val="19"/>
          <w:szCs w:val="19"/>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ectPr>
          <w:pgSz w:w="11880" w:h="15480" w:orient="portrait"/>
          <w:cols w:equalWidth="0" w:num="1">
            <w:col w:w="9960"/>
          </w:cols>
          <w:pgMar w:left="960" w:top="117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9960"/>
          </w:cols>
          <w:pgMar w:left="960" w:top="1178" w:right="96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9"/>
          <w:szCs w:val="19"/>
          <w:b w:val="1"/>
          <w:bCs w:val="1"/>
          <w:color w:val="auto"/>
        </w:rPr>
        <w:t xml:space="preserve">Item 7. </w:t>
      </w:r>
      <w:r>
        <w:rPr>
          <w:rFonts w:ascii="Times New Roman" w:cs="Times New Roman" w:eastAsia="Times New Roman" w:hAnsi="Times New Roman"/>
          <w:sz w:val="19"/>
          <w:szCs w:val="19"/>
          <w:b w:val="1"/>
          <w:bCs w:val="1"/>
          <w:i w:val="1"/>
          <w:iCs w:val="1"/>
          <w:color w:val="auto"/>
        </w:rPr>
        <w:t>Management's Discussion and Analysis of Financial Condition and Results of Operations</w:t>
      </w:r>
    </w:p>
    <w:p>
      <w:pPr>
        <w:spacing w:after="0" w:line="196"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Annual Report on Form 10-K. Our MD&amp;A is presented in the following sections:</w:t>
      </w:r>
    </w:p>
    <w:p>
      <w:pPr>
        <w:spacing w:after="0" w:line="52" w:lineRule="exact"/>
        <w:rPr>
          <w:sz w:val="20"/>
          <w:szCs w:val="20"/>
          <w:color w:val="auto"/>
        </w:rPr>
      </w:pPr>
    </w:p>
    <w:p>
      <w:pPr>
        <w:ind w:left="700" w:hanging="347"/>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Overview</w:t>
      </w:r>
    </w:p>
    <w:p>
      <w:pPr>
        <w:spacing w:after="0" w:line="72"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Condition</w:t>
      </w:r>
    </w:p>
    <w:p>
      <w:pPr>
        <w:spacing w:after="0" w:line="72"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Summary of Critical Accounting Estimates</w:t>
      </w:r>
    </w:p>
    <w:p>
      <w:pPr>
        <w:spacing w:after="0" w:line="72"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Results of Operations</w:t>
      </w:r>
    </w:p>
    <w:p>
      <w:pPr>
        <w:spacing w:after="0" w:line="72"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Liquidity and Capital Resources</w:t>
      </w:r>
    </w:p>
    <w:p>
      <w:pPr>
        <w:spacing w:after="0" w:line="72"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Off-Balance Sheet Arrangements</w:t>
      </w:r>
    </w:p>
    <w:p>
      <w:pPr>
        <w:spacing w:after="0" w:line="72"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Forward-Looking Statements</w:t>
      </w:r>
    </w:p>
    <w:p>
      <w:pPr>
        <w:spacing w:after="0" w:line="72"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Website and Social Media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OVERVIEW</w:t>
      </w:r>
    </w:p>
    <w:p>
      <w:pPr>
        <w:spacing w:after="0" w:line="196"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We are a leading provider of private capital to the U.S. housing market, enhancing liquidity in the residential real estate mortgage markets and, in turn, facilitating home ownership in the U.S. 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may also invest in other assets related to the housing, mortgage or real estate markets that are not guaranteed by a GSE or U.S. Government agency.</w:t>
      </w:r>
    </w:p>
    <w:p>
      <w:pPr>
        <w:spacing w:after="0" w:line="135"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32"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Trends and Recent Market Impacts</w:t>
      </w:r>
    </w:p>
    <w:p>
      <w:pPr>
        <w:spacing w:after="0" w:line="196"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In 2024, an increasingly favorable market environment for Agency RMBS investors emerged as the Fed pivoted from its restrictive monetary policy and began lowering short-term rates toward a neutral level. Declining inflationary pressures and the Fed’s more accommodative monetary policy helped reduce interest rate volatility and steepen the yield curve. These dynamics provided an improved investment backdrop that enabled AGNC to generate a positive economic return of 13.2% in 2024, comprised of our monthly dividends totaling $1.44 per common share for the year and a modest decline of our tangible net book value of $0.29 per common share.</w:t>
      </w:r>
    </w:p>
    <w:p>
      <w:pPr>
        <w:spacing w:after="0" w:line="135"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The U.S. presidential election and its implications for deficit spending, fiscal policy and future Treasury issuance tempered the positive investment sentiment that existed during the first three quarters of the year. In addition, strong economic data late in the fourth quarter extended the Fed’s anticipated easing timeline as evidenced by its December Summary of Economic Projections, which indicated fewer expected rate cuts in 2025 and 2026 than previously projected.</w:t>
      </w:r>
    </w:p>
    <w:p>
      <w:pPr>
        <w:spacing w:after="0" w:line="130"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Looking forward, our outlook for Agency mortgage-backed securities in 2025 remains very favorable. We anticipate that Agency RMBS spreads relative to benchmark rates will remain wide compared to historical averages and continue to trade within the well-defined range that has been established over the past several quarters. Agency RMBS spreads to benchmark rates in the current range offer investors attractive return opportunities. Further, longer-term interest rates have risen meaningfully, and as of year-end, the 30-year primary mortgage rate was once again near 7%. At current rate levels, we expect the supply of Agency RMBS in 2025 to be similar to that of 2024 and reasonably well-aligned with investor demand. Potential increases in bank demand as regulatory constraints ease could also provide incremental additional support for Agency RMBS valuations. Together, these positive dynamics create a constructive investment backdrop for AGNC in 2025.</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9960"/>
          </w:cols>
          <w:pgMar w:left="960" w:top="704" w:right="960" w:bottom="0" w:gutter="0" w:footer="0" w:header="0"/>
          <w:type w:val="continuous"/>
        </w:sectPr>
      </w:pPr>
    </w:p>
    <w:bookmarkStart w:id="37" w:name="page38"/>
    <w:bookmarkEnd w:id="37"/>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 xml:space="preserve">Notwithstanding our favorable outlook for Agency RMBS as we begin 2025, financial market and macroeconomic uncertainty remains elevated as the new administration implements sweeping changes to tariff, immigration, fiscal, and regulatory policy. In addition, while GSE reform does not appear to be an immediate focus of the administration, it is possible that this topic could be revisited at some point during the next four years. Favorably in our view, there also appears to be a growing consensus that any change to the structure of the GSE’s and the Agency RMBS market should be done in a way that preserves the current functionality of the conventional mortgage market, avoids disrupting the real estate market and ensures that housing affordability does not decline further. Please refer to Item 1A.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 xml:space="preserve"> for additional information regarding potential changes to the Federal conservatorships of Fannie Mae and Freddie Mac, laws or regulations affecting the relationship between the GSEs and the U.S. Government or other housing finance reform initiatives.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Financial Highlights</w:t>
      </w:r>
    </w:p>
    <w:p>
      <w:pPr>
        <w:spacing w:after="0" w:line="196"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AGNC earned total comprehensive income of $0.84 per diluted common share for fiscal year 2024, an increase from $0.30 per share in 2023. Net spread and dollar roll income per diluted common share decreased to $1.88 in 2024 from $2.61 in 2023, primarily due to a narrowing of our net interest rate spread, which averaged 242 basis points in 2024, down from 306 basis points in 2023.</w:t>
      </w:r>
    </w:p>
    <w:p>
      <w:pPr>
        <w:spacing w:after="0" w:line="130"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The reduction in our net interest spread was largely driven by higher swap costs following the expiration of lower-cost pay-fixed interest rate swaps during the year and a strategic shift toward a greater proportion of Treasury-based hedges, which are not included in our reported net interest spread or net spread income. Additionally, we expanded our use of longer-term hedges in response to changes in monetary policy and expectations of further yield curve steepening.</w:t>
      </w:r>
    </w:p>
    <w:p>
      <w:pPr>
        <w:spacing w:after="0" w:line="130"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As of December 31, 2024, our interest rate hedge position covered 91% of the outstanding balance of our repurchase agreements used to fund our investment portfolio ("Investment Securities Repo"), TBA position, and other debt, compared to 112% at the end of 2023. Our duration gap, which measures the estimated difference between the interest rate sensitivity of our assets and our liabilities, inclusive of interest rate hedges, extended to 0.3 years as of December 31, 2024, from -0.5 years as of December 31, 2023, consistent with higher long-term rates and shifts in portfolio and hedge composition.</w:t>
      </w:r>
    </w:p>
    <w:p>
      <w:pPr>
        <w:spacing w:after="0" w:line="132"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The weighted average coupon on our fixed-rate Agency RMBS and TBA securities increased to 5.02% at the end of 2024, up from 4.83% at the end of 2023. The average projected life Constant Prepayment Rate (CPR) for the portfolio decreased to 7.7% at year-end, from 11.4% at the end of 2023. Actual CPRs for 2024 averaged 7.5%, slightly up from 6.3% in 2023.</w:t>
      </w:r>
    </w:p>
    <w:p>
      <w:pPr>
        <w:spacing w:after="0" w:line="125"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AGNC's average and ending "at risk" leverage for 2024 was 7.2x tangible stockholders’ equity, compared to 7.4x and 7.0x, respectively, for 2023. We concluded 2024 with $6.1 billion in cash and unencumbered Agency RMBS, representing 66% of tangible stockholders’ equity, compared to $5.1 billion and 66% of tangible equity as of December 31, 2023.</w:t>
      </w:r>
    </w:p>
    <w:p>
      <w:pPr>
        <w:spacing w:after="0" w:line="125"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During 2024, we raised $2.0 billion of common stock through our at-the-market offering program at a considerable premium to tangible net book value, generating meaningful book value accretion for our common stockholders.</w:t>
      </w:r>
    </w:p>
    <w:p>
      <w:pPr>
        <w:spacing w:after="0" w:line="107"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7A. </w:t>
      </w:r>
      <w:r>
        <w:rPr>
          <w:rFonts w:ascii="Times New Roman" w:cs="Times New Roman" w:eastAsia="Times New Roman" w:hAnsi="Times New Roman"/>
          <w:sz w:val="19"/>
          <w:szCs w:val="19"/>
          <w:b w:val="1"/>
          <w:bCs w:val="1"/>
          <w:i w:val="1"/>
          <w:iCs w:val="1"/>
          <w:color w:val="auto"/>
        </w:rPr>
        <w:t xml:space="preserve">Quantitative and Qualitative Disclosures about Market Risk </w:t>
      </w:r>
      <w:r>
        <w:rPr>
          <w:rFonts w:ascii="Times New Roman" w:cs="Times New Roman" w:eastAsia="Times New Roman" w:hAnsi="Times New Roman"/>
          <w:sz w:val="19"/>
          <w:szCs w:val="19"/>
          <w:color w:val="auto"/>
        </w:rPr>
        <w:t>in this form 10-K.</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9960"/>
          </w:cols>
          <w:pgMar w:left="960" w:top="711" w:right="96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9"/>
          <w:szCs w:val="19"/>
          <w:b w:val="1"/>
          <w:bCs w:val="1"/>
          <w:i w:val="1"/>
          <w:iCs w:val="1"/>
          <w:color w:val="auto"/>
        </w:rPr>
        <w:t>Market Information</w:t>
      </w:r>
    </w:p>
    <w:p>
      <w:pPr>
        <w:spacing w:after="0" w:line="196" w:lineRule="exact"/>
        <w:rPr>
          <w:sz w:val="20"/>
          <w:szCs w:val="20"/>
          <w:color w:val="auto"/>
        </w:rPr>
      </w:pPr>
    </w:p>
    <w:p>
      <w:pPr>
        <w:ind w:firstLine="436"/>
        <w:spacing w:after="0" w:line="293" w:lineRule="auto"/>
        <w:rPr>
          <w:sz w:val="20"/>
          <w:szCs w:val="20"/>
          <w:color w:val="auto"/>
        </w:rPr>
      </w:pPr>
      <w:r>
        <w:rPr>
          <w:rFonts w:ascii="Times New Roman" w:cs="Times New Roman" w:eastAsia="Times New Roman" w:hAnsi="Times New Roman"/>
          <w:sz w:val="19"/>
          <w:szCs w:val="19"/>
          <w:color w:val="auto"/>
        </w:rPr>
        <w:t>The following table summarizes benchmark interest rates and prices of generic fixed rate Agency RMBS as of each date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 31,</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 31,</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Sept. 30,</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 31,</w:t>
            </w:r>
          </w:p>
        </w:tc>
        <w:tc>
          <w:tcPr>
            <w:tcW w:w="12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Dec. 31, 2024</w:t>
            </w:r>
          </w:p>
        </w:tc>
        <w:tc>
          <w:tcPr>
            <w:tcW w:w="0" w:type="dxa"/>
            <w:vAlign w:val="bottom"/>
          </w:tcPr>
          <w:p>
            <w:pPr>
              <w:spacing w:after="0"/>
              <w:rPr>
                <w:sz w:val="1"/>
                <w:szCs w:val="1"/>
                <w:color w:val="auto"/>
              </w:rPr>
            </w:pPr>
          </w:p>
        </w:tc>
      </w:tr>
      <w:tr>
        <w:trPr>
          <w:trHeight w:val="155"/>
        </w:trPr>
        <w:tc>
          <w:tcPr>
            <w:tcW w:w="482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b w:val="1"/>
                <w:bCs w:val="1"/>
                <w:color w:val="auto"/>
              </w:rPr>
              <w:t xml:space="preserve">Interest Rate/Security Price </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vs</w:t>
            </w:r>
          </w:p>
        </w:tc>
        <w:tc>
          <w:tcPr>
            <w:tcW w:w="0" w:type="dxa"/>
            <w:vAlign w:val="bottom"/>
          </w:tcPr>
          <w:p>
            <w:pPr>
              <w:spacing w:after="0"/>
              <w:rPr>
                <w:sz w:val="1"/>
                <w:szCs w:val="1"/>
                <w:color w:val="auto"/>
              </w:rPr>
            </w:pPr>
          </w:p>
        </w:tc>
      </w:tr>
      <w:tr>
        <w:trPr>
          <w:trHeight w:val="208"/>
        </w:trPr>
        <w:tc>
          <w:tcPr>
            <w:tcW w:w="4820" w:type="dxa"/>
            <w:vAlign w:val="bottom"/>
            <w:vMerge w:val="continue"/>
          </w:tcPr>
          <w:p>
            <w:pPr>
              <w:spacing w:after="0"/>
              <w:rPr>
                <w:sz w:val="18"/>
                <w:szCs w:val="18"/>
                <w:color w:val="auto"/>
              </w:rPr>
            </w:pP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Dec. 31, 2023</w:t>
            </w:r>
          </w:p>
        </w:tc>
        <w:tc>
          <w:tcPr>
            <w:tcW w:w="0" w:type="dxa"/>
            <w:vAlign w:val="bottom"/>
          </w:tcPr>
          <w:p>
            <w:pPr>
              <w:spacing w:after="0"/>
              <w:rPr>
                <w:sz w:val="1"/>
                <w:szCs w:val="1"/>
                <w:color w:val="auto"/>
              </w:rPr>
            </w:pPr>
          </w:p>
        </w:tc>
      </w:tr>
      <w:tr>
        <w:trPr>
          <w:trHeight w:val="221"/>
        </w:trPr>
        <w:tc>
          <w:tcPr>
            <w:tcW w:w="4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Target Federal Funds Rate:</w:t>
            </w: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Target Federal Funds Rate - Upper Band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5.50%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5.50%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5.50%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5.00%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4.50%</w:t>
            </w:r>
          </w:p>
        </w:tc>
        <w:tc>
          <w:tcPr>
            <w:tcW w:w="120" w:type="dxa"/>
            <w:vAlign w:val="bottom"/>
          </w:tcPr>
          <w:p>
            <w:pPr>
              <w:spacing w:after="0"/>
              <w:rPr>
                <w:sz w:val="21"/>
                <w:szCs w:val="21"/>
                <w:color w:val="auto"/>
              </w:rPr>
            </w:pPr>
          </w:p>
        </w:tc>
        <w:tc>
          <w:tcPr>
            <w:tcW w:w="102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-100 bps</w:t>
            </w:r>
          </w:p>
        </w:tc>
        <w:tc>
          <w:tcPr>
            <w:tcW w:w="0" w:type="dxa"/>
            <w:vAlign w:val="bottom"/>
          </w:tcPr>
          <w:p>
            <w:pPr>
              <w:spacing w:after="0"/>
              <w:rPr>
                <w:sz w:val="1"/>
                <w:szCs w:val="1"/>
                <w:color w:val="auto"/>
              </w:rPr>
            </w:pPr>
          </w:p>
        </w:tc>
      </w:tr>
      <w:tr>
        <w:trPr>
          <w:trHeight w:val="247"/>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SOFR:</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SOFR Rate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5.38%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5.34%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5.33%</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4.96%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4.49%</w:t>
            </w:r>
          </w:p>
        </w:tc>
        <w:tc>
          <w:tcPr>
            <w:tcW w:w="120" w:type="dxa"/>
            <w:vAlign w:val="bottom"/>
          </w:tcPr>
          <w:p>
            <w:pPr>
              <w:spacing w:after="0"/>
              <w:rPr>
                <w:sz w:val="21"/>
                <w:szCs w:val="21"/>
                <w:color w:val="auto"/>
              </w:rPr>
            </w:pPr>
          </w:p>
        </w:tc>
        <w:tc>
          <w:tcPr>
            <w:tcW w:w="102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-89 bps</w:t>
            </w:r>
          </w:p>
        </w:tc>
        <w:tc>
          <w:tcPr>
            <w:tcW w:w="0" w:type="dxa"/>
            <w:vAlign w:val="bottom"/>
          </w:tcPr>
          <w:p>
            <w:pPr>
              <w:spacing w:after="0"/>
              <w:rPr>
                <w:sz w:val="1"/>
                <w:szCs w:val="1"/>
                <w:color w:val="auto"/>
              </w:rPr>
            </w:pPr>
          </w:p>
        </w:tc>
      </w:tr>
      <w:tr>
        <w:trPr>
          <w:trHeight w:val="247"/>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SOFR Interest Rate Swap Rate:</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2-Year Swap</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4.07%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4.55%</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4.61%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3.44%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4.08%</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bps</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5-Year Swap</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3.53%</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3.98%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4.10%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3.25%</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4.04%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bps</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10-Year Swap</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3.47%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3.84%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3.98%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3.32%</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4.07%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bps</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30-Year Swap</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3.32%</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3.62%</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3.76%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3.30%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3.93%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bps</w:t>
            </w:r>
          </w:p>
        </w:tc>
        <w:tc>
          <w:tcPr>
            <w:tcW w:w="0" w:type="dxa"/>
            <w:vAlign w:val="bottom"/>
          </w:tcPr>
          <w:p>
            <w:pPr>
              <w:spacing w:after="0"/>
              <w:rPr>
                <w:sz w:val="1"/>
                <w:szCs w:val="1"/>
                <w:color w:val="auto"/>
              </w:rPr>
            </w:pPr>
          </w:p>
        </w:tc>
      </w:tr>
      <w:tr>
        <w:trPr>
          <w:trHeight w:val="247"/>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U.S. Treasury Security Rate:</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2-Year U.S. Treasury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4.25%</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4.62%</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4.76%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3.64%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4.24%</w:t>
            </w:r>
          </w:p>
        </w:tc>
        <w:tc>
          <w:tcPr>
            <w:tcW w:w="120" w:type="dxa"/>
            <w:vAlign w:val="bottom"/>
          </w:tcPr>
          <w:p>
            <w:pPr>
              <w:spacing w:after="0"/>
              <w:rPr>
                <w:sz w:val="21"/>
                <w:szCs w:val="21"/>
                <w:color w:val="auto"/>
              </w:rPr>
            </w:pPr>
          </w:p>
        </w:tc>
        <w:tc>
          <w:tcPr>
            <w:tcW w:w="102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-1 bps</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5-Year U.S. Treasury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3.85%</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4.21%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4.38%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3.56%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4.38%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bps</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10-Year U.S. Treasury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3.88%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4.20%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4.40%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3.78%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4.57%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bps</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30-Year U.S. Treasury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4.03%</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4.34%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4.56%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4.12%</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4.78%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bps</w:t>
            </w:r>
          </w:p>
        </w:tc>
        <w:tc>
          <w:tcPr>
            <w:tcW w:w="0" w:type="dxa"/>
            <w:vAlign w:val="bottom"/>
          </w:tcPr>
          <w:p>
            <w:pPr>
              <w:spacing w:after="0"/>
              <w:rPr>
                <w:sz w:val="1"/>
                <w:szCs w:val="1"/>
                <w:color w:val="auto"/>
              </w:rPr>
            </w:pPr>
          </w:p>
        </w:tc>
      </w:tr>
      <w:tr>
        <w:trPr>
          <w:trHeight w:val="247"/>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30-Year Fixed Rate Agency Price:</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2.5%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$85.24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$82.77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$81.87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$86.22</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$81.38</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3.0%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$88.58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$86.16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$85.26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$89.68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$84.88</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3.5%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$91.86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$89.61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$88.67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$93.09</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$88.38</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4.0%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$94.69</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$92.74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$91.68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$95.98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$91.32</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4.5%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$97.04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$95.34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$94.45</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$98.27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$93.98</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5.0%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$99.04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$97.70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$96.81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$99.90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$96.44</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5.5%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$100.56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$99.58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$98.76</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$101.15</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$98.61</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6.0%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$101.63</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$100.98</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$100.39</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$102.19</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$100.45</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6.5%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$102.51</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$102.21</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$101.88</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$103.10</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$102.10</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47"/>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15-Year Fixed Rate Agency Price:</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1.5%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$86.86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$86.69</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$85.61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$89.16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$85.80</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2.0%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$89.47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$88.71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$88.00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$91.41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$88.34</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2.5%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$92.14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$91.07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$90.44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$93.68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$90.83</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3.0%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$94.30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$93.17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$92.61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$95.82</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$93.12</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3.5%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$96.39</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$95.13</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$94.61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$97.88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$94.56</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4.0%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$98.10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$96.95</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$96.24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$99.28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$96.01</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2" w:lineRule="exact"/>
        <w:rPr>
          <w:sz w:val="20"/>
          <w:szCs w:val="20"/>
          <w:color w:val="auto"/>
        </w:rPr>
      </w:pPr>
    </w:p>
    <w:p>
      <w:pPr>
        <w:ind w:left="700" w:hanging="347"/>
        <w:spacing w:after="0" w:line="261" w:lineRule="auto"/>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9960"/>
          </w:cols>
          <w:pgMar w:left="960" w:top="704" w:right="960" w:bottom="0" w:gutter="0" w:footer="0" w:header="0"/>
          <w:type w:val="continuous"/>
        </w:sectPr>
      </w:pPr>
    </w:p>
    <w:bookmarkStart w:id="39" w:name="page40"/>
    <w:bookmarkEnd w:id="39"/>
    <w:p>
      <w:pPr>
        <w:ind w:left="440"/>
        <w:spacing w:after="0"/>
        <w:rPr>
          <w:sz w:val="20"/>
          <w:szCs w:val="20"/>
          <w:color w:val="auto"/>
        </w:rPr>
      </w:pPr>
      <w:r>
        <w:rPr>
          <w:rFonts w:ascii="Times New Roman" w:cs="Times New Roman" w:eastAsia="Times New Roman" w:hAnsi="Times New Roman"/>
          <w:sz w:val="19"/>
          <w:szCs w:val="19"/>
          <w:color w:val="auto"/>
        </w:rPr>
        <w:t>The following table summarizes mortgage and credit spreads as of each date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 31,</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 31,</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Sept. 30,</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 31,</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Dec. 31, 2024</w:t>
            </w:r>
          </w:p>
        </w:tc>
        <w:tc>
          <w:tcPr>
            <w:tcW w:w="0" w:type="dxa"/>
            <w:vAlign w:val="bottom"/>
          </w:tcPr>
          <w:p>
            <w:pPr>
              <w:spacing w:after="0"/>
              <w:rPr>
                <w:sz w:val="1"/>
                <w:szCs w:val="1"/>
                <w:color w:val="auto"/>
              </w:rPr>
            </w:pPr>
          </w:p>
        </w:tc>
      </w:tr>
      <w:tr>
        <w:trPr>
          <w:trHeight w:val="155"/>
        </w:trPr>
        <w:tc>
          <w:tcPr>
            <w:tcW w:w="4820" w:type="dxa"/>
            <w:vAlign w:val="bottom"/>
            <w:vMerge w:val="restart"/>
          </w:tcPr>
          <w:p>
            <w:pPr>
              <w:ind w:left="1420"/>
              <w:spacing w:after="0"/>
              <w:rPr>
                <w:sz w:val="20"/>
                <w:szCs w:val="20"/>
                <w:color w:val="auto"/>
              </w:rPr>
            </w:pPr>
            <w:r>
              <w:rPr>
                <w:rFonts w:ascii="Times New Roman" w:cs="Times New Roman" w:eastAsia="Times New Roman" w:hAnsi="Times New Roman"/>
                <w:sz w:val="16"/>
                <w:szCs w:val="16"/>
                <w:b w:val="1"/>
                <w:bCs w:val="1"/>
                <w:color w:val="auto"/>
              </w:rPr>
              <w:t>Mortgage Rate/Credit Spread</w:t>
            </w: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vs</w:t>
            </w:r>
          </w:p>
        </w:tc>
        <w:tc>
          <w:tcPr>
            <w:tcW w:w="0" w:type="dxa"/>
            <w:vAlign w:val="bottom"/>
          </w:tcPr>
          <w:p>
            <w:pPr>
              <w:spacing w:after="0"/>
              <w:rPr>
                <w:sz w:val="1"/>
                <w:szCs w:val="1"/>
                <w:color w:val="auto"/>
              </w:rPr>
            </w:pPr>
          </w:p>
        </w:tc>
      </w:tr>
      <w:tr>
        <w:trPr>
          <w:trHeight w:val="208"/>
        </w:trPr>
        <w:tc>
          <w:tcPr>
            <w:tcW w:w="4820" w:type="dxa"/>
            <w:vAlign w:val="bottom"/>
            <w:vMerge w:val="continue"/>
          </w:tcPr>
          <w:p>
            <w:pPr>
              <w:spacing w:after="0"/>
              <w:rPr>
                <w:sz w:val="18"/>
                <w:szCs w:val="18"/>
                <w:color w:val="auto"/>
              </w:rPr>
            </w:pP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Dec. 31, 2023</w:t>
            </w:r>
          </w:p>
        </w:tc>
        <w:tc>
          <w:tcPr>
            <w:tcW w:w="0" w:type="dxa"/>
            <w:vAlign w:val="bottom"/>
          </w:tcPr>
          <w:p>
            <w:pPr>
              <w:spacing w:after="0"/>
              <w:rPr>
                <w:sz w:val="1"/>
                <w:szCs w:val="1"/>
                <w:color w:val="auto"/>
              </w:rPr>
            </w:pPr>
          </w:p>
        </w:tc>
      </w:tr>
      <w:tr>
        <w:trPr>
          <w:trHeight w:val="266"/>
        </w:trPr>
        <w:tc>
          <w:tcPr>
            <w:tcW w:w="4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Mortgage Rate: </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30-Year Agency Current Coupon Yield to 5-Year U.S. Treasury Spread</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140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139</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149</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140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145</w:t>
            </w:r>
          </w:p>
        </w:tc>
        <w:tc>
          <w:tcPr>
            <w:tcW w:w="114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3"/>
              </w:rPr>
              <w:t>+5</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30-Year Agency Current Coupon Yield to 10-Year U.S. Treasury Spread</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137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140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147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118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126</w:t>
            </w:r>
          </w:p>
        </w:tc>
        <w:tc>
          <w:tcPr>
            <w:tcW w:w="114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3"/>
              </w:rPr>
              <w:t>-11</w:t>
            </w:r>
          </w:p>
        </w:tc>
        <w:tc>
          <w:tcPr>
            <w:tcW w:w="0" w:type="dxa"/>
            <w:vAlign w:val="bottom"/>
          </w:tcPr>
          <w:p>
            <w:pPr>
              <w:spacing w:after="0"/>
              <w:rPr>
                <w:sz w:val="1"/>
                <w:szCs w:val="1"/>
                <w:color w:val="auto"/>
              </w:rPr>
            </w:pPr>
          </w:p>
        </w:tc>
      </w:tr>
      <w:tr>
        <w:trPr>
          <w:trHeight w:val="206"/>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30-Year Agency Current Coupon Yield to 5/10-Year U.S. Treasury</w:t>
            </w:r>
          </w:p>
        </w:tc>
        <w:tc>
          <w:tcPr>
            <w:tcW w:w="800" w:type="dxa"/>
            <w:vAlign w:val="bottom"/>
            <w:gridSpan w:val="2"/>
            <w:vMerge w:val="restart"/>
          </w:tcPr>
          <w:p>
            <w:pPr>
              <w:jc w:val="center"/>
              <w:ind w:left="82"/>
              <w:spacing w:after="0"/>
              <w:rPr>
                <w:sz w:val="20"/>
                <w:szCs w:val="20"/>
                <w:color w:val="auto"/>
              </w:rPr>
            </w:pPr>
            <w:r>
              <w:rPr>
                <w:rFonts w:ascii="Times New Roman" w:cs="Times New Roman" w:eastAsia="Times New Roman" w:hAnsi="Times New Roman"/>
                <w:sz w:val="16"/>
                <w:szCs w:val="16"/>
                <w:color w:val="auto"/>
                <w:w w:val="99"/>
              </w:rPr>
              <w:t>139</w:t>
            </w:r>
          </w:p>
        </w:tc>
        <w:tc>
          <w:tcPr>
            <w:tcW w:w="800" w:type="dxa"/>
            <w:vAlign w:val="bottom"/>
            <w:gridSpan w:val="2"/>
            <w:vMerge w:val="restart"/>
          </w:tcPr>
          <w:p>
            <w:pPr>
              <w:jc w:val="center"/>
              <w:ind w:left="82"/>
              <w:spacing w:after="0"/>
              <w:rPr>
                <w:sz w:val="20"/>
                <w:szCs w:val="20"/>
                <w:color w:val="auto"/>
              </w:rPr>
            </w:pPr>
            <w:r>
              <w:rPr>
                <w:rFonts w:ascii="Times New Roman" w:cs="Times New Roman" w:eastAsia="Times New Roman" w:hAnsi="Times New Roman"/>
                <w:sz w:val="16"/>
                <w:szCs w:val="16"/>
                <w:color w:val="auto"/>
                <w:w w:val="99"/>
              </w:rPr>
              <w:t>139</w:t>
            </w:r>
          </w:p>
        </w:tc>
        <w:tc>
          <w:tcPr>
            <w:tcW w:w="800" w:type="dxa"/>
            <w:vAlign w:val="bottom"/>
            <w:gridSpan w:val="2"/>
            <w:vMerge w:val="restart"/>
          </w:tcPr>
          <w:p>
            <w:pPr>
              <w:jc w:val="center"/>
              <w:ind w:left="82"/>
              <w:spacing w:after="0"/>
              <w:rPr>
                <w:sz w:val="20"/>
                <w:szCs w:val="20"/>
                <w:color w:val="auto"/>
              </w:rPr>
            </w:pPr>
            <w:r>
              <w:rPr>
                <w:rFonts w:ascii="Times New Roman" w:cs="Times New Roman" w:eastAsia="Times New Roman" w:hAnsi="Times New Roman"/>
                <w:sz w:val="16"/>
                <w:szCs w:val="16"/>
                <w:color w:val="auto"/>
                <w:w w:val="99"/>
              </w:rPr>
              <w:t>149</w:t>
            </w:r>
          </w:p>
        </w:tc>
        <w:tc>
          <w:tcPr>
            <w:tcW w:w="800" w:type="dxa"/>
            <w:vAlign w:val="bottom"/>
            <w:gridSpan w:val="2"/>
            <w:vMerge w:val="restart"/>
          </w:tcPr>
          <w:p>
            <w:pPr>
              <w:jc w:val="center"/>
              <w:ind w:left="82"/>
              <w:spacing w:after="0"/>
              <w:rPr>
                <w:sz w:val="20"/>
                <w:szCs w:val="20"/>
                <w:color w:val="auto"/>
              </w:rPr>
            </w:pPr>
            <w:r>
              <w:rPr>
                <w:rFonts w:ascii="Times New Roman" w:cs="Times New Roman" w:eastAsia="Times New Roman" w:hAnsi="Times New Roman"/>
                <w:sz w:val="16"/>
                <w:szCs w:val="16"/>
                <w:color w:val="auto"/>
                <w:w w:val="99"/>
              </w:rPr>
              <w:t>129</w:t>
            </w:r>
          </w:p>
        </w:tc>
        <w:tc>
          <w:tcPr>
            <w:tcW w:w="800" w:type="dxa"/>
            <w:vAlign w:val="bottom"/>
            <w:gridSpan w:val="2"/>
            <w:vMerge w:val="restart"/>
          </w:tcPr>
          <w:p>
            <w:pPr>
              <w:jc w:val="center"/>
              <w:ind w:left="82"/>
              <w:spacing w:after="0"/>
              <w:rPr>
                <w:sz w:val="20"/>
                <w:szCs w:val="20"/>
                <w:color w:val="auto"/>
              </w:rPr>
            </w:pPr>
            <w:r>
              <w:rPr>
                <w:rFonts w:ascii="Times New Roman" w:cs="Times New Roman" w:eastAsia="Times New Roman" w:hAnsi="Times New Roman"/>
                <w:sz w:val="16"/>
                <w:szCs w:val="16"/>
                <w:color w:val="auto"/>
                <w:w w:val="99"/>
              </w:rPr>
              <w:t>135</w:t>
            </w:r>
          </w:p>
        </w:tc>
        <w:tc>
          <w:tcPr>
            <w:tcW w:w="1140" w:type="dxa"/>
            <w:vAlign w:val="bottom"/>
            <w:gridSpan w:val="2"/>
            <w:vMerge w:val="restart"/>
          </w:tcPr>
          <w:p>
            <w:pPr>
              <w:jc w:val="center"/>
              <w:ind w:left="62"/>
              <w:spacing w:after="0"/>
              <w:rPr>
                <w:sz w:val="20"/>
                <w:szCs w:val="20"/>
                <w:color w:val="auto"/>
              </w:rPr>
            </w:pPr>
            <w:r>
              <w:rPr>
                <w:rFonts w:ascii="Times New Roman" w:cs="Times New Roman" w:eastAsia="Times New Roman" w:hAnsi="Times New Roman"/>
                <w:sz w:val="16"/>
                <w:szCs w:val="16"/>
                <w:color w:val="auto"/>
                <w:w w:val="89"/>
              </w:rPr>
              <w:t>-4</w:t>
            </w:r>
          </w:p>
        </w:tc>
        <w:tc>
          <w:tcPr>
            <w:tcW w:w="0" w:type="dxa"/>
            <w:vAlign w:val="bottom"/>
          </w:tcPr>
          <w:p>
            <w:pPr>
              <w:spacing w:after="0"/>
              <w:rPr>
                <w:sz w:val="1"/>
                <w:szCs w:val="1"/>
                <w:color w:val="auto"/>
              </w:rPr>
            </w:pPr>
          </w:p>
        </w:tc>
      </w:tr>
      <w:tr>
        <w:trPr>
          <w:trHeight w:val="202"/>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Spread </w:t>
            </w:r>
            <w:r>
              <w:rPr>
                <w:rFonts w:ascii="Times New Roman" w:cs="Times New Roman" w:eastAsia="Times New Roman" w:hAnsi="Times New Roman"/>
                <w:sz w:val="16"/>
                <w:szCs w:val="16"/>
                <w:color w:val="B4B4B4"/>
                <w:w w:val="97"/>
              </w:rPr>
              <w:t>.........................................................................................................</w:t>
            </w:r>
          </w:p>
        </w:tc>
        <w:tc>
          <w:tcPr>
            <w:tcW w:w="8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30-Year Agency Current Coupon Yield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5.25%</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5.60%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5.87%</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4.96%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5.83%</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+58 bps</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30-Year Mortgage Rate</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6.56%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6.74%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6.94%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6.14%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6.86%</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bps</w:t>
            </w:r>
          </w:p>
        </w:tc>
        <w:tc>
          <w:tcPr>
            <w:tcW w:w="0" w:type="dxa"/>
            <w:vAlign w:val="bottom"/>
          </w:tcPr>
          <w:p>
            <w:pPr>
              <w:spacing w:after="0"/>
              <w:rPr>
                <w:sz w:val="1"/>
                <w:szCs w:val="1"/>
                <w:color w:val="auto"/>
              </w:rPr>
            </w:pPr>
          </w:p>
        </w:tc>
      </w:tr>
      <w:tr>
        <w:trPr>
          <w:trHeight w:val="292"/>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Credit Spread (in bps): </w:t>
            </w:r>
            <w:r>
              <w:rPr>
                <w:rFonts w:ascii="Times New Roman" w:cs="Times New Roman" w:eastAsia="Times New Roman" w:hAnsi="Times New Roman"/>
                <w:sz w:val="20"/>
                <w:szCs w:val="20"/>
                <w:b w:val="1"/>
                <w:bCs w:val="1"/>
                <w:color w:val="auto"/>
                <w:vertAlign w:val="superscript"/>
              </w:rPr>
              <w:t>2</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CRT M2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206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182</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166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159</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137</w:t>
            </w:r>
          </w:p>
        </w:tc>
        <w:tc>
          <w:tcPr>
            <w:tcW w:w="114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3"/>
              </w:rPr>
              <w:t>-69</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CMBS AAA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118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88</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100</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91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72</w:t>
            </w:r>
          </w:p>
        </w:tc>
        <w:tc>
          <w:tcPr>
            <w:tcW w:w="114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3"/>
              </w:rPr>
              <w:t>-46</w:t>
            </w:r>
          </w:p>
        </w:tc>
        <w:tc>
          <w:tcPr>
            <w:tcW w:w="0" w:type="dxa"/>
            <w:vAlign w:val="bottom"/>
          </w:tcPr>
          <w:p>
            <w:pPr>
              <w:spacing w:after="0"/>
              <w:rPr>
                <w:sz w:val="1"/>
                <w:szCs w:val="1"/>
                <w:color w:val="auto"/>
              </w:rPr>
            </w:pPr>
          </w:p>
        </w:tc>
      </w:tr>
      <w:tr>
        <w:trPr>
          <w:trHeight w:val="247"/>
        </w:trPr>
        <w:tc>
          <w:tcPr>
            <w:tcW w:w="48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CDX IG </w:t>
            </w:r>
            <w:r>
              <w:rPr>
                <w:rFonts w:ascii="Times New Roman" w:cs="Times New Roman" w:eastAsia="Times New Roman" w:hAnsi="Times New Roman"/>
                <w:sz w:val="16"/>
                <w:szCs w:val="16"/>
                <w:color w:val="B4B4B4"/>
                <w:w w:val="97"/>
              </w:rPr>
              <w:t>.......................................................................................................</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56</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51</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54</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53</w:t>
            </w:r>
          </w:p>
        </w:tc>
        <w:tc>
          <w:tcPr>
            <w:tcW w:w="8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50</w:t>
            </w:r>
          </w:p>
        </w:tc>
        <w:tc>
          <w:tcPr>
            <w:tcW w:w="114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89"/>
              </w:rPr>
              <w:t>-6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5" w:lineRule="exact"/>
        <w:rPr>
          <w:sz w:val="20"/>
          <w:szCs w:val="20"/>
          <w:color w:val="auto"/>
        </w:rPr>
      </w:pPr>
    </w:p>
    <w:p>
      <w:pPr>
        <w:ind w:left="700" w:hanging="347"/>
        <w:spacing w:after="0" w:line="253" w:lineRule="auto"/>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30-Year Current Coupon Yield represents yield on new production Agency RMBS. 30-Year Current Coupon Yields are sourced from Bloomberg and 30-Year Mortgage Rates are sourced from Clear Blue.</w:t>
      </w:r>
    </w:p>
    <w:p>
      <w:pPr>
        <w:ind w:left="700" w:hanging="347"/>
        <w:spacing w:after="0" w:line="245" w:lineRule="auto"/>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CRT and CDX spreads sourced from JP Morgan. CMBS spreads are the average of spreads sourced from Bank of America, JP Morgan and Wells Fargo.</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9960"/>
          </w:cols>
          <w:pgMar w:left="960" w:top="711" w:right="96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9"/>
          <w:szCs w:val="19"/>
          <w:b w:val="1"/>
          <w:bCs w:val="1"/>
          <w:color w:val="auto"/>
        </w:rPr>
        <w:t>FINANCIAL CONDITION</w:t>
      </w:r>
    </w:p>
    <w:p>
      <w:pPr>
        <w:spacing w:after="0" w:line="196"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As of December 31, 2024 and 2023, our investment portfolio totaled $73.3 billion and $60.2 billion, respectively, consisting of: $65.5 billion and $53.8 billion Agency RMBS, at fair value, respectively; $6.9 billion and $5.4 billion net TBA securities, at fair value, respectively; $0.9 billion and $1.0 billion CRT, non-Agency RMBS and CMBS, at fair value, respectively; and other mortgage credit investments of $64 million and $44 million, respectively, which we account for under the equity method of accounting. The following table is a summary of our investment securities (including TBA securities) as of December 31, 2024 and 2023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Investment Securities (Includes TBAs) </w:t>
            </w:r>
            <w:r>
              <w:rPr>
                <w:rFonts w:ascii="Times New Roman" w:cs="Times New Roman" w:eastAsia="Times New Roman" w:hAnsi="Times New Roman"/>
                <w:sz w:val="20"/>
                <w:szCs w:val="20"/>
                <w:b w:val="1"/>
                <w:bCs w:val="1"/>
                <w:color w:val="auto"/>
                <w:vertAlign w:val="superscript"/>
              </w:rPr>
              <w:t>1</w:t>
            </w:r>
          </w:p>
        </w:tc>
        <w:tc>
          <w:tcPr>
            <w:tcW w:w="120" w:type="dxa"/>
            <w:vAlign w:val="bottom"/>
            <w:vMerge w:val="restart"/>
          </w:tcPr>
          <w:p>
            <w:pPr>
              <w:spacing w:after="0"/>
              <w:rPr>
                <w:sz w:val="21"/>
                <w:szCs w:val="21"/>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21"/>
                <w:szCs w:val="21"/>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vMerge w:val="restart"/>
          </w:tcPr>
          <w:p>
            <w:pPr>
              <w:spacing w:after="0"/>
              <w:rPr>
                <w:sz w:val="21"/>
                <w:szCs w:val="21"/>
                <w:color w:val="auto"/>
              </w:rPr>
            </w:pPr>
          </w:p>
        </w:tc>
        <w:tc>
          <w:tcPr>
            <w:tcW w:w="50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vMerge w:val="restart"/>
          </w:tcPr>
          <w:p>
            <w:pPr>
              <w:spacing w:after="0"/>
              <w:rPr>
                <w:sz w:val="21"/>
                <w:szCs w:val="21"/>
                <w:color w:val="auto"/>
              </w:rPr>
            </w:pPr>
          </w:p>
        </w:tc>
        <w:tc>
          <w:tcPr>
            <w:tcW w:w="52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34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Coupon</w:t>
            </w:r>
          </w:p>
        </w:tc>
        <w:tc>
          <w:tcPr>
            <w:tcW w:w="80" w:type="dxa"/>
            <w:vAlign w:val="bottom"/>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Coupon</w:t>
            </w:r>
          </w:p>
        </w:tc>
        <w:tc>
          <w:tcPr>
            <w:tcW w:w="60" w:type="dxa"/>
            <w:vAlign w:val="bottom"/>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Fixed rate Agency RMBS and TBA securities: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15-year:</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 15-year RMBS </w:t>
            </w:r>
            <w:r>
              <w:rPr>
                <w:rFonts w:ascii="Times New Roman" w:cs="Times New Roman" w:eastAsia="Times New Roman" w:hAnsi="Times New Roman"/>
                <w:sz w:val="16"/>
                <w:szCs w:val="16"/>
                <w:color w:val="B4B4B4"/>
              </w:rPr>
              <w:t>.................................................</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2.68 %   — %</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94"/>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15-year TBA securities</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5.00 %   — %</w:t>
            </w:r>
          </w:p>
        </w:tc>
        <w:tc>
          <w:tcPr>
            <w:tcW w:w="0" w:type="dxa"/>
            <w:vAlign w:val="bottom"/>
          </w:tcPr>
          <w:p>
            <w:pPr>
              <w:spacing w:after="0"/>
              <w:rPr>
                <w:sz w:val="1"/>
                <w:szCs w:val="1"/>
                <w:color w:val="auto"/>
              </w:rPr>
            </w:pPr>
          </w:p>
        </w:tc>
      </w:tr>
      <w:tr>
        <w:trPr>
          <w:trHeight w:val="23"/>
        </w:trPr>
        <w:tc>
          <w:tcPr>
            <w:tcW w:w="3520" w:type="dxa"/>
            <w:vAlign w:val="bottom"/>
            <w:gridSpan w:val="2"/>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Total ≤ 15-year</w:t>
            </w:r>
            <w:r>
              <w:rPr>
                <w:rFonts w:ascii="Times New Roman" w:cs="Times New Roman" w:eastAsia="Times New Roman" w:hAnsi="Times New Roman"/>
                <w:sz w:val="16"/>
                <w:szCs w:val="16"/>
                <w:color w:val="B4B4B4"/>
              </w:rPr>
              <w:t>..........................................................</w:t>
            </w:r>
          </w:p>
        </w:tc>
        <w:tc>
          <w:tcPr>
            <w:tcW w:w="220" w:type="dxa"/>
            <w:vAlign w:val="bottom"/>
          </w:tcPr>
          <w:p>
            <w:pPr>
              <w:spacing w:after="0"/>
              <w:rPr>
                <w:sz w:val="23"/>
                <w:szCs w:val="23"/>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2.68 %   —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9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20-year RMBS </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91"/>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30-year:</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30-year RMBS</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66,464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51,675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97"/>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30-year TBA securities, net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6,887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6,861</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5,263</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6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7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 xml:space="preserve">Total 30-year </w:t>
            </w:r>
            <w:r>
              <w:rPr>
                <w:rFonts w:ascii="Times New Roman" w:cs="Times New Roman" w:eastAsia="Times New Roman" w:hAnsi="Times New Roman"/>
                <w:sz w:val="16"/>
                <w:szCs w:val="16"/>
                <w:color w:val="B4B4B4"/>
                <w:w w:val="99"/>
              </w:rPr>
              <w:t>.............................................................</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73,351</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70,314</w:t>
            </w:r>
          </w:p>
        </w:tc>
        <w:tc>
          <w:tcPr>
            <w:tcW w:w="6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5.04 %</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58,857</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56,938</w:t>
            </w:r>
          </w:p>
        </w:tc>
        <w:tc>
          <w:tcPr>
            <w:tcW w:w="6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60" w:type="dxa"/>
            <w:vAlign w:val="bottom"/>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7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8"/>
              </w:rPr>
              <w:t>Total fixed rate Agency RMBS and TBA securities</w:t>
            </w:r>
            <w:r>
              <w:rPr>
                <w:rFonts w:ascii="Times New Roman" w:cs="Times New Roman" w:eastAsia="Times New Roman" w:hAnsi="Times New Roman"/>
                <w:sz w:val="16"/>
                <w:szCs w:val="16"/>
                <w:color w:val="B4B4B4"/>
                <w:w w:val="98"/>
              </w:rPr>
              <w:t>...</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74,026</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70,910</w:t>
            </w:r>
          </w:p>
        </w:tc>
        <w:tc>
          <w:tcPr>
            <w:tcW w:w="6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5.02 %</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60,577</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58,515</w:t>
            </w:r>
          </w:p>
        </w:tc>
        <w:tc>
          <w:tcPr>
            <w:tcW w:w="6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60" w:type="dxa"/>
            <w:vAlign w:val="bottom"/>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65"/>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 xml:space="preserve">Adjustable rate Agency RMBS </w:t>
            </w:r>
            <w:r>
              <w:rPr>
                <w:rFonts w:ascii="Times New Roman" w:cs="Times New Roman" w:eastAsia="Times New Roman" w:hAnsi="Times New Roman"/>
                <w:sz w:val="16"/>
                <w:szCs w:val="16"/>
                <w:color w:val="B4B4B4"/>
                <w:w w:val="97"/>
              </w:rPr>
              <w:t>...................................</w:t>
            </w:r>
          </w:p>
        </w:tc>
        <w:tc>
          <w:tcPr>
            <w:tcW w:w="220" w:type="dxa"/>
            <w:vAlign w:val="bottom"/>
          </w:tcPr>
          <w:p>
            <w:pPr>
              <w:spacing w:after="0"/>
              <w:rPr>
                <w:sz w:val="23"/>
                <w:szCs w:val="23"/>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290</w:t>
            </w:r>
          </w:p>
        </w:tc>
        <w:tc>
          <w:tcPr>
            <w:tcW w:w="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4.67 %   — %</w:t>
            </w:r>
          </w:p>
        </w:tc>
        <w:tc>
          <w:tcPr>
            <w:tcW w:w="0" w:type="dxa"/>
            <w:vAlign w:val="bottom"/>
          </w:tcPr>
          <w:p>
            <w:pPr>
              <w:spacing w:after="0"/>
              <w:rPr>
                <w:sz w:val="1"/>
                <w:szCs w:val="1"/>
                <w:color w:val="auto"/>
              </w:rPr>
            </w:pPr>
          </w:p>
        </w:tc>
      </w:tr>
      <w:tr>
        <w:trPr>
          <w:trHeight w:val="29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 xml:space="preserve">Multifamily </w:t>
            </w:r>
            <w:r>
              <w:rPr>
                <w:rFonts w:ascii="Times New Roman" w:cs="Times New Roman" w:eastAsia="Times New Roman" w:hAnsi="Times New Roman"/>
                <w:sz w:val="16"/>
                <w:szCs w:val="16"/>
                <w:color w:val="B4B4B4"/>
                <w:w w:val="97"/>
              </w:rPr>
              <w:t>.................................................................</w:t>
            </w:r>
          </w:p>
        </w:tc>
        <w:tc>
          <w:tcPr>
            <w:tcW w:w="2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4.62 %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91"/>
        </w:trPr>
        <w:tc>
          <w:tcPr>
            <w:tcW w:w="3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CMO Agency RMBS: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CMO </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3.34 %   —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3.28 %   — %</w:t>
            </w:r>
          </w:p>
        </w:tc>
        <w:tc>
          <w:tcPr>
            <w:tcW w:w="0" w:type="dxa"/>
            <w:vAlign w:val="bottom"/>
          </w:tcPr>
          <w:p>
            <w:pPr>
              <w:spacing w:after="0"/>
              <w:rPr>
                <w:sz w:val="1"/>
                <w:szCs w:val="1"/>
                <w:color w:val="auto"/>
              </w:rPr>
            </w:pPr>
          </w:p>
        </w:tc>
      </w:tr>
      <w:tr>
        <w:trPr>
          <w:trHeight w:val="29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Interest-only strips </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2.08 %   —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1.77 %   — %</w:t>
            </w:r>
          </w:p>
        </w:tc>
        <w:tc>
          <w:tcPr>
            <w:tcW w:w="0" w:type="dxa"/>
            <w:vAlign w:val="bottom"/>
          </w:tcPr>
          <w:p>
            <w:pPr>
              <w:spacing w:after="0"/>
              <w:rPr>
                <w:sz w:val="1"/>
                <w:szCs w:val="1"/>
                <w:color w:val="auto"/>
              </w:rPr>
            </w:pPr>
          </w:p>
        </w:tc>
      </w:tr>
      <w:tr>
        <w:trPr>
          <w:trHeight w:val="297"/>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Principal-only strips </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7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 xml:space="preserve">Total CMO Agency RMBS </w:t>
            </w:r>
            <w:r>
              <w:rPr>
                <w:rFonts w:ascii="Times New Roman" w:cs="Times New Roman" w:eastAsia="Times New Roman" w:hAnsi="Times New Roman"/>
                <w:sz w:val="20"/>
                <w:szCs w:val="20"/>
                <w:color w:val="auto"/>
                <w:w w:val="97"/>
                <w:vertAlign w:val="superscript"/>
              </w:rPr>
              <w:t>3</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220" w:type="dxa"/>
            <w:vAlign w:val="bottom"/>
          </w:tcPr>
          <w:p>
            <w:pPr>
              <w:spacing w:after="0"/>
              <w:rPr>
                <w:sz w:val="23"/>
                <w:szCs w:val="23"/>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3.34 %   —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7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 xml:space="preserve">Total Agency RMBS and TBA securities </w:t>
            </w:r>
            <w:r>
              <w:rPr>
                <w:rFonts w:ascii="Times New Roman" w:cs="Times New Roman" w:eastAsia="Times New Roman" w:hAnsi="Times New Roman"/>
                <w:sz w:val="20"/>
                <w:szCs w:val="20"/>
                <w:color w:val="auto"/>
                <w:w w:val="97"/>
                <w:vertAlign w:val="superscript"/>
              </w:rPr>
              <w:t>3</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22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75,469</w:t>
            </w:r>
          </w:p>
        </w:tc>
        <w:tc>
          <w:tcPr>
            <w:tcW w:w="6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72,325</w:t>
            </w:r>
          </w:p>
        </w:tc>
        <w:tc>
          <w:tcPr>
            <w:tcW w:w="60" w:type="dxa"/>
            <w:vAlign w:val="bottom"/>
          </w:tcPr>
          <w:p>
            <w:pPr>
              <w:spacing w:after="0"/>
              <w:rPr>
                <w:sz w:val="23"/>
                <w:szCs w:val="2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5.02 %</w:t>
            </w:r>
          </w:p>
        </w:tc>
        <w:tc>
          <w:tcPr>
            <w:tcW w:w="80" w:type="dxa"/>
            <w:vAlign w:val="bottom"/>
          </w:tcPr>
          <w:p>
            <w:pPr>
              <w:spacing w:after="0"/>
              <w:rPr>
                <w:sz w:val="23"/>
                <w:szCs w:val="2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61,225</w:t>
            </w:r>
          </w:p>
        </w:tc>
        <w:tc>
          <w:tcPr>
            <w:tcW w:w="8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59,148</w:t>
            </w:r>
          </w:p>
        </w:tc>
        <w:tc>
          <w:tcPr>
            <w:tcW w:w="60" w:type="dxa"/>
            <w:vAlign w:val="bottom"/>
          </w:tcPr>
          <w:p>
            <w:pPr>
              <w:spacing w:after="0"/>
              <w:rPr>
                <w:sz w:val="23"/>
                <w:szCs w:val="2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6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314"/>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 xml:space="preserve">Non-Agency RMBS </w:t>
            </w:r>
            <w:r>
              <w:rPr>
                <w:rFonts w:ascii="Times New Roman" w:cs="Times New Roman" w:eastAsia="Times New Roman" w:hAnsi="Times New Roman"/>
                <w:sz w:val="20"/>
                <w:szCs w:val="20"/>
                <w:color w:val="auto"/>
                <w:w w:val="97"/>
                <w:vertAlign w:val="superscript"/>
              </w:rPr>
              <w:t>1,3</w:t>
            </w:r>
            <w:r>
              <w:rPr>
                <w:rFonts w:ascii="Times New Roman" w:cs="Times New Roman" w:eastAsia="Times New Roman" w:hAnsi="Times New Roman"/>
                <w:sz w:val="16"/>
                <w:szCs w:val="16"/>
                <w:color w:val="B4B4B4"/>
                <w:w w:val="97"/>
              </w:rPr>
              <w:t>................................................</w:t>
            </w:r>
          </w:p>
        </w:tc>
        <w:tc>
          <w:tcPr>
            <w:tcW w:w="2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5.29 %   —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4.61 %   — %</w:t>
            </w:r>
          </w:p>
        </w:tc>
        <w:tc>
          <w:tcPr>
            <w:tcW w:w="0" w:type="dxa"/>
            <w:vAlign w:val="bottom"/>
          </w:tcPr>
          <w:p>
            <w:pPr>
              <w:spacing w:after="0"/>
              <w:rPr>
                <w:sz w:val="1"/>
                <w:szCs w:val="1"/>
                <w:color w:val="auto"/>
              </w:rPr>
            </w:pPr>
          </w:p>
        </w:tc>
      </w:tr>
      <w:tr>
        <w:trPr>
          <w:trHeight w:val="291"/>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 xml:space="preserve">CMBS </w:t>
            </w:r>
            <w:r>
              <w:rPr>
                <w:rFonts w:ascii="Times New Roman" w:cs="Times New Roman" w:eastAsia="Times New Roman" w:hAnsi="Times New Roman"/>
                <w:sz w:val="20"/>
                <w:szCs w:val="20"/>
                <w:color w:val="auto"/>
                <w:w w:val="97"/>
                <w:vertAlign w:val="superscript"/>
              </w:rPr>
              <w:t>3</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2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6.59 %   —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273</w:t>
            </w:r>
          </w:p>
        </w:tc>
        <w:tc>
          <w:tcPr>
            <w:tcW w:w="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7.27 %   — %</w:t>
            </w:r>
          </w:p>
        </w:tc>
        <w:tc>
          <w:tcPr>
            <w:tcW w:w="0" w:type="dxa"/>
            <w:vAlign w:val="bottom"/>
          </w:tcPr>
          <w:p>
            <w:pPr>
              <w:spacing w:after="0"/>
              <w:rPr>
                <w:sz w:val="1"/>
                <w:szCs w:val="1"/>
                <w:color w:val="auto"/>
              </w:rPr>
            </w:pPr>
          </w:p>
        </w:tc>
      </w:tr>
      <w:tr>
        <w:trPr>
          <w:trHeight w:val="248"/>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 xml:space="preserve">CRT </w:t>
            </w:r>
            <w:r>
              <w:rPr>
                <w:rFonts w:ascii="Times New Roman" w:cs="Times New Roman" w:eastAsia="Times New Roman" w:hAnsi="Times New Roman"/>
                <w:sz w:val="16"/>
                <w:szCs w:val="16"/>
                <w:color w:val="B4B4B4"/>
                <w:w w:val="97"/>
              </w:rPr>
              <w:t>.............................................................................</w:t>
            </w: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583</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10.44 %</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723</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10.45 %</w:t>
            </w:r>
          </w:p>
        </w:tc>
        <w:tc>
          <w:tcPr>
            <w:tcW w:w="60" w:type="dxa"/>
            <w:vAlign w:val="bottom"/>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52"/>
        </w:trPr>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 xml:space="preserve">Total investment securities </w:t>
            </w:r>
            <w:r>
              <w:rPr>
                <w:rFonts w:ascii="Times New Roman" w:cs="Times New Roman" w:eastAsia="Times New Roman" w:hAnsi="Times New Roman"/>
                <w:sz w:val="20"/>
                <w:szCs w:val="20"/>
                <w:color w:val="auto"/>
                <w:w w:val="97"/>
                <w:vertAlign w:val="superscript"/>
              </w:rPr>
              <w:t>3</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76,333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60,178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-43180</wp:posOffset>
            </wp:positionV>
            <wp:extent cx="4109085" cy="50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0">
                      <a:extLst>
                        <a:ext uri="{28A0092B-C50C-407E-A947-70E740481C1C}"/>
                      </a:extLst>
                    </a:blip>
                    <a:srcRect/>
                    <a:stretch>
                      <a:fillRect/>
                    </a:stretch>
                  </pic:blipFill>
                  <pic:spPr bwMode="auto">
                    <a:xfrm>
                      <a:off x="0" y="0"/>
                      <a:ext cx="4109085"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Table excludes other mortgage credit investments of $64 million and $44 million as of December 31, 2024 and 2023, respectively.</w:t>
      </w:r>
    </w:p>
    <w:p>
      <w:pPr>
        <w:ind w:left="700" w:hanging="347"/>
        <w:spacing w:after="0" w:line="242" w:lineRule="auto"/>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TBA securities are presented net of long and short positions. For further details of our TBA securities refer to Note 5 of our Consolidated Financial Statements in this Form 10-K</w:t>
      </w:r>
    </w:p>
    <w:p>
      <w:pPr>
        <w:spacing w:after="0" w:line="1"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coupon excludes interest-only and principal-only securities.</w:t>
      </w:r>
    </w:p>
    <w:p>
      <w:pPr>
        <w:spacing w:after="0" w:line="149"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TBA securities are recorded as derivative instruments in our accompanying consolidated financial statements, and our TBA dollar roll transactions represent a form of off-balance sheet financing. As of December 31, 2024 and 2023, our TBA securities had a net carrying value of $(26) million and $66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32"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As of December 31, 2024 and 2023, the weighted average yield on our investment securities (excluding TBA and forward settling securities) was 4.77% and 4.41%, respectively.</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9960"/>
          </w:cols>
          <w:pgMar w:left="960" w:top="704" w:right="960" w:bottom="0" w:gutter="0" w:footer="0" w:header="0"/>
          <w:type w:val="continuous"/>
        </w:sectPr>
      </w:pPr>
    </w:p>
    <w:bookmarkStart w:id="41" w:name="page42"/>
    <w:bookmarkEnd w:id="41"/>
    <w:p>
      <w:pPr>
        <w:ind w:firstLine="480"/>
        <w:spacing w:after="0" w:line="293" w:lineRule="auto"/>
        <w:rPr>
          <w:sz w:val="20"/>
          <w:szCs w:val="20"/>
          <w:color w:val="auto"/>
        </w:rPr>
      </w:pPr>
      <w:r>
        <w:rPr>
          <w:rFonts w:ascii="Times New Roman" w:cs="Times New Roman" w:eastAsia="Times New Roman" w:hAnsi="Times New Roman"/>
          <w:sz w:val="19"/>
          <w:szCs w:val="19"/>
          <w:color w:val="auto"/>
        </w:rPr>
        <w:t>The following tables summarize certain characteristics of our fixed rate Agency RMBS portfolio, inclusive of TBA securities, as of December 31, 2024 and 2023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6"/>
              </w:rPr>
              <w:t>Includes Net TBA Position</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7"/>
              </w:rPr>
              <w:t>Excludes Net TBA Position</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220" w:type="dxa"/>
            <w:vAlign w:val="bottom"/>
            <w:gridSpan w:val="2"/>
            <w:vMerge w:val="restart"/>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Fixed Rate Agency RMBS and</w:t>
            </w:r>
          </w:p>
        </w:tc>
        <w:tc>
          <w:tcPr>
            <w:tcW w:w="700" w:type="dxa"/>
            <w:vAlign w:val="bottom"/>
            <w:vMerge w:val="restart"/>
          </w:tcPr>
          <w:p>
            <w:pPr>
              <w:jc w:val="right"/>
              <w:ind w:right="122"/>
              <w:spacing w:after="0" w:line="180" w:lineRule="exact"/>
              <w:rPr>
                <w:sz w:val="20"/>
                <w:szCs w:val="20"/>
                <w:color w:val="auto"/>
              </w:rPr>
            </w:pPr>
            <w:r>
              <w:rPr>
                <w:rFonts w:ascii="Times New Roman" w:cs="Times New Roman" w:eastAsia="Times New Roman" w:hAnsi="Times New Roman"/>
                <w:sz w:val="16"/>
                <w:szCs w:val="16"/>
                <w:b w:val="1"/>
                <w:bCs w:val="1"/>
                <w:color w:val="auto"/>
              </w:rPr>
              <w:t>Par</w:t>
            </w:r>
          </w:p>
        </w:tc>
        <w:tc>
          <w:tcPr>
            <w:tcW w:w="80" w:type="dxa"/>
            <w:vAlign w:val="bottom"/>
          </w:tcPr>
          <w:p>
            <w:pPr>
              <w:spacing w:after="0"/>
              <w:rPr>
                <w:sz w:val="2"/>
                <w:szCs w:val="2"/>
                <w:color w:val="auto"/>
              </w:rPr>
            </w:pPr>
          </w:p>
        </w:tc>
        <w:tc>
          <w:tcPr>
            <w:tcW w:w="8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2"/>
                <w:szCs w:val="2"/>
                <w:color w:val="auto"/>
              </w:rPr>
            </w:pPr>
          </w:p>
        </w:tc>
        <w:tc>
          <w:tcPr>
            <w:tcW w:w="7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80" w:type="dxa"/>
            <w:vAlign w:val="bottom"/>
          </w:tcPr>
          <w:p>
            <w:pPr>
              <w:spacing w:after="0"/>
              <w:rPr>
                <w:sz w:val="2"/>
                <w:szCs w:val="2"/>
                <w:color w:val="auto"/>
              </w:rPr>
            </w:pPr>
          </w:p>
        </w:tc>
        <w:tc>
          <w:tcPr>
            <w:tcW w:w="760" w:type="dxa"/>
            <w:vAlign w:val="bottom"/>
            <w:gridSpan w:val="2"/>
            <w:vMerge w:val="restart"/>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Specified</w:t>
            </w: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restart"/>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Amortized</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Age</w:t>
            </w:r>
          </w:p>
        </w:tc>
        <w:tc>
          <w:tcPr>
            <w:tcW w:w="8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Projected</w:t>
            </w:r>
          </w:p>
        </w:tc>
        <w:tc>
          <w:tcPr>
            <w:tcW w:w="0" w:type="dxa"/>
            <w:vAlign w:val="bottom"/>
          </w:tcPr>
          <w:p>
            <w:pPr>
              <w:spacing w:after="0" w:line="20" w:lineRule="exact"/>
              <w:rPr>
                <w:sz w:val="1"/>
                <w:szCs w:val="1"/>
                <w:color w:val="auto"/>
              </w:rPr>
            </w:pPr>
          </w:p>
        </w:tc>
      </w:tr>
      <w:tr>
        <w:trPr>
          <w:trHeight w:val="155"/>
        </w:trPr>
        <w:tc>
          <w:tcPr>
            <w:tcW w:w="22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 xml:space="preserve">Yield </w:t>
            </w:r>
            <w:r>
              <w:rPr>
                <w:rFonts w:ascii="Times New Roman" w:cs="Times New Roman" w:eastAsia="Times New Roman" w:hAnsi="Times New Roman"/>
                <w:sz w:val="20"/>
                <w:szCs w:val="20"/>
                <w:b w:val="1"/>
                <w:bCs w:val="1"/>
                <w:color w:val="auto"/>
                <w:vertAlign w:val="superscript"/>
              </w:rPr>
              <w:t>2</w:t>
            </w:r>
          </w:p>
        </w:tc>
        <w:tc>
          <w:tcPr>
            <w:tcW w:w="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TBA Securities</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8"/>
                <w:szCs w:val="18"/>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5"/>
              </w:rPr>
              <w:t>Pool %</w:t>
            </w:r>
          </w:p>
        </w:tc>
        <w:tc>
          <w:tcPr>
            <w:tcW w:w="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Coupon</w:t>
            </w:r>
          </w:p>
        </w:tc>
        <w:tc>
          <w:tcPr>
            <w:tcW w:w="180" w:type="dxa"/>
            <w:vAlign w:val="bottom"/>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1"/>
              </w:rPr>
              <w:t xml:space="preserve">CPR </w:t>
            </w:r>
            <w:r>
              <w:rPr>
                <w:rFonts w:ascii="Times New Roman" w:cs="Times New Roman" w:eastAsia="Times New Roman" w:hAnsi="Times New Roman"/>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21"/>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15-year:</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2.0%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6"/>
              </w:rPr>
              <w:t>100%</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2.00%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102.6%</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1.34%</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48</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8%</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2.5%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6"/>
              </w:rPr>
              <w:t>100%</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2.50%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6"/>
              </w:rPr>
              <w:t>99.4%</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2.80%</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142</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15%</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6"/>
              </w:rPr>
              <w:t>100%</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3.00%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100.9%</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2.38%</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136</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15%</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6"/>
              </w:rPr>
              <w:t>100%</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3.50%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101.2%</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2.61%</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137</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15%</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4.0%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3"/>
              </w:rPr>
              <w:t>9%</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4.00%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101.2%</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1.96%</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164</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34%</w:t>
            </w:r>
          </w:p>
        </w:tc>
        <w:tc>
          <w:tcPr>
            <w:tcW w:w="0" w:type="dxa"/>
            <w:vAlign w:val="bottom"/>
          </w:tcPr>
          <w:p>
            <w:pPr>
              <w:spacing w:after="0"/>
              <w:rPr>
                <w:sz w:val="1"/>
                <w:szCs w:val="1"/>
                <w:color w:val="auto"/>
              </w:rPr>
            </w:pPr>
          </w:p>
        </w:tc>
      </w:tr>
      <w:tr>
        <w:trPr>
          <w:trHeight w:val="254"/>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4.5% </w:t>
            </w:r>
            <w:r>
              <w:rPr>
                <w:rFonts w:ascii="Times New Roman" w:cs="Times New Roman" w:eastAsia="Times New Roman" w:hAnsi="Times New Roman"/>
                <w:sz w:val="16"/>
                <w:szCs w:val="16"/>
                <w:color w:val="B4B4B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6"/>
                <w:szCs w:val="16"/>
                <w:color w:val="auto"/>
                <w:w w:val="96"/>
              </w:rPr>
              <w:t>100%</w:t>
            </w: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80" w:type="dxa"/>
            <w:vAlign w:val="bottom"/>
          </w:tcPr>
          <w:p>
            <w:pPr>
              <w:spacing w:after="0"/>
              <w:rPr>
                <w:sz w:val="22"/>
                <w:szCs w:val="22"/>
                <w:color w:val="auto"/>
              </w:rPr>
            </w:pPr>
          </w:p>
        </w:tc>
        <w:tc>
          <w:tcPr>
            <w:tcW w:w="84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7"/>
              </w:rPr>
              <w:t>101.0%</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2.71%</w:t>
            </w:r>
          </w:p>
        </w:tc>
        <w:tc>
          <w:tcPr>
            <w:tcW w:w="6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165</w:t>
            </w:r>
          </w:p>
        </w:tc>
        <w:tc>
          <w:tcPr>
            <w:tcW w:w="8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28%</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 15-year</w:t>
            </w:r>
            <w:r>
              <w:rPr>
                <w:rFonts w:ascii="Times New Roman" w:cs="Times New Roman" w:eastAsia="Times New Roman" w:hAnsi="Times New Roman"/>
                <w:sz w:val="16"/>
                <w:szCs w:val="16"/>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95%</w:t>
            </w:r>
          </w:p>
        </w:tc>
        <w:tc>
          <w:tcPr>
            <w:tcW w:w="140" w:type="dxa"/>
            <w:vAlign w:val="bottom"/>
          </w:tcPr>
          <w:p>
            <w:pPr>
              <w:spacing w:after="0"/>
              <w:rPr>
                <w:sz w:val="19"/>
                <w:szCs w:val="19"/>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2.68%</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101.4%</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2.05%</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107</w:t>
            </w: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14%</w:t>
            </w:r>
          </w:p>
        </w:tc>
        <w:tc>
          <w:tcPr>
            <w:tcW w:w="0" w:type="dxa"/>
            <w:vAlign w:val="bottom"/>
          </w:tcPr>
          <w:p>
            <w:pPr>
              <w:spacing w:after="0"/>
              <w:rPr>
                <w:sz w:val="1"/>
                <w:szCs w:val="1"/>
                <w:color w:val="auto"/>
              </w:rPr>
            </w:pPr>
          </w:p>
        </w:tc>
      </w:tr>
      <w:tr>
        <w:trPr>
          <w:trHeight w:val="221"/>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20-year:</w:t>
            </w: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2.5%</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Pr>
          <w:p>
            <w:pPr>
              <w:spacing w:after="0"/>
              <w:rPr>
                <w:sz w:val="21"/>
                <w:szCs w:val="21"/>
                <w:color w:val="auto"/>
              </w:rPr>
            </w:pPr>
          </w:p>
        </w:tc>
        <w:tc>
          <w:tcPr>
            <w:tcW w:w="62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5"/>
              </w:rPr>
              <w:t>—%</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2.50%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104.5%</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1.74%</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54</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5%</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97%</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3.00%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103.5%</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2.29%</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65</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78%</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3.50%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101.7%</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2.97%</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136</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9%</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4.0%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92%</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4.00%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103.7%</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3.09%</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93</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9%</w:t>
            </w:r>
          </w:p>
        </w:tc>
        <w:tc>
          <w:tcPr>
            <w:tcW w:w="0" w:type="dxa"/>
            <w:vAlign w:val="bottom"/>
          </w:tcPr>
          <w:p>
            <w:pPr>
              <w:spacing w:after="0"/>
              <w:rPr>
                <w:sz w:val="1"/>
                <w:szCs w:val="1"/>
                <w:color w:val="auto"/>
              </w:rPr>
            </w:pPr>
          </w:p>
        </w:tc>
      </w:tr>
      <w:tr>
        <w:trPr>
          <w:trHeight w:val="254"/>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4.5% </w:t>
            </w:r>
            <w:r>
              <w:rPr>
                <w:rFonts w:ascii="Times New Roman" w:cs="Times New Roman" w:eastAsia="Times New Roman" w:hAnsi="Times New Roman"/>
                <w:sz w:val="16"/>
                <w:szCs w:val="16"/>
                <w:color w:val="B4B4B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6"/>
                <w:szCs w:val="16"/>
                <w:color w:val="auto"/>
                <w:w w:val="95"/>
              </w:rPr>
              <w:t>97%</w:t>
            </w: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4.64%</w:t>
            </w:r>
          </w:p>
        </w:tc>
        <w:tc>
          <w:tcPr>
            <w:tcW w:w="180" w:type="dxa"/>
            <w:vAlign w:val="bottom"/>
          </w:tcPr>
          <w:p>
            <w:pPr>
              <w:spacing w:after="0"/>
              <w:rPr>
                <w:sz w:val="22"/>
                <w:szCs w:val="22"/>
                <w:color w:val="auto"/>
              </w:rPr>
            </w:pPr>
          </w:p>
        </w:tc>
        <w:tc>
          <w:tcPr>
            <w:tcW w:w="84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7"/>
              </w:rPr>
              <w:t>104.8%</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3.42%</w:t>
            </w:r>
          </w:p>
        </w:tc>
        <w:tc>
          <w:tcPr>
            <w:tcW w:w="6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c>
          <w:tcPr>
            <w:tcW w:w="8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20-year:</w:t>
            </w:r>
            <w:r>
              <w:rPr>
                <w:rFonts w:ascii="Times New Roman" w:cs="Times New Roman" w:eastAsia="Times New Roman" w:hAnsi="Times New Roman"/>
                <w:sz w:val="16"/>
                <w:szCs w:val="16"/>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42%</w:t>
            </w:r>
          </w:p>
        </w:tc>
        <w:tc>
          <w:tcPr>
            <w:tcW w:w="140" w:type="dxa"/>
            <w:vAlign w:val="bottom"/>
          </w:tcPr>
          <w:p>
            <w:pPr>
              <w:spacing w:after="0"/>
              <w:rPr>
                <w:sz w:val="19"/>
                <w:szCs w:val="19"/>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3.12%</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103.9%</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2.33%</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77</w:t>
            </w: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0" w:type="dxa"/>
            <w:vAlign w:val="bottom"/>
          </w:tcPr>
          <w:p>
            <w:pPr>
              <w:spacing w:after="0"/>
              <w:rPr>
                <w:sz w:val="1"/>
                <w:szCs w:val="1"/>
                <w:color w:val="auto"/>
              </w:rPr>
            </w:pPr>
          </w:p>
        </w:tc>
      </w:tr>
      <w:tr>
        <w:trPr>
          <w:trHeight w:val="221"/>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30-year:</w:t>
            </w: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3.0% </w:t>
            </w:r>
            <w:r>
              <w:rPr>
                <w:rFonts w:ascii="Times New Roman" w:cs="Times New Roman" w:eastAsia="Times New Roman" w:hAnsi="Times New Roman"/>
                <w:sz w:val="16"/>
                <w:szCs w:val="16"/>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3,726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66%</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2.41%</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6"/>
              </w:rPr>
              <w:t>97.9%</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2.73%</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6%</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5,114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86%</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3.50%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104.1%</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2.84%</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109</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6%</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4.0%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6,302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5,567</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90%</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4.00%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105.7%</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3.10%</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92</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4.5%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8,273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45%</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4.50%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103.4%</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3.92%</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55</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8%</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5.0%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12,013</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11,898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11,663</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32%</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5.00%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6"/>
              </w:rPr>
              <w:t>99.6%</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5.03%</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20</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5.5%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19,627</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19,758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19,502</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31%</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5.50%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100.4%</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5.44%</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15</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6.0%</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13,517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13,512</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38%</w:t>
            </w:r>
          </w:p>
        </w:tc>
        <w:tc>
          <w:tcPr>
            <w:tcW w:w="140" w:type="dxa"/>
            <w:vAlign w:val="bottom"/>
          </w:tcPr>
          <w:p>
            <w:pPr>
              <w:spacing w:after="0"/>
              <w:rPr>
                <w:sz w:val="21"/>
                <w:szCs w:val="21"/>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6.00%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101.6%</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5.72%</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16</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9%</w:t>
            </w:r>
          </w:p>
        </w:tc>
        <w:tc>
          <w:tcPr>
            <w:tcW w:w="0" w:type="dxa"/>
            <w:vAlign w:val="bottom"/>
          </w:tcPr>
          <w:p>
            <w:pPr>
              <w:spacing w:after="0"/>
              <w:rPr>
                <w:sz w:val="1"/>
                <w:szCs w:val="1"/>
                <w:color w:val="auto"/>
              </w:rPr>
            </w:pPr>
          </w:p>
        </w:tc>
      </w:tr>
      <w:tr>
        <w:trPr>
          <w:trHeight w:val="254"/>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6.5% </w:t>
            </w:r>
            <w:r>
              <w:rPr>
                <w:rFonts w:ascii="Times New Roman" w:cs="Times New Roman" w:eastAsia="Times New Roman" w:hAnsi="Times New Roman"/>
                <w:sz w:val="16"/>
                <w:szCs w:val="16"/>
                <w:color w:val="B4B4B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4,763</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6"/>
                <w:szCs w:val="16"/>
                <w:color w:val="auto"/>
                <w:w w:val="95"/>
              </w:rPr>
              <w:t>37%</w:t>
            </w: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6.51%</w:t>
            </w:r>
          </w:p>
        </w:tc>
        <w:tc>
          <w:tcPr>
            <w:tcW w:w="180" w:type="dxa"/>
            <w:vAlign w:val="bottom"/>
          </w:tcPr>
          <w:p>
            <w:pPr>
              <w:spacing w:after="0"/>
              <w:rPr>
                <w:sz w:val="22"/>
                <w:szCs w:val="22"/>
                <w:color w:val="auto"/>
              </w:rPr>
            </w:pPr>
          </w:p>
        </w:tc>
        <w:tc>
          <w:tcPr>
            <w:tcW w:w="84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7"/>
              </w:rPr>
              <w:t>102.7%</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5.97%</w:t>
            </w:r>
          </w:p>
        </w:tc>
        <w:tc>
          <w:tcPr>
            <w:tcW w:w="6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8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xml:space="preserve">Total 30-year </w:t>
            </w:r>
            <w:r>
              <w:rPr>
                <w:rFonts w:ascii="Times New Roman" w:cs="Times New Roman" w:eastAsia="Times New Roman" w:hAnsi="Times New Roman"/>
                <w:sz w:val="16"/>
                <w:szCs w:val="16"/>
                <w:color w:val="B4B4B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72,445</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73,351</w:t>
            </w:r>
          </w:p>
        </w:tc>
        <w:tc>
          <w:tcPr>
            <w:tcW w:w="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70,314</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6"/>
                <w:szCs w:val="16"/>
                <w:color w:val="auto"/>
                <w:w w:val="95"/>
              </w:rPr>
              <w:t>44%</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5.04%</w:t>
            </w:r>
          </w:p>
        </w:tc>
        <w:tc>
          <w:tcPr>
            <w:tcW w:w="180" w:type="dxa"/>
            <w:vAlign w:val="bottom"/>
          </w:tcPr>
          <w:p>
            <w:pPr>
              <w:spacing w:after="0"/>
              <w:rPr>
                <w:sz w:val="19"/>
                <w:szCs w:val="19"/>
                <w:color w:val="auto"/>
              </w:rPr>
            </w:pPr>
          </w:p>
        </w:tc>
        <w:tc>
          <w:tcPr>
            <w:tcW w:w="84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7"/>
              </w:rPr>
              <w:t>101.5%</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4.74%</w:t>
            </w:r>
          </w:p>
        </w:tc>
        <w:tc>
          <w:tcPr>
            <w:tcW w:w="6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8%</w:t>
            </w:r>
          </w:p>
        </w:tc>
        <w:tc>
          <w:tcPr>
            <w:tcW w:w="0" w:type="dxa"/>
            <w:vAlign w:val="bottom"/>
          </w:tcPr>
          <w:p>
            <w:pPr>
              <w:spacing w:after="0"/>
              <w:rPr>
                <w:sz w:val="1"/>
                <w:szCs w:val="1"/>
                <w:color w:val="auto"/>
              </w:rPr>
            </w:pPr>
          </w:p>
        </w:tc>
      </w:tr>
      <w:tr>
        <w:trPr>
          <w:trHeight w:val="208"/>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 fixed rate</w:t>
            </w:r>
            <w:r>
              <w:rPr>
                <w:rFonts w:ascii="Times New Roman" w:cs="Times New Roman" w:eastAsia="Times New Roman" w:hAnsi="Times New Roman"/>
                <w:sz w:val="16"/>
                <w:szCs w:val="16"/>
                <w:b w:val="1"/>
                <w:bCs w:val="1"/>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$ 73,097</w:t>
            </w:r>
          </w:p>
        </w:tc>
        <w:tc>
          <w:tcPr>
            <w:tcW w:w="9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   74,026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$ 70,910</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44%</w:t>
            </w:r>
          </w:p>
        </w:tc>
        <w:tc>
          <w:tcPr>
            <w:tcW w:w="140" w:type="dxa"/>
            <w:vAlign w:val="bottom"/>
          </w:tcPr>
          <w:p>
            <w:pPr>
              <w:spacing w:after="0"/>
              <w:rPr>
                <w:sz w:val="18"/>
                <w:szCs w:val="18"/>
                <w:color w:val="auto"/>
              </w:rPr>
            </w:pPr>
          </w:p>
        </w:tc>
        <w:tc>
          <w:tcPr>
            <w:tcW w:w="86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rPr>
              <w:t>5.02%</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101.5%</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4.71%</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36</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-43180</wp:posOffset>
            </wp:positionV>
            <wp:extent cx="4940935"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1">
                      <a:extLst>
                        <a:ext uri="{28A0092B-C50C-407E-A947-70E740481C1C}"/>
                      </a:extLst>
                    </a:blip>
                    <a:srcRect/>
                    <a:stretch>
                      <a:fillRect/>
                    </a:stretch>
                  </pic:blipFill>
                  <pic:spPr bwMode="auto">
                    <a:xfrm>
                      <a:off x="0" y="0"/>
                      <a:ext cx="4940935"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jc w:val="both"/>
        <w:ind w:left="700" w:hanging="347"/>
        <w:spacing w:after="0" w:line="242" w:lineRule="auto"/>
        <w:tabs>
          <w:tab w:leader="none" w:pos="7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December 31, 2024, lower balance specified pools had a weighted average original loan balance of $188,000 and $148,000 for 15-year and 30-year securities, respectively, and HARP pools had a weighted average original LTV of 128% and 141% for 15-year and 30-year securities, respectively.</w:t>
      </w:r>
    </w:p>
    <w:p>
      <w:pPr>
        <w:spacing w:after="0" w:line="1"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yield incorporates a projected life CPR based on forward rate assumptions as of December 31, 2024.</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9960"/>
          </w:cols>
          <w:pgMar w:left="960" w:top="711" w:right="960"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11"/>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Includes Net TBA Position</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Excludes Net TBA Position</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Fixed Rate Agency RMBS and</w:t>
            </w:r>
          </w:p>
        </w:tc>
        <w:tc>
          <w:tcPr>
            <w:tcW w:w="700" w:type="dxa"/>
            <w:vAlign w:val="bottom"/>
          </w:tcPr>
          <w:p>
            <w:pPr>
              <w:jc w:val="right"/>
              <w:ind w:right="123"/>
              <w:spacing w:after="0" w:line="122" w:lineRule="exact"/>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0"/>
                <w:szCs w:val="10"/>
                <w:color w:val="auto"/>
              </w:rPr>
            </w:pPr>
          </w:p>
        </w:tc>
        <w:tc>
          <w:tcPr>
            <w:tcW w:w="700" w:type="dxa"/>
            <w:vAlign w:val="bottom"/>
          </w:tcPr>
          <w:p>
            <w:pPr>
              <w:jc w:val="right"/>
              <w:ind w:right="103"/>
              <w:spacing w:after="0" w:line="122"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0"/>
                <w:szCs w:val="10"/>
                <w:color w:val="auto"/>
              </w:rPr>
            </w:pPr>
          </w:p>
        </w:tc>
        <w:tc>
          <w:tcPr>
            <w:tcW w:w="82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Specified</w:t>
            </w: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0"/>
                <w:szCs w:val="10"/>
                <w:color w:val="auto"/>
              </w:rPr>
            </w:pPr>
          </w:p>
        </w:tc>
        <w:tc>
          <w:tcPr>
            <w:tcW w:w="840" w:type="dxa"/>
            <w:vAlign w:val="bottom"/>
          </w:tcPr>
          <w:p>
            <w:pPr>
              <w:jc w:val="center"/>
              <w:ind w:left="23"/>
              <w:spacing w:after="0" w:line="12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 xml:space="preserve">Yield </w:t>
            </w:r>
            <w:r>
              <w:rPr>
                <w:rFonts w:ascii="Times New Roman" w:cs="Times New Roman" w:eastAsia="Times New Roman" w:hAnsi="Times New Roman"/>
                <w:sz w:val="20"/>
                <w:szCs w:val="20"/>
                <w:b w:val="1"/>
                <w:bCs w:val="1"/>
                <w:color w:val="auto"/>
                <w:vertAlign w:val="superscript"/>
              </w:rPr>
              <w:t>2</w:t>
            </w: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TBA Securities</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5"/>
              </w:rPr>
              <w:t>Pool %</w:t>
            </w:r>
          </w:p>
        </w:tc>
        <w:tc>
          <w:tcPr>
            <w:tcW w:w="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Coupon</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1"/>
              </w:rPr>
              <w:t xml:space="preserve">CPR </w:t>
            </w:r>
            <w:r>
              <w:rPr>
                <w:rFonts w:ascii="Times New Roman" w:cs="Times New Roman" w:eastAsia="Times New Roman" w:hAnsi="Times New Roman"/>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21"/>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15-year:</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2.5% </w:t>
            </w:r>
            <w:r>
              <w:rPr>
                <w:rFonts w:ascii="Times New Roman" w:cs="Times New Roman" w:eastAsia="Times New Roman" w:hAnsi="Times New Roman"/>
                <w:sz w:val="16"/>
                <w:szCs w:val="16"/>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59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6"/>
              </w:rPr>
              <w:t>100%</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2.16%</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101.7%</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1.77%</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65</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450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99%</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3.00%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101.5%</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2.54%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71</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6"/>
              </w:rPr>
              <w:t>100%</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3.50%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101.5%</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2.60%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1"/>
              </w:rPr>
              <w:t>126</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14%</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4.0%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235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95%</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102.8%</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2.98%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70</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4.5%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99%</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101.7%</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2.70%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1"/>
              </w:rPr>
              <w:t>154</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21%</w:t>
            </w:r>
          </w:p>
        </w:tc>
        <w:tc>
          <w:tcPr>
            <w:tcW w:w="0" w:type="dxa"/>
            <w:vAlign w:val="bottom"/>
          </w:tcPr>
          <w:p>
            <w:pPr>
              <w:spacing w:after="0"/>
              <w:rPr>
                <w:sz w:val="1"/>
                <w:szCs w:val="1"/>
                <w:color w:val="auto"/>
              </w:rPr>
            </w:pPr>
          </w:p>
        </w:tc>
      </w:tr>
      <w:tr>
        <w:trPr>
          <w:trHeight w:val="254"/>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5.0% </w:t>
            </w:r>
            <w:r>
              <w:rPr>
                <w:rFonts w:ascii="Times New Roman" w:cs="Times New Roman" w:eastAsia="Times New Roman" w:hAnsi="Times New Roman"/>
                <w:sz w:val="16"/>
                <w:szCs w:val="16"/>
                <w:color w:val="B4B4B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89</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6"/>
                <w:szCs w:val="16"/>
                <w:color w:val="auto"/>
                <w:w w:val="95"/>
              </w:rPr>
              <w:t>—%</w:t>
            </w:r>
          </w:p>
        </w:tc>
        <w:tc>
          <w:tcPr>
            <w:tcW w:w="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5.00%</w:t>
            </w:r>
          </w:p>
        </w:tc>
        <w:tc>
          <w:tcPr>
            <w:tcW w:w="180" w:type="dxa"/>
            <w:vAlign w:val="bottom"/>
          </w:tcPr>
          <w:p>
            <w:pPr>
              <w:spacing w:after="0"/>
              <w:rPr>
                <w:sz w:val="22"/>
                <w:szCs w:val="22"/>
                <w:color w:val="auto"/>
              </w:rPr>
            </w:pPr>
          </w:p>
        </w:tc>
        <w:tc>
          <w:tcPr>
            <w:tcW w:w="84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6"/>
                <w:szCs w:val="16"/>
                <w:color w:val="auto"/>
                <w:w w:val="97"/>
              </w:rPr>
              <w:t>100.9%</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2.54%</w:t>
            </w:r>
          </w:p>
        </w:tc>
        <w:tc>
          <w:tcPr>
            <w:tcW w:w="6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168</w:t>
            </w:r>
          </w:p>
        </w:tc>
        <w:tc>
          <w:tcPr>
            <w:tcW w:w="8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41%</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 15-year</w:t>
            </w:r>
            <w:r>
              <w:rPr>
                <w:rFonts w:ascii="Times New Roman" w:cs="Times New Roman" w:eastAsia="Times New Roman" w:hAnsi="Times New Roman"/>
                <w:sz w:val="16"/>
                <w:szCs w:val="16"/>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848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87%</w:t>
            </w:r>
          </w:p>
        </w:tc>
        <w:tc>
          <w:tcPr>
            <w:tcW w:w="200" w:type="dxa"/>
            <w:vAlign w:val="bottom"/>
          </w:tcPr>
          <w:p>
            <w:pPr>
              <w:spacing w:after="0"/>
              <w:rPr>
                <w:sz w:val="19"/>
                <w:szCs w:val="19"/>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3.44%</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101.9%</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2.62%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71</w:t>
            </w: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0" w:type="dxa"/>
            <w:vAlign w:val="bottom"/>
          </w:tcPr>
          <w:p>
            <w:pPr>
              <w:spacing w:after="0"/>
              <w:rPr>
                <w:sz w:val="1"/>
                <w:szCs w:val="1"/>
                <w:color w:val="auto"/>
              </w:rPr>
            </w:pPr>
          </w:p>
        </w:tc>
      </w:tr>
      <w:tr>
        <w:trPr>
          <w:trHeight w:val="221"/>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20-year:</w:t>
            </w: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2.0% </w:t>
            </w:r>
            <w:r>
              <w:rPr>
                <w:rFonts w:ascii="Times New Roman" w:cs="Times New Roman" w:eastAsia="Times New Roman" w:hAnsi="Times New Roman"/>
                <w:sz w:val="16"/>
                <w:szCs w:val="16"/>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225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21"/>
                <w:szCs w:val="21"/>
                <w:color w:val="auto"/>
              </w:rPr>
            </w:pPr>
          </w:p>
        </w:tc>
        <w:tc>
          <w:tcPr>
            <w:tcW w:w="620" w:type="dxa"/>
            <w:vAlign w:val="bottom"/>
          </w:tcPr>
          <w:p>
            <w:pPr>
              <w:jc w:val="center"/>
              <w:ind w:left="143"/>
              <w:spacing w:after="0"/>
              <w:rPr>
                <w:sz w:val="20"/>
                <w:szCs w:val="20"/>
                <w:color w:val="auto"/>
              </w:rPr>
            </w:pPr>
            <w:r>
              <w:rPr>
                <w:rFonts w:ascii="Times New Roman" w:cs="Times New Roman" w:eastAsia="Times New Roman" w:hAnsi="Times New Roman"/>
                <w:sz w:val="16"/>
                <w:szCs w:val="16"/>
                <w:color w:val="auto"/>
                <w:w w:val="95"/>
              </w:rPr>
              <w:t>—%</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2.00%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102.6%</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1.58%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37</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2.5%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352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21"/>
                <w:szCs w:val="21"/>
                <w:color w:val="auto"/>
              </w:rPr>
            </w:pPr>
          </w:p>
        </w:tc>
        <w:tc>
          <w:tcPr>
            <w:tcW w:w="620" w:type="dxa"/>
            <w:vAlign w:val="bottom"/>
          </w:tcPr>
          <w:p>
            <w:pPr>
              <w:jc w:val="center"/>
              <w:ind w:left="143"/>
              <w:spacing w:after="0"/>
              <w:rPr>
                <w:sz w:val="20"/>
                <w:szCs w:val="20"/>
                <w:color w:val="auto"/>
              </w:rPr>
            </w:pPr>
            <w:r>
              <w:rPr>
                <w:rFonts w:ascii="Times New Roman" w:cs="Times New Roman" w:eastAsia="Times New Roman" w:hAnsi="Times New Roman"/>
                <w:sz w:val="16"/>
                <w:szCs w:val="16"/>
                <w:color w:val="auto"/>
                <w:w w:val="95"/>
              </w:rPr>
              <w:t>—%</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2.50%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104.7%</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1.72%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42</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97%</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3.00%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103.6%</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2.28%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53</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119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79%</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3.50%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101.7%</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2.96%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1"/>
              </w:rPr>
              <w:t>125</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0" w:type="dxa"/>
            <w:vAlign w:val="bottom"/>
          </w:tcPr>
          <w:p>
            <w:pPr>
              <w:spacing w:after="0"/>
              <w:rPr>
                <w:sz w:val="1"/>
                <w:szCs w:val="1"/>
                <w:color w:val="auto"/>
              </w:rPr>
            </w:pPr>
          </w:p>
        </w:tc>
      </w:tr>
      <w:tr>
        <w:trPr>
          <w:trHeight w:val="254"/>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4.0% </w:t>
            </w:r>
            <w:r>
              <w:rPr>
                <w:rFonts w:ascii="Times New Roman" w:cs="Times New Roman" w:eastAsia="Times New Roman" w:hAnsi="Times New Roman"/>
                <w:sz w:val="16"/>
                <w:szCs w:val="16"/>
                <w:color w:val="B4B4B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6"/>
                <w:szCs w:val="16"/>
                <w:color w:val="auto"/>
                <w:w w:val="95"/>
              </w:rPr>
              <w:t>96%</w:t>
            </w:r>
          </w:p>
        </w:tc>
        <w:tc>
          <w:tcPr>
            <w:tcW w:w="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4.26%</w:t>
            </w:r>
          </w:p>
        </w:tc>
        <w:tc>
          <w:tcPr>
            <w:tcW w:w="180" w:type="dxa"/>
            <w:vAlign w:val="bottom"/>
          </w:tcPr>
          <w:p>
            <w:pPr>
              <w:spacing w:after="0"/>
              <w:rPr>
                <w:sz w:val="22"/>
                <w:szCs w:val="22"/>
                <w:color w:val="auto"/>
              </w:rPr>
            </w:pPr>
          </w:p>
        </w:tc>
        <w:tc>
          <w:tcPr>
            <w:tcW w:w="84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6"/>
                <w:szCs w:val="16"/>
                <w:color w:val="auto"/>
                <w:w w:val="97"/>
              </w:rPr>
              <w:t>104.3%</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3.14%</w:t>
            </w:r>
          </w:p>
        </w:tc>
        <w:tc>
          <w:tcPr>
            <w:tcW w:w="6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7"/>
              </w:rPr>
              <w:t>83</w:t>
            </w:r>
          </w:p>
        </w:tc>
        <w:tc>
          <w:tcPr>
            <w:tcW w:w="8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20-year:</w:t>
            </w:r>
            <w:r>
              <w:rPr>
                <w:rFonts w:ascii="Times New Roman" w:cs="Times New Roman" w:eastAsia="Times New Roman" w:hAnsi="Times New Roman"/>
                <w:sz w:val="16"/>
                <w:szCs w:val="16"/>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872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32%</w:t>
            </w:r>
          </w:p>
        </w:tc>
        <w:tc>
          <w:tcPr>
            <w:tcW w:w="200" w:type="dxa"/>
            <w:vAlign w:val="bottom"/>
          </w:tcPr>
          <w:p>
            <w:pPr>
              <w:spacing w:after="0"/>
              <w:rPr>
                <w:sz w:val="19"/>
                <w:szCs w:val="19"/>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2.82%</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103.6%</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2.11%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59</w:t>
            </w: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1"/>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30-year:</w:t>
            </w: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3.0% </w:t>
            </w:r>
            <w:r>
              <w:rPr>
                <w:rFonts w:ascii="Times New Roman" w:cs="Times New Roman" w:eastAsia="Times New Roman" w:hAnsi="Times New Roman"/>
                <w:sz w:val="16"/>
                <w:szCs w:val="16"/>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3,861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55%</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2.43%</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101.0%</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2.28%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34</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3.5%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5,811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86%</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3.50%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104.1%</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2.84%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97</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4.0%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6,960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92%</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105.7%</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3.08%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80</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4.5%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6,763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64%</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103.9%</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3.83%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46</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5.0%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9,696</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9,719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9,657</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39%</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5.00%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100.5%</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4.91%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14</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 xml:space="preserve">5.5%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12,352</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12,391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12,486</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25%</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5.50%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100.6%</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5.39%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10</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12%</w:t>
            </w:r>
          </w:p>
        </w:tc>
        <w:tc>
          <w:tcPr>
            <w:tcW w:w="0" w:type="dxa"/>
            <w:vAlign w:val="bottom"/>
          </w:tcPr>
          <w:p>
            <w:pPr>
              <w:spacing w:after="0"/>
              <w:rPr>
                <w:sz w:val="1"/>
                <w:szCs w:val="1"/>
                <w:color w:val="auto"/>
              </w:rPr>
            </w:pPr>
          </w:p>
        </w:tc>
      </w:tr>
      <w:tr>
        <w:trPr>
          <w:trHeight w:val="247"/>
        </w:trPr>
        <w:tc>
          <w:tcPr>
            <w:tcW w:w="21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6.0%</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9,384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9,507</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22%</w:t>
            </w:r>
          </w:p>
        </w:tc>
        <w:tc>
          <w:tcPr>
            <w:tcW w:w="200" w:type="dxa"/>
            <w:vAlign w:val="bottom"/>
          </w:tcPr>
          <w:p>
            <w:pPr>
              <w:spacing w:after="0"/>
              <w:rPr>
                <w:sz w:val="21"/>
                <w:szCs w:val="21"/>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6.00%</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101.0%</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5.71%</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7</w:t>
            </w: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19%</w:t>
            </w:r>
          </w:p>
        </w:tc>
        <w:tc>
          <w:tcPr>
            <w:tcW w:w="0" w:type="dxa"/>
            <w:vAlign w:val="bottom"/>
          </w:tcPr>
          <w:p>
            <w:pPr>
              <w:spacing w:after="0"/>
              <w:rPr>
                <w:sz w:val="1"/>
                <w:szCs w:val="1"/>
                <w:color w:val="auto"/>
              </w:rPr>
            </w:pPr>
          </w:p>
        </w:tc>
      </w:tr>
      <w:tr>
        <w:trPr>
          <w:trHeight w:val="254"/>
        </w:trPr>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6.5% </w:t>
            </w:r>
            <w:r>
              <w:rPr>
                <w:rFonts w:ascii="Times New Roman" w:cs="Times New Roman" w:eastAsia="Times New Roman" w:hAnsi="Times New Roman"/>
                <w:sz w:val="16"/>
                <w:szCs w:val="16"/>
                <w:color w:val="B4B4B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3,968</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6"/>
                <w:szCs w:val="16"/>
                <w:color w:val="auto"/>
                <w:w w:val="95"/>
              </w:rPr>
              <w:t>29%</w:t>
            </w:r>
          </w:p>
        </w:tc>
        <w:tc>
          <w:tcPr>
            <w:tcW w:w="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6.50%</w:t>
            </w:r>
          </w:p>
        </w:tc>
        <w:tc>
          <w:tcPr>
            <w:tcW w:w="180" w:type="dxa"/>
            <w:vAlign w:val="bottom"/>
          </w:tcPr>
          <w:p>
            <w:pPr>
              <w:spacing w:after="0"/>
              <w:rPr>
                <w:sz w:val="22"/>
                <w:szCs w:val="22"/>
                <w:color w:val="auto"/>
              </w:rPr>
            </w:pPr>
          </w:p>
        </w:tc>
        <w:tc>
          <w:tcPr>
            <w:tcW w:w="84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6"/>
                <w:szCs w:val="16"/>
                <w:color w:val="auto"/>
                <w:w w:val="97"/>
              </w:rPr>
              <w:t>102.3%</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5.78%</w:t>
            </w:r>
          </w:p>
        </w:tc>
        <w:tc>
          <w:tcPr>
            <w:tcW w:w="6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8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21%</w:t>
            </w:r>
          </w:p>
        </w:tc>
        <w:tc>
          <w:tcPr>
            <w:tcW w:w="0" w:type="dxa"/>
            <w:vAlign w:val="bottom"/>
          </w:tcPr>
          <w:p>
            <w:pPr>
              <w:spacing w:after="0"/>
              <w:rPr>
                <w:sz w:val="1"/>
                <w:szCs w:val="1"/>
                <w:color w:val="auto"/>
              </w:rPr>
            </w:pPr>
          </w:p>
        </w:tc>
      </w:tr>
      <w:tr>
        <w:trPr>
          <w:trHeight w:val="227"/>
        </w:trPr>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xml:space="preserve">Total 30-year </w:t>
            </w:r>
            <w:r>
              <w:rPr>
                <w:rFonts w:ascii="Times New Roman" w:cs="Times New Roman" w:eastAsia="Times New Roman" w:hAnsi="Times New Roman"/>
                <w:sz w:val="16"/>
                <w:szCs w:val="16"/>
                <w:color w:val="B4B4B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57,766</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58,857</w:t>
            </w:r>
          </w:p>
        </w:tc>
        <w:tc>
          <w:tcPr>
            <w:tcW w:w="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56,938</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6"/>
                <w:szCs w:val="16"/>
                <w:color w:val="auto"/>
                <w:w w:val="95"/>
              </w:rPr>
              <w:t>46%</w:t>
            </w:r>
          </w:p>
        </w:tc>
        <w:tc>
          <w:tcPr>
            <w:tcW w:w="2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4.88%</w:t>
            </w:r>
          </w:p>
        </w:tc>
        <w:tc>
          <w:tcPr>
            <w:tcW w:w="180" w:type="dxa"/>
            <w:vAlign w:val="bottom"/>
          </w:tcPr>
          <w:p>
            <w:pPr>
              <w:spacing w:after="0"/>
              <w:rPr>
                <w:sz w:val="19"/>
                <w:szCs w:val="19"/>
                <w:color w:val="auto"/>
              </w:rPr>
            </w:pPr>
          </w:p>
        </w:tc>
        <w:tc>
          <w:tcPr>
            <w:tcW w:w="84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6"/>
                <w:szCs w:val="16"/>
                <w:color w:val="auto"/>
                <w:w w:val="97"/>
              </w:rPr>
              <w:t>102.2%</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4.41%</w:t>
            </w:r>
          </w:p>
        </w:tc>
        <w:tc>
          <w:tcPr>
            <w:tcW w:w="6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7"/>
              </w:rPr>
              <w:t>35</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0" w:type="dxa"/>
            <w:vAlign w:val="bottom"/>
          </w:tcPr>
          <w:p>
            <w:pPr>
              <w:spacing w:after="0"/>
              <w:rPr>
                <w:sz w:val="1"/>
                <w:szCs w:val="1"/>
                <w:color w:val="auto"/>
              </w:rPr>
            </w:pPr>
          </w:p>
        </w:tc>
      </w:tr>
      <w:tr>
        <w:trPr>
          <w:trHeight w:val="208"/>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 fixed rate</w:t>
            </w:r>
            <w:r>
              <w:rPr>
                <w:rFonts w:ascii="Times New Roman" w:cs="Times New Roman" w:eastAsia="Times New Roman" w:hAnsi="Times New Roman"/>
                <w:sz w:val="16"/>
                <w:szCs w:val="16"/>
                <w:b w:val="1"/>
                <w:bCs w:val="1"/>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$ 59,442</w:t>
            </w: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   60,577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$ 58,515</w:t>
            </w:r>
          </w:p>
        </w:tc>
        <w:tc>
          <w:tcPr>
            <w:tcW w:w="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5"/>
              </w:rPr>
              <w:t>47%</w:t>
            </w:r>
          </w:p>
        </w:tc>
        <w:tc>
          <w:tcPr>
            <w:tcW w:w="200" w:type="dxa"/>
            <w:vAlign w:val="bottom"/>
          </w:tcPr>
          <w:p>
            <w:pPr>
              <w:spacing w:after="0"/>
              <w:rPr>
                <w:sz w:val="18"/>
                <w:szCs w:val="18"/>
                <w:color w:val="auto"/>
              </w:rPr>
            </w:pPr>
          </w:p>
        </w:tc>
        <w:tc>
          <w:tcPr>
            <w:tcW w:w="8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4.83%</w:t>
            </w:r>
          </w:p>
        </w:tc>
        <w:tc>
          <w:tcPr>
            <w:tcW w:w="102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color w:val="auto"/>
                <w:w w:val="97"/>
              </w:rPr>
              <w:t>102.2%</w:t>
            </w:r>
          </w:p>
        </w:tc>
        <w:tc>
          <w:tcPr>
            <w:tcW w:w="8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4.34%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35</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-43180</wp:posOffset>
            </wp:positionV>
            <wp:extent cx="4977765" cy="50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2">
                      <a:extLst>
                        <a:ext uri="{28A0092B-C50C-407E-A947-70E740481C1C}"/>
                      </a:extLst>
                    </a:blip>
                    <a:srcRect/>
                    <a:stretch>
                      <a:fillRect/>
                    </a:stretch>
                  </pic:blipFill>
                  <pic:spPr bwMode="auto">
                    <a:xfrm>
                      <a:off x="0" y="0"/>
                      <a:ext cx="4977765" cy="50165"/>
                    </a:xfrm>
                    <a:prstGeom prst="rect">
                      <a:avLst/>
                    </a:prstGeom>
                    <a:noFill/>
                  </pic:spPr>
                </pic:pic>
              </a:graphicData>
            </a:graphic>
          </wp:anchor>
        </w:drawing>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jc w:val="both"/>
        <w:ind w:left="700" w:right="60" w:hanging="347"/>
        <w:spacing w:after="0" w:line="242" w:lineRule="auto"/>
        <w:tabs>
          <w:tab w:leader="none" w:pos="7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 of preceding table for specified pool composition. As of December 31, 2023, lower balance specified pools had a weighted average original loan balance of $132,000 and $153,000 for 15-year and 30-year securities, respectively, and HARP pools had a weighted average original LTV of 128% and 141% for 15-year and 30-year securities, respectively.</w:t>
      </w:r>
    </w:p>
    <w:p>
      <w:pPr>
        <w:ind w:left="700" w:hanging="347"/>
        <w:spacing w:after="0"/>
        <w:tabs>
          <w:tab w:leader="none" w:pos="7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yield incorporates a projected life CPR based on forward rate assumptions as of December 31, 2023.</w:t>
      </w:r>
    </w:p>
    <w:p>
      <w:pPr>
        <w:spacing w:after="0" w:line="149" w:lineRule="exact"/>
        <w:rPr>
          <w:sz w:val="20"/>
          <w:szCs w:val="20"/>
          <w:color w:val="auto"/>
        </w:rPr>
      </w:pPr>
    </w:p>
    <w:p>
      <w:pPr>
        <w:jc w:val="both"/>
        <w:ind w:right="60" w:firstLine="480"/>
        <w:spacing w:after="0" w:line="293" w:lineRule="auto"/>
        <w:rPr>
          <w:sz w:val="20"/>
          <w:szCs w:val="20"/>
          <w:color w:val="auto"/>
        </w:rPr>
      </w:pPr>
      <w:r>
        <w:rPr>
          <w:rFonts w:ascii="Times New Roman" w:cs="Times New Roman" w:eastAsia="Times New Roman" w:hAnsi="Times New Roman"/>
          <w:sz w:val="19"/>
          <w:szCs w:val="19"/>
          <w:color w:val="auto"/>
        </w:rPr>
        <w:t>For additional details regarding our CRT and non-Agency securities, including credit ratings, as of December 31, 2024 and 2023, please refer to Note 3 of our Consolidated Financial Statements included under Item 8 of this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SUMMARY OF CRITICAL ACCOUNTING ESTIMATES</w:t>
      </w:r>
    </w:p>
    <w:p>
      <w:pPr>
        <w:spacing w:after="0" w:line="196" w:lineRule="exact"/>
        <w:rPr>
          <w:sz w:val="20"/>
          <w:szCs w:val="20"/>
          <w:color w:val="auto"/>
        </w:rPr>
      </w:pPr>
    </w:p>
    <w:p>
      <w:pPr>
        <w:jc w:val="both"/>
        <w:ind w:right="60" w:firstLine="436"/>
        <w:spacing w:after="0" w:line="265" w:lineRule="auto"/>
        <w:rPr>
          <w:sz w:val="20"/>
          <w:szCs w:val="20"/>
          <w:color w:val="auto"/>
        </w:rPr>
      </w:pPr>
      <w:r>
        <w:rPr>
          <w:rFonts w:ascii="Times New Roman" w:cs="Times New Roman" w:eastAsia="Times New Roman" w:hAnsi="Times New Roman"/>
          <w:sz w:val="19"/>
          <w:szCs w:val="19"/>
          <w:color w:val="auto"/>
        </w:rPr>
        <w:t>Our critical accounting estimates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For additional information regarding our significant accounting policies please refer to Note 2 of our Consolidated Financial Statements included under Item 8 of this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Interest Income</w:t>
      </w:r>
    </w:p>
    <w:p>
      <w:pPr>
        <w:spacing w:after="0" w:line="196" w:lineRule="exact"/>
        <w:rPr>
          <w:sz w:val="20"/>
          <w:szCs w:val="20"/>
          <w:color w:val="auto"/>
        </w:rPr>
      </w:pPr>
    </w:p>
    <w:p>
      <w:pPr>
        <w:jc w:val="both"/>
        <w:ind w:right="60" w:firstLine="480"/>
        <w:spacing w:after="0" w:line="263" w:lineRule="auto"/>
        <w:rPr>
          <w:sz w:val="20"/>
          <w:szCs w:val="20"/>
          <w:color w:val="auto"/>
        </w:rPr>
      </w:pPr>
      <w:r>
        <w:rPr>
          <w:rFonts w:ascii="Times New Roman" w:cs="Times New Roman" w:eastAsia="Times New Roman" w:hAnsi="Times New Roman"/>
          <w:sz w:val="19"/>
          <w:szCs w:val="19"/>
          <w:color w:val="auto"/>
        </w:rPr>
        <w:t>The effective yield on our Agency RMBS and non-Agency securities of high credit quality is highly impacted by our estimate of future prepayments. We accrue interest income based on the outstanding principal amount and contractual terms of these securities, and we amortize or accrete premiums and discounts associated with our purchase of these securities into interest income over their projected lives, incorporating scheduled contractual payments and estimated prepayments, using the effective interest method. The weighted average cost basis of our securities as of December 31, 2024 was 101.5% of par value; therefore, changes in our actual or projected prepayments can significantly alter the effective yield on our assets.</w:t>
      </w:r>
    </w:p>
    <w:p>
      <w:pPr>
        <w:sectPr>
          <w:pgSz w:w="11880" w:h="15480" w:orient="portrait"/>
          <w:cols w:equalWidth="0" w:num="1">
            <w:col w:w="10020"/>
          </w:cols>
          <w:pgMar w:left="960" w:top="7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10020"/>
          </w:cols>
          <w:pgMar w:left="960" w:top="798" w:right="900" w:bottom="0" w:gutter="0" w:footer="0" w:header="0"/>
          <w:type w:val="continuous"/>
        </w:sectPr>
      </w:pPr>
    </w:p>
    <w:bookmarkStart w:id="43" w:name="page44"/>
    <w:bookmarkEnd w:id="43"/>
    <w:p>
      <w:pPr>
        <w:jc w:val="both"/>
        <w:ind w:firstLine="480"/>
        <w:spacing w:after="0" w:line="262" w:lineRule="auto"/>
        <w:rPr>
          <w:sz w:val="20"/>
          <w:szCs w:val="20"/>
          <w:color w:val="auto"/>
        </w:rPr>
      </w:pPr>
      <w:r>
        <w:rPr>
          <w:rFonts w:ascii="Times New Roman" w:cs="Times New Roman" w:eastAsia="Times New Roman" w:hAnsi="Times New Roman"/>
          <w:sz w:val="19"/>
          <w:szCs w:val="19"/>
          <w:color w:val="auto"/>
        </w:rPr>
        <w:t>Future prepayment rates are difficult to predict, and we rely on a third-party service provider and our experience and analysis of historical and current market data to arrive at what we believe to be reasonable estimates. Our third-party service provider estimates prepayment rates over the remaining life of our securities using models that incorporate the forward yield curve, current mortgage rates, mortgage rates on the outstanding loans, age and size of the outstanding loans, loan-to-value ratios, interest rate volatility and other factors. We review the estimated prepayment rates for reasonableness, giving consideration to historical prepayment rates, current market conditions and other factors we believe are likely to impact the rate of prepayments on our portfolio, and based on our judgment we may adjust the third-party estimates.</w:t>
      </w:r>
    </w:p>
    <w:p>
      <w:pPr>
        <w:spacing w:after="0" w:line="135"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We review our actual and anticipated prepayment experience on at least a quarterly basis, and effective yields are recalculated when differences arise between (i) our previous prepayment estimates and (ii) actual prepayments to date and current estimates of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from inception through the reporting date. We commonly refer to this adjustment as "catch-up" premium amortization cost/benefit.</w:t>
      </w:r>
    </w:p>
    <w:p>
      <w:pPr>
        <w:spacing w:after="0" w:line="135"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9"/>
          <w:szCs w:val="19"/>
          <w:color w:val="auto"/>
        </w:rPr>
        <w:t xml:space="preserve">The most significant factor impacting prepayment rates on our securities is changes to long-term interest rates. Prepayment rates generally increase when interest rates fall and decrease when interest rates rise. Item 7A. </w:t>
      </w:r>
      <w:r>
        <w:rPr>
          <w:rFonts w:ascii="Times New Roman" w:cs="Times New Roman" w:eastAsia="Times New Roman" w:hAnsi="Times New Roman"/>
          <w:sz w:val="19"/>
          <w:szCs w:val="19"/>
          <w:b w:val="1"/>
          <w:bCs w:val="1"/>
          <w:i w:val="1"/>
          <w:iCs w:val="1"/>
          <w:color w:val="auto"/>
        </w:rPr>
        <w:t>Quantitative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Qualitative Disclosures About Market Risk </w:t>
      </w:r>
      <w:r>
        <w:rPr>
          <w:rFonts w:ascii="Times New Roman" w:cs="Times New Roman" w:eastAsia="Times New Roman" w:hAnsi="Times New Roman"/>
          <w:sz w:val="19"/>
          <w:szCs w:val="19"/>
          <w:color w:val="auto"/>
        </w:rPr>
        <w:t>in this Form 10-K includes the estimated weighted average projected CPR of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investments and the corresponding weighted average yield on our investments should interest rates instantaneously go up or down by 25, 50, and 75 basis points. However, there are a variety of other factors that may impact the rate of prepayments on our securities. Consequently, our actual experience and future estimates of prepayments could differ materially from our estimates.</w:t>
      </w:r>
    </w:p>
    <w:p>
      <w:pPr>
        <w:spacing w:after="0" w:line="373"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At the time we purchase CRT and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our judgment about interest rates, prepayment rates, including collateral call provisions, timing and amount of estimated credit losses, and other factors. Any resulting changes in effective yield are recognized prospectively based on the current amortized cost of the investment as adjusted for credit impairment, if 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Non-GAAP Financial Measures</w:t>
      </w:r>
    </w:p>
    <w:p>
      <w:pPr>
        <w:spacing w:after="0" w:line="196"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 and the related per common share measures and certain financial metrics derived from such non-GAAP information.</w:t>
      </w:r>
    </w:p>
    <w:p>
      <w:pPr>
        <w:spacing w:after="0" w:line="130"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9"/>
          <w:szCs w:val="19"/>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w:t>
      </w:r>
    </w:p>
    <w:p>
      <w:pPr>
        <w:spacing w:after="0" w:line="4" w:lineRule="exact"/>
        <w:rPr>
          <w:sz w:val="20"/>
          <w:szCs w:val="20"/>
          <w:color w:val="auto"/>
        </w:rPr>
      </w:pPr>
    </w:p>
    <w:p>
      <w:pPr>
        <w:jc w:val="both"/>
        <w:ind w:firstLine="4"/>
        <w:spacing w:after="0" w:line="260" w:lineRule="auto"/>
        <w:tabs>
          <w:tab w:leader="none" w:pos="33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 interest rate swap periodic income/cost, TBA dollar roll income and other interest income/expense. As defined "Net spread and dollar roll income available to common stockholders" includes (i) the components of "economic interest income" and "economic interest expense", plus (ii) other interest income/expense, and less (iii) total operating expenses and dividends on preferred stock (GAAP measures).</w:t>
      </w:r>
    </w:p>
    <w:p>
      <w:pPr>
        <w:spacing w:after="0" w:line="139"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9"/>
          <w:szCs w:val="19"/>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370" w:lineRule="exact"/>
        <w:rPr>
          <w:sz w:val="20"/>
          <w:szCs w:val="20"/>
          <w:color w:val="auto"/>
        </w:rPr>
      </w:pPr>
    </w:p>
    <w:p>
      <w:pPr>
        <w:jc w:val="both"/>
        <w:ind w:firstLine="524"/>
        <w:spacing w:after="0" w:line="274" w:lineRule="auto"/>
        <w:rPr>
          <w:sz w:val="20"/>
          <w:szCs w:val="20"/>
          <w:color w:val="auto"/>
        </w:rPr>
      </w:pPr>
      <w:r>
        <w:rPr>
          <w:rFonts w:ascii="Times New Roman" w:cs="Times New Roman" w:eastAsia="Times New Roman" w:hAnsi="Times New Roman"/>
          <w:sz w:val="19"/>
          <w:szCs w:val="19"/>
          <w:color w:val="auto"/>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w:t>
      </w:r>
    </w:p>
    <w:p>
      <w:pPr>
        <w:sectPr>
          <w:pgSz w:w="11880" w:h="15480" w:orient="portrait"/>
          <w:cols w:equalWidth="0" w:num="1">
            <w:col w:w="9960"/>
          </w:cols>
          <w:pgMar w:left="960" w:top="711" w:right="960" w:bottom="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9960"/>
          </w:cols>
          <w:pgMar w:left="960" w:top="711" w:right="960" w:bottom="0" w:gutter="0" w:footer="0" w:header="0"/>
          <w:type w:val="continuous"/>
        </w:sectPr>
      </w:pPr>
    </w:p>
    <w:bookmarkStart w:id="44" w:name="page45"/>
    <w:bookmarkEnd w:id="44"/>
    <w:p>
      <w:pPr>
        <w:jc w:val="both"/>
        <w:spacing w:after="0" w:line="262" w:lineRule="auto"/>
        <w:rPr>
          <w:sz w:val="20"/>
          <w:szCs w:val="20"/>
          <w:color w:val="auto"/>
        </w:rPr>
      </w:pPr>
      <w:r>
        <w:rPr>
          <w:rFonts w:ascii="Times New Roman" w:cs="Times New Roman" w:eastAsia="Times New Roman" w:hAnsi="Times New Roman"/>
          <w:sz w:val="19"/>
          <w:szCs w:val="19"/>
          <w:color w:val="auto"/>
        </w:rPr>
        <w:t>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spacing w:after="0" w:line="135"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Selected Financial Data</w:t>
      </w:r>
    </w:p>
    <w:p>
      <w:pPr>
        <w:spacing w:after="0" w:line="254"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9"/>
          <w:szCs w:val="19"/>
          <w:color w:val="auto"/>
        </w:rPr>
        <w:t xml:space="preserve">The following selected financial data is derived from our annual financial statements for the three years ended December 31, 2024. The selected financial data should be read in conjunction with the more detailed information contained in Item 8. </w:t>
      </w:r>
      <w:r>
        <w:rPr>
          <w:rFonts w:ascii="Times New Roman" w:cs="Times New Roman" w:eastAsia="Times New Roman" w:hAnsi="Times New Roman"/>
          <w:sz w:val="19"/>
          <w:szCs w:val="19"/>
          <w:b w:val="1"/>
          <w:bCs w:val="1"/>
          <w:i w:val="1"/>
          <w:iCs w:val="1"/>
          <w:color w:val="auto"/>
        </w:rPr>
        <w:t xml:space="preserve">Financial Statements </w:t>
      </w:r>
      <w:r>
        <w:rPr>
          <w:rFonts w:ascii="Times New Roman" w:cs="Times New Roman" w:eastAsia="Times New Roman" w:hAnsi="Times New Roman"/>
          <w:sz w:val="19"/>
          <w:szCs w:val="19"/>
          <w:color w:val="auto"/>
        </w:rPr>
        <w:t>and in this Item 7.</w:t>
      </w:r>
      <w:r>
        <w:rPr>
          <w:rFonts w:ascii="Times New Roman" w:cs="Times New Roman" w:eastAsia="Times New Roman" w:hAnsi="Times New Roman"/>
          <w:sz w:val="19"/>
          <w:szCs w:val="19"/>
          <w:b w:val="1"/>
          <w:bCs w:val="1"/>
          <w:i w:val="1"/>
          <w:iCs w:val="1"/>
          <w:color w:val="auto"/>
        </w:rPr>
        <w:t xml:space="preserve"> Management's Discussion and Analysis of Financial Condition and Results of Operations </w:t>
      </w:r>
      <w:r>
        <w:rPr>
          <w:rFonts w:ascii="Times New Roman" w:cs="Times New Roman" w:eastAsia="Times New Roman" w:hAnsi="Times New Roman"/>
          <w:sz w:val="19"/>
          <w:szCs w:val="19"/>
          <w:color w:val="auto"/>
        </w:rPr>
        <w:t>(in millions, except per share amounts):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Investment securities, at fair value of $66,348, $54,824 and $40,904, respectively, and</w:t>
            </w:r>
          </w:p>
        </w:tc>
        <w:tc>
          <w:tcPr>
            <w:tcW w:w="340" w:type="dxa"/>
            <w:vAlign w:val="bottom"/>
            <w:gridSpan w:val="3"/>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66,412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54,868</w:t>
            </w:r>
          </w:p>
        </w:tc>
        <w:tc>
          <w:tcPr>
            <w:tcW w:w="60" w:type="dxa"/>
            <w:vAlign w:val="bottom"/>
          </w:tcPr>
          <w:p>
            <w:pPr>
              <w:spacing w:after="0"/>
              <w:rPr>
                <w:sz w:val="17"/>
                <w:szCs w:val="17"/>
                <w:color w:val="auto"/>
              </w:rPr>
            </w:pPr>
          </w:p>
        </w:tc>
        <w:tc>
          <w:tcPr>
            <w:tcW w:w="3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40,929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xml:space="preserve">other mortgage credit investments </w:t>
            </w:r>
            <w:r>
              <w:rPr>
                <w:rFonts w:ascii="Times New Roman" w:cs="Times New Roman" w:eastAsia="Times New Roman" w:hAnsi="Times New Roman"/>
                <w:sz w:val="17"/>
                <w:szCs w:val="17"/>
                <w:color w:val="B4B4B4"/>
              </w:rPr>
              <w:t>...................................................................................</w:t>
            </w:r>
          </w:p>
        </w:tc>
        <w:tc>
          <w:tcPr>
            <w:tcW w:w="340" w:type="dxa"/>
            <w:vAlign w:val="bottom"/>
            <w:gridSpan w:val="3"/>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xml:space="preserve">Total assets </w:t>
            </w:r>
            <w:r>
              <w:rPr>
                <w:rFonts w:ascii="Times New Roman" w:cs="Times New Roman" w:eastAsia="Times New Roman" w:hAnsi="Times New Roman"/>
                <w:sz w:val="17"/>
                <w:szCs w:val="17"/>
                <w:color w:val="B4B4B4"/>
              </w:rPr>
              <w:t>.......................................................................................................................</w:t>
            </w:r>
          </w:p>
        </w:tc>
        <w:tc>
          <w:tcPr>
            <w:tcW w:w="34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88,015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71,596</w:t>
            </w:r>
          </w:p>
        </w:tc>
        <w:tc>
          <w:tcPr>
            <w:tcW w:w="60" w:type="dxa"/>
            <w:vAlign w:val="bottom"/>
          </w:tcPr>
          <w:p>
            <w:pPr>
              <w:spacing w:after="0"/>
              <w:rPr>
                <w:sz w:val="23"/>
                <w:szCs w:val="23"/>
                <w:color w:val="auto"/>
              </w:rPr>
            </w:pP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xml:space="preserve">Repurchase agreements and other debt </w:t>
            </w:r>
            <w:r>
              <w:rPr>
                <w:rFonts w:ascii="Times New Roman" w:cs="Times New Roman" w:eastAsia="Times New Roman" w:hAnsi="Times New Roman"/>
                <w:sz w:val="17"/>
                <w:szCs w:val="17"/>
                <w:color w:val="B4B4B4"/>
              </w:rPr>
              <w:t>............................................................................</w:t>
            </w:r>
          </w:p>
        </w:tc>
        <w:tc>
          <w:tcPr>
            <w:tcW w:w="34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60,862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50,506</w:t>
            </w:r>
          </w:p>
        </w:tc>
        <w:tc>
          <w:tcPr>
            <w:tcW w:w="60" w:type="dxa"/>
            <w:vAlign w:val="bottom"/>
          </w:tcPr>
          <w:p>
            <w:pPr>
              <w:spacing w:after="0"/>
              <w:rPr>
                <w:sz w:val="24"/>
                <w:szCs w:val="24"/>
                <w:color w:val="auto"/>
              </w:rPr>
            </w:pP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Total liabilities</w:t>
            </w:r>
            <w:r>
              <w:rPr>
                <w:rFonts w:ascii="Times New Roman" w:cs="Times New Roman" w:eastAsia="Times New Roman" w:hAnsi="Times New Roman"/>
                <w:sz w:val="17"/>
                <w:szCs w:val="17"/>
                <w:color w:val="B4B4B4"/>
              </w:rPr>
              <w:t>..................................................................................................................</w:t>
            </w:r>
          </w:p>
        </w:tc>
        <w:tc>
          <w:tcPr>
            <w:tcW w:w="34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78,253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63,339</w:t>
            </w:r>
          </w:p>
        </w:tc>
        <w:tc>
          <w:tcPr>
            <w:tcW w:w="60" w:type="dxa"/>
            <w:vAlign w:val="bottom"/>
          </w:tcPr>
          <w:p>
            <w:pPr>
              <w:spacing w:after="0"/>
              <w:rPr>
                <w:sz w:val="24"/>
                <w:szCs w:val="24"/>
                <w:color w:val="auto"/>
              </w:rPr>
            </w:pP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xml:space="preserve">Total stockholders' equity </w:t>
            </w:r>
            <w:r>
              <w:rPr>
                <w:rFonts w:ascii="Times New Roman" w:cs="Times New Roman" w:eastAsia="Times New Roman" w:hAnsi="Times New Roman"/>
                <w:sz w:val="17"/>
                <w:szCs w:val="17"/>
                <w:color w:val="B4B4B4"/>
              </w:rPr>
              <w:t>................................................................................................</w:t>
            </w:r>
          </w:p>
        </w:tc>
        <w:tc>
          <w:tcPr>
            <w:tcW w:w="34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8,257</w:t>
            </w:r>
          </w:p>
        </w:tc>
        <w:tc>
          <w:tcPr>
            <w:tcW w:w="60" w:type="dxa"/>
            <w:vAlign w:val="bottom"/>
          </w:tcPr>
          <w:p>
            <w:pPr>
              <w:spacing w:after="0"/>
              <w:rPr>
                <w:sz w:val="24"/>
                <w:szCs w:val="24"/>
                <w:color w:val="auto"/>
              </w:rPr>
            </w:pP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xml:space="preserve">Net book value per common share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B4B4B4"/>
              </w:rPr>
              <w:t>.................................................................................</w:t>
            </w:r>
          </w:p>
        </w:tc>
        <w:tc>
          <w:tcPr>
            <w:tcW w:w="34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60" w:type="dxa"/>
            <w:vAlign w:val="bottom"/>
          </w:tcPr>
          <w:p>
            <w:pPr>
              <w:spacing w:after="0"/>
              <w:rPr>
                <w:sz w:val="24"/>
                <w:szCs w:val="24"/>
                <w:color w:val="auto"/>
              </w:rPr>
            </w:pP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xml:space="preserve">Tangible net book value per common share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B4B4B4"/>
              </w:rPr>
              <w:t>..................................................................</w:t>
            </w:r>
          </w:p>
        </w:tc>
        <w:tc>
          <w:tcPr>
            <w:tcW w:w="34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60" w:type="dxa"/>
            <w:vAlign w:val="bottom"/>
          </w:tcPr>
          <w:p>
            <w:pPr>
              <w:spacing w:after="0"/>
              <w:rPr>
                <w:sz w:val="24"/>
                <w:szCs w:val="24"/>
                <w:color w:val="auto"/>
              </w:rPr>
            </w:pP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Statement of Comprehensive Income Data</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 xml:space="preserve">Interest income </w:t>
            </w:r>
            <w:r>
              <w:rPr>
                <w:rFonts w:ascii="Times New Roman" w:cs="Times New Roman" w:eastAsia="Times New Roman" w:hAnsi="Times New Roman"/>
                <w:sz w:val="16"/>
                <w:szCs w:val="16"/>
                <w:color w:val="B4B4B4"/>
                <w:w w:val="96"/>
              </w:rPr>
              <w:t>.....................................................................................................................................</w:t>
            </w:r>
          </w:p>
        </w:tc>
        <w:tc>
          <w:tcPr>
            <w:tcW w:w="34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2,949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60" w:type="dxa"/>
            <w:vAlign w:val="bottom"/>
          </w:tcPr>
          <w:p>
            <w:pPr>
              <w:spacing w:after="0"/>
              <w:rPr>
                <w:sz w:val="21"/>
                <w:szCs w:val="21"/>
                <w:color w:val="auto"/>
              </w:rPr>
            </w:pPr>
          </w:p>
        </w:tc>
        <w:tc>
          <w:tcPr>
            <w:tcW w:w="3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6"/>
              </w:rPr>
              <w:t xml:space="preserve">Interest expense </w:t>
            </w:r>
            <w:r>
              <w:rPr>
                <w:rFonts w:ascii="Times New Roman" w:cs="Times New Roman" w:eastAsia="Times New Roman" w:hAnsi="Times New Roman"/>
                <w:sz w:val="16"/>
                <w:szCs w:val="16"/>
                <w:color w:val="B4B4B4"/>
                <w:w w:val="96"/>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2,931</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6"/>
              </w:rPr>
              <w:t xml:space="preserve">Net interest income (expense) </w:t>
            </w:r>
            <w:r>
              <w:rPr>
                <w:rFonts w:ascii="Times New Roman" w:cs="Times New Roman" w:eastAsia="Times New Roman" w:hAnsi="Times New Roman"/>
                <w:sz w:val="16"/>
                <w:szCs w:val="16"/>
                <w:color w:val="B4B4B4"/>
                <w:w w:val="96"/>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(246)</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6"/>
              </w:rPr>
              <w:t xml:space="preserve">Other gain (loss), net </w:t>
            </w:r>
            <w:r>
              <w:rPr>
                <w:rFonts w:ascii="Times New Roman" w:cs="Times New Roman" w:eastAsia="Times New Roman" w:hAnsi="Times New Roman"/>
                <w:sz w:val="16"/>
                <w:szCs w:val="16"/>
                <w:color w:val="B4B4B4"/>
                <w:w w:val="96"/>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7"/>
              </w:rPr>
              <w:t xml:space="preserve">Operating expenses </w:t>
            </w:r>
            <w:r>
              <w:rPr>
                <w:rFonts w:ascii="Times New Roman" w:cs="Times New Roman" w:eastAsia="Times New Roman" w:hAnsi="Times New Roman"/>
                <w:sz w:val="16"/>
                <w:szCs w:val="16"/>
                <w:color w:val="B4B4B4"/>
                <w:w w:val="97"/>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7"/>
              </w:rPr>
              <w:t xml:space="preserve">Net income (loss) </w:t>
            </w:r>
            <w:r>
              <w:rPr>
                <w:rFonts w:ascii="Times New Roman" w:cs="Times New Roman" w:eastAsia="Times New Roman" w:hAnsi="Times New Roman"/>
                <w:sz w:val="16"/>
                <w:szCs w:val="16"/>
                <w:color w:val="B4B4B4"/>
                <w:w w:val="97"/>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7"/>
              </w:rPr>
              <w:t xml:space="preserve">Dividends on preferred stock </w:t>
            </w:r>
            <w:r>
              <w:rPr>
                <w:rFonts w:ascii="Times New Roman" w:cs="Times New Roman" w:eastAsia="Times New Roman" w:hAnsi="Times New Roman"/>
                <w:sz w:val="16"/>
                <w:szCs w:val="16"/>
                <w:color w:val="B4B4B4"/>
                <w:w w:val="97"/>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 xml:space="preserve">Net income (loss) available (attributable) to common stockholders </w:t>
            </w:r>
            <w:r>
              <w:rPr>
                <w:rFonts w:ascii="Times New Roman" w:cs="Times New Roman" w:eastAsia="Times New Roman" w:hAnsi="Times New Roman"/>
                <w:sz w:val="16"/>
                <w:szCs w:val="16"/>
                <w:color w:val="B4B4B4"/>
                <w:w w:val="96"/>
              </w:rPr>
              <w:t>....................................................</w:t>
            </w:r>
          </w:p>
        </w:tc>
        <w:tc>
          <w:tcPr>
            <w:tcW w:w="10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731</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20" w:type="dxa"/>
            <w:vAlign w:val="bottom"/>
          </w:tcPr>
          <w:p>
            <w:pPr>
              <w:spacing w:after="0"/>
              <w:rPr>
                <w:sz w:val="24"/>
                <w:szCs w:val="24"/>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 xml:space="preserve">Net income (loss) </w:t>
            </w:r>
            <w:r>
              <w:rPr>
                <w:rFonts w:ascii="Times New Roman" w:cs="Times New Roman" w:eastAsia="Times New Roman" w:hAnsi="Times New Roman"/>
                <w:sz w:val="16"/>
                <w:szCs w:val="16"/>
                <w:color w:val="B4B4B4"/>
                <w:w w:val="96"/>
              </w:rPr>
              <w:t>.................................................................................................................................</w:t>
            </w:r>
          </w:p>
        </w:tc>
        <w:tc>
          <w:tcPr>
            <w:tcW w:w="34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863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60" w:type="dxa"/>
            <w:vAlign w:val="bottom"/>
          </w:tcPr>
          <w:p>
            <w:pPr>
              <w:spacing w:after="0"/>
              <w:rPr>
                <w:sz w:val="24"/>
                <w:szCs w:val="24"/>
                <w:color w:val="auto"/>
              </w:rPr>
            </w:pPr>
          </w:p>
        </w:tc>
        <w:tc>
          <w:tcPr>
            <w:tcW w:w="3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6"/>
              </w:rPr>
              <w:t xml:space="preserve">Other comprehensive income (loss), net </w:t>
            </w:r>
            <w:r>
              <w:rPr>
                <w:rFonts w:ascii="Times New Roman" w:cs="Times New Roman" w:eastAsia="Times New Roman" w:hAnsi="Times New Roman"/>
                <w:sz w:val="16"/>
                <w:szCs w:val="16"/>
                <w:color w:val="B4B4B4"/>
                <w:w w:val="96"/>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(74)</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6"/>
              </w:rPr>
              <w:t xml:space="preserve">Comprehensive income (loss) </w:t>
            </w:r>
            <w:r>
              <w:rPr>
                <w:rFonts w:ascii="Times New Roman" w:cs="Times New Roman" w:eastAsia="Times New Roman" w:hAnsi="Times New Roman"/>
                <w:sz w:val="16"/>
                <w:szCs w:val="16"/>
                <w:color w:val="B4B4B4"/>
                <w:w w:val="96"/>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7"/>
              </w:rPr>
              <w:t xml:space="preserve">Dividends on preferred stock </w:t>
            </w:r>
            <w:r>
              <w:rPr>
                <w:rFonts w:ascii="Times New Roman" w:cs="Times New Roman" w:eastAsia="Times New Roman" w:hAnsi="Times New Roman"/>
                <w:sz w:val="16"/>
                <w:szCs w:val="16"/>
                <w:color w:val="B4B4B4"/>
                <w:w w:val="97"/>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 xml:space="preserve">Comprehensive income (loss) available (attributable) to common stockholders </w:t>
            </w:r>
            <w:r>
              <w:rPr>
                <w:rFonts w:ascii="Times New Roman" w:cs="Times New Roman" w:eastAsia="Times New Roman" w:hAnsi="Times New Roman"/>
                <w:sz w:val="16"/>
                <w:szCs w:val="16"/>
                <w:color w:val="B4B4B4"/>
                <w:w w:val="96"/>
              </w:rPr>
              <w:t>................................</w:t>
            </w:r>
          </w:p>
        </w:tc>
        <w:tc>
          <w:tcPr>
            <w:tcW w:w="34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60" w:type="dxa"/>
            <w:vAlign w:val="bottom"/>
          </w:tcPr>
          <w:p>
            <w:pPr>
              <w:spacing w:after="0"/>
              <w:rPr>
                <w:sz w:val="20"/>
                <w:szCs w:val="20"/>
                <w:color w:val="auto"/>
              </w:rPr>
            </w:pPr>
          </w:p>
        </w:tc>
        <w:tc>
          <w:tcPr>
            <w:tcW w:w="3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6"/>
              </w:rPr>
              <w:t xml:space="preserve">Weighted average number of common shares outstanding - basic </w:t>
            </w:r>
            <w:r>
              <w:rPr>
                <w:rFonts w:ascii="Times New Roman" w:cs="Times New Roman" w:eastAsia="Times New Roman" w:hAnsi="Times New Roman"/>
                <w:sz w:val="16"/>
                <w:szCs w:val="16"/>
                <w:color w:val="B4B4B4"/>
                <w:w w:val="96"/>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783.4</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618.4</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w w:val="97"/>
              </w:rPr>
              <w:t xml:space="preserve">Weighted average number of common shares outstanding - diluted </w:t>
            </w:r>
            <w:r>
              <w:rPr>
                <w:rFonts w:ascii="Times New Roman" w:cs="Times New Roman" w:eastAsia="Times New Roman" w:hAnsi="Times New Roman"/>
                <w:sz w:val="16"/>
                <w:szCs w:val="16"/>
                <w:color w:val="B4B4B4"/>
                <w:w w:val="97"/>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786.0</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619.6</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 xml:space="preserve">Net income (loss) per common share - basic </w:t>
            </w:r>
            <w:r>
              <w:rPr>
                <w:rFonts w:ascii="Times New Roman" w:cs="Times New Roman" w:eastAsia="Times New Roman" w:hAnsi="Times New Roman"/>
                <w:sz w:val="16"/>
                <w:szCs w:val="16"/>
                <w:color w:val="B4B4B4"/>
                <w:w w:val="96"/>
              </w:rPr>
              <w:t>.......................................................................................</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0.93</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 xml:space="preserve">Net income (loss) per common share - diluted </w:t>
            </w:r>
            <w:r>
              <w:rPr>
                <w:rFonts w:ascii="Times New Roman" w:cs="Times New Roman" w:eastAsia="Times New Roman" w:hAnsi="Times New Roman"/>
                <w:sz w:val="16"/>
                <w:szCs w:val="16"/>
                <w:color w:val="B4B4B4"/>
                <w:w w:val="96"/>
              </w:rPr>
              <w:t>....................................................................................</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0.93</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 xml:space="preserve">Comprehensive income (loss) per common share - basic </w:t>
            </w:r>
            <w:r>
              <w:rPr>
                <w:rFonts w:ascii="Times New Roman" w:cs="Times New Roman" w:eastAsia="Times New Roman" w:hAnsi="Times New Roman"/>
                <w:sz w:val="16"/>
                <w:szCs w:val="16"/>
                <w:color w:val="B4B4B4"/>
                <w:w w:val="96"/>
              </w:rPr>
              <w:t>....................................................................</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0.84</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 xml:space="preserve">Comprehensive income (loss) per common share - diluted </w:t>
            </w:r>
            <w:r>
              <w:rPr>
                <w:rFonts w:ascii="Times New Roman" w:cs="Times New Roman" w:eastAsia="Times New Roman" w:hAnsi="Times New Roman"/>
                <w:sz w:val="16"/>
                <w:szCs w:val="16"/>
                <w:color w:val="B4B4B4"/>
                <w:w w:val="96"/>
              </w:rPr>
              <w:t>.................................................................</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0.84</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 xml:space="preserve">Dividends declared per common share </w:t>
            </w:r>
            <w:r>
              <w:rPr>
                <w:rFonts w:ascii="Times New Roman" w:cs="Times New Roman" w:eastAsia="Times New Roman" w:hAnsi="Times New Roman"/>
                <w:sz w:val="16"/>
                <w:szCs w:val="16"/>
                <w:color w:val="B4B4B4"/>
                <w:w w:val="96"/>
              </w:rPr>
              <w:t>................................................................................................</w:t>
            </w:r>
          </w:p>
        </w:tc>
        <w:tc>
          <w:tcPr>
            <w:tcW w:w="34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60" w:type="dxa"/>
            <w:vAlign w:val="bottom"/>
          </w:tcPr>
          <w:p>
            <w:pPr>
              <w:spacing w:after="0"/>
              <w:rPr>
                <w:sz w:val="18"/>
                <w:szCs w:val="18"/>
                <w:color w:val="auto"/>
              </w:rPr>
            </w:pPr>
          </w:p>
        </w:tc>
        <w:tc>
          <w:tcPr>
            <w:tcW w:w="3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-2537460</wp:posOffset>
            </wp:positionV>
            <wp:extent cx="2344420" cy="50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3">
                      <a:extLst>
                        <a:ext uri="{28A0092B-C50C-407E-A947-70E740481C1C}"/>
                      </a:extLst>
                    </a:blip>
                    <a:srcRect/>
                    <a:stretch>
                      <a:fillRect/>
                    </a:stretch>
                  </pic:blipFill>
                  <pic:spPr bwMode="auto">
                    <a:xfrm>
                      <a:off x="0" y="0"/>
                      <a:ext cx="2344420" cy="5016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-1465580</wp:posOffset>
            </wp:positionV>
            <wp:extent cx="2344420" cy="50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4">
                      <a:extLst>
                        <a:ext uri="{28A0092B-C50C-407E-A947-70E740481C1C}"/>
                      </a:extLst>
                    </a:blip>
                    <a:srcRect/>
                    <a:stretch>
                      <a:fillRect/>
                    </a:stretch>
                  </pic:blipFill>
                  <pic:spPr bwMode="auto">
                    <a:xfrm>
                      <a:off x="0" y="0"/>
                      <a:ext cx="2344420" cy="5016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-1096645</wp:posOffset>
            </wp:positionV>
            <wp:extent cx="2344420" cy="50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5">
                      <a:extLst>
                        <a:ext uri="{28A0092B-C50C-407E-A947-70E740481C1C}"/>
                      </a:extLst>
                    </a:blip>
                    <a:srcRect/>
                    <a:stretch>
                      <a:fillRect/>
                    </a:stretch>
                  </pic:blipFill>
                  <pic:spPr bwMode="auto">
                    <a:xfrm>
                      <a:off x="0" y="0"/>
                      <a:ext cx="2344420" cy="5016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-920750</wp:posOffset>
            </wp:positionV>
            <wp:extent cx="2344420" cy="50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6">
                      <a:extLst>
                        <a:ext uri="{28A0092B-C50C-407E-A947-70E740481C1C}"/>
                      </a:extLst>
                    </a:blip>
                    <a:srcRect/>
                    <a:stretch>
                      <a:fillRect/>
                    </a:stretch>
                  </pic:blipFill>
                  <pic:spPr bwMode="auto">
                    <a:xfrm>
                      <a:off x="0" y="0"/>
                      <a:ext cx="2344420" cy="5016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-745490</wp:posOffset>
            </wp:positionV>
            <wp:extent cx="2344420" cy="50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7">
                      <a:extLst>
                        <a:ext uri="{28A0092B-C50C-407E-A947-70E740481C1C}"/>
                      </a:extLst>
                    </a:blip>
                    <a:srcRect/>
                    <a:stretch>
                      <a:fillRect/>
                    </a:stretch>
                  </pic:blipFill>
                  <pic:spPr bwMode="auto">
                    <a:xfrm>
                      <a:off x="0" y="0"/>
                      <a:ext cx="2344420" cy="5016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-569595</wp:posOffset>
            </wp:positionV>
            <wp:extent cx="2344420" cy="50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8">
                      <a:extLst>
                        <a:ext uri="{28A0092B-C50C-407E-A947-70E740481C1C}"/>
                      </a:extLst>
                    </a:blip>
                    <a:srcRect/>
                    <a:stretch>
                      <a:fillRect/>
                    </a:stretch>
                  </pic:blipFill>
                  <pic:spPr bwMode="auto">
                    <a:xfrm>
                      <a:off x="0" y="0"/>
                      <a:ext cx="2344420" cy="5016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-394335</wp:posOffset>
            </wp:positionV>
            <wp:extent cx="2344420"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9">
                      <a:extLst>
                        <a:ext uri="{28A0092B-C50C-407E-A947-70E740481C1C}"/>
                      </a:extLst>
                    </a:blip>
                    <a:srcRect/>
                    <a:stretch>
                      <a:fillRect/>
                    </a:stretch>
                  </pic:blipFill>
                  <pic:spPr bwMode="auto">
                    <a:xfrm>
                      <a:off x="0" y="0"/>
                      <a:ext cx="2344420" cy="5016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-218440</wp:posOffset>
            </wp:positionV>
            <wp:extent cx="2344420"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0">
                      <a:extLst>
                        <a:ext uri="{28A0092B-C50C-407E-A947-70E740481C1C}"/>
                      </a:extLst>
                    </a:blip>
                    <a:srcRect/>
                    <a:stretch>
                      <a:fillRect/>
                    </a:stretch>
                  </pic:blipFill>
                  <pic:spPr bwMode="auto">
                    <a:xfrm>
                      <a:off x="0" y="0"/>
                      <a:ext cx="2344420" cy="5016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-43180</wp:posOffset>
            </wp:positionV>
            <wp:extent cx="2344420" cy="50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1">
                      <a:extLst>
                        <a:ext uri="{28A0092B-C50C-407E-A947-70E740481C1C}"/>
                      </a:extLst>
                    </a:blip>
                    <a:srcRect/>
                    <a:stretch>
                      <a:fillRect/>
                    </a:stretch>
                  </pic:blipFill>
                  <pic:spPr bwMode="auto">
                    <a:xfrm>
                      <a:off x="0" y="0"/>
                      <a:ext cx="2344420" cy="50165"/>
                    </a:xfrm>
                    <a:prstGeom prst="rect">
                      <a:avLst/>
                    </a:prstGeom>
                    <a:noFill/>
                  </pic:spPr>
                </pic:pic>
              </a:graphicData>
            </a:graphic>
          </wp:anchor>
        </w:drawing>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9960"/>
          </w:cols>
          <w:pgMar w:left="960" w:top="711" w:right="960" w:bottom="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11"/>
        </w:trPr>
        <w:tc>
          <w:tcPr>
            <w:tcW w:w="6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27"/>
        </w:trPr>
        <w:tc>
          <w:tcPr>
            <w:tcW w:w="6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Other Data (Unaudited) *</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2"/>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Average investment securities - at par </w:t>
            </w:r>
            <w:r>
              <w:rPr>
                <w:rFonts w:ascii="Times New Roman" w:cs="Times New Roman" w:eastAsia="Times New Roman" w:hAnsi="Times New Roman"/>
                <w:sz w:val="16"/>
                <w:szCs w:val="16"/>
                <w:color w:val="B4B4B4"/>
                <w:w w:val="98"/>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61,613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50,878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47,761</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Average investment securities - at cost </w:t>
            </w:r>
            <w:r>
              <w:rPr>
                <w:rFonts w:ascii="Times New Roman" w:cs="Times New Roman" w:eastAsia="Times New Roman" w:hAnsi="Times New Roman"/>
                <w:sz w:val="16"/>
                <w:szCs w:val="16"/>
                <w:color w:val="B4B4B4"/>
                <w:w w:val="97"/>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62,698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52,262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49,195</w:t>
            </w:r>
          </w:p>
        </w:tc>
      </w:tr>
      <w:tr>
        <w:trPr>
          <w:trHeight w:val="324"/>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Net TBA portfolio - at par (as of period end) </w:t>
            </w:r>
            <w:r>
              <w:rPr>
                <w:rFonts w:ascii="Times New Roman" w:cs="Times New Roman" w:eastAsia="Times New Roman" w:hAnsi="Times New Roman"/>
                <w:sz w:val="20"/>
                <w:szCs w:val="20"/>
                <w:color w:val="auto"/>
                <w:w w:val="97"/>
                <w:vertAlign w:val="superscript"/>
              </w:rPr>
              <w:t>3</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6,955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5,331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19,050</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Net TBA portfolio - at cost (as of period end) </w:t>
            </w:r>
            <w:r>
              <w:rPr>
                <w:rFonts w:ascii="Times New Roman" w:cs="Times New Roman" w:eastAsia="Times New Roman" w:hAnsi="Times New Roman"/>
                <w:sz w:val="20"/>
                <w:szCs w:val="20"/>
                <w:color w:val="auto"/>
                <w:w w:val="97"/>
                <w:vertAlign w:val="superscript"/>
              </w:rPr>
              <w:t>3</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6,887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5,288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18,407</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Net TBA portfolio - at market value (as of period end) </w:t>
            </w:r>
            <w:r>
              <w:rPr>
                <w:rFonts w:ascii="Times New Roman" w:cs="Times New Roman" w:eastAsia="Times New Roman" w:hAnsi="Times New Roman"/>
                <w:sz w:val="20"/>
                <w:szCs w:val="20"/>
                <w:color w:val="auto"/>
                <w:w w:val="97"/>
                <w:vertAlign w:val="superscript"/>
              </w:rPr>
              <w:t>3</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6,861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5,354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18,574</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Net TBA portfolio - at carrying value (as of period end) </w:t>
            </w:r>
            <w:r>
              <w:rPr>
                <w:rFonts w:ascii="Times New Roman" w:cs="Times New Roman" w:eastAsia="Times New Roman" w:hAnsi="Times New Roman"/>
                <w:sz w:val="20"/>
                <w:szCs w:val="20"/>
                <w:color w:val="auto"/>
                <w:w w:val="97"/>
                <w:vertAlign w:val="superscript"/>
              </w:rPr>
              <w:t>3,4</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167</w:t>
            </w:r>
          </w:p>
        </w:tc>
      </w:tr>
      <w:tr>
        <w:trPr>
          <w:trHeight w:val="229"/>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Average net TBA dollar roll position - at cost </w:t>
            </w:r>
            <w:r>
              <w:rPr>
                <w:rFonts w:ascii="Times New Roman" w:cs="Times New Roman" w:eastAsia="Times New Roman" w:hAnsi="Times New Roman"/>
                <w:sz w:val="16"/>
                <w:szCs w:val="16"/>
                <w:color w:val="B4B4B4"/>
                <w:w w:val="97"/>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5,389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20,631</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Average total assets - at fair value </w:t>
            </w:r>
            <w:r>
              <w:rPr>
                <w:rFonts w:ascii="Times New Roman" w:cs="Times New Roman" w:eastAsia="Times New Roman" w:hAnsi="Times New Roman"/>
                <w:sz w:val="16"/>
                <w:szCs w:val="16"/>
                <w:color w:val="B4B4B4"/>
                <w:w w:val="98"/>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79,058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63,409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61,028</w:t>
            </w:r>
          </w:p>
        </w:tc>
      </w:tr>
      <w:tr>
        <w:trPr>
          <w:trHeight w:val="324"/>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Average repurchase agreements and other debt outstanding </w:t>
            </w:r>
            <w:r>
              <w:rPr>
                <w:rFonts w:ascii="Times New Roman" w:cs="Times New Roman" w:eastAsia="Times New Roman" w:hAnsi="Times New Roman"/>
                <w:sz w:val="20"/>
                <w:szCs w:val="20"/>
                <w:color w:val="auto"/>
                <w:w w:val="97"/>
                <w:vertAlign w:val="superscript"/>
              </w:rPr>
              <w:t>5</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54,658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44,027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41,363</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Average stockholders' equity </w:t>
            </w:r>
            <w:r>
              <w:rPr>
                <w:rFonts w:ascii="Times New Roman" w:cs="Times New Roman" w:eastAsia="Times New Roman" w:hAnsi="Times New Roman"/>
                <w:sz w:val="20"/>
                <w:szCs w:val="20"/>
                <w:color w:val="auto"/>
                <w:w w:val="97"/>
                <w:vertAlign w:val="superscript"/>
              </w:rPr>
              <w:t>6</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8,885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7,817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8,475</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Average tangible net book value "at risk" leverage </w:t>
            </w:r>
            <w:r>
              <w:rPr>
                <w:rFonts w:ascii="Times New Roman" w:cs="Times New Roman" w:eastAsia="Times New Roman" w:hAnsi="Times New Roman"/>
                <w:sz w:val="20"/>
                <w:szCs w:val="20"/>
                <w:color w:val="auto"/>
                <w:w w:val="97"/>
                <w:vertAlign w:val="superscript"/>
              </w:rPr>
              <w:t>7</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Tangible net book value "at risk" leverage </w:t>
            </w:r>
            <w:r>
              <w:rPr>
                <w:rFonts w:ascii="Times New Roman" w:cs="Times New Roman" w:eastAsia="Times New Roman" w:hAnsi="Times New Roman"/>
                <w:sz w:val="16"/>
                <w:szCs w:val="16"/>
                <w:b w:val="1"/>
                <w:bCs w:val="1"/>
                <w:i w:val="1"/>
                <w:iCs w:val="1"/>
                <w:color w:val="auto"/>
                <w:w w:val="97"/>
              </w:rPr>
              <w:t>(as of period end)</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20"/>
                <w:szCs w:val="20"/>
                <w:color w:val="auto"/>
                <w:w w:val="97"/>
                <w:vertAlign w:val="superscript"/>
              </w:rPr>
              <w:t>8</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Economic return on tangible common equity </w:t>
            </w:r>
            <w:r>
              <w:rPr>
                <w:rFonts w:ascii="Times New Roman" w:cs="Times New Roman" w:eastAsia="Times New Roman" w:hAnsi="Times New Roman"/>
                <w:sz w:val="20"/>
                <w:szCs w:val="20"/>
                <w:color w:val="auto"/>
                <w:w w:val="97"/>
                <w:vertAlign w:val="superscript"/>
              </w:rPr>
              <w:t>9</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29"/>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Expenses % of average total assets </w:t>
            </w:r>
            <w:r>
              <w:rPr>
                <w:rFonts w:ascii="Times New Roman" w:cs="Times New Roman" w:eastAsia="Times New Roman" w:hAnsi="Times New Roman"/>
                <w:sz w:val="16"/>
                <w:szCs w:val="16"/>
                <w:color w:val="B4B4B4"/>
                <w:w w:val="98"/>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0.15 %</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0.12 %</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Expenses % of average assets, including average net TBA position </w:t>
            </w:r>
            <w:r>
              <w:rPr>
                <w:rFonts w:ascii="Times New Roman" w:cs="Times New Roman" w:eastAsia="Times New Roman" w:hAnsi="Times New Roman"/>
                <w:sz w:val="16"/>
                <w:szCs w:val="16"/>
                <w:color w:val="B4B4B4"/>
                <w:w w:val="98"/>
              </w:rPr>
              <w: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0.09 %</w:t>
            </w:r>
          </w:p>
        </w:tc>
      </w:tr>
      <w:tr>
        <w:trPr>
          <w:trHeight w:val="27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Expenses % of average stockholders' equity </w:t>
            </w:r>
            <w:r>
              <w:rPr>
                <w:rFonts w:ascii="Times New Roman" w:cs="Times New Roman" w:eastAsia="Times New Roman" w:hAnsi="Times New Roman"/>
                <w:sz w:val="16"/>
                <w:szCs w:val="16"/>
                <w:color w:val="B4B4B4"/>
                <w:w w:val="98"/>
              </w:rPr>
              <w: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0.87 %</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Except as noted below, average numbers for each period are weighted based on days on our books and records.</w:t>
      </w:r>
    </w:p>
    <w:p>
      <w:pPr>
        <w:ind w:left="700" w:hanging="347"/>
        <w:spacing w:after="0" w:line="242" w:lineRule="auto"/>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book value per common share is calculated as total stockholders' equity, less preferred stock liquidation preference, divided by number of common shares outstanding as of period end.</w:t>
      </w:r>
    </w:p>
    <w:p>
      <w:pPr>
        <w:spacing w:after="0" w:line="1"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Tangible net book value per common share excludes goodwill.</w:t>
      </w:r>
    </w:p>
    <w:p>
      <w:pPr>
        <w:spacing w:after="0" w:line="2"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TBA dollar roll position and, if applicable, forward settling securities.</w:t>
      </w:r>
    </w:p>
    <w:p>
      <w:pPr>
        <w:spacing w:after="0" w:line="2" w:lineRule="exact"/>
        <w:rPr>
          <w:rFonts w:ascii="Times New Roman" w:cs="Times New Roman" w:eastAsia="Times New Roman" w:hAnsi="Times New Roman"/>
          <w:sz w:val="16"/>
          <w:szCs w:val="16"/>
          <w:color w:val="auto"/>
        </w:rPr>
      </w:pPr>
    </w:p>
    <w:p>
      <w:pPr>
        <w:ind w:left="700" w:hanging="347"/>
        <w:spacing w:after="0" w:line="242" w:lineRule="auto"/>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spacing w:after="0" w:line="1" w:lineRule="exact"/>
        <w:rPr>
          <w:rFonts w:ascii="Times New Roman" w:cs="Times New Roman" w:eastAsia="Times New Roman" w:hAnsi="Times New Roman"/>
          <w:sz w:val="16"/>
          <w:szCs w:val="16"/>
          <w:color w:val="auto"/>
        </w:rPr>
      </w:pPr>
    </w:p>
    <w:p>
      <w:pPr>
        <w:ind w:left="700" w:hanging="347"/>
        <w:spacing w:after="0" w:line="242" w:lineRule="auto"/>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spacing w:after="0" w:line="1"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stockholders' equity calculated as average month-ended stockholders' equity during the period.</w:t>
      </w:r>
    </w:p>
    <w:p>
      <w:pPr>
        <w:spacing w:after="0" w:line="2" w:lineRule="exact"/>
        <w:rPr>
          <w:rFonts w:ascii="Times New Roman" w:cs="Times New Roman" w:eastAsia="Times New Roman" w:hAnsi="Times New Roman"/>
          <w:sz w:val="16"/>
          <w:szCs w:val="16"/>
          <w:color w:val="auto"/>
        </w:rPr>
      </w:pPr>
    </w:p>
    <w:p>
      <w:pPr>
        <w:jc w:val="both"/>
        <w:ind w:left="700" w:hanging="347"/>
        <w:spacing w:after="0" w:line="242" w:lineRule="auto"/>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2" w:lineRule="exact"/>
        <w:rPr>
          <w:rFonts w:ascii="Times New Roman" w:cs="Times New Roman" w:eastAsia="Times New Roman" w:hAnsi="Times New Roman"/>
          <w:sz w:val="16"/>
          <w:szCs w:val="16"/>
          <w:color w:val="auto"/>
        </w:rPr>
      </w:pPr>
    </w:p>
    <w:p>
      <w:pPr>
        <w:jc w:val="both"/>
        <w:ind w:left="700" w:hanging="347"/>
        <w:spacing w:after="0" w:line="242" w:lineRule="auto"/>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Tangible net book value "at risk" leverage as of period end is calculated by dividing the sum of mortgage borrowings outstanding and receivable/ payable for unsettled investment securities as of period end by the sum of total stockholders' equity adjusted to exclude goodwill as of period end. Leverage excludes U.S. Treasury repurchase agreements.</w:t>
      </w:r>
    </w:p>
    <w:p>
      <w:pPr>
        <w:spacing w:after="0" w:line="2" w:lineRule="exact"/>
        <w:rPr>
          <w:rFonts w:ascii="Times New Roman" w:cs="Times New Roman" w:eastAsia="Times New Roman" w:hAnsi="Times New Roman"/>
          <w:sz w:val="16"/>
          <w:szCs w:val="16"/>
          <w:color w:val="auto"/>
        </w:rPr>
      </w:pPr>
    </w:p>
    <w:p>
      <w:pPr>
        <w:ind w:left="700" w:hanging="347"/>
        <w:spacing w:after="0" w:line="245" w:lineRule="auto"/>
        <w:tabs>
          <w:tab w:leader="none" w:pos="7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ectPr>
          <w:pgSz w:w="11880" w:h="15480" w:orient="portrait"/>
          <w:cols w:equalWidth="0" w:num="1">
            <w:col w:w="9960"/>
          </w:cols>
          <w:pgMar w:left="960" w:top="79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9960"/>
          </w:cols>
          <w:pgMar w:left="960" w:top="798" w:right="96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9"/>
          <w:szCs w:val="19"/>
          <w:b w:val="1"/>
          <w:bCs w:val="1"/>
          <w:i w:val="1"/>
          <w:iCs w:val="1"/>
          <w:color w:val="auto"/>
        </w:rPr>
        <w:t>Economic Interest Income and Asset Yields</w:t>
      </w:r>
    </w:p>
    <w:p>
      <w:pPr>
        <w:spacing w:after="0" w:line="196"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following table summarizes our economic interest income (a non-GAAP measure) for fiscal years 2024, 2023 and 2022,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211"/>
        </w:trPr>
        <w:tc>
          <w:tcPr>
            <w:tcW w:w="47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Fiscal Year</w:t>
            </w: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700" w:type="dxa"/>
            <w:vAlign w:val="bottom"/>
          </w:tcPr>
          <w:p>
            <w:pPr>
              <w:spacing w:after="0"/>
              <w:rPr>
                <w:sz w:val="23"/>
                <w:szCs w:val="23"/>
                <w:color w:val="auto"/>
              </w:rPr>
            </w:pPr>
          </w:p>
        </w:tc>
        <w:tc>
          <w:tcPr>
            <w:tcW w:w="96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Yield</w:t>
            </w:r>
          </w:p>
        </w:tc>
        <w:tc>
          <w:tcPr>
            <w:tcW w:w="60" w:type="dxa"/>
            <w:vAlign w:val="bottom"/>
          </w:tcPr>
          <w:p>
            <w:pPr>
              <w:spacing w:after="0"/>
              <w:rPr>
                <w:sz w:val="23"/>
                <w:szCs w:val="23"/>
                <w:color w:val="auto"/>
              </w:rPr>
            </w:pPr>
          </w:p>
        </w:tc>
        <w:tc>
          <w:tcPr>
            <w:tcW w:w="9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Yield</w:t>
            </w:r>
          </w:p>
        </w:tc>
        <w:tc>
          <w:tcPr>
            <w:tcW w:w="60" w:type="dxa"/>
            <w:vAlign w:val="bottom"/>
          </w:tcPr>
          <w:p>
            <w:pPr>
              <w:spacing w:after="0"/>
              <w:rPr>
                <w:sz w:val="23"/>
                <w:szCs w:val="23"/>
                <w:color w:val="auto"/>
              </w:rPr>
            </w:pPr>
          </w:p>
        </w:tc>
        <w:tc>
          <w:tcPr>
            <w:tcW w:w="96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Yield</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7"/>
              </w:rPr>
              <w:t xml:space="preserve">Cash/coupon interest income </w:t>
            </w:r>
            <w:r>
              <w:rPr>
                <w:rFonts w:ascii="Times New Roman" w:cs="Times New Roman" w:eastAsia="Times New Roman" w:hAnsi="Times New Roman"/>
                <w:sz w:val="16"/>
                <w:szCs w:val="16"/>
                <w:color w:val="B4B4B4"/>
                <w:w w:val="97"/>
              </w:rPr>
              <w:t>.....................................................................</w:t>
            </w: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$ 3,072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4.99 %</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$ 2,242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8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$ 1,603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0" w:type="dxa"/>
            <w:vAlign w:val="bottom"/>
          </w:tcPr>
          <w:p>
            <w:pPr>
              <w:spacing w:after="0"/>
              <w:rPr>
                <w:sz w:val="1"/>
                <w:szCs w:val="1"/>
                <w:color w:val="auto"/>
              </w:rPr>
            </w:pPr>
          </w:p>
        </w:tc>
      </w:tr>
      <w:tr>
        <w:trPr>
          <w:trHeight w:val="254"/>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7"/>
              </w:rPr>
              <w:t xml:space="preserve">Net premium amortization benefit (cost) </w:t>
            </w:r>
            <w:r>
              <w:rPr>
                <w:rFonts w:ascii="Times New Roman" w:cs="Times New Roman" w:eastAsia="Times New Roman" w:hAnsi="Times New Roman"/>
                <w:sz w:val="16"/>
                <w:szCs w:val="16"/>
                <w:color w:val="B4B4B4"/>
                <w:w w:val="97"/>
              </w:rPr>
              <w:t>...................................................</w:t>
            </w:r>
          </w:p>
        </w:tc>
        <w:tc>
          <w:tcPr>
            <w:tcW w:w="7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60" w:type="dxa"/>
            <w:vAlign w:val="bottom"/>
          </w:tcPr>
          <w:p>
            <w:pPr>
              <w:spacing w:after="0"/>
              <w:rPr>
                <w:sz w:val="22"/>
                <w:szCs w:val="22"/>
                <w:color w:val="auto"/>
              </w:rPr>
            </w:pPr>
          </w:p>
        </w:tc>
        <w:tc>
          <w:tcPr>
            <w:tcW w:w="7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60" w:type="dxa"/>
            <w:vAlign w:val="bottom"/>
          </w:tcPr>
          <w:p>
            <w:pPr>
              <w:spacing w:after="0"/>
              <w:rPr>
                <w:sz w:val="22"/>
                <w:szCs w:val="22"/>
                <w:color w:val="auto"/>
              </w:rPr>
            </w:pPr>
          </w:p>
        </w:tc>
        <w:tc>
          <w:tcPr>
            <w:tcW w:w="7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21"/>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 xml:space="preserve">Interest income (GAAP measure) </w:t>
            </w:r>
            <w:r>
              <w:rPr>
                <w:rFonts w:ascii="Times New Roman" w:cs="Times New Roman" w:eastAsia="Times New Roman" w:hAnsi="Times New Roman"/>
                <w:sz w:val="16"/>
                <w:szCs w:val="16"/>
                <w:color w:val="B4B4B4"/>
                <w:w w:val="96"/>
              </w:rPr>
              <w:t>................................................................</w:t>
            </w: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4.70 %</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3.91 %</w:t>
            </w:r>
          </w:p>
        </w:tc>
        <w:tc>
          <w:tcPr>
            <w:tcW w:w="8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1,590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0" w:type="dxa"/>
            <w:vAlign w:val="bottom"/>
          </w:tcPr>
          <w:p>
            <w:pPr>
              <w:spacing w:after="0"/>
              <w:rPr>
                <w:sz w:val="1"/>
                <w:szCs w:val="1"/>
                <w:color w:val="auto"/>
              </w:rPr>
            </w:pPr>
          </w:p>
        </w:tc>
      </w:tr>
      <w:tr>
        <w:trPr>
          <w:trHeight w:val="206"/>
        </w:trPr>
        <w:tc>
          <w:tcPr>
            <w:tcW w:w="470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w w:val="98"/>
              </w:rPr>
              <w:t>Estimated "catch-up" premium amortization cost (benefit) due to</w:t>
            </w:r>
          </w:p>
        </w:tc>
        <w:tc>
          <w:tcPr>
            <w:tcW w:w="74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60" w:type="dxa"/>
            <w:vAlign w:val="bottom"/>
            <w:vMerge w:val="restart"/>
          </w:tcPr>
          <w:p>
            <w:pPr>
              <w:spacing w:after="0"/>
              <w:rPr>
                <w:sz w:val="17"/>
                <w:szCs w:val="17"/>
                <w:color w:val="auto"/>
              </w:rPr>
            </w:pPr>
          </w:p>
        </w:tc>
        <w:tc>
          <w:tcPr>
            <w:tcW w:w="74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60" w:type="dxa"/>
            <w:vAlign w:val="bottom"/>
            <w:vMerge w:val="restart"/>
          </w:tcPr>
          <w:p>
            <w:pPr>
              <w:spacing w:after="0"/>
              <w:rPr>
                <w:sz w:val="17"/>
                <w:szCs w:val="17"/>
                <w:color w:val="auto"/>
              </w:rPr>
            </w:pPr>
          </w:p>
        </w:tc>
        <w:tc>
          <w:tcPr>
            <w:tcW w:w="74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(238)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08"/>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8"/>
              </w:rPr>
              <w:t xml:space="preserve">change in CPR forecast </w:t>
            </w:r>
            <w:r>
              <w:rPr>
                <w:rFonts w:ascii="Times New Roman" w:cs="Times New Roman" w:eastAsia="Times New Roman" w:hAnsi="Times New Roman"/>
                <w:sz w:val="16"/>
                <w:szCs w:val="16"/>
                <w:color w:val="B4B4B4"/>
                <w:w w:val="98"/>
              </w:rPr>
              <w:t>.............................................................................</w:t>
            </w: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 xml:space="preserve">Interest income, excluding "catch-up" premium amortization </w:t>
            </w:r>
            <w:r>
              <w:rPr>
                <w:rFonts w:ascii="Times New Roman" w:cs="Times New Roman" w:eastAsia="Times New Roman" w:hAnsi="Times New Roman"/>
                <w:sz w:val="16"/>
                <w:szCs w:val="16"/>
                <w:color w:val="B4B4B4"/>
                <w:w w:val="96"/>
              </w:rPr>
              <w:t>....................</w:t>
            </w: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4.62 %</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8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1,352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0" w:type="dxa"/>
            <w:vAlign w:val="bottom"/>
          </w:tcPr>
          <w:p>
            <w:pPr>
              <w:spacing w:after="0"/>
              <w:rPr>
                <w:sz w:val="1"/>
                <w:szCs w:val="1"/>
                <w:color w:val="auto"/>
              </w:rPr>
            </w:pPr>
          </w:p>
        </w:tc>
      </w:tr>
      <w:tr>
        <w:trPr>
          <w:trHeight w:val="254"/>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7"/>
              </w:rPr>
              <w:t xml:space="preserve">TBA dollar roll income - implied interest income </w:t>
            </w:r>
            <w:r>
              <w:rPr>
                <w:rFonts w:ascii="Times New Roman" w:cs="Times New Roman" w:eastAsia="Times New Roman" w:hAnsi="Times New Roman"/>
                <w:sz w:val="20"/>
                <w:szCs w:val="20"/>
                <w:color w:val="auto"/>
                <w:w w:val="97"/>
                <w:vertAlign w:val="superscript"/>
              </w:rPr>
              <w:t>1,2</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B4B4B4"/>
                <w:w w:val="97"/>
              </w:rPr>
              <w:t>................................</w:t>
            </w: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5.55 %</w:t>
            </w:r>
          </w:p>
        </w:tc>
        <w:tc>
          <w:tcPr>
            <w:tcW w:w="60" w:type="dxa"/>
            <w:vAlign w:val="bottom"/>
          </w:tcPr>
          <w:p>
            <w:pPr>
              <w:spacing w:after="0"/>
              <w:rPr>
                <w:sz w:val="22"/>
                <w:szCs w:val="22"/>
                <w:color w:val="auto"/>
              </w:rPr>
            </w:pPr>
          </w:p>
        </w:tc>
        <w:tc>
          <w:tcPr>
            <w:tcW w:w="7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60" w:type="dxa"/>
            <w:vAlign w:val="bottom"/>
          </w:tcPr>
          <w:p>
            <w:pPr>
              <w:spacing w:after="0"/>
              <w:rPr>
                <w:sz w:val="22"/>
                <w:szCs w:val="22"/>
                <w:color w:val="auto"/>
              </w:rPr>
            </w:pP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746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0" w:type="dxa"/>
            <w:vAlign w:val="bottom"/>
          </w:tcPr>
          <w:p>
            <w:pPr>
              <w:spacing w:after="0"/>
              <w:rPr>
                <w:sz w:val="1"/>
                <w:szCs w:val="1"/>
                <w:color w:val="auto"/>
              </w:rPr>
            </w:pPr>
          </w:p>
        </w:tc>
      </w:tr>
      <w:tr>
        <w:trPr>
          <w:trHeight w:val="208"/>
        </w:trPr>
        <w:tc>
          <w:tcPr>
            <w:tcW w:w="4700" w:type="dxa"/>
            <w:vAlign w:val="bottom"/>
          </w:tcPr>
          <w:p>
            <w:pPr>
              <w:jc w:val="right"/>
              <w:ind w:right="42"/>
              <w:spacing w:after="0" w:line="208" w:lineRule="exact"/>
              <w:rPr>
                <w:sz w:val="20"/>
                <w:szCs w:val="20"/>
                <w:color w:val="auto"/>
              </w:rPr>
            </w:pPr>
            <w:r>
              <w:rPr>
                <w:rFonts w:ascii="Times New Roman" w:cs="Times New Roman" w:eastAsia="Times New Roman" w:hAnsi="Times New Roman"/>
                <w:sz w:val="16"/>
                <w:szCs w:val="16"/>
                <w:color w:val="auto"/>
                <w:w w:val="96"/>
              </w:rPr>
              <w:t xml:space="preserve">Economic interest income (non-GAAP measure) </w:t>
            </w:r>
            <w:r>
              <w:rPr>
                <w:rFonts w:ascii="Times New Roman" w:cs="Times New Roman" w:eastAsia="Times New Roman" w:hAnsi="Times New Roman"/>
                <w:sz w:val="20"/>
                <w:szCs w:val="20"/>
                <w:color w:val="auto"/>
                <w:w w:val="96"/>
                <w:vertAlign w:val="superscript"/>
              </w:rPr>
              <w:t>3</w:t>
            </w:r>
            <w:r>
              <w:rPr>
                <w:rFonts w:ascii="Times New Roman" w:cs="Times New Roman" w:eastAsia="Times New Roman" w:hAnsi="Times New Roman"/>
                <w:sz w:val="16"/>
                <w:szCs w:val="16"/>
                <w:color w:val="auto"/>
                <w:w w:val="96"/>
              </w:rPr>
              <w:t xml:space="preserve"> </w:t>
            </w:r>
            <w:r>
              <w:rPr>
                <w:rFonts w:ascii="Times New Roman" w:cs="Times New Roman" w:eastAsia="Times New Roman" w:hAnsi="Times New Roman"/>
                <w:sz w:val="16"/>
                <w:szCs w:val="16"/>
                <w:color w:val="B4B4B4"/>
                <w:w w:val="96"/>
              </w:rPr>
              <w:t>.....................................</w:t>
            </w: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$ 3,198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4.70 %</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$ 2,560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8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$ 2,098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actual portfolio CPR for investment securities held</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700" w:type="dxa"/>
            <w:vAlign w:val="bottom"/>
            <w:vMerge w:val="continue"/>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 xml:space="preserve">during the period </w:t>
            </w:r>
            <w:r>
              <w:rPr>
                <w:rFonts w:ascii="Times New Roman" w:cs="Times New Roman" w:eastAsia="Times New Roman" w:hAnsi="Times New Roman"/>
                <w:sz w:val="16"/>
                <w:szCs w:val="16"/>
                <w:color w:val="B4B4B4"/>
                <w:w w:val="96"/>
              </w:rPr>
              <w:t>..........................................................................................</w:t>
            </w: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projected CPR for the remaining life of investment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 xml:space="preserve">securities held as of period end </w:t>
            </w:r>
            <w:r>
              <w:rPr>
                <w:rFonts w:ascii="Times New Roman" w:cs="Times New Roman" w:eastAsia="Times New Roman" w:hAnsi="Times New Roman"/>
                <w:sz w:val="16"/>
                <w:szCs w:val="16"/>
                <w:color w:val="B4B4B4"/>
                <w:w w:val="96"/>
              </w:rPr>
              <w:t>....................................................................</w:t>
            </w: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5"/>
              </w:rPr>
              <w:t xml:space="preserve">30-year fixed rate mortgage rate as of period end </w:t>
            </w:r>
            <w:r>
              <w:rPr>
                <w:rFonts w:ascii="Times New Roman" w:cs="Times New Roman" w:eastAsia="Times New Roman" w:hAnsi="Times New Roman"/>
                <w:sz w:val="20"/>
                <w:szCs w:val="20"/>
                <w:color w:val="auto"/>
                <w:w w:val="95"/>
                <w:vertAlign w:val="superscript"/>
              </w:rPr>
              <w:t>4</w:t>
            </w:r>
            <w:r>
              <w:rPr>
                <w:rFonts w:ascii="Times New Roman" w:cs="Times New Roman" w:eastAsia="Times New Roman" w:hAnsi="Times New Roman"/>
                <w:sz w:val="16"/>
                <w:szCs w:val="16"/>
                <w:color w:val="auto"/>
                <w:w w:val="95"/>
              </w:rPr>
              <w:t xml:space="preserve"> </w:t>
            </w:r>
            <w:r>
              <w:rPr>
                <w:rFonts w:ascii="Times New Roman" w:cs="Times New Roman" w:eastAsia="Times New Roman" w:hAnsi="Times New Roman"/>
                <w:sz w:val="16"/>
                <w:szCs w:val="16"/>
                <w:color w:val="B4B4B4"/>
                <w:w w:val="9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6.52 %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5"/>
              </w:rPr>
              <w:t xml:space="preserve">10-year U.S. Treasury rate as of period end </w:t>
            </w:r>
            <w:r>
              <w:rPr>
                <w:rFonts w:ascii="Times New Roman" w:cs="Times New Roman" w:eastAsia="Times New Roman" w:hAnsi="Times New Roman"/>
                <w:sz w:val="20"/>
                <w:szCs w:val="20"/>
                <w:color w:val="auto"/>
                <w:w w:val="95"/>
                <w:vertAlign w:val="superscript"/>
              </w:rPr>
              <w:t>4</w:t>
            </w:r>
            <w:r>
              <w:rPr>
                <w:rFonts w:ascii="Times New Roman" w:cs="Times New Roman" w:eastAsia="Times New Roman" w:hAnsi="Times New Roman"/>
                <w:sz w:val="16"/>
                <w:szCs w:val="16"/>
                <w:color w:val="auto"/>
                <w:w w:val="95"/>
              </w:rPr>
              <w:t xml:space="preserve"> </w:t>
            </w:r>
            <w:r>
              <w:rPr>
                <w:rFonts w:ascii="Times New Roman" w:cs="Times New Roman" w:eastAsia="Times New Roman" w:hAnsi="Times New Roman"/>
                <w:sz w:val="16"/>
                <w:szCs w:val="16"/>
                <w:color w:val="B4B4B4"/>
                <w:w w:val="9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-1033780</wp:posOffset>
            </wp:positionV>
            <wp:extent cx="3065145"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2">
                      <a:extLst>
                        <a:ext uri="{28A0092B-C50C-407E-A947-70E740481C1C}"/>
                      </a:extLst>
                    </a:blip>
                    <a:srcRect/>
                    <a:stretch>
                      <a:fillRect/>
                    </a:stretch>
                  </pic:blipFill>
                  <pic:spPr bwMode="auto">
                    <a:xfrm>
                      <a:off x="0" y="0"/>
                      <a:ext cx="3065145" cy="5016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tabs>
          <w:tab w:leader="none" w:pos="7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gain (loss) on derivatives instruments and other securities, net in the accompanying consolidated statements of operations.</w:t>
      </w:r>
    </w:p>
    <w:p>
      <w:pPr>
        <w:jc w:val="both"/>
        <w:ind w:left="700" w:hanging="347"/>
        <w:spacing w:after="0" w:line="242" w:lineRule="auto"/>
        <w:tabs>
          <w:tab w:leader="none" w:pos="7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6"/>
          <w:szCs w:val="16"/>
          <w:b w:val="1"/>
          <w:bCs w:val="1"/>
          <w:i w:val="1"/>
          <w:iCs w:val="1"/>
          <w:color w:val="auto"/>
        </w:rPr>
        <w:t>Economic Interest Expense and Aggregate Cost of Funds</w:t>
      </w:r>
      <w:r>
        <w:rPr>
          <w:rFonts w:ascii="Times New Roman" w:cs="Times New Roman" w:eastAsia="Times New Roman" w:hAnsi="Times New Roman"/>
          <w:sz w:val="16"/>
          <w:szCs w:val="16"/>
          <w:color w:val="auto"/>
        </w:rPr>
        <w:t xml:space="preserve"> below). TBA dollar roll income represents the price differential, or "price drop," between the TBA price for current month settlement versus the 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3" w:lineRule="exact"/>
        <w:rPr>
          <w:rFonts w:ascii="Times New Roman" w:cs="Times New Roman" w:eastAsia="Times New Roman" w:hAnsi="Times New Roman"/>
          <w:sz w:val="16"/>
          <w:szCs w:val="16"/>
          <w:color w:val="auto"/>
        </w:rPr>
      </w:pPr>
    </w:p>
    <w:p>
      <w:pPr>
        <w:ind w:left="700" w:hanging="347"/>
        <w:spacing w:after="0" w:line="242" w:lineRule="auto"/>
        <w:tabs>
          <w:tab w:leader="none" w:pos="7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asset yield is calculated on a weighted average basis based on our average investment and TBA balances outstanding during the period and their respective yields.</w:t>
      </w:r>
    </w:p>
    <w:p>
      <w:pPr>
        <w:spacing w:after="0" w:line="1"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30-year fixed rate mortgage rates are sourced from Optimal Blue. 10-year U.S. Treasury rates are sourced from Bloomberg.</w:t>
      </w:r>
    </w:p>
    <w:p>
      <w:pPr>
        <w:spacing w:after="0" w:line="149"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fiscal years 2024 and 2023 compared to the prior year period (in millions):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25400</wp:posOffset>
                </wp:positionV>
                <wp:extent cx="630174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7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pt" to="496.35pt,2pt" o:allowincell="f" strokecolor="#000000" strokeweight="1pt"/>
            </w:pict>
          </mc:Fallback>
        </mc:AlternateConten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Due to Change in Average</w:t>
            </w:r>
          </w:p>
        </w:tc>
        <w:tc>
          <w:tcPr>
            <w:tcW w:w="0" w:type="dxa"/>
            <w:vAlign w:val="bottom"/>
          </w:tcPr>
          <w:p>
            <w:pPr>
              <w:spacing w:after="0"/>
              <w:rPr>
                <w:sz w:val="1"/>
                <w:szCs w:val="1"/>
                <w:color w:val="auto"/>
              </w:rPr>
            </w:pPr>
          </w:p>
        </w:tc>
      </w:tr>
      <w:tr>
        <w:trPr>
          <w:trHeight w:val="180"/>
        </w:trPr>
        <w:tc>
          <w:tcPr>
            <w:tcW w:w="59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2024 vs 2023</w:t>
            </w:r>
          </w:p>
        </w:tc>
        <w:tc>
          <w:tcPr>
            <w:tcW w:w="80" w:type="dxa"/>
            <w:vAlign w:val="bottom"/>
          </w:tcPr>
          <w:p>
            <w:pPr>
              <w:spacing w:after="0"/>
              <w:rPr>
                <w:sz w:val="15"/>
                <w:szCs w:val="15"/>
                <w:color w:val="auto"/>
              </w:rPr>
            </w:pPr>
          </w:p>
        </w:tc>
        <w:tc>
          <w:tcPr>
            <w:tcW w:w="1340" w:type="dxa"/>
            <w:vAlign w:val="bottom"/>
            <w:gridSpan w:val="3"/>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Increase /</w:t>
            </w:r>
          </w:p>
        </w:tc>
        <w:tc>
          <w:tcPr>
            <w:tcW w:w="220" w:type="dxa"/>
            <w:vAlign w:val="bottom"/>
          </w:tcPr>
          <w:p>
            <w:pPr>
              <w:spacing w:after="0"/>
              <w:rPr>
                <w:sz w:val="15"/>
                <w:szCs w:val="15"/>
                <w:color w:val="auto"/>
              </w:rPr>
            </w:pPr>
          </w:p>
        </w:tc>
        <w:tc>
          <w:tcPr>
            <w:tcW w:w="1000" w:type="dxa"/>
            <w:vAlign w:val="bottom"/>
          </w:tcPr>
          <w:p>
            <w:pPr>
              <w:jc w:val="right"/>
              <w:ind w:right="242"/>
              <w:spacing w:after="0" w:line="180" w:lineRule="exact"/>
              <w:rPr>
                <w:sz w:val="20"/>
                <w:szCs w:val="20"/>
                <w:color w:val="auto"/>
              </w:rPr>
            </w:pPr>
            <w:r>
              <w:rPr>
                <w:rFonts w:ascii="Times New Roman" w:cs="Times New Roman" w:eastAsia="Times New Roman" w:hAnsi="Times New Roman"/>
                <w:sz w:val="16"/>
                <w:szCs w:val="16"/>
                <w:b w:val="1"/>
                <w:bCs w:val="1"/>
                <w:color w:val="auto"/>
              </w:rPr>
              <w:t>Portfolio</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b w:val="1"/>
                <w:bCs w:val="1"/>
                <w:color w:val="auto"/>
              </w:rPr>
              <w:t>Asset</w:t>
            </w:r>
          </w:p>
        </w:tc>
        <w:tc>
          <w:tcPr>
            <w:tcW w:w="0" w:type="dxa"/>
            <w:vAlign w:val="bottom"/>
          </w:tcPr>
          <w:p>
            <w:pPr>
              <w:spacing w:after="0"/>
              <w:rPr>
                <w:sz w:val="1"/>
                <w:szCs w:val="1"/>
                <w:color w:val="auto"/>
              </w:rPr>
            </w:pPr>
          </w:p>
        </w:tc>
      </w:tr>
      <w:tr>
        <w:trPr>
          <w:trHeight w:val="208"/>
        </w:trPr>
        <w:tc>
          <w:tcPr>
            <w:tcW w:w="5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Size</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Yield</w:t>
            </w:r>
          </w:p>
        </w:tc>
        <w:tc>
          <w:tcPr>
            <w:tcW w:w="0" w:type="dxa"/>
            <w:vAlign w:val="bottom"/>
          </w:tcPr>
          <w:p>
            <w:pPr>
              <w:spacing w:after="0"/>
              <w:rPr>
                <w:sz w:val="1"/>
                <w:szCs w:val="1"/>
                <w:color w:val="auto"/>
              </w:rPr>
            </w:pPr>
          </w:p>
        </w:tc>
      </w:tr>
      <w:tr>
        <w:trPr>
          <w:trHeight w:val="221"/>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Interest Income (GAAP measure) </w:t>
            </w:r>
            <w:r>
              <w:rPr>
                <w:rFonts w:ascii="Times New Roman" w:cs="Times New Roman" w:eastAsia="Times New Roman" w:hAnsi="Times New Roman"/>
                <w:sz w:val="16"/>
                <w:szCs w:val="16"/>
                <w:color w:val="B4B4B4"/>
                <w:w w:val="97"/>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Pr>
          <w:p>
            <w:pPr>
              <w:spacing w:after="0"/>
              <w:rPr>
                <w:sz w:val="19"/>
                <w:szCs w:val="19"/>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54"/>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 xml:space="preserve">Estimated "catch-up" premium amortization due to change in CPR forecast </w:t>
            </w:r>
            <w:r>
              <w:rPr>
                <w:rFonts w:ascii="Times New Roman" w:cs="Times New Roman" w:eastAsia="Times New Roman" w:hAnsi="Times New Roman"/>
                <w:sz w:val="16"/>
                <w:szCs w:val="16"/>
                <w:color w:val="B4B4B4"/>
                <w:w w:val="96"/>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1"/>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 xml:space="preserve">Interest income, excluding "catch-up" premium amortization </w:t>
            </w:r>
            <w:r>
              <w:rPr>
                <w:rFonts w:ascii="Times New Roman" w:cs="Times New Roman" w:eastAsia="Times New Roman" w:hAnsi="Times New Roman"/>
                <w:sz w:val="16"/>
                <w:szCs w:val="16"/>
                <w:color w:val="B4B4B4"/>
                <w:w w:val="96"/>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54"/>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TBA dollar roll income - implied interest income </w:t>
            </w:r>
            <w:r>
              <w:rPr>
                <w:rFonts w:ascii="Times New Roman" w:cs="Times New Roman" w:eastAsia="Times New Roman" w:hAnsi="Times New Roman"/>
                <w:sz w:val="16"/>
                <w:szCs w:val="16"/>
                <w:color w:val="B4B4B4"/>
                <w:w w:val="97"/>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8"/>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Economic interest income, excluding "catch-up" amortization (non-GAAP measure) </w:t>
            </w:r>
            <w:r>
              <w:rPr>
                <w:rFonts w:ascii="Times New Roman" w:cs="Times New Roman" w:eastAsia="Times New Roman" w:hAnsi="Times New Roman"/>
                <w:sz w:val="16"/>
                <w:szCs w:val="16"/>
                <w:color w:val="B4B4B4"/>
                <w:w w:val="97"/>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Pr>
          <w:p>
            <w:pPr>
              <w:spacing w:after="0"/>
              <w:rPr>
                <w:sz w:val="18"/>
                <w:szCs w:val="18"/>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-43180</wp:posOffset>
            </wp:positionV>
            <wp:extent cx="2510790"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3">
                      <a:extLst>
                        <a:ext uri="{28A0092B-C50C-407E-A947-70E740481C1C}"/>
                      </a:extLst>
                    </a:blip>
                    <a:srcRect/>
                    <a:stretch>
                      <a:fillRect/>
                    </a:stretch>
                  </pic:blipFill>
                  <pic:spPr bwMode="auto">
                    <a:xfrm>
                      <a:off x="0" y="0"/>
                      <a:ext cx="2510790" cy="5016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Due to Change in Average</w:t>
            </w:r>
          </w:p>
        </w:tc>
        <w:tc>
          <w:tcPr>
            <w:tcW w:w="0" w:type="dxa"/>
            <w:vAlign w:val="bottom"/>
          </w:tcPr>
          <w:p>
            <w:pPr>
              <w:spacing w:after="0"/>
              <w:rPr>
                <w:sz w:val="1"/>
                <w:szCs w:val="1"/>
                <w:color w:val="auto"/>
              </w:rPr>
            </w:pPr>
          </w:p>
        </w:tc>
      </w:tr>
      <w:tr>
        <w:trPr>
          <w:trHeight w:val="180"/>
        </w:trPr>
        <w:tc>
          <w:tcPr>
            <w:tcW w:w="59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2023 vs 2022</w:t>
            </w:r>
          </w:p>
        </w:tc>
        <w:tc>
          <w:tcPr>
            <w:tcW w:w="80" w:type="dxa"/>
            <w:vAlign w:val="bottom"/>
          </w:tcPr>
          <w:p>
            <w:pPr>
              <w:spacing w:after="0"/>
              <w:rPr>
                <w:sz w:val="15"/>
                <w:szCs w:val="15"/>
                <w:color w:val="auto"/>
              </w:rPr>
            </w:pPr>
          </w:p>
        </w:tc>
        <w:tc>
          <w:tcPr>
            <w:tcW w:w="1340" w:type="dxa"/>
            <w:vAlign w:val="bottom"/>
            <w:gridSpan w:val="3"/>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Increase /</w:t>
            </w:r>
          </w:p>
        </w:tc>
        <w:tc>
          <w:tcPr>
            <w:tcW w:w="220" w:type="dxa"/>
            <w:vAlign w:val="bottom"/>
          </w:tcPr>
          <w:p>
            <w:pPr>
              <w:spacing w:after="0"/>
              <w:rPr>
                <w:sz w:val="15"/>
                <w:szCs w:val="15"/>
                <w:color w:val="auto"/>
              </w:rPr>
            </w:pPr>
          </w:p>
        </w:tc>
        <w:tc>
          <w:tcPr>
            <w:tcW w:w="1000" w:type="dxa"/>
            <w:vAlign w:val="bottom"/>
          </w:tcPr>
          <w:p>
            <w:pPr>
              <w:jc w:val="right"/>
              <w:ind w:right="242"/>
              <w:spacing w:after="0" w:line="180" w:lineRule="exact"/>
              <w:rPr>
                <w:sz w:val="20"/>
                <w:szCs w:val="20"/>
                <w:color w:val="auto"/>
              </w:rPr>
            </w:pPr>
            <w:r>
              <w:rPr>
                <w:rFonts w:ascii="Times New Roman" w:cs="Times New Roman" w:eastAsia="Times New Roman" w:hAnsi="Times New Roman"/>
                <w:sz w:val="16"/>
                <w:szCs w:val="16"/>
                <w:b w:val="1"/>
                <w:bCs w:val="1"/>
                <w:color w:val="auto"/>
              </w:rPr>
              <w:t>Portfolio</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b w:val="1"/>
                <w:bCs w:val="1"/>
                <w:color w:val="auto"/>
              </w:rPr>
              <w:t>Asset</w:t>
            </w:r>
          </w:p>
        </w:tc>
        <w:tc>
          <w:tcPr>
            <w:tcW w:w="0" w:type="dxa"/>
            <w:vAlign w:val="bottom"/>
          </w:tcPr>
          <w:p>
            <w:pPr>
              <w:spacing w:after="0"/>
              <w:rPr>
                <w:sz w:val="1"/>
                <w:szCs w:val="1"/>
                <w:color w:val="auto"/>
              </w:rPr>
            </w:pPr>
          </w:p>
        </w:tc>
      </w:tr>
      <w:tr>
        <w:trPr>
          <w:trHeight w:val="208"/>
        </w:trPr>
        <w:tc>
          <w:tcPr>
            <w:tcW w:w="5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Size</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Yield</w:t>
            </w:r>
          </w:p>
        </w:tc>
        <w:tc>
          <w:tcPr>
            <w:tcW w:w="0" w:type="dxa"/>
            <w:vAlign w:val="bottom"/>
          </w:tcPr>
          <w:p>
            <w:pPr>
              <w:spacing w:after="0"/>
              <w:rPr>
                <w:sz w:val="1"/>
                <w:szCs w:val="1"/>
                <w:color w:val="auto"/>
              </w:rPr>
            </w:pPr>
          </w:p>
        </w:tc>
      </w:tr>
      <w:tr>
        <w:trPr>
          <w:trHeight w:val="221"/>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Interest Income (GAAP measure) </w:t>
            </w:r>
            <w:r>
              <w:rPr>
                <w:rFonts w:ascii="Times New Roman" w:cs="Times New Roman" w:eastAsia="Times New Roman" w:hAnsi="Times New Roman"/>
                <w:sz w:val="16"/>
                <w:szCs w:val="16"/>
                <w:color w:val="B4B4B4"/>
                <w:w w:val="97"/>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19"/>
                <w:szCs w:val="19"/>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54"/>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Estimated "catch-up" premium amortization due to change in CPR forecast </w:t>
            </w:r>
            <w:r>
              <w:rPr>
                <w:rFonts w:ascii="Times New Roman" w:cs="Times New Roman" w:eastAsia="Times New Roman" w:hAnsi="Times New Roman"/>
                <w:sz w:val="16"/>
                <w:szCs w:val="16"/>
                <w:color w:val="B4B4B4"/>
                <w:w w:val="97"/>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21"/>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 xml:space="preserve">Interest income, excluding "catch-up" premium amortization </w:t>
            </w:r>
            <w:r>
              <w:rPr>
                <w:rFonts w:ascii="Times New Roman" w:cs="Times New Roman" w:eastAsia="Times New Roman" w:hAnsi="Times New Roman"/>
                <w:sz w:val="16"/>
                <w:szCs w:val="16"/>
                <w:color w:val="B4B4B4"/>
                <w:w w:val="96"/>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54"/>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TBA dollar roll income - implied interest income </w:t>
            </w:r>
            <w:r>
              <w:rPr>
                <w:rFonts w:ascii="Times New Roman" w:cs="Times New Roman" w:eastAsia="Times New Roman" w:hAnsi="Times New Roman"/>
                <w:sz w:val="16"/>
                <w:szCs w:val="16"/>
                <w:color w:val="B4B4B4"/>
                <w:w w:val="97"/>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8"/>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Economic interest income, excluding "catch-up" amortization (non-GAAP measure) </w:t>
            </w:r>
            <w:r>
              <w:rPr>
                <w:rFonts w:ascii="Times New Roman" w:cs="Times New Roman" w:eastAsia="Times New Roman" w:hAnsi="Times New Roman"/>
                <w:sz w:val="16"/>
                <w:szCs w:val="16"/>
                <w:color w:val="B4B4B4"/>
                <w:w w:val="97"/>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Pr>
          <w:p>
            <w:pPr>
              <w:spacing w:after="0"/>
              <w:rPr>
                <w:sz w:val="18"/>
                <w:szCs w:val="18"/>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-43180</wp:posOffset>
            </wp:positionV>
            <wp:extent cx="2510790"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4">
                      <a:extLst>
                        <a:ext uri="{28A0092B-C50C-407E-A947-70E740481C1C}"/>
                      </a:extLst>
                    </a:blip>
                    <a:srcRect/>
                    <a:stretch>
                      <a:fillRect/>
                    </a:stretch>
                  </pic:blipFill>
                  <pic:spPr bwMode="auto">
                    <a:xfrm>
                      <a:off x="0" y="0"/>
                      <a:ext cx="2510790" cy="50165"/>
                    </a:xfrm>
                    <a:prstGeom prst="rect">
                      <a:avLst/>
                    </a:prstGeom>
                    <a:noFill/>
                  </pic:spPr>
                </pic:pic>
              </a:graphicData>
            </a:graphic>
          </wp:anchor>
        </w:drawing>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9960"/>
          </w:cols>
          <w:pgMar w:left="960" w:top="704" w:right="960" w:bottom="0" w:gutter="0" w:footer="0" w:header="0"/>
          <w:type w:val="continuous"/>
        </w:sectPr>
      </w:pPr>
    </w:p>
    <w:bookmarkStart w:id="47" w:name="page48"/>
    <w:bookmarkEnd w:id="47"/>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Our average investment portfolio (at cost), inclusive of TBAs, increased 9% and decreased 11% for fiscal years 2024 and 2023, respectively, primarily due to changes in our capital base. The average yield on our investment portfolio, including TBA implied asset yields and excluding "catch-up" premium amortization, increased 59 and 111 basis points for fiscal years 2024 and 2023, respectively, largely as a result of shifting our asset portfolio from lower coupon holdings toward a greater share of higher coupon, specified pools.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Leverage</w:t>
      </w:r>
    </w:p>
    <w:p>
      <w:pPr>
        <w:spacing w:after="0" w:line="196"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30"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9"/>
          <w:szCs w:val="19"/>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19"/>
          <w:szCs w:val="19"/>
          <w:b w:val="1"/>
          <w:bCs w:val="1"/>
          <w:i w:val="1"/>
          <w:iCs w:val="1"/>
          <w:color w:val="auto"/>
        </w:rPr>
        <w:t>Liquidity and Capital Resources</w:t>
      </w:r>
      <w:r>
        <w:rPr>
          <w:rFonts w:ascii="Times New Roman" w:cs="Times New Roman" w:eastAsia="Times New Roman" w:hAnsi="Times New Roman"/>
          <w:sz w:val="19"/>
          <w:szCs w:val="19"/>
          <w:color w:val="auto"/>
        </w:rPr>
        <w:t xml:space="preserve"> in this Form 10-K for further discussion of TBA securities and dollar roll transactions). Repurchase agreements used to 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7"/>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Investment Securities Repurchase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4"/>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Net TBA Position</w:t>
            </w:r>
          </w:p>
        </w:tc>
        <w:tc>
          <w:tcPr>
            <w:tcW w:w="80" w:type="dxa"/>
            <w:vAlign w:val="bottom"/>
          </w:tcPr>
          <w:p>
            <w:pPr>
              <w:spacing w:after="0"/>
              <w:rPr>
                <w:sz w:val="13"/>
                <w:szCs w:val="13"/>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 Tangible</w:t>
            </w:r>
          </w:p>
        </w:tc>
        <w:tc>
          <w:tcPr>
            <w:tcW w:w="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Tangible Net</w:t>
            </w:r>
          </w:p>
        </w:tc>
        <w:tc>
          <w:tcPr>
            <w:tcW w:w="0" w:type="dxa"/>
            <w:vAlign w:val="bottom"/>
          </w:tcPr>
          <w:p>
            <w:pPr>
              <w:spacing w:after="0"/>
              <w:rPr>
                <w:sz w:val="1"/>
                <w:szCs w:val="1"/>
                <w:color w:val="auto"/>
              </w:rPr>
            </w:pPr>
          </w:p>
        </w:tc>
      </w:tr>
      <w:tr>
        <w:trPr>
          <w:trHeight w:val="136"/>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gridSpan w:val="7"/>
          </w:tcPr>
          <w:p>
            <w:pPr>
              <w:jc w:val="center"/>
              <w:ind w:right="64"/>
              <w:spacing w:after="0" w:line="136" w:lineRule="exact"/>
              <w:rPr>
                <w:sz w:val="20"/>
                <w:szCs w:val="20"/>
                <w:color w:val="auto"/>
              </w:rPr>
            </w:pPr>
            <w:r>
              <w:rPr>
                <w:rFonts w:ascii="Times New Roman" w:cs="Times New Roman" w:eastAsia="Times New Roman" w:hAnsi="Times New Roman"/>
                <w:sz w:val="12"/>
                <w:szCs w:val="12"/>
                <w:b w:val="1"/>
                <w:bCs w:val="1"/>
                <w:color w:val="auto"/>
              </w:rPr>
              <w:t xml:space="preserve">Agreements and Other Debt </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tcPr>
          <w:p>
            <w:pPr>
              <w:jc w:val="right"/>
              <w:ind w:right="304"/>
              <w:spacing w:after="0" w:line="136" w:lineRule="exact"/>
              <w:rPr>
                <w:sz w:val="20"/>
                <w:szCs w:val="20"/>
                <w:color w:val="auto"/>
              </w:rPr>
            </w:pPr>
            <w:r>
              <w:rPr>
                <w:rFonts w:ascii="Times New Roman" w:cs="Times New Roman" w:eastAsia="Times New Roman" w:hAnsi="Times New Roman"/>
                <w:sz w:val="12"/>
                <w:szCs w:val="12"/>
                <w:b w:val="1"/>
                <w:bCs w:val="1"/>
                <w:color w:val="auto"/>
              </w:rPr>
              <w:t xml:space="preserve">Long/(Short) </w:t>
            </w:r>
            <w:r>
              <w:rPr>
                <w:rFonts w:ascii="Times New Roman" w:cs="Times New Roman" w:eastAsia="Times New Roman" w:hAnsi="Times New Roman"/>
                <w:sz w:val="15"/>
                <w:szCs w:val="15"/>
                <w:b w:val="1"/>
                <w:bCs w:val="1"/>
                <w:color w:val="auto"/>
                <w:vertAlign w:val="superscript"/>
              </w:rPr>
              <w:t>2</w:t>
            </w: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1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Net Book Value</w:t>
            </w:r>
          </w:p>
        </w:tc>
        <w:tc>
          <w:tcPr>
            <w:tcW w:w="80" w:type="dxa"/>
            <w:vAlign w:val="bottom"/>
            <w:vMerge w:val="restart"/>
          </w:tcPr>
          <w:p>
            <w:pPr>
              <w:spacing w:after="0"/>
              <w:rPr>
                <w:sz w:val="4"/>
                <w:szCs w:val="4"/>
                <w:color w:val="auto"/>
              </w:rPr>
            </w:pPr>
          </w:p>
        </w:tc>
        <w:tc>
          <w:tcPr>
            <w:tcW w:w="116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Book Value "At</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restart"/>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60" w:type="dxa"/>
            <w:vAlign w:val="bottom"/>
          </w:tcPr>
          <w:p>
            <w:pPr>
              <w:spacing w:after="0"/>
              <w:rPr>
                <w:sz w:val="2"/>
                <w:szCs w:val="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80" w:type="dxa"/>
            <w:vAlign w:val="bottom"/>
          </w:tcPr>
          <w:p>
            <w:pPr>
              <w:spacing w:after="0"/>
              <w:rPr>
                <w:sz w:val="11"/>
                <w:szCs w:val="11"/>
                <w:color w:val="auto"/>
              </w:rPr>
            </w:pPr>
          </w:p>
        </w:tc>
        <w:tc>
          <w:tcPr>
            <w:tcW w:w="880" w:type="dxa"/>
            <w:vAlign w:val="bottom"/>
          </w:tcPr>
          <w:p>
            <w:pPr>
              <w:jc w:val="center"/>
              <w:ind w:left="214"/>
              <w:spacing w:after="0" w:line="136" w:lineRule="exact"/>
              <w:rPr>
                <w:sz w:val="20"/>
                <w:szCs w:val="20"/>
                <w:color w:val="auto"/>
              </w:rPr>
            </w:pPr>
            <w:r>
              <w:rPr>
                <w:rFonts w:ascii="Times New Roman" w:cs="Times New Roman" w:eastAsia="Times New Roman" w:hAnsi="Times New Roman"/>
                <w:sz w:val="14"/>
                <w:szCs w:val="14"/>
                <w:b w:val="1"/>
                <w:bCs w:val="1"/>
                <w:color w:val="auto"/>
                <w:w w:val="98"/>
              </w:rPr>
              <w:t>"At Risk"</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8"/>
              </w:rPr>
              <w:t>Risk" Leverage</w:t>
            </w:r>
          </w:p>
        </w:tc>
        <w:tc>
          <w:tcPr>
            <w:tcW w:w="0" w:type="dxa"/>
            <w:vAlign w:val="bottom"/>
          </w:tcPr>
          <w:p>
            <w:pPr>
              <w:spacing w:after="0"/>
              <w:rPr>
                <w:sz w:val="1"/>
                <w:szCs w:val="1"/>
                <w:color w:val="auto"/>
              </w:rPr>
            </w:pPr>
          </w:p>
        </w:tc>
      </w:tr>
      <w:tr>
        <w:trPr>
          <w:trHeight w:val="136"/>
        </w:trPr>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66"/>
              <w:spacing w:after="0" w:line="136" w:lineRule="exact"/>
              <w:rPr>
                <w:sz w:val="20"/>
                <w:szCs w:val="20"/>
                <w:color w:val="auto"/>
              </w:rPr>
            </w:pPr>
            <w:r>
              <w:rPr>
                <w:rFonts w:ascii="Times New Roman" w:cs="Times New Roman" w:eastAsia="Times New Roman" w:hAnsi="Times New Roman"/>
                <w:sz w:val="14"/>
                <w:szCs w:val="14"/>
                <w:b w:val="1"/>
                <w:bCs w:val="1"/>
                <w:color w:val="auto"/>
                <w:w w:val="93"/>
              </w:rPr>
              <w:t>Daily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64"/>
              <w:spacing w:after="0" w:line="136" w:lineRule="exact"/>
              <w:rPr>
                <w:sz w:val="20"/>
                <w:szCs w:val="20"/>
                <w:color w:val="auto"/>
              </w:rPr>
            </w:pPr>
            <w:r>
              <w:rPr>
                <w:rFonts w:ascii="Times New Roman" w:cs="Times New Roman" w:eastAsia="Times New Roman" w:hAnsi="Times New Roman"/>
                <w:sz w:val="14"/>
                <w:szCs w:val="14"/>
                <w:b w:val="1"/>
                <w:bCs w:val="1"/>
                <w:color w:val="auto"/>
                <w:w w:val="93"/>
              </w:rPr>
              <w:t>Daily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46"/>
              <w:spacing w:after="0" w:line="136" w:lineRule="exact"/>
              <w:rPr>
                <w:sz w:val="20"/>
                <w:szCs w:val="20"/>
                <w:color w:val="auto"/>
              </w:rPr>
            </w:pPr>
            <w:r>
              <w:rPr>
                <w:rFonts w:ascii="Times New Roman" w:cs="Times New Roman" w:eastAsia="Times New Roman" w:hAnsi="Times New Roman"/>
                <w:sz w:val="14"/>
                <w:szCs w:val="14"/>
                <w:b w:val="1"/>
                <w:bCs w:val="1"/>
                <w:color w:val="auto"/>
              </w:rPr>
              <w:t>Daily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6"/>
              </w:rPr>
              <w:t>Leverage during</w:t>
            </w:r>
          </w:p>
        </w:tc>
        <w:tc>
          <w:tcPr>
            <w:tcW w:w="80" w:type="dxa"/>
            <w:vAlign w:val="bottom"/>
          </w:tcPr>
          <w:p>
            <w:pPr>
              <w:spacing w:after="0"/>
              <w:rPr>
                <w:sz w:val="11"/>
                <w:szCs w:val="11"/>
                <w:color w:val="auto"/>
              </w:rPr>
            </w:pPr>
          </w:p>
        </w:tc>
        <w:tc>
          <w:tcPr>
            <w:tcW w:w="11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4"/>
        </w:trPr>
        <w:tc>
          <w:tcPr>
            <w:tcW w:w="31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0" w:type="dxa"/>
            <w:vAlign w:val="bottom"/>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4"/>
                <w:szCs w:val="4"/>
                <w:b w:val="1"/>
                <w:bCs w:val="1"/>
                <w:color w:val="auto"/>
                <w:w w:val="97"/>
              </w:rPr>
              <w:t>3</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85" w:lineRule="exact"/>
              <w:rPr>
                <w:sz w:val="20"/>
                <w:szCs w:val="20"/>
                <w:color w:val="auto"/>
              </w:rPr>
            </w:pPr>
            <w:r>
              <w:rPr>
                <w:rFonts w:ascii="Times New Roman" w:cs="Times New Roman" w:eastAsia="Times New Roman" w:hAnsi="Times New Roman"/>
                <w:sz w:val="14"/>
                <w:szCs w:val="14"/>
                <w:b w:val="1"/>
                <w:bCs w:val="1"/>
                <w:color w:val="auto"/>
                <w:w w:val="95"/>
              </w:rPr>
              <w:t xml:space="preserve">Period End </w:t>
            </w:r>
            <w:r>
              <w:rPr>
                <w:rFonts w:ascii="Times New Roman" w:cs="Times New Roman" w:eastAsia="Times New Roman" w:hAnsi="Times New Roman"/>
                <w:sz w:val="17"/>
                <w:szCs w:val="17"/>
                <w:b w:val="1"/>
                <w:bCs w:val="1"/>
                <w:color w:val="auto"/>
                <w:w w:val="95"/>
                <w:vertAlign w:val="superscript"/>
              </w:rPr>
              <w:t>4</w:t>
            </w:r>
          </w:p>
        </w:tc>
        <w:tc>
          <w:tcPr>
            <w:tcW w:w="0" w:type="dxa"/>
            <w:vAlign w:val="bottom"/>
          </w:tcPr>
          <w:p>
            <w:pPr>
              <w:spacing w:after="0"/>
              <w:rPr>
                <w:sz w:val="1"/>
                <w:szCs w:val="1"/>
                <w:color w:val="auto"/>
              </w:rPr>
            </w:pPr>
          </w:p>
        </w:tc>
      </w:tr>
      <w:tr>
        <w:trPr>
          <w:trHeight w:val="221"/>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2024</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59,690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63,759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7.2:1</w:t>
            </w:r>
          </w:p>
        </w:tc>
        <w:tc>
          <w:tcPr>
            <w:tcW w:w="280" w:type="dxa"/>
            <w:vAlign w:val="bottom"/>
          </w:tcPr>
          <w:p>
            <w:pPr>
              <w:spacing w:after="0"/>
              <w:rPr>
                <w:sz w:val="19"/>
                <w:szCs w:val="19"/>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7.2:1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 xml:space="preserve">September 30, 2024 </w:t>
            </w:r>
            <w:r>
              <w:rPr>
                <w:rFonts w:ascii="Times New Roman" w:cs="Times New Roman" w:eastAsia="Times New Roman" w:hAnsi="Times New Roman"/>
                <w:sz w:val="16"/>
                <w:szCs w:val="16"/>
                <w:color w:val="B4B4B4"/>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59,322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64,585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7.2:1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7.2:1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June 30, 2024 </w:t>
            </w:r>
            <w:r>
              <w:rPr>
                <w:rFonts w:ascii="Times New Roman" w:cs="Times New Roman" w:eastAsia="Times New Roman" w:hAnsi="Times New Roman"/>
                <w:sz w:val="16"/>
                <w:szCs w:val="16"/>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50,784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55,507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7.2:1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7.4:1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March 31, 2024</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48,730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49,894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7.0:1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7.1:1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2023</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47,548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52,643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7.4:1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7.0:1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 xml:space="preserve">September 30, 2023 </w:t>
            </w:r>
            <w:r>
              <w:rPr>
                <w:rFonts w:ascii="Times New Roman" w:cs="Times New Roman" w:eastAsia="Times New Roman" w:hAnsi="Times New Roman"/>
                <w:sz w:val="16"/>
                <w:szCs w:val="16"/>
                <w:color w:val="B4B4B4"/>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47,073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52,888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7.5:1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7.9:1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June 30, 2023 </w:t>
            </w:r>
            <w:r>
              <w:rPr>
                <w:rFonts w:ascii="Times New Roman" w:cs="Times New Roman" w:eastAsia="Times New Roman" w:hAnsi="Times New Roman"/>
                <w:sz w:val="16"/>
                <w:szCs w:val="16"/>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41,546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42,408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10,320</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7.2:1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7.2:1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March 31, 2023</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39,824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42,919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7.7:1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7.2:1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2022</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35,486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39,399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18,407</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7.8:1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7.4:1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 xml:space="preserve">September 30, 2022 </w:t>
            </w:r>
            <w:r>
              <w:rPr>
                <w:rFonts w:ascii="Times New Roman" w:cs="Times New Roman" w:eastAsia="Times New Roman" w:hAnsi="Times New Roman"/>
                <w:sz w:val="16"/>
                <w:szCs w:val="16"/>
                <w:color w:val="B4B4B4"/>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40,530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41,834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19,116</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8.1:1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8.7:1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June 30, 2022 </w:t>
            </w:r>
            <w:r>
              <w:rPr>
                <w:rFonts w:ascii="Times New Roman" w:cs="Times New Roman" w:eastAsia="Times New Roman" w:hAnsi="Times New Roman"/>
                <w:sz w:val="16"/>
                <w:szCs w:val="16"/>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42,997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44,243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7.8:1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7.4:1</w:t>
            </w:r>
          </w:p>
        </w:tc>
        <w:tc>
          <w:tcPr>
            <w:tcW w:w="0" w:type="dxa"/>
            <w:vAlign w:val="bottom"/>
          </w:tcPr>
          <w:p>
            <w:pPr>
              <w:spacing w:after="0"/>
              <w:rPr>
                <w:sz w:val="1"/>
                <w:szCs w:val="1"/>
                <w:color w:val="auto"/>
              </w:rPr>
            </w:pPr>
          </w:p>
        </w:tc>
      </w:tr>
      <w:tr>
        <w:trPr>
          <w:trHeight w:val="24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March 31, 2022</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46,570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47,940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20,152</w:t>
            </w:r>
          </w:p>
        </w:tc>
        <w:tc>
          <w:tcPr>
            <w:tcW w:w="960" w:type="dxa"/>
            <w:vAlign w:val="bottom"/>
            <w:gridSpan w:val="2"/>
          </w:tcPr>
          <w:p>
            <w:pPr>
              <w:jc w:val="center"/>
              <w:ind w:left="282"/>
              <w:spacing w:after="0"/>
              <w:rPr>
                <w:sz w:val="20"/>
                <w:szCs w:val="20"/>
                <w:color w:val="auto"/>
              </w:rPr>
            </w:pPr>
            <w:r>
              <w:rPr>
                <w:rFonts w:ascii="Times New Roman" w:cs="Times New Roman" w:eastAsia="Times New Roman" w:hAnsi="Times New Roman"/>
                <w:sz w:val="16"/>
                <w:szCs w:val="16"/>
                <w:color w:val="auto"/>
                <w:w w:val="98"/>
              </w:rPr>
              <w:t>7.8:1</w:t>
            </w:r>
          </w:p>
        </w:tc>
        <w:tc>
          <w:tcPr>
            <w:tcW w:w="280" w:type="dxa"/>
            <w:vAlign w:val="bottom"/>
          </w:tcPr>
          <w:p>
            <w:pPr>
              <w:spacing w:after="0"/>
              <w:rPr>
                <w:sz w:val="21"/>
                <w:szCs w:val="21"/>
                <w:color w:val="auto"/>
              </w:rPr>
            </w:pPr>
          </w:p>
        </w:tc>
        <w:tc>
          <w:tcPr>
            <w:tcW w:w="12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8"/>
              </w:rPr>
              <w:t>7.5:1</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tabs>
          <w:tab w:leader="none" w:pos="7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debt includes debt of consolidated VIEs. Amounts exclude U.S. Treasury Repo agreements.</w:t>
      </w:r>
    </w:p>
    <w:p>
      <w:pPr>
        <w:ind w:left="700" w:hanging="347"/>
        <w:spacing w:after="0"/>
        <w:tabs>
          <w:tab w:leader="none" w:pos="7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average and ending net TBA position outstanding measured at cost. Includes forward settling non-Agency securities.</w:t>
      </w:r>
    </w:p>
    <w:p>
      <w:pPr>
        <w:spacing w:after="0" w:line="2" w:lineRule="exact"/>
        <w:rPr>
          <w:rFonts w:ascii="Times New Roman" w:cs="Times New Roman" w:eastAsia="Times New Roman" w:hAnsi="Times New Roman"/>
          <w:sz w:val="16"/>
          <w:szCs w:val="16"/>
          <w:color w:val="auto"/>
        </w:rPr>
      </w:pPr>
    </w:p>
    <w:p>
      <w:pPr>
        <w:jc w:val="both"/>
        <w:ind w:left="700" w:hanging="347"/>
        <w:spacing w:after="0" w:line="242" w:lineRule="auto"/>
        <w:tabs>
          <w:tab w:leader="none" w:pos="7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2" w:lineRule="exact"/>
        <w:rPr>
          <w:rFonts w:ascii="Times New Roman" w:cs="Times New Roman" w:eastAsia="Times New Roman" w:hAnsi="Times New Roman"/>
          <w:sz w:val="16"/>
          <w:szCs w:val="16"/>
          <w:color w:val="auto"/>
        </w:rPr>
      </w:pPr>
    </w:p>
    <w:p>
      <w:pPr>
        <w:jc w:val="both"/>
        <w:ind w:left="700" w:hanging="347"/>
        <w:spacing w:after="0" w:line="244" w:lineRule="auto"/>
        <w:tabs>
          <w:tab w:leader="none" w:pos="7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Economic Interest Expense and Aggregate Cost of Funds</w:t>
      </w:r>
    </w:p>
    <w:p>
      <w:pPr>
        <w:spacing w:after="0" w:line="196"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The following table summarizes our economic interest expense and aggregate cost of funds (non-GAAP measures) for fiscal years 2024, 2023 and 2022 (dollars in millions), which includes the combination of interest expense on repurchase agreements and other debt used to fund acquisitions of investment securities (GAAP measure), implied financing cost of our TBA securities and interest rate swap periodic income:</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9960"/>
          </w:cols>
          <w:pgMar w:left="960" w:top="711" w:right="960" w:bottom="0" w:gutter="0" w:footer="0" w:header="0"/>
          <w:type w:val="continuous"/>
        </w:sectPr>
      </w:pPr>
    </w:p>
    <w:bookmarkStart w:id="48" w:name="page49"/>
    <w:bookmarkEnd w:id="48"/>
    <w:tbl>
      <w:tblPr>
        <w:tblLayout w:type="fixed"/>
        <w:tblInd w:w="200" w:type="dxa"/>
        <w:tblCellMar>
          <w:top w:w="0" w:type="dxa"/>
          <w:left w:w="0" w:type="dxa"/>
          <w:bottom w:w="0" w:type="dxa"/>
          <w:right w:w="0" w:type="dxa"/>
        </w:tblCellMar>
      </w:tblPr>
      <w:tr>
        <w:trPr>
          <w:trHeight w:val="211"/>
        </w:trPr>
        <w:tc>
          <w:tcPr>
            <w:tcW w:w="4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80"/>
        </w:trPr>
        <w:tc>
          <w:tcPr>
            <w:tcW w:w="48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Economic Interest Expense and Aggregate Cost of Funds </w:t>
            </w:r>
            <w:r>
              <w:rPr>
                <w:rFonts w:ascii="Times New Roman" w:cs="Times New Roman" w:eastAsia="Times New Roman" w:hAnsi="Times New Roman"/>
                <w:sz w:val="20"/>
                <w:szCs w:val="20"/>
                <w:b w:val="1"/>
                <w:bCs w:val="1"/>
                <w:color w:val="auto"/>
                <w:vertAlign w:val="superscript"/>
              </w:rPr>
              <w:t>1</w:t>
            </w:r>
          </w:p>
        </w:tc>
        <w:tc>
          <w:tcPr>
            <w:tcW w:w="80" w:type="dxa"/>
            <w:vAlign w:val="bottom"/>
            <w:vMerge w:val="restart"/>
          </w:tcPr>
          <w:p>
            <w:pPr>
              <w:spacing w:after="0"/>
              <w:rPr>
                <w:sz w:val="15"/>
                <w:szCs w:val="15"/>
                <w:color w:val="auto"/>
              </w:rPr>
            </w:pPr>
          </w:p>
        </w:tc>
        <w:tc>
          <w:tcPr>
            <w:tcW w:w="7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6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4"/>
              </w:rPr>
              <w:t>Cost of</w:t>
            </w:r>
          </w:p>
        </w:tc>
        <w:tc>
          <w:tcPr>
            <w:tcW w:w="60" w:type="dxa"/>
            <w:vAlign w:val="bottom"/>
          </w:tcPr>
          <w:p>
            <w:pPr>
              <w:spacing w:after="0"/>
              <w:rPr>
                <w:sz w:val="15"/>
                <w:szCs w:val="15"/>
                <w:color w:val="auto"/>
              </w:rPr>
            </w:pPr>
          </w:p>
        </w:tc>
        <w:tc>
          <w:tcPr>
            <w:tcW w:w="7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6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0"/>
              </w:rPr>
              <w:t>Cost of</w:t>
            </w:r>
          </w:p>
        </w:tc>
        <w:tc>
          <w:tcPr>
            <w:tcW w:w="40" w:type="dxa"/>
            <w:vAlign w:val="bottom"/>
          </w:tcPr>
          <w:p>
            <w:pPr>
              <w:spacing w:after="0"/>
              <w:rPr>
                <w:sz w:val="15"/>
                <w:szCs w:val="15"/>
                <w:color w:val="auto"/>
              </w:rPr>
            </w:pPr>
          </w:p>
        </w:tc>
        <w:tc>
          <w:tcPr>
            <w:tcW w:w="7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Cost of</w:t>
            </w:r>
          </w:p>
        </w:tc>
        <w:tc>
          <w:tcPr>
            <w:tcW w:w="0" w:type="dxa"/>
            <w:vAlign w:val="bottom"/>
          </w:tcPr>
          <w:p>
            <w:pPr>
              <w:spacing w:after="0"/>
              <w:rPr>
                <w:sz w:val="1"/>
                <w:szCs w:val="1"/>
                <w:color w:val="auto"/>
              </w:rPr>
            </w:pPr>
          </w:p>
        </w:tc>
      </w:tr>
      <w:tr>
        <w:trPr>
          <w:trHeight w:val="208"/>
        </w:trPr>
        <w:tc>
          <w:tcPr>
            <w:tcW w:w="48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60" w:type="dxa"/>
            <w:vAlign w:val="bottom"/>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40" w:type="dxa"/>
            <w:vAlign w:val="bottom"/>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Funds</w:t>
            </w:r>
          </w:p>
        </w:tc>
        <w:tc>
          <w:tcPr>
            <w:tcW w:w="0" w:type="dxa"/>
            <w:vAlign w:val="bottom"/>
          </w:tcPr>
          <w:p>
            <w:pPr>
              <w:spacing w:after="0"/>
              <w:rPr>
                <w:sz w:val="1"/>
                <w:szCs w:val="1"/>
                <w:color w:val="auto"/>
              </w:rPr>
            </w:pPr>
          </w:p>
        </w:tc>
      </w:tr>
      <w:tr>
        <w:trPr>
          <w:trHeight w:val="180"/>
        </w:trPr>
        <w:tc>
          <w:tcPr>
            <w:tcW w:w="496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color w:val="auto"/>
                <w:w w:val="99"/>
              </w:rPr>
              <w:t>Investment securities repurchase agreement and other debt - interest expense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5.27 %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5.12 %</w:t>
            </w:r>
          </w:p>
        </w:tc>
        <w:tc>
          <w:tcPr>
            <w:tcW w:w="30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02"/>
        </w:trPr>
        <w:tc>
          <w:tcPr>
            <w:tcW w:w="4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8"/>
              </w:rPr>
              <w:t>(GAAP measure)</w:t>
            </w:r>
            <w:r>
              <w:rPr>
                <w:rFonts w:ascii="Times New Roman" w:cs="Times New Roman" w:eastAsia="Times New Roman" w:hAnsi="Times New Roman"/>
                <w:sz w:val="16"/>
                <w:szCs w:val="16"/>
                <w:color w:val="B4B4B4"/>
                <w:w w:val="98"/>
              </w:rPr>
              <w:t>...............................................................................................</w:t>
            </w:r>
          </w:p>
        </w:tc>
        <w:tc>
          <w:tcPr>
            <w:tcW w:w="1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6"/>
              </w:rPr>
              <w:t xml:space="preserve">TBA dollar roll income - implied interest expense </w:t>
            </w:r>
            <w:r>
              <w:rPr>
                <w:rFonts w:ascii="Times New Roman" w:cs="Times New Roman" w:eastAsia="Times New Roman" w:hAnsi="Times New Roman"/>
                <w:sz w:val="20"/>
                <w:szCs w:val="20"/>
                <w:color w:val="auto"/>
                <w:w w:val="96"/>
                <w:vertAlign w:val="superscript"/>
              </w:rPr>
              <w:t>2,3</w:t>
            </w:r>
            <w:r>
              <w:rPr>
                <w:rFonts w:ascii="Times New Roman" w:cs="Times New Roman" w:eastAsia="Times New Roman" w:hAnsi="Times New Roman"/>
                <w:sz w:val="16"/>
                <w:szCs w:val="16"/>
                <w:color w:val="auto"/>
                <w:w w:val="96"/>
              </w:rPr>
              <w:t xml:space="preserve"> </w:t>
            </w:r>
            <w:r>
              <w:rPr>
                <w:rFonts w:ascii="Times New Roman" w:cs="Times New Roman" w:eastAsia="Times New Roman" w:hAnsi="Times New Roman"/>
                <w:sz w:val="16"/>
                <w:szCs w:val="16"/>
                <w:color w:val="B4B4B4"/>
                <w:w w:val="96"/>
              </w:rPr>
              <w:t>......................................</w:t>
            </w: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5.07 %</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4.86 %</w:t>
            </w: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6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180"/>
        </w:trPr>
        <w:tc>
          <w:tcPr>
            <w:tcW w:w="496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color w:val="auto"/>
              </w:rPr>
              <w:t>Economic interest expense - before interest rate swap periodic income,</w:t>
            </w:r>
          </w:p>
        </w:tc>
        <w:tc>
          <w:tcPr>
            <w:tcW w:w="1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5.07 %</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0" w:type="dxa"/>
            <w:vAlign w:val="bottom"/>
          </w:tcPr>
          <w:p>
            <w:pPr>
              <w:spacing w:after="0"/>
              <w:rPr>
                <w:sz w:val="1"/>
                <w:szCs w:val="1"/>
                <w:color w:val="auto"/>
              </w:rPr>
            </w:pPr>
          </w:p>
        </w:tc>
      </w:tr>
      <w:tr>
        <w:trPr>
          <w:trHeight w:val="234"/>
        </w:trPr>
        <w:tc>
          <w:tcPr>
            <w:tcW w:w="4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net </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1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960" w:type="dxa"/>
            <w:vAlign w:val="bottom"/>
            <w:gridSpan w:val="2"/>
          </w:tcPr>
          <w:p>
            <w:pPr>
              <w:jc w:val="right"/>
              <w:ind w:right="140"/>
              <w:spacing w:after="0" w:line="222" w:lineRule="exact"/>
              <w:rPr>
                <w:sz w:val="20"/>
                <w:szCs w:val="20"/>
                <w:color w:val="auto"/>
              </w:rPr>
            </w:pPr>
            <w:r>
              <w:rPr>
                <w:rFonts w:ascii="Times New Roman" w:cs="Times New Roman" w:eastAsia="Times New Roman" w:hAnsi="Times New Roman"/>
                <w:sz w:val="16"/>
                <w:szCs w:val="16"/>
                <w:color w:val="auto"/>
                <w:w w:val="96"/>
              </w:rPr>
              <w:t xml:space="preserve">Interest rate swap periodic income, net </w:t>
            </w:r>
            <w:r>
              <w:rPr>
                <w:rFonts w:ascii="Times New Roman" w:cs="Times New Roman" w:eastAsia="Times New Roman" w:hAnsi="Times New Roman"/>
                <w:sz w:val="20"/>
                <w:szCs w:val="20"/>
                <w:color w:val="auto"/>
                <w:w w:val="96"/>
                <w:vertAlign w:val="superscript"/>
              </w:rPr>
              <w:t>2,5</w:t>
            </w:r>
            <w:r>
              <w:rPr>
                <w:rFonts w:ascii="Times New Roman" w:cs="Times New Roman" w:eastAsia="Times New Roman" w:hAnsi="Times New Roman"/>
                <w:sz w:val="16"/>
                <w:szCs w:val="16"/>
                <w:color w:val="auto"/>
                <w:w w:val="96"/>
              </w:rPr>
              <w:t xml:space="preserve"> </w:t>
            </w:r>
            <w:r>
              <w:rPr>
                <w:rFonts w:ascii="Times New Roman" w:cs="Times New Roman" w:eastAsia="Times New Roman" w:hAnsi="Times New Roman"/>
                <w:sz w:val="16"/>
                <w:szCs w:val="16"/>
                <w:color w:val="B4B4B4"/>
                <w:w w:val="96"/>
              </w:rPr>
              <w:t>........................................................</w:t>
            </w: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8"/>
        </w:trPr>
        <w:tc>
          <w:tcPr>
            <w:tcW w:w="4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economic interest expense (non-GAAP measure) </w:t>
            </w:r>
            <w:r>
              <w:rPr>
                <w:rFonts w:ascii="Times New Roman" w:cs="Times New Roman" w:eastAsia="Times New Roman" w:hAnsi="Times New Roman"/>
                <w:sz w:val="16"/>
                <w:szCs w:val="16"/>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0.27 %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-43180</wp:posOffset>
            </wp:positionV>
            <wp:extent cx="2945130"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5">
                      <a:extLst>
                        <a:ext uri="{28A0092B-C50C-407E-A947-70E740481C1C}"/>
                      </a:extLst>
                    </a:blip>
                    <a:srcRect/>
                    <a:stretch>
                      <a:fillRect/>
                    </a:stretch>
                  </pic:blipFill>
                  <pic:spPr bwMode="auto">
                    <a:xfrm>
                      <a:off x="0" y="0"/>
                      <a:ext cx="2945130" cy="5016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line="241" w:lineRule="auto"/>
        <w:tabs>
          <w:tab w:leader="none" w:pos="7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interest rate swap termination fees and variation margin settlements paid or received, forward starting swaps and the impact of other supplemental hedges, such as swaptions and U.S. Treasury positions.</w:t>
      </w:r>
    </w:p>
    <w:p>
      <w:pPr>
        <w:spacing w:after="0" w:line="1"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gain (loss) on derivative instruments and other securities, net in our consolidated statements of comprehensive income.</w:t>
      </w:r>
    </w:p>
    <w:p>
      <w:pPr>
        <w:spacing w:after="0" w:line="2" w:lineRule="exact"/>
        <w:rPr>
          <w:rFonts w:ascii="Times New Roman" w:cs="Times New Roman" w:eastAsia="Times New Roman" w:hAnsi="Times New Roman"/>
          <w:sz w:val="16"/>
          <w:szCs w:val="16"/>
          <w:color w:val="auto"/>
        </w:rPr>
      </w:pPr>
    </w:p>
    <w:p>
      <w:pPr>
        <w:jc w:val="both"/>
        <w:ind w:left="700" w:hanging="347"/>
        <w:spacing w:after="0" w:line="242" w:lineRule="auto"/>
        <w:tabs>
          <w:tab w:leader="none" w:pos="7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3" w:lineRule="exact"/>
        <w:rPr>
          <w:rFonts w:ascii="Times New Roman" w:cs="Times New Roman" w:eastAsia="Times New Roman" w:hAnsi="Times New Roman"/>
          <w:sz w:val="16"/>
          <w:szCs w:val="16"/>
          <w:color w:val="auto"/>
        </w:rPr>
      </w:pPr>
    </w:p>
    <w:p>
      <w:pPr>
        <w:jc w:val="both"/>
        <w:ind w:left="700" w:hanging="347"/>
        <w:spacing w:after="0" w:line="242" w:lineRule="auto"/>
        <w:tabs>
          <w:tab w:leader="none" w:pos="7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spacing w:after="0" w:line="2"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swap periodic income is measured as a percent of average mortgage borrowings outstanding for the period.</w:t>
      </w:r>
    </w:p>
    <w:p>
      <w:pPr>
        <w:spacing w:after="0" w:line="20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fiscal years 2024 and 2023 compared to the prior year period (in millions):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43815</wp:posOffset>
                </wp:positionH>
                <wp:positionV relativeFrom="paragraph">
                  <wp:posOffset>25400</wp:posOffset>
                </wp:positionV>
                <wp:extent cx="623633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363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pt,2pt" to="494.5pt,2pt" o:allowincell="f" strokecolor="#000000" strokeweight="1pt"/>
            </w:pict>
          </mc:Fallback>
        </mc:AlternateConten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Due to Change in Average</w:t>
            </w:r>
          </w:p>
        </w:tc>
        <w:tc>
          <w:tcPr>
            <w:tcW w:w="0" w:type="dxa"/>
            <w:vAlign w:val="bottom"/>
          </w:tcPr>
          <w:p>
            <w:pPr>
              <w:spacing w:after="0"/>
              <w:rPr>
                <w:sz w:val="1"/>
                <w:szCs w:val="1"/>
                <w:color w:val="auto"/>
              </w:rPr>
            </w:pPr>
          </w:p>
        </w:tc>
      </w:tr>
      <w:tr>
        <w:trPr>
          <w:trHeight w:val="180"/>
        </w:trPr>
        <w:tc>
          <w:tcPr>
            <w:tcW w:w="59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2024 vs 2023</w:t>
            </w:r>
          </w:p>
        </w:tc>
        <w:tc>
          <w:tcPr>
            <w:tcW w:w="80" w:type="dxa"/>
            <w:vAlign w:val="bottom"/>
          </w:tcPr>
          <w:p>
            <w:pPr>
              <w:spacing w:after="0"/>
              <w:rPr>
                <w:sz w:val="15"/>
                <w:szCs w:val="15"/>
                <w:color w:val="auto"/>
              </w:rPr>
            </w:pPr>
          </w:p>
        </w:tc>
        <w:tc>
          <w:tcPr>
            <w:tcW w:w="1300" w:type="dxa"/>
            <w:vAlign w:val="bottom"/>
            <w:gridSpan w:val="3"/>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Increase /</w:t>
            </w:r>
          </w:p>
        </w:tc>
        <w:tc>
          <w:tcPr>
            <w:tcW w:w="14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b w:val="1"/>
                <w:bCs w:val="1"/>
                <w:color w:val="auto"/>
              </w:rPr>
              <w:t>Borrowing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b w:val="1"/>
                <w:bCs w:val="1"/>
                <w:color w:val="auto"/>
                <w:w w:val="99"/>
              </w:rPr>
              <w:t>Borrowing /</w:t>
            </w:r>
          </w:p>
        </w:tc>
        <w:tc>
          <w:tcPr>
            <w:tcW w:w="0" w:type="dxa"/>
            <w:vAlign w:val="bottom"/>
          </w:tcPr>
          <w:p>
            <w:pPr>
              <w:spacing w:after="0"/>
              <w:rPr>
                <w:sz w:val="1"/>
                <w:szCs w:val="1"/>
                <w:color w:val="auto"/>
              </w:rPr>
            </w:pPr>
          </w:p>
        </w:tc>
      </w:tr>
      <w:tr>
        <w:trPr>
          <w:trHeight w:val="208"/>
        </w:trPr>
        <w:tc>
          <w:tcPr>
            <w:tcW w:w="5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4"/>
              </w:rPr>
              <w:t>Swap Balance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Swap Rate</w:t>
            </w:r>
          </w:p>
        </w:tc>
        <w:tc>
          <w:tcPr>
            <w:tcW w:w="0" w:type="dxa"/>
            <w:vAlign w:val="bottom"/>
          </w:tcPr>
          <w:p>
            <w:pPr>
              <w:spacing w:after="0"/>
              <w:rPr>
                <w:sz w:val="1"/>
                <w:szCs w:val="1"/>
                <w:color w:val="auto"/>
              </w:rPr>
            </w:pPr>
          </w:p>
        </w:tc>
      </w:tr>
      <w:tr>
        <w:trPr>
          <w:trHeight w:val="221"/>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Investment securities repurchase agreement and other debt interest expense</w:t>
            </w:r>
            <w:r>
              <w:rPr>
                <w:rFonts w:ascii="Times New Roman" w:cs="Times New Roman" w:eastAsia="Times New Roman" w:hAnsi="Times New Roman"/>
                <w:sz w:val="16"/>
                <w:szCs w:val="16"/>
                <w:color w:val="B4B4B4"/>
                <w:w w:val="97"/>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47"/>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TBA dollar roll income - implied interest expense </w:t>
            </w:r>
            <w:r>
              <w:rPr>
                <w:rFonts w:ascii="Times New Roman" w:cs="Times New Roman" w:eastAsia="Times New Roman" w:hAnsi="Times New Roman"/>
                <w:sz w:val="16"/>
                <w:szCs w:val="16"/>
                <w:color w:val="B4B4B4"/>
                <w:w w:val="97"/>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54"/>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Interest rate swap periodic income/cost </w:t>
            </w:r>
            <w:r>
              <w:rPr>
                <w:rFonts w:ascii="Times New Roman" w:cs="Times New Roman" w:eastAsia="Times New Roman" w:hAnsi="Times New Roman"/>
                <w:sz w:val="16"/>
                <w:szCs w:val="16"/>
                <w:color w:val="B4B4B4"/>
                <w:w w:val="97"/>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8"/>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 xml:space="preserve">Total change in economic interest expense </w:t>
            </w:r>
            <w:r>
              <w:rPr>
                <w:rFonts w:ascii="Times New Roman" w:cs="Times New Roman" w:eastAsia="Times New Roman" w:hAnsi="Times New Roman"/>
                <w:sz w:val="16"/>
                <w:szCs w:val="16"/>
                <w:color w:val="B4B4B4"/>
                <w:w w:val="96"/>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-43180</wp:posOffset>
            </wp:positionV>
            <wp:extent cx="2446020"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6">
                      <a:extLst>
                        <a:ext uri="{28A0092B-C50C-407E-A947-70E740481C1C}"/>
                      </a:extLst>
                    </a:blip>
                    <a:srcRect/>
                    <a:stretch>
                      <a:fillRect/>
                    </a:stretch>
                  </pic:blipFill>
                  <pic:spPr bwMode="auto">
                    <a:xfrm>
                      <a:off x="0" y="0"/>
                      <a:ext cx="2446020" cy="50165"/>
                    </a:xfrm>
                    <a:prstGeom prst="rect">
                      <a:avLst/>
                    </a:prstGeom>
                    <a:noFill/>
                  </pic:spPr>
                </pic:pic>
              </a:graphicData>
            </a:graphic>
          </wp:anchor>
        </w:drawing>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Due to Change in Average</w:t>
            </w:r>
          </w:p>
        </w:tc>
        <w:tc>
          <w:tcPr>
            <w:tcW w:w="0" w:type="dxa"/>
            <w:vAlign w:val="bottom"/>
          </w:tcPr>
          <w:p>
            <w:pPr>
              <w:spacing w:after="0"/>
              <w:rPr>
                <w:sz w:val="1"/>
                <w:szCs w:val="1"/>
                <w:color w:val="auto"/>
              </w:rPr>
            </w:pPr>
          </w:p>
        </w:tc>
      </w:tr>
      <w:tr>
        <w:trPr>
          <w:trHeight w:val="180"/>
        </w:trPr>
        <w:tc>
          <w:tcPr>
            <w:tcW w:w="59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2023 vs 2022</w:t>
            </w:r>
          </w:p>
        </w:tc>
        <w:tc>
          <w:tcPr>
            <w:tcW w:w="80" w:type="dxa"/>
            <w:vAlign w:val="bottom"/>
          </w:tcPr>
          <w:p>
            <w:pPr>
              <w:spacing w:after="0"/>
              <w:rPr>
                <w:sz w:val="15"/>
                <w:szCs w:val="15"/>
                <w:color w:val="auto"/>
              </w:rPr>
            </w:pPr>
          </w:p>
        </w:tc>
        <w:tc>
          <w:tcPr>
            <w:tcW w:w="1300" w:type="dxa"/>
            <w:vAlign w:val="bottom"/>
            <w:gridSpan w:val="3"/>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Increase /</w:t>
            </w:r>
          </w:p>
        </w:tc>
        <w:tc>
          <w:tcPr>
            <w:tcW w:w="140" w:type="dxa"/>
            <w:vAlign w:val="bottom"/>
          </w:tcPr>
          <w:p>
            <w:pPr>
              <w:spacing w:after="0"/>
              <w:rPr>
                <w:sz w:val="15"/>
                <w:szCs w:val="15"/>
                <w:color w:val="auto"/>
              </w:rPr>
            </w:pPr>
          </w:p>
        </w:tc>
        <w:tc>
          <w:tcPr>
            <w:tcW w:w="10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b w:val="1"/>
                <w:bCs w:val="1"/>
                <w:color w:val="auto"/>
              </w:rPr>
              <w:t>Borrowing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b w:val="1"/>
                <w:bCs w:val="1"/>
                <w:color w:val="auto"/>
                <w:w w:val="99"/>
              </w:rPr>
              <w:t>Borrowing /</w:t>
            </w:r>
          </w:p>
        </w:tc>
        <w:tc>
          <w:tcPr>
            <w:tcW w:w="0" w:type="dxa"/>
            <w:vAlign w:val="bottom"/>
          </w:tcPr>
          <w:p>
            <w:pPr>
              <w:spacing w:after="0"/>
              <w:rPr>
                <w:sz w:val="1"/>
                <w:szCs w:val="1"/>
                <w:color w:val="auto"/>
              </w:rPr>
            </w:pPr>
          </w:p>
        </w:tc>
      </w:tr>
      <w:tr>
        <w:trPr>
          <w:trHeight w:val="208"/>
        </w:trPr>
        <w:tc>
          <w:tcPr>
            <w:tcW w:w="5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4"/>
              </w:rPr>
              <w:t>Swap Balance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Swap Rate</w:t>
            </w:r>
          </w:p>
        </w:tc>
        <w:tc>
          <w:tcPr>
            <w:tcW w:w="0" w:type="dxa"/>
            <w:vAlign w:val="bottom"/>
          </w:tcPr>
          <w:p>
            <w:pPr>
              <w:spacing w:after="0"/>
              <w:rPr>
                <w:sz w:val="1"/>
                <w:szCs w:val="1"/>
                <w:color w:val="auto"/>
              </w:rPr>
            </w:pPr>
          </w:p>
        </w:tc>
      </w:tr>
      <w:tr>
        <w:trPr>
          <w:trHeight w:val="221"/>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Investment securities repurchase agreement and other debt interest expense</w:t>
            </w:r>
            <w:r>
              <w:rPr>
                <w:rFonts w:ascii="Times New Roman" w:cs="Times New Roman" w:eastAsia="Times New Roman" w:hAnsi="Times New Roman"/>
                <w:sz w:val="16"/>
                <w:szCs w:val="16"/>
                <w:color w:val="B4B4B4"/>
                <w:w w:val="97"/>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47"/>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 xml:space="preserve">TBA dollar roll income - implied interest benefit/expense </w:t>
            </w:r>
            <w:r>
              <w:rPr>
                <w:rFonts w:ascii="Times New Roman" w:cs="Times New Roman" w:eastAsia="Times New Roman" w:hAnsi="Times New Roman"/>
                <w:sz w:val="16"/>
                <w:szCs w:val="16"/>
                <w:color w:val="B4B4B4"/>
                <w:w w:val="96"/>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54"/>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 xml:space="preserve">Interest rate swap periodic income/cost </w:t>
            </w:r>
            <w:r>
              <w:rPr>
                <w:rFonts w:ascii="Times New Roman" w:cs="Times New Roman" w:eastAsia="Times New Roman" w:hAnsi="Times New Roman"/>
                <w:sz w:val="16"/>
                <w:szCs w:val="16"/>
                <w:color w:val="B4B4B4"/>
                <w:w w:val="97"/>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08"/>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Total change in economic interest benefit/expense</w:t>
            </w:r>
            <w:r>
              <w:rPr>
                <w:rFonts w:ascii="Times New Roman" w:cs="Times New Roman" w:eastAsia="Times New Roman" w:hAnsi="Times New Roman"/>
                <w:sz w:val="16"/>
                <w:szCs w:val="16"/>
                <w:color w:val="B4B4B4"/>
                <w:w w:val="97"/>
              </w:rPr>
              <w:t>......................................................................</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-43180</wp:posOffset>
            </wp:positionV>
            <wp:extent cx="2446020"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7">
                      <a:extLst>
                        <a:ext uri="{28A0092B-C50C-407E-A947-70E740481C1C}"/>
                      </a:extLst>
                    </a:blip>
                    <a:srcRect/>
                    <a:stretch>
                      <a:fillRect/>
                    </a:stretch>
                  </pic:blipFill>
                  <pic:spPr bwMode="auto">
                    <a:xfrm>
                      <a:off x="0" y="0"/>
                      <a:ext cx="2446020" cy="50165"/>
                    </a:xfrm>
                    <a:prstGeom prst="rect">
                      <a:avLst/>
                    </a:prstGeom>
                    <a:noFill/>
                  </pic:spPr>
                </pic:pic>
              </a:graphicData>
            </a:graphic>
          </wp:anchor>
        </w:drawing>
      </w:r>
    </w:p>
    <w:p>
      <w:pPr>
        <w:spacing w:after="0" w:line="181"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Our average mortgage borrowings, inclusive of TBAs, increased 11% and decreased 13% for fiscal years 2024 and 2023, respectively, consistent with changes to our average investment portfolio. The average interest rate on our mortgage borrowings, excluding the impact of interest rate swap periodic income, increased 18 and 372 basis points for fiscal years 2024 and 2023, respectively, due to higher short-term interest rates.</w:t>
      </w:r>
    </w:p>
    <w:p>
      <w:pPr>
        <w:spacing w:after="0" w:line="149"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Interest rate swap periodic income declined for fiscal years 2024 and 2023 primarily due to higher pay rates on our pay-fixed swaps largely driven by the maturity of low cost interest rate swaps. The following is a summary of our interest rate swaps outstanding during fiscal years 2024, 2023 and 2022 (dollars in millions). Amounts exclude forward starting swaps not yet in effect.</w:t>
      </w:r>
    </w:p>
    <w:p>
      <w:pPr>
        <w:sectPr>
          <w:pgSz w:w="11880" w:h="15480" w:orient="portrait"/>
          <w:cols w:equalWidth="0" w:num="1">
            <w:col w:w="9960"/>
          </w:cols>
          <w:pgMar w:left="960" w:top="79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9960"/>
          </w:cols>
          <w:pgMar w:left="960" w:top="798" w:right="960" w:bottom="0" w:gutter="0" w:footer="0" w:header="0"/>
          <w:type w:val="continuous"/>
        </w:sectPr>
      </w:pPr>
    </w:p>
    <w:bookmarkStart w:id="49" w:name="page50"/>
    <w:bookmarkEnd w:id="49"/>
    <w:tbl>
      <w:tblPr>
        <w:tblLayout w:type="fixed"/>
        <w:tblInd w:w="120" w:type="dxa"/>
        <w:tblCellMar>
          <w:top w:w="0" w:type="dxa"/>
          <w:left w:w="0" w:type="dxa"/>
          <w:bottom w:w="0" w:type="dxa"/>
          <w:right w:w="0" w:type="dxa"/>
        </w:tblCellMar>
      </w:tblPr>
      <w:tr>
        <w:trPr>
          <w:trHeight w:val="211"/>
        </w:trPr>
        <w:tc>
          <w:tcPr>
            <w:tcW w:w="6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70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Average Ratio of Interest Rate Swaps (Excluding Forward Starting Swaps) to Mortgage</w:t>
            </w:r>
          </w:p>
        </w:tc>
        <w:tc>
          <w:tcPr>
            <w:tcW w:w="220" w:type="dxa"/>
            <w:vAlign w:val="bottom"/>
          </w:tcPr>
          <w:p>
            <w:pPr>
              <w:spacing w:after="0"/>
              <w:rPr>
                <w:sz w:val="15"/>
                <w:szCs w:val="15"/>
                <w:color w:val="auto"/>
              </w:rPr>
            </w:pP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8"/>
        </w:trPr>
        <w:tc>
          <w:tcPr>
            <w:tcW w:w="6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Borrowings Outstanding</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 xml:space="preserve">Average investment securities repo and other debt outstanding </w:t>
            </w:r>
            <w:r>
              <w:rPr>
                <w:rFonts w:ascii="Times New Roman" w:cs="Times New Roman" w:eastAsia="Times New Roman" w:hAnsi="Times New Roman"/>
                <w:sz w:val="16"/>
                <w:szCs w:val="16"/>
                <w:color w:val="B4B4B4"/>
                <w:w w:val="97"/>
              </w:rPr>
              <w:t>....................................................................</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54,658</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44,027</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41,363</w:t>
            </w:r>
          </w:p>
        </w:tc>
        <w:tc>
          <w:tcPr>
            <w:tcW w:w="0" w:type="dxa"/>
            <w:vAlign w:val="bottom"/>
          </w:tcPr>
          <w:p>
            <w:pPr>
              <w:spacing w:after="0"/>
              <w:rPr>
                <w:sz w:val="1"/>
                <w:szCs w:val="1"/>
                <w:color w:val="auto"/>
              </w:rPr>
            </w:pPr>
          </w:p>
        </w:tc>
      </w:tr>
      <w:tr>
        <w:trPr>
          <w:trHeight w:val="254"/>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Average net TBA dollar roll position outstanding - at cost </w:t>
            </w:r>
            <w:r>
              <w:rPr>
                <w:rFonts w:ascii="Times New Roman" w:cs="Times New Roman" w:eastAsia="Times New Roman" w:hAnsi="Times New Roman"/>
                <w:sz w:val="16"/>
                <w:szCs w:val="16"/>
                <w:color w:val="B4B4B4"/>
                <w:w w:val="98"/>
              </w:rPr>
              <w:t>...........................................................................</w:t>
            </w:r>
          </w:p>
        </w:tc>
        <w:tc>
          <w:tcPr>
            <w:tcW w:w="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5,389</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20,631</w:t>
            </w:r>
          </w:p>
        </w:tc>
        <w:tc>
          <w:tcPr>
            <w:tcW w:w="0" w:type="dxa"/>
            <w:vAlign w:val="bottom"/>
          </w:tcPr>
          <w:p>
            <w:pPr>
              <w:spacing w:after="0"/>
              <w:rPr>
                <w:sz w:val="1"/>
                <w:szCs w:val="1"/>
                <w:color w:val="auto"/>
              </w:rPr>
            </w:pPr>
          </w:p>
        </w:tc>
      </w:tr>
      <w:tr>
        <w:trPr>
          <w:trHeight w:val="221"/>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Average mortgage borrowings outstanding </w:t>
            </w:r>
            <w:r>
              <w:rPr>
                <w:rFonts w:ascii="Times New Roman" w:cs="Times New Roman" w:eastAsia="Times New Roman" w:hAnsi="Times New Roman"/>
                <w:sz w:val="16"/>
                <w:szCs w:val="16"/>
                <w:color w:val="B4B4B4"/>
                <w:w w:val="98"/>
              </w:rPr>
              <w:t>...................................................................................................</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60,047</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54,027</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61,994</w:t>
            </w:r>
          </w:p>
        </w:tc>
        <w:tc>
          <w:tcPr>
            <w:tcW w:w="0" w:type="dxa"/>
            <w:vAlign w:val="bottom"/>
          </w:tcPr>
          <w:p>
            <w:pPr>
              <w:spacing w:after="0"/>
              <w:rPr>
                <w:sz w:val="1"/>
                <w:szCs w:val="1"/>
                <w:color w:val="auto"/>
              </w:rPr>
            </w:pPr>
          </w:p>
        </w:tc>
      </w:tr>
      <w:tr>
        <w:trPr>
          <w:trHeight w:val="254"/>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Average notional amount of interest rate swaps outstanding (excluding forward starting swaps), net</w:t>
            </w:r>
            <w:r>
              <w:rPr>
                <w:rFonts w:ascii="Times New Roman" w:cs="Times New Roman" w:eastAsia="Times New Roman" w:hAnsi="Times New Roman"/>
                <w:sz w:val="16"/>
                <w:szCs w:val="16"/>
                <w:color w:val="B4B4B4"/>
                <w:w w:val="98"/>
              </w:rPr>
              <w:t>.........</w:t>
            </w:r>
          </w:p>
        </w:tc>
        <w:tc>
          <w:tcPr>
            <w:tcW w:w="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43,351</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47,012</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49,334</w:t>
            </w:r>
          </w:p>
        </w:tc>
        <w:tc>
          <w:tcPr>
            <w:tcW w:w="0" w:type="dxa"/>
            <w:vAlign w:val="bottom"/>
          </w:tcPr>
          <w:p>
            <w:pPr>
              <w:spacing w:after="0"/>
              <w:rPr>
                <w:sz w:val="1"/>
                <w:szCs w:val="1"/>
                <w:color w:val="auto"/>
              </w:rPr>
            </w:pPr>
          </w:p>
        </w:tc>
      </w:tr>
    </w:tbl>
    <w:p>
      <w:pPr>
        <w:spacing w:after="0" w:line="19"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Ratio of average interest rate swaps to mortgage borrowings outstanding </w:t>
            </w:r>
            <w:r>
              <w:rPr>
                <w:rFonts w:ascii="Times New Roman" w:cs="Times New Roman" w:eastAsia="Times New Roman" w:hAnsi="Times New Roman"/>
                <w:sz w:val="16"/>
                <w:szCs w:val="16"/>
                <w:color w:val="B4B4B4"/>
                <w:w w:val="9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0"/>
        </w:trPr>
        <w:tc>
          <w:tcPr>
            <w:tcW w:w="6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0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Average interest rate swap pay-fixed rate (excluding forward starting swaps) </w:t>
            </w:r>
            <w:r>
              <w:rPr>
                <w:rFonts w:ascii="Times New Roman" w:cs="Times New Roman" w:eastAsia="Times New Roman" w:hAnsi="Times New Roman"/>
                <w:sz w:val="16"/>
                <w:szCs w:val="16"/>
                <w:color w:val="B4B4B4"/>
                <w:w w:val="9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0.25 %</w:t>
            </w:r>
          </w:p>
        </w:tc>
      </w:tr>
      <w:tr>
        <w:trPr>
          <w:trHeight w:val="254"/>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Average interest rate swap receive-floating rate </w:t>
            </w:r>
            <w:r>
              <w:rPr>
                <w:rFonts w:ascii="Times New Roman" w:cs="Times New Roman" w:eastAsia="Times New Roman" w:hAnsi="Times New Roman"/>
                <w:sz w:val="16"/>
                <w:szCs w:val="16"/>
                <w:color w:val="B4B4B4"/>
                <w:w w:val="9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Average interest rate swap net pay/(receive) rate </w:t>
            </w:r>
            <w:r>
              <w:rPr>
                <w:rFonts w:ascii="Times New Roman" w:cs="Times New Roman" w:eastAsia="Times New Roman" w:hAnsi="Times New Roman"/>
                <w:sz w:val="16"/>
                <w:szCs w:val="16"/>
                <w:color w:val="B4B4B4"/>
                <w:w w:val="9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6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-708025</wp:posOffset>
            </wp:positionV>
            <wp:extent cx="1938020"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8">
                      <a:extLst>
                        <a:ext uri="{28A0092B-C50C-407E-A947-70E740481C1C}"/>
                      </a:extLst>
                    </a:blip>
                    <a:srcRect/>
                    <a:stretch>
                      <a:fillRect/>
                    </a:stretch>
                  </pic:blipFill>
                  <pic:spPr bwMode="auto">
                    <a:xfrm>
                      <a:off x="0" y="0"/>
                      <a:ext cx="1938020" cy="5016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-43180</wp:posOffset>
            </wp:positionV>
            <wp:extent cx="1938020"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9">
                      <a:extLst>
                        <a:ext uri="{28A0092B-C50C-407E-A947-70E740481C1C}"/>
                      </a:extLst>
                    </a:blip>
                    <a:srcRect/>
                    <a:stretch>
                      <a:fillRect/>
                    </a:stretch>
                  </pic:blipFill>
                  <pic:spPr bwMode="auto">
                    <a:xfrm>
                      <a:off x="0" y="0"/>
                      <a:ext cx="1938020" cy="50165"/>
                    </a:xfrm>
                    <a:prstGeom prst="rect">
                      <a:avLst/>
                    </a:prstGeom>
                    <a:noFill/>
                  </pic:spPr>
                </pic:pic>
              </a:graphicData>
            </a:graphic>
          </wp:anchor>
        </w:drawing>
      </w:r>
    </w:p>
    <w:p>
      <w:pPr>
        <w:spacing w:after="0" w:line="181"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For fiscal years 2024, 2023 and 2022, we had an average forward starting net pay-fixed rate swap balance of $672 million, $43 million and $48 million, respectively. Forward starting interest rate swaps do not impact our economic interest expense and aggregate cost of funds until they commence accruing net interest settlements on their forward start dates.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Interest Spread</w:t>
      </w:r>
    </w:p>
    <w:p>
      <w:pPr>
        <w:spacing w:after="0" w:line="196"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The following table presents a summary of our net interest spread (including the impact of TBA dollar roll income, interest rate swaps and excluding "catch-up" premium amortization) for fiscal years 2024, 2023 and 2022:</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6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6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Investment and TBA Securities - Net Interest Spread</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9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6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Average asset yield </w:t>
            </w:r>
            <w:r>
              <w:rPr>
                <w:rFonts w:ascii="Times New Roman" w:cs="Times New Roman" w:eastAsia="Times New Roman" w:hAnsi="Times New Roman"/>
                <w:sz w:val="16"/>
                <w:szCs w:val="16"/>
                <w:color w:val="B4B4B4"/>
                <w:w w:val="9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254"/>
        </w:trPr>
        <w:tc>
          <w:tcPr>
            <w:tcW w:w="6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Average aggregate cost of funds </w:t>
            </w:r>
            <w:r>
              <w:rPr>
                <w:rFonts w:ascii="Times New Roman" w:cs="Times New Roman" w:eastAsia="Times New Roman" w:hAnsi="Times New Roman"/>
                <w:sz w:val="16"/>
                <w:szCs w:val="16"/>
                <w:color w:val="B4B4B4"/>
                <w:w w:val="9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08"/>
        </w:trPr>
        <w:tc>
          <w:tcPr>
            <w:tcW w:w="6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Average net interest spread </w:t>
            </w:r>
            <w:r>
              <w:rPr>
                <w:rFonts w:ascii="Times New Roman" w:cs="Times New Roman" w:eastAsia="Times New Roman" w:hAnsi="Times New Roman"/>
                <w:sz w:val="16"/>
                <w:szCs w:val="16"/>
                <w:color w:val="B4B4B4"/>
                <w:w w:val="9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2.73 %</w:t>
            </w:r>
          </w:p>
        </w:tc>
      </w:tr>
      <w:tr>
        <w:trPr>
          <w:trHeight w:val="20"/>
        </w:trPr>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-43180</wp:posOffset>
            </wp:positionV>
            <wp:extent cx="1938020" cy="5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0">
                      <a:extLst>
                        <a:ext uri="{28A0092B-C50C-407E-A947-70E740481C1C}"/>
                      </a:extLst>
                    </a:blip>
                    <a:srcRect/>
                    <a:stretch>
                      <a:fillRect/>
                    </a:stretch>
                  </pic:blipFill>
                  <pic:spPr bwMode="auto">
                    <a:xfrm>
                      <a:off x="0" y="0"/>
                      <a:ext cx="1938020" cy="5016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Spread and Dollar Roll Income</w:t>
      </w:r>
    </w:p>
    <w:p>
      <w:pPr>
        <w:spacing w:after="0" w:line="196" w:lineRule="exact"/>
        <w:rPr>
          <w:sz w:val="20"/>
          <w:szCs w:val="20"/>
          <w:color w:val="auto"/>
        </w:rPr>
      </w:pPr>
    </w:p>
    <w:p>
      <w:pPr>
        <w:jc w:val="both"/>
        <w:ind w:firstLine="524"/>
        <w:spacing w:after="0" w:line="274" w:lineRule="auto"/>
        <w:rPr>
          <w:sz w:val="20"/>
          <w:szCs w:val="20"/>
          <w:color w:val="auto"/>
        </w:rPr>
      </w:pPr>
      <w:r>
        <w:rPr>
          <w:rFonts w:ascii="Times New Roman" w:cs="Times New Roman" w:eastAsia="Times New Roman" w:hAnsi="Times New Roman"/>
          <w:sz w:val="19"/>
          <w:szCs w:val="19"/>
          <w:color w:val="auto"/>
        </w:rPr>
        <w:t>The following table presents a reconciliation of net spread and dollar roll income available to common stockholders (non-GAAP measure) from comprehensive income (loss) available (attributable) to common stockholders (the most comparable GAAP financial measure) for fiscal years 2024, 2023 and 2022 (dollars in millions):</w:t>
      </w:r>
    </w:p>
    <w:p>
      <w:pPr>
        <w:spacing w:after="0" w:line="13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4330700</wp:posOffset>
                </wp:positionH>
                <wp:positionV relativeFrom="paragraph">
                  <wp:posOffset>22860</wp:posOffset>
                </wp:positionV>
                <wp:extent cx="193103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10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pt,1.8pt" to="493.05pt,1.8pt" o:allowincell="f" strokecolor="#000000" strokeweight="1pt"/>
            </w:pict>
          </mc:Fallback>
        </mc:AlternateContent>
      </w:r>
    </w:p>
    <w:p>
      <w:pPr>
        <w:spacing w:after="0" w:line="43" w:lineRule="exact"/>
        <w:rPr>
          <w:sz w:val="20"/>
          <w:szCs w:val="20"/>
          <w:color w:val="auto"/>
        </w:rPr>
      </w:pPr>
    </w:p>
    <w:tbl>
      <w:tblPr>
        <w:tblLayout w:type="fixed"/>
        <w:tblInd w:w="140" w:type="dxa"/>
        <w:tblCellMar>
          <w:top w:w="0" w:type="dxa"/>
          <w:left w:w="0" w:type="dxa"/>
          <w:bottom w:w="0" w:type="dxa"/>
          <w:right w:w="0" w:type="dxa"/>
        </w:tblCellMar>
      </w:tblPr>
      <w:tr>
        <w:trPr>
          <w:trHeight w:val="211"/>
        </w:trPr>
        <w:tc>
          <w:tcPr>
            <w:tcW w:w="6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1"/>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available (attributable) to common stockholders</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657</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47"/>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 to exclude realized and unrealized (gains) losses reported through net income:</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8"/>
              </w:rPr>
              <w:t>Realized loss on sale of investment securities, net</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0" w:type="dxa"/>
            <w:vAlign w:val="bottom"/>
          </w:tcPr>
          <w:p>
            <w:pPr>
              <w:spacing w:after="0"/>
              <w:rPr>
                <w:sz w:val="1"/>
                <w:szCs w:val="1"/>
                <w:color w:val="auto"/>
              </w:rPr>
            </w:pPr>
          </w:p>
        </w:tc>
      </w:tr>
      <w:tr>
        <w:trPr>
          <w:trHeight w:val="247"/>
        </w:trPr>
        <w:tc>
          <w:tcPr>
            <w:tcW w:w="6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8"/>
              </w:rPr>
              <w:t>Unrealized (gain) loss on investment securities measured at fair value through net income, net</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0" w:type="dxa"/>
            <w:vAlign w:val="bottom"/>
          </w:tcPr>
          <w:p>
            <w:pPr>
              <w:spacing w:after="0"/>
              <w:rPr>
                <w:sz w:val="1"/>
                <w:szCs w:val="1"/>
                <w:color w:val="auto"/>
              </w:rPr>
            </w:pPr>
          </w:p>
        </w:tc>
      </w:tr>
      <w:tr>
        <w:trPr>
          <w:trHeight w:val="247"/>
        </w:trPr>
        <w:tc>
          <w:tcPr>
            <w:tcW w:w="6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8"/>
              </w:rPr>
              <w:t xml:space="preserve">Gain on derivative instruments and other securities, net </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0" w:type="dxa"/>
            <w:vAlign w:val="bottom"/>
          </w:tcPr>
          <w:p>
            <w:pPr>
              <w:spacing w:after="0"/>
              <w:rPr>
                <w:sz w:val="1"/>
                <w:szCs w:val="1"/>
                <w:color w:val="auto"/>
              </w:rPr>
            </w:pPr>
          </w:p>
        </w:tc>
      </w:tr>
      <w:tr>
        <w:trPr>
          <w:trHeight w:val="247"/>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 to exclude unrealized (gain) loss reported through other comprehensive income:</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680" w:type="dxa"/>
            <w:vAlign w:val="bottom"/>
          </w:tcPr>
          <w:p>
            <w:pPr>
              <w:jc w:val="right"/>
              <w:ind w:right="942"/>
              <w:spacing w:after="0"/>
              <w:rPr>
                <w:sz w:val="20"/>
                <w:szCs w:val="20"/>
                <w:color w:val="auto"/>
              </w:rPr>
            </w:pPr>
            <w:r>
              <w:rPr>
                <w:rFonts w:ascii="Times New Roman" w:cs="Times New Roman" w:eastAsia="Times New Roman" w:hAnsi="Times New Roman"/>
                <w:sz w:val="16"/>
                <w:szCs w:val="16"/>
                <w:color w:val="auto"/>
                <w:w w:val="98"/>
              </w:rPr>
              <w:t>Unrealized (gain) loss on available-for-sale securities measure at fair value through other</w:t>
            </w:r>
          </w:p>
        </w:tc>
        <w:tc>
          <w:tcPr>
            <w:tcW w:w="240" w:type="dxa"/>
            <w:vAlign w:val="bottom"/>
          </w:tcPr>
          <w:p>
            <w:pPr>
              <w:spacing w:after="0"/>
              <w:rPr>
                <w:sz w:val="17"/>
                <w:szCs w:val="17"/>
                <w:color w:val="auto"/>
              </w:rPr>
            </w:pPr>
          </w:p>
        </w:tc>
        <w:tc>
          <w:tcPr>
            <w:tcW w:w="7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02"/>
        </w:trPr>
        <w:tc>
          <w:tcPr>
            <w:tcW w:w="6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8"/>
              </w:rPr>
              <w:t xml:space="preserve">comprehensive income, net </w:t>
            </w:r>
            <w:r>
              <w:rPr>
                <w:rFonts w:ascii="Times New Roman" w:cs="Times New Roman" w:eastAsia="Times New Roman" w:hAnsi="Times New Roman"/>
                <w:sz w:val="16"/>
                <w:szCs w:val="16"/>
                <w:color w:val="B4B4B4"/>
                <w:w w:val="98"/>
              </w:rPr>
              <w:t>.........................................................................................................................</w:t>
            </w: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8"/>
              </w:rPr>
              <w:t xml:space="preserve">Estimated "catch-up" premium amortization benefit due to change in CPR forecast </w:t>
            </w:r>
            <w:r>
              <w:rPr>
                <w:rFonts w:ascii="Times New Roman" w:cs="Times New Roman" w:eastAsia="Times New Roman" w:hAnsi="Times New Roman"/>
                <w:sz w:val="20"/>
                <w:szCs w:val="20"/>
                <w:color w:val="auto"/>
                <w:w w:val="98"/>
                <w:vertAlign w:val="superscript"/>
              </w:rPr>
              <w:t>1</w:t>
            </w: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color w:val="B4B4B4"/>
                <w:w w:val="98"/>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47"/>
        </w:trPr>
        <w:tc>
          <w:tcPr>
            <w:tcW w:w="6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8"/>
              </w:rPr>
              <w:t xml:space="preserve">TBA dollar roll income, net </w:t>
            </w:r>
            <w:r>
              <w:rPr>
                <w:rFonts w:ascii="Times New Roman" w:cs="Times New Roman" w:eastAsia="Times New Roman" w:hAnsi="Times New Roman"/>
                <w:sz w:val="20"/>
                <w:szCs w:val="20"/>
                <w:color w:val="auto"/>
                <w:w w:val="98"/>
                <w:vertAlign w:val="superscript"/>
              </w:rPr>
              <w:t>2</w:t>
            </w: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47"/>
        </w:trPr>
        <w:tc>
          <w:tcPr>
            <w:tcW w:w="6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8"/>
              </w:rPr>
              <w:t xml:space="preserve">Interest rate swap periodic income, net </w:t>
            </w:r>
            <w:r>
              <w:rPr>
                <w:rFonts w:ascii="Times New Roman" w:cs="Times New Roman" w:eastAsia="Times New Roman" w:hAnsi="Times New Roman"/>
                <w:sz w:val="20"/>
                <w:szCs w:val="20"/>
                <w:color w:val="auto"/>
                <w:w w:val="98"/>
                <w:vertAlign w:val="superscript"/>
              </w:rPr>
              <w:t>2</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1,815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22"/>
        </w:trPr>
        <w:tc>
          <w:tcPr>
            <w:tcW w:w="6680" w:type="dxa"/>
            <w:vAlign w:val="bottom"/>
          </w:tcPr>
          <w:p>
            <w:pPr>
              <w:jc w:val="right"/>
              <w:ind w:right="42"/>
              <w:spacing w:after="0" w:line="222" w:lineRule="exact"/>
              <w:rPr>
                <w:sz w:val="20"/>
                <w:szCs w:val="20"/>
                <w:color w:val="auto"/>
              </w:rPr>
            </w:pPr>
            <w:r>
              <w:rPr>
                <w:rFonts w:ascii="Times New Roman" w:cs="Times New Roman" w:eastAsia="Times New Roman" w:hAnsi="Times New Roman"/>
                <w:sz w:val="16"/>
                <w:szCs w:val="16"/>
                <w:color w:val="auto"/>
                <w:w w:val="98"/>
              </w:rPr>
              <w:t xml:space="preserve">Other interest income (expense), net </w:t>
            </w:r>
            <w:r>
              <w:rPr>
                <w:rFonts w:ascii="Times New Roman" w:cs="Times New Roman" w:eastAsia="Times New Roman" w:hAnsi="Times New Roman"/>
                <w:sz w:val="20"/>
                <w:szCs w:val="20"/>
                <w:color w:val="auto"/>
                <w:w w:val="98"/>
                <w:vertAlign w:val="superscript"/>
              </w:rPr>
              <w:t>2,3</w:t>
            </w:r>
            <w:r>
              <w:rPr>
                <w:rFonts w:ascii="Times New Roman" w:cs="Times New Roman" w:eastAsia="Times New Roman" w:hAnsi="Times New Roman"/>
                <w:sz w:val="16"/>
                <w:szCs w:val="16"/>
                <w:color w:val="B4B4B4"/>
                <w:w w:val="98"/>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8"/>
        </w:trPr>
        <w:tc>
          <w:tcPr>
            <w:tcW w:w="66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 xml:space="preserve">Net spread and dollar roll income available to common stockholders (non-GAAP measure) </w:t>
            </w:r>
            <w:r>
              <w:rPr>
                <w:rFonts w:ascii="Times New Roman" w:cs="Times New Roman" w:eastAsia="Times New Roman" w:hAnsi="Times New Roman"/>
                <w:sz w:val="16"/>
                <w:szCs w:val="16"/>
                <w:b w:val="1"/>
                <w:bCs w:val="1"/>
                <w:color w:val="B4B4B4"/>
                <w:w w:val="96"/>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1,474</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Weighted average number of common shares outstanding - basic</w:t>
            </w:r>
            <w:r>
              <w:rPr>
                <w:rFonts w:ascii="Times New Roman" w:cs="Times New Roman" w:eastAsia="Times New Roman" w:hAnsi="Times New Roman"/>
                <w:sz w:val="16"/>
                <w:szCs w:val="16"/>
                <w:color w:val="B4B4B4"/>
                <w:w w:val="96"/>
              </w:rPr>
              <w:t>.................................................................</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783.4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80" w:type="dxa"/>
            <w:vAlign w:val="bottom"/>
            <w:vMerge w:val="continue"/>
          </w:tcPr>
          <w:p>
            <w:pPr>
              <w:jc w:val="right"/>
              <w:ind w:right="42"/>
              <w:spacing w:after="0" w:line="155" w:lineRule="exact"/>
              <w:rPr>
                <w:sz w:val="20"/>
                <w:szCs w:val="20"/>
                <w:color w:val="auto"/>
              </w:rPr>
            </w:pPr>
            <w:r>
              <w:rPr>
                <w:rFonts w:ascii="Times New Roman" w:cs="Times New Roman" w:eastAsia="Times New Roman" w:hAnsi="Times New Roman"/>
                <w:sz w:val="16"/>
                <w:szCs w:val="16"/>
                <w:color w:val="B4B4B4"/>
              </w:rPr>
              <w:t>..............................................................</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786.0</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spread and dollar roll income per common share - basic</w:t>
            </w: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80" w:type="dxa"/>
            <w:vAlign w:val="bottom"/>
            <w:vMerge w:val="continue"/>
          </w:tcPr>
          <w:p>
            <w:pPr>
              <w:jc w:val="right"/>
              <w:ind w:right="42"/>
              <w:spacing w:after="0" w:line="155" w:lineRule="exact"/>
              <w:rPr>
                <w:sz w:val="20"/>
                <w:szCs w:val="20"/>
                <w:color w:val="auto"/>
              </w:rPr>
            </w:pPr>
            <w:r>
              <w:rPr>
                <w:rFonts w:ascii="Times New Roman" w:cs="Times New Roman" w:eastAsia="Times New Roman" w:hAnsi="Times New Roman"/>
                <w:sz w:val="16"/>
                <w:szCs w:val="16"/>
                <w:color w:val="B4B4B4"/>
              </w:rPr>
              <w:t>.........................................................................</w:t>
            </w: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spread and dollar roll income per common share - diluted</w:t>
            </w: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80" w:type="dxa"/>
            <w:vAlign w:val="bottom"/>
            <w:vMerge w:val="continue"/>
          </w:tcPr>
          <w:p>
            <w:pPr>
              <w:jc w:val="right"/>
              <w:ind w:right="42"/>
              <w:spacing w:after="0" w:line="155" w:lineRule="exact"/>
              <w:rPr>
                <w:sz w:val="20"/>
                <w:szCs w:val="20"/>
                <w:color w:val="auto"/>
              </w:rPr>
            </w:pPr>
            <w:r>
              <w:rPr>
                <w:rFonts w:ascii="Times New Roman" w:cs="Times New Roman" w:eastAsia="Times New Roman" w:hAnsi="Times New Roman"/>
                <w:sz w:val="16"/>
                <w:szCs w:val="16"/>
                <w:color w:val="B4B4B4"/>
              </w:rPr>
              <w:t>......................................................................</w:t>
            </w: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-809625</wp:posOffset>
            </wp:positionV>
            <wp:extent cx="1956435" cy="501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1">
                      <a:extLst>
                        <a:ext uri="{28A0092B-C50C-407E-A947-70E740481C1C}"/>
                      </a:extLst>
                    </a:blip>
                    <a:srcRect/>
                    <a:stretch>
                      <a:fillRect/>
                    </a:stretch>
                  </pic:blipFill>
                  <pic:spPr bwMode="auto">
                    <a:xfrm>
                      <a:off x="0" y="0"/>
                      <a:ext cx="1956435" cy="5016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-514350</wp:posOffset>
            </wp:positionV>
            <wp:extent cx="1956435"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2">
                      <a:extLst>
                        <a:ext uri="{28A0092B-C50C-407E-A947-70E740481C1C}"/>
                      </a:extLst>
                    </a:blip>
                    <a:srcRect/>
                    <a:stretch>
                      <a:fillRect/>
                    </a:stretch>
                  </pic:blipFill>
                  <pic:spPr bwMode="auto">
                    <a:xfrm>
                      <a:off x="0" y="0"/>
                      <a:ext cx="1956435" cy="5016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-357505</wp:posOffset>
            </wp:positionV>
            <wp:extent cx="1956435" cy="50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3">
                      <a:extLst>
                        <a:ext uri="{28A0092B-C50C-407E-A947-70E740481C1C}"/>
                      </a:extLst>
                    </a:blip>
                    <a:srcRect/>
                    <a:stretch>
                      <a:fillRect/>
                    </a:stretch>
                  </pic:blipFill>
                  <pic:spPr bwMode="auto">
                    <a:xfrm>
                      <a:off x="0" y="0"/>
                      <a:ext cx="1956435" cy="5016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-200025</wp:posOffset>
            </wp:positionV>
            <wp:extent cx="1956435" cy="50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4">
                      <a:extLst>
                        <a:ext uri="{28A0092B-C50C-407E-A947-70E740481C1C}"/>
                      </a:extLst>
                    </a:blip>
                    <a:srcRect/>
                    <a:stretch>
                      <a:fillRect/>
                    </a:stretch>
                  </pic:blipFill>
                  <pic:spPr bwMode="auto">
                    <a:xfrm>
                      <a:off x="0" y="0"/>
                      <a:ext cx="1956435" cy="5016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-43180</wp:posOffset>
            </wp:positionV>
            <wp:extent cx="1956435" cy="5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5">
                      <a:extLst>
                        <a:ext uri="{28A0092B-C50C-407E-A947-70E740481C1C}"/>
                      </a:extLst>
                    </a:blip>
                    <a:srcRect/>
                    <a:stretch>
                      <a:fillRect/>
                    </a:stretch>
                  </pic:blipFill>
                  <pic:spPr bwMode="auto">
                    <a:xfrm>
                      <a:off x="0" y="0"/>
                      <a:ext cx="1956435"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tabs>
          <w:tab w:leader="none" w:pos="7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interest income in our consolidated statements of comprehensive income.</w:t>
      </w:r>
    </w:p>
    <w:p>
      <w:pPr>
        <w:ind w:left="700" w:hanging="347"/>
        <w:spacing w:after="0"/>
        <w:tabs>
          <w:tab w:leader="none" w:pos="7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gain (loss) on derivative instruments and other securities, net in our consolidated statements of comprehensive income.</w:t>
      </w:r>
    </w:p>
    <w:p>
      <w:pPr>
        <w:sectPr>
          <w:pgSz w:w="11880" w:h="15480" w:orient="portrait"/>
          <w:cols w:equalWidth="0" w:num="1">
            <w:col w:w="9960"/>
          </w:cols>
          <w:pgMar w:left="960" w:top="79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9960"/>
          </w:cols>
          <w:pgMar w:left="960" w:top="798" w:right="960" w:bottom="0" w:gutter="0" w:footer="0" w:header="0"/>
          <w:type w:val="continuous"/>
        </w:sectPr>
      </w:pPr>
    </w:p>
    <w:bookmarkStart w:id="50" w:name="page51"/>
    <w:bookmarkEnd w:id="50"/>
    <w:p>
      <w:pPr>
        <w:ind w:left="700" w:hanging="347"/>
        <w:spacing w:after="0" w:line="266" w:lineRule="auto"/>
        <w:tabs>
          <w:tab w:leader="none" w:pos="7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Gain (Loss) on Investment Securities, Net</w:t>
      </w:r>
    </w:p>
    <w:p>
      <w:pPr>
        <w:spacing w:after="0" w:line="196" w:lineRule="exact"/>
        <w:rPr>
          <w:sz w:val="20"/>
          <w:szCs w:val="20"/>
          <w:color w:val="auto"/>
        </w:rPr>
      </w:pPr>
    </w:p>
    <w:p>
      <w:pPr>
        <w:ind w:firstLine="524"/>
        <w:spacing w:after="0" w:line="293" w:lineRule="auto"/>
        <w:rPr>
          <w:sz w:val="20"/>
          <w:szCs w:val="20"/>
          <w:color w:val="auto"/>
        </w:rPr>
      </w:pPr>
      <w:r>
        <w:rPr>
          <w:rFonts w:ascii="Times New Roman" w:cs="Times New Roman" w:eastAsia="Times New Roman" w:hAnsi="Times New Roman"/>
          <w:sz w:val="19"/>
          <w:szCs w:val="19"/>
          <w:color w:val="auto"/>
        </w:rPr>
        <w:t>The following table is a summary of our net gain (loss) on investment securities for fiscal years 2024, 2023 and 2022 (in millions):</w:t>
      </w:r>
    </w:p>
    <w:p>
      <w:pPr>
        <w:spacing w:after="0" w:line="7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6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5"/>
              </w:rPr>
              <w:t>Fiscal Year</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380" w:type="dxa"/>
            <w:vAlign w:val="bottom"/>
            <w:tcBorders>
              <w:bottom w:val="single" w:sz="8" w:color="auto"/>
            </w:tcBorders>
          </w:tcPr>
          <w:p>
            <w:pPr>
              <w:ind w:left="60"/>
              <w:spacing w:after="0" w:line="228" w:lineRule="exact"/>
              <w:rPr>
                <w:sz w:val="20"/>
                <w:szCs w:val="20"/>
                <w:color w:val="auto"/>
              </w:rPr>
            </w:pPr>
            <w:r>
              <w:rPr>
                <w:rFonts w:ascii="Times New Roman" w:cs="Times New Roman" w:eastAsia="Times New Roman" w:hAnsi="Times New Roman"/>
                <w:sz w:val="16"/>
                <w:szCs w:val="16"/>
                <w:b w:val="1"/>
                <w:bCs w:val="1"/>
                <w:color w:val="auto"/>
              </w:rPr>
              <w:t xml:space="preserve">Gain (Loss) on Investment Securities, Net </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1"/>
        </w:trPr>
        <w:tc>
          <w:tcPr>
            <w:tcW w:w="6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Loss on sale of investment securities, net</w:t>
            </w:r>
            <w:r>
              <w:rPr>
                <w:rFonts w:ascii="Times New Roman" w:cs="Times New Roman" w:eastAsia="Times New Roman" w:hAnsi="Times New Roman"/>
                <w:sz w:val="16"/>
                <w:szCs w:val="16"/>
                <w:color w:val="B4B4B4"/>
                <w:w w:val="98"/>
              </w:rPr>
              <w:t>................................................................................................</w:t>
            </w: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0" w:type="dxa"/>
            <w:vAlign w:val="bottom"/>
          </w:tcPr>
          <w:p>
            <w:pPr>
              <w:spacing w:after="0"/>
              <w:rPr>
                <w:sz w:val="1"/>
                <w:szCs w:val="1"/>
                <w:color w:val="auto"/>
              </w:rPr>
            </w:pPr>
          </w:p>
        </w:tc>
      </w:tr>
      <w:tr>
        <w:trPr>
          <w:trHeight w:val="297"/>
        </w:trPr>
        <w:tc>
          <w:tcPr>
            <w:tcW w:w="6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Unrealized (loss) gain on investment securities measured at fair value through net income, net </w:t>
            </w:r>
            <w:r>
              <w:rPr>
                <w:rFonts w:ascii="Times New Roman" w:cs="Times New Roman" w:eastAsia="Times New Roman" w:hAnsi="Times New Roman"/>
                <w:sz w:val="20"/>
                <w:szCs w:val="20"/>
                <w:color w:val="auto"/>
                <w:w w:val="98"/>
                <w:vertAlign w:val="superscript"/>
              </w:rPr>
              <w:t>2</w:t>
            </w: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color w:val="B4B4B4"/>
                <w:w w:val="98"/>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0" w:type="dxa"/>
            <w:vAlign w:val="bottom"/>
          </w:tcPr>
          <w:p>
            <w:pPr>
              <w:spacing w:after="0"/>
              <w:rPr>
                <w:sz w:val="1"/>
                <w:szCs w:val="1"/>
                <w:color w:val="auto"/>
              </w:rPr>
            </w:pPr>
          </w:p>
        </w:tc>
      </w:tr>
      <w:tr>
        <w:trPr>
          <w:trHeight w:val="171"/>
        </w:trPr>
        <w:tc>
          <w:tcPr>
            <w:tcW w:w="644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9"/>
              </w:rPr>
              <w:t>Unrealized (loss) gain on investment securities measured at fair value through other comprehensive</w:t>
            </w: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08"/>
        </w:trPr>
        <w:tc>
          <w:tcPr>
            <w:tcW w:w="6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income, net </w:t>
            </w:r>
            <w:r>
              <w:rPr>
                <w:rFonts w:ascii="Times New Roman" w:cs="Times New Roman" w:eastAsia="Times New Roman" w:hAnsi="Times New Roman"/>
                <w:sz w:val="16"/>
                <w:szCs w:val="16"/>
                <w:color w:val="B4B4B4"/>
                <w:w w:val="98"/>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Total (loss) gain on investment securities, net </w:t>
            </w:r>
            <w:r>
              <w:rPr>
                <w:rFonts w:ascii="Times New Roman" w:cs="Times New Roman" w:eastAsia="Times New Roman" w:hAnsi="Times New Roman"/>
                <w:sz w:val="16"/>
                <w:szCs w:val="16"/>
                <w:color w:val="B4B4B4"/>
                <w:w w:val="98"/>
              </w:rPr>
              <w:t>........................................................................................</w:t>
            </w: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-43180</wp:posOffset>
            </wp:positionV>
            <wp:extent cx="2104390" cy="50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6">
                      <a:extLst>
                        <a:ext uri="{28A0092B-C50C-407E-A947-70E740481C1C}"/>
                      </a:extLst>
                    </a:blip>
                    <a:srcRect/>
                    <a:stretch>
                      <a:fillRect/>
                    </a:stretch>
                  </pic:blipFill>
                  <pic:spPr bwMode="auto">
                    <a:xfrm>
                      <a:off x="0" y="0"/>
                      <a:ext cx="2104390"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line="241" w:lineRule="auto"/>
        <w:tabs>
          <w:tab w:leader="none" w:pos="7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gain (loss) on TBA securities, which are reported in gain (loss) on derivative instruments and other securities, net in our Consolidated Statements of Comprehensive Income.</w:t>
      </w:r>
    </w:p>
    <w:p>
      <w:pPr>
        <w:spacing w:after="0" w:line="1" w:lineRule="exact"/>
        <w:rPr>
          <w:rFonts w:ascii="Times New Roman" w:cs="Times New Roman" w:eastAsia="Times New Roman" w:hAnsi="Times New Roman"/>
          <w:sz w:val="16"/>
          <w:szCs w:val="16"/>
          <w:color w:val="auto"/>
        </w:rPr>
      </w:pPr>
    </w:p>
    <w:p>
      <w:pPr>
        <w:ind w:left="700" w:hanging="347"/>
        <w:spacing w:after="0" w:line="245" w:lineRule="auto"/>
        <w:tabs>
          <w:tab w:leader="none" w:pos="7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securities acquired after fiscal year 2016 are measured at fair value through net income (see Note 2 of our Consolidated Financial Statements in this Form 10-K).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Gain (Loss) on Derivative Instruments and Other Securities, Net</w:t>
      </w:r>
    </w:p>
    <w:p>
      <w:pPr>
        <w:spacing w:after="0" w:line="196" w:lineRule="exact"/>
        <w:rPr>
          <w:sz w:val="20"/>
          <w:szCs w:val="20"/>
          <w:color w:val="auto"/>
        </w:rPr>
      </w:pPr>
    </w:p>
    <w:p>
      <w:pPr>
        <w:ind w:firstLine="480"/>
        <w:spacing w:after="0" w:line="293" w:lineRule="auto"/>
        <w:rPr>
          <w:sz w:val="20"/>
          <w:szCs w:val="20"/>
          <w:color w:val="auto"/>
        </w:rPr>
      </w:pPr>
      <w:r>
        <w:rPr>
          <w:rFonts w:ascii="Times New Roman" w:cs="Times New Roman" w:eastAsia="Times New Roman" w:hAnsi="Times New Roman"/>
          <w:sz w:val="19"/>
          <w:szCs w:val="19"/>
          <w:color w:val="auto"/>
        </w:rPr>
        <w:t>The following table is a summary of our gain (loss) on derivative instruments and other securities, net for fiscal years 2024, 2023 and 2022 (in millions):</w:t>
      </w:r>
    </w:p>
    <w:p>
      <w:pPr>
        <w:spacing w:after="0" w:line="136"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5"/>
              </w:rPr>
              <w:t>Fiscal Year</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27"/>
        </w:trPr>
        <w:tc>
          <w:tcPr>
            <w:tcW w:w="6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TBA securities, dollar roll income </w:t>
            </w:r>
            <w:r>
              <w:rPr>
                <w:rFonts w:ascii="Times New Roman" w:cs="Times New Roman" w:eastAsia="Times New Roman" w:hAnsi="Times New Roman"/>
                <w:sz w:val="16"/>
                <w:szCs w:val="16"/>
                <w:color w:val="B4B4B4"/>
                <w:w w:val="98"/>
              </w:rPr>
              <w:t>..............................................................................................................</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TBA securities, mark-to-market gain (loss)</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Interest rate swaps, periodic income </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Interest rate swaps, mark-to-market gain (loss) </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Credit default swaps - buy protection </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Payer swaptions </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Recceiver swaptions</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U.S. Treasury securities - short position </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U.S. Treasury securities - long position </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U.S. Treasury futures contracts - short position </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SOFR futures contracts - long position</w:t>
            </w:r>
            <w:r>
              <w:rPr>
                <w:rFonts w:ascii="Times New Roman" w:cs="Times New Roman" w:eastAsia="Times New Roman" w:hAnsi="Times New Roman"/>
                <w:sz w:val="16"/>
                <w:szCs w:val="16"/>
                <w:color w:val="B4B4B4"/>
                <w:w w:val="98"/>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Other interest income (expense) </w:t>
            </w:r>
            <w:r>
              <w:rPr>
                <w:rFonts w:ascii="Times New Roman" w:cs="Times New Roman" w:eastAsia="Times New Roman" w:hAnsi="Times New Roman"/>
                <w:sz w:val="11"/>
                <w:szCs w:val="11"/>
                <w:color w:val="B4B4B4"/>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5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Other gain (loss)</w:t>
            </w:r>
            <w:r>
              <w:rPr>
                <w:rFonts w:ascii="Times New Roman" w:cs="Times New Roman" w:eastAsia="Times New Roman" w:hAnsi="Times New Roman"/>
                <w:sz w:val="16"/>
                <w:szCs w:val="16"/>
                <w:color w:val="B4B4B4"/>
                <w:w w:val="98"/>
              </w:rPr>
              <w:t>..........................................................................................................................................</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8"/>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7"/>
              </w:rPr>
              <w:t xml:space="preserve">Total gain (loss) on derivative instruments and other securities, net </w:t>
            </w:r>
            <w:r>
              <w:rPr>
                <w:rFonts w:ascii="Times New Roman" w:cs="Times New Roman" w:eastAsia="Times New Roman" w:hAnsi="Times New Roman"/>
                <w:sz w:val="16"/>
                <w:szCs w:val="16"/>
                <w:color w:val="B4B4B4"/>
                <w:w w:val="97"/>
              </w:rPr>
              <w:t>..........................................................</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r>
      <w:tr>
        <w:trPr>
          <w:trHeight w:val="20"/>
        </w:trPr>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-43180</wp:posOffset>
            </wp:positionV>
            <wp:extent cx="2122805" cy="5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7">
                      <a:extLst>
                        <a:ext uri="{28A0092B-C50C-407E-A947-70E740481C1C}"/>
                      </a:extLst>
                    </a:blip>
                    <a:srcRect/>
                    <a:stretch>
                      <a:fillRect/>
                    </a:stretch>
                  </pic:blipFill>
                  <pic:spPr bwMode="auto">
                    <a:xfrm>
                      <a:off x="0" y="0"/>
                      <a:ext cx="2122805" cy="50165"/>
                    </a:xfrm>
                    <a:prstGeom prst="rect">
                      <a:avLst/>
                    </a:prstGeom>
                    <a:noFill/>
                  </pic:spPr>
                </pic:pic>
              </a:graphicData>
            </a:graphic>
          </wp:anchor>
        </w:drawing>
      </w:r>
    </w:p>
    <w:p>
      <w:pPr>
        <w:spacing w:after="0" w:line="162" w:lineRule="exact"/>
        <w:rPr>
          <w:sz w:val="20"/>
          <w:szCs w:val="20"/>
          <w:color w:val="auto"/>
        </w:rPr>
      </w:pPr>
    </w:p>
    <w:p>
      <w:pPr>
        <w:ind w:firstLine="480"/>
        <w:spacing w:after="0" w:line="293" w:lineRule="auto"/>
        <w:rPr>
          <w:sz w:val="20"/>
          <w:szCs w:val="20"/>
          <w:color w:val="auto"/>
        </w:rPr>
      </w:pPr>
      <w:r>
        <w:rPr>
          <w:rFonts w:ascii="Times New Roman" w:cs="Times New Roman" w:eastAsia="Times New Roman" w:hAnsi="Times New Roman"/>
          <w:sz w:val="19"/>
          <w:szCs w:val="19"/>
          <w:color w:val="auto"/>
        </w:rPr>
        <w:t>For further details regarding our use of derivative instruments and related activity refer to Notes 2 and 5 of our Consolidated Financial Statements in this Form 10-K.</w:t>
      </w:r>
    </w:p>
    <w:p>
      <w:pPr>
        <w:sectPr>
          <w:pgSz w:w="11880" w:h="15480" w:orient="portrait"/>
          <w:cols w:equalWidth="0" w:num="1">
            <w:col w:w="9960"/>
          </w:cols>
          <w:pgMar w:left="960" w:top="7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9960"/>
          </w:cols>
          <w:pgMar w:left="960" w:top="722" w:right="96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96"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9"/>
          <w:szCs w:val="19"/>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 xml:space="preserve"> and Item 7A. </w:t>
      </w:r>
      <w:r>
        <w:rPr>
          <w:rFonts w:ascii="Times New Roman" w:cs="Times New Roman" w:eastAsia="Times New Roman" w:hAnsi="Times New Roman"/>
          <w:sz w:val="19"/>
          <w:szCs w:val="19"/>
          <w:b w:val="1"/>
          <w:bCs w:val="1"/>
          <w:i w:val="1"/>
          <w:iCs w:val="1"/>
          <w:color w:val="auto"/>
        </w:rPr>
        <w:t>Quantitative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Qualitative Disclosures of Market Risks </w:t>
      </w:r>
      <w:r>
        <w:rPr>
          <w:rFonts w:ascii="Times New Roman" w:cs="Times New Roman" w:eastAsia="Times New Roman" w:hAnsi="Times New Roman"/>
          <w:sz w:val="19"/>
          <w:szCs w:val="19"/>
          <w:color w:val="auto"/>
        </w:rPr>
        <w:t>in this Form 10-K. In assessing our liquidity, we consider a number of factors,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Leverage and Financing Sources</w:t>
      </w:r>
    </w:p>
    <w:p>
      <w:pPr>
        <w:spacing w:after="0" w:line="196"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9"/>
          <w:szCs w:val="19"/>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7.2x and 7.0x as of December 31, 2024 and 2023, respectively. The following table includes a summary of our mortgage borrowings outstanding as of December 31, 2024 and 2023 (dollars in millions). For additional details of our mortgage borrowings refer to Notes 2, 4 and 5 to our Consolidated Financial Statements in this Form 10-K.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Mortgage Borrowings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22"/>
                <w:szCs w:val="22"/>
                <w:color w:val="auto"/>
              </w:rPr>
            </w:pPr>
          </w:p>
        </w:tc>
        <w:tc>
          <w:tcPr>
            <w:tcW w:w="10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8"/>
              </w:rPr>
              <w:t xml:space="preserve">Investment securities repurchase agreements </w:t>
            </w:r>
            <w:r>
              <w:rPr>
                <w:rFonts w:ascii="Times New Roman" w:cs="Times New Roman" w:eastAsia="Times New Roman" w:hAnsi="Times New Roman"/>
                <w:sz w:val="20"/>
                <w:szCs w:val="20"/>
                <w:color w:val="auto"/>
                <w:w w:val="98"/>
                <w:vertAlign w:val="superscript"/>
              </w:rPr>
              <w:t>1,2</w:t>
            </w: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color w:val="B4B4B4"/>
                <w:w w:val="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59,362</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48,879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8"/>
              </w:rPr>
              <w:t xml:space="preserve">Debt of consolidated variable interest entities, at fair value </w:t>
            </w:r>
            <w:r>
              <w:rPr>
                <w:rFonts w:ascii="Times New Roman" w:cs="Times New Roman" w:eastAsia="Times New Roman" w:hAnsi="Times New Roman"/>
                <w:sz w:val="16"/>
                <w:szCs w:val="16"/>
                <w:color w:val="B4B4B4"/>
                <w:w w:val="98"/>
              </w:rPr>
              <w:t>.......................................</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8"/>
              </w:rPr>
              <w:t xml:space="preserve">Total debt </w:t>
            </w:r>
            <w:r>
              <w:rPr>
                <w:rFonts w:ascii="Times New Roman" w:cs="Times New Roman" w:eastAsia="Times New Roman" w:hAnsi="Times New Roman"/>
                <w:sz w:val="16"/>
                <w:szCs w:val="16"/>
                <w:color w:val="B4B4B4"/>
                <w:w w:val="98"/>
              </w:rPr>
              <w:t>.....................................................................................................................</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59,426</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48,959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8"/>
              </w:rPr>
              <w:t>TBA and forward settling non-Agency securities, at cost</w:t>
            </w:r>
            <w:r>
              <w:rPr>
                <w:rFonts w:ascii="Times New Roman" w:cs="Times New Roman" w:eastAsia="Times New Roman" w:hAnsi="Times New Roman"/>
                <w:sz w:val="16"/>
                <w:szCs w:val="16"/>
                <w:color w:val="B4B4B4"/>
                <w:w w:val="98"/>
              </w:rPr>
              <w:t>...........................................</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5,288</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8"/>
              </w:rPr>
              <w:t xml:space="preserve">Total mortgage borrowings </w:t>
            </w:r>
            <w:r>
              <w:rPr>
                <w:rFonts w:ascii="Times New Roman" w:cs="Times New Roman" w:eastAsia="Times New Roman" w:hAnsi="Times New Roman"/>
                <w:sz w:val="16"/>
                <w:szCs w:val="16"/>
                <w:color w:val="B4B4B4"/>
                <w:w w:val="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66,313</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100 %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54,247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jc w:val="right"/>
              <w:ind w:right="3362"/>
              <w:spacing w:after="0"/>
              <w:rPr>
                <w:sz w:val="20"/>
                <w:szCs w:val="20"/>
                <w:color w:val="auto"/>
              </w:rPr>
            </w:pPr>
            <w:r>
              <w:rPr>
                <w:rFonts w:ascii="Times New Roman" w:cs="Times New Roman" w:eastAsia="Times New Roman" w:hAnsi="Times New Roman"/>
                <w:sz w:val="12"/>
                <w:szCs w:val="12"/>
                <w:color w:val="auto"/>
                <w:w w:val="95"/>
              </w:rPr>
              <w:t>________________________________</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-158750</wp:posOffset>
            </wp:positionV>
            <wp:extent cx="2935605" cy="50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8">
                      <a:extLst>
                        <a:ext uri="{28A0092B-C50C-407E-A947-70E740481C1C}"/>
                      </a:extLst>
                    </a:blip>
                    <a:srcRect/>
                    <a:stretch>
                      <a:fillRect/>
                    </a:stretch>
                  </pic:blipFill>
                  <pic:spPr bwMode="auto">
                    <a:xfrm>
                      <a:off x="0" y="0"/>
                      <a:ext cx="2935605" cy="50165"/>
                    </a:xfrm>
                    <a:prstGeom prst="rect">
                      <a:avLst/>
                    </a:prstGeom>
                    <a:noFill/>
                  </pic:spPr>
                </pic:pic>
              </a:graphicData>
            </a:graphic>
          </wp:anchor>
        </w:drawing>
      </w:r>
    </w:p>
    <w:p>
      <w:pPr>
        <w:ind w:left="700" w:hanging="347"/>
        <w:spacing w:after="0" w:line="193" w:lineRule="exact"/>
        <w:tabs>
          <w:tab w:leader="none" w:pos="700" w:val="left"/>
        </w:tabs>
        <w:numPr>
          <w:ilvl w:val="0"/>
          <w:numId w:val="33"/>
        </w:numPr>
        <w:rPr>
          <w:rFonts w:ascii="Malgun Gothic" w:cs="Malgun Gothic" w:eastAsia="Malgun Gothic" w:hAnsi="Malgun Gothic"/>
          <w:sz w:val="16"/>
          <w:szCs w:val="16"/>
          <w:b w:val="1"/>
          <w:bCs w:val="1"/>
          <w:color w:val="auto"/>
        </w:rPr>
      </w:pPr>
      <w:r>
        <w:rPr>
          <w:rFonts w:ascii="Times New Roman" w:cs="Times New Roman" w:eastAsia="Times New Roman" w:hAnsi="Times New Roman"/>
          <w:sz w:val="16"/>
          <w:szCs w:val="16"/>
          <w:color w:val="auto"/>
        </w:rPr>
        <w:t xml:space="preserve">Includes Agency RMBS, CRT and non-Agency MBS repurchase agreements. </w:t>
      </w:r>
      <w:r>
        <w:rPr>
          <w:rFonts w:ascii="Malgun Gothic" w:cs="Malgun Gothic" w:eastAsia="Malgun Gothic" w:hAnsi="Malgun Gothic"/>
          <w:sz w:val="16"/>
          <w:szCs w:val="16"/>
          <w:b w:val="1"/>
          <w:bCs w:val="1"/>
          <w:color w:val="auto"/>
        </w:rPr>
        <w:t>E</w:t>
      </w:r>
      <w:r>
        <w:rPr>
          <w:rFonts w:ascii="Times New Roman" w:cs="Times New Roman" w:eastAsia="Times New Roman" w:hAnsi="Times New Roman"/>
          <w:sz w:val="16"/>
          <w:szCs w:val="16"/>
          <w:color w:val="auto"/>
        </w:rPr>
        <w:t>xcludes U.S. Treasury repurchase agreements totaling $1.4 billion and $1.5 billion as of December 31, 2024 and 2023, respectively.</w:t>
      </w:r>
    </w:p>
    <w:p>
      <w:pPr>
        <w:ind w:left="700" w:hanging="347"/>
        <w:spacing w:after="0" w:line="243" w:lineRule="auto"/>
        <w:tabs>
          <w:tab w:leader="none" w:pos="7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and 2023, 47% and 43%, respectively, of our total repurchase agreements, including 49% and 45% or our investment securities repurchase agreements, respectively, were funded through the Fixed Income Clearing Corporation's GCF Repo service.</w:t>
      </w:r>
    </w:p>
    <w:p>
      <w:pPr>
        <w:spacing w:after="0" w:line="145"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9"/>
          <w:szCs w:val="19"/>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spacing w:after="0" w:line="373"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9"/>
          <w:szCs w:val="19"/>
          <w:color w:val="auto"/>
        </w:rPr>
        <w:t>The terms and conditions of our repurchase agreements are determined on a transaction-by-transaction basis when each such borrowing is initiated or renewed and, in the case of GCF Repo, by the prevailing margin requirements calculated by the FICC, which acts as the central counterparty. The amount borrowed is generally equal to the fair value of the securities pledged, as determined by the lending counterparty, less an assessed discount, referred to as a "haircut," that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35"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9960"/>
          </w:cols>
          <w:pgMar w:left="960" w:top="704" w:right="96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9"/>
          <w:szCs w:val="19"/>
          <w:b w:val="1"/>
          <w:bCs w:val="1"/>
          <w:i w:val="1"/>
          <w:iCs w:val="1"/>
          <w:color w:val="auto"/>
        </w:rPr>
        <w:t>Collateral Requirements and Unencumbered Assets</w:t>
      </w:r>
    </w:p>
    <w:p>
      <w:pPr>
        <w:spacing w:after="0" w:line="196"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35" w:lineRule="exact"/>
        <w:rPr>
          <w:sz w:val="20"/>
          <w:szCs w:val="20"/>
          <w:color w:val="auto"/>
        </w:rPr>
      </w:pPr>
    </w:p>
    <w:p>
      <w:pPr>
        <w:jc w:val="both"/>
        <w:ind w:firstLine="480"/>
        <w:spacing w:after="0" w:line="260" w:lineRule="auto"/>
        <w:rPr>
          <w:sz w:val="20"/>
          <w:szCs w:val="20"/>
          <w:color w:val="auto"/>
        </w:rPr>
      </w:pPr>
      <w:r>
        <w:rPr>
          <w:rFonts w:ascii="Times New Roman" w:cs="Times New Roman" w:eastAsia="Times New Roman" w:hAnsi="Times New Roman"/>
          <w:sz w:val="19"/>
          <w:szCs w:val="19"/>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December 31, 2024, we had met all our margin requirements.</w:t>
      </w:r>
    </w:p>
    <w:p>
      <w:pPr>
        <w:spacing w:after="0" w:line="140"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9"/>
          <w:szCs w:val="19"/>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December 31, 2024, approximately 9% of our investment portfolio consisted of TBA securities, which are not subject to monthly principal pay-downs. The remainder of our portfolio primarily consisted of Agency RMBS, which had an average one-year CPR forecast of 7% as of December 31, 2024.</w:t>
      </w:r>
    </w:p>
    <w:p>
      <w:pPr>
        <w:spacing w:after="0" w:line="139"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9"/>
          <w:szCs w:val="19"/>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45"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Haircut levels and minimum margin requirements imposed by our counterparties reduce the amount of our unencumbered assets and limit the amount we can borrow against our investment securities. During the fiscal year 2024, haircuts on our repo funding arrangements remained stable. As of December 31, 2024, the weighted average haircut on our repurchase agreements was approximately 3.2% of the value of our collateral, compared to 3.1% as of December 31, 2023.</w:t>
      </w:r>
    </w:p>
    <w:p>
      <w:pPr>
        <w:spacing w:after="0" w:line="130"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To mitigate the risk of margins calls, we seek to maintain excess liquidity by holding unencumbered liquid assets that can be used to satisfy collateral requirements, collateralize additional borrowings or sold for cash. As of December 31, 2024, our unencumbered assets totaled approximately $6.2 billion, or 67% of tangible equity, consisting of $6.1 billion of cash and unencumbered Agency RMBS and $0.1 billion of unencumbered credit assets. This compares to $5.2 billion of unencumbered assets, or 67% of tangible equity, as of December 31, 2023, consisting of $5.1 billion of cash and unencumbered Agency RMBS and $0.1 billion of unencumbered credit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Counterparty Risk</w:t>
      </w:r>
    </w:p>
    <w:p>
      <w:pPr>
        <w:spacing w:after="0" w:line="196"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ectPr>
          <w:pgSz w:w="11880" w:h="15480" w:orient="portrait"/>
          <w:cols w:equalWidth="0" w:num="1">
            <w:col w:w="9960"/>
          </w:cols>
          <w:pgMar w:left="960" w:top="704" w:right="960" w:bottom="0"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9960"/>
          </w:cols>
          <w:pgMar w:left="960" w:top="704" w:right="960" w:bottom="0" w:gutter="0" w:footer="0" w:header="0"/>
          <w:type w:val="continuous"/>
        </w:sectPr>
      </w:pPr>
    </w:p>
    <w:bookmarkStart w:id="53" w:name="page54"/>
    <w:bookmarkEnd w:id="53"/>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As of December 31, 2024, our maximum amount at risk (or the excess/shortfall of the value of collateral pledged/ 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less than 5% of our tangible stockholders' equity. As of December 31, 2024, 9% of our tangible stockholder's equity was at risk with the FICC. Excluding central clearing exchanges, as of December 31, 2024, our amount at risk with any counterparty to our derivative agreements was less than 1% of our stockholders' equity.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 Sales</w:t>
      </w:r>
    </w:p>
    <w:p>
      <w:pPr>
        <w:spacing w:after="0" w:line="196"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9"/>
          <w:szCs w:val="19"/>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 w:cs="Times New Roman" w:eastAsia="Times New Roman" w:hAnsi="Times New Roman"/>
          <w:sz w:val="19"/>
          <w:szCs w:val="19"/>
          <w:b w:val="1"/>
          <w:bCs w:val="1"/>
          <w:i w:val="1"/>
          <w:iCs w:val="1"/>
          <w:color w:val="auto"/>
        </w:rPr>
        <w:t>Trends and Recent Market Impacts</w:t>
      </w:r>
      <w:r>
        <w:rPr>
          <w:rFonts w:ascii="Times New Roman" w:cs="Times New Roman" w:eastAsia="Times New Roman" w:hAnsi="Times New Roman"/>
          <w:sz w:val="19"/>
          <w:szCs w:val="19"/>
          <w:color w:val="auto"/>
        </w:rPr>
        <w:t xml:space="preserve"> of this Management Discussion and Analysis for further information regarding Agency RMBS and TBA market conditions.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Markets</w:t>
      </w:r>
    </w:p>
    <w:p>
      <w:pPr>
        <w:spacing w:after="0" w:line="196" w:lineRule="exact"/>
        <w:rPr>
          <w:sz w:val="20"/>
          <w:szCs w:val="20"/>
          <w:color w:val="auto"/>
        </w:rPr>
      </w:pPr>
    </w:p>
    <w:p>
      <w:pPr>
        <w:jc w:val="both"/>
        <w:ind w:firstLine="480"/>
        <w:spacing w:after="0" w:line="260" w:lineRule="auto"/>
        <w:rPr>
          <w:sz w:val="20"/>
          <w:szCs w:val="20"/>
          <w:color w:val="auto"/>
        </w:rPr>
      </w:pPr>
      <w:r>
        <w:rPr>
          <w:rFonts w:ascii="Times New Roman" w:cs="Times New Roman" w:eastAsia="Times New Roman" w:hAnsi="Times New Roman"/>
          <w:sz w:val="19"/>
          <w:szCs w:val="19"/>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Please refer to Note 9 of our Consolidated Financial Statements in this Form 10-K for further details regarding our recent equity capital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OFF-BALANCE SHEET ARRANGEMENTS</w:t>
      </w:r>
    </w:p>
    <w:p>
      <w:pPr>
        <w:spacing w:after="0" w:line="196"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As of December 31, 2024,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2024, we had not guaranteed obligations of unconsolidated entities or entered into a commitment or intent to provide funding to such entities.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196"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The statements contained in this Annual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35"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Forward-looking statements are based on management’s assumptions, projections and beliefs as of the date of this Annual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72" w:lineRule="exact"/>
        <w:rPr>
          <w:sz w:val="20"/>
          <w:szCs w:val="20"/>
          <w:color w:val="auto"/>
        </w:rPr>
      </w:pPr>
    </w:p>
    <w:p>
      <w:pPr>
        <w:ind w:left="700" w:hanging="260"/>
        <w:spacing w:after="0" w:line="287" w:lineRule="auto"/>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U.S. monetary policy or interest rates, including actions taken by the Federal Reserve to normalize monetary policy and to reduce the size of its U.S. Treasury and Agency RMBS bond portfolio;</w:t>
      </w:r>
    </w:p>
    <w:p>
      <w:pPr>
        <w:spacing w:after="0" w:line="1"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fluctuations in the yield curve;</w:t>
      </w:r>
    </w:p>
    <w:p>
      <w:pPr>
        <w:spacing w:after="0" w:line="37"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34"/>
        </w:numPr>
        <w:rPr>
          <w:rFonts w:ascii="Arial" w:cs="Arial" w:eastAsia="Arial" w:hAnsi="Arial"/>
          <w:sz w:val="23"/>
          <w:szCs w:val="23"/>
          <w:b w:val="1"/>
          <w:bCs w:val="1"/>
          <w:color w:val="auto"/>
        </w:rPr>
      </w:pPr>
      <w:r>
        <w:rPr>
          <w:rFonts w:ascii="Times New Roman" w:cs="Times New Roman" w:eastAsia="Times New Roman" w:hAnsi="Times New Roman"/>
          <w:sz w:val="19"/>
          <w:szCs w:val="19"/>
          <w:color w:val="auto"/>
        </w:rPr>
        <w:t>the level, degree and extent of volatility in interest rates or the yield on our assets relative to interest rate benchmarks;</w:t>
      </w:r>
    </w:p>
    <w:p>
      <w:pPr>
        <w:spacing w:after="0" w:line="31" w:lineRule="exact"/>
        <w:rPr>
          <w:rFonts w:ascii="Arial" w:cs="Arial" w:eastAsia="Arial" w:hAnsi="Arial"/>
          <w:sz w:val="23"/>
          <w:szCs w:val="23"/>
          <w:b w:val="1"/>
          <w:bCs w:val="1"/>
          <w:color w:val="auto"/>
        </w:rPr>
      </w:pPr>
    </w:p>
    <w:p>
      <w:pPr>
        <w:ind w:left="700" w:hanging="260"/>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fluctuations in mortgage prepayment rates on the loans underlying our Agency RMBS;</w:t>
      </w:r>
    </w:p>
    <w:p>
      <w:pPr>
        <w:spacing w:after="0" w:line="72"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availability and terms of financing and our hedge positions;</w:t>
      </w:r>
    </w:p>
    <w:p>
      <w:pPr>
        <w:spacing w:after="0" w:line="72" w:lineRule="exact"/>
        <w:rPr>
          <w:rFonts w:ascii="Times New Roman" w:cs="Times New Roman" w:eastAsia="Times New Roman" w:hAnsi="Times New Roman"/>
          <w:sz w:val="19"/>
          <w:szCs w:val="19"/>
          <w:color w:val="auto"/>
        </w:rPr>
      </w:pPr>
    </w:p>
    <w:p>
      <w:pPr>
        <w:ind w:left="700" w:hanging="260"/>
        <w:spacing w:after="0" w:line="287" w:lineRule="auto"/>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market value of our assets, including from changes in net interest spreads, market liquidity or depth, and changes in our "at risk" leverage or hedge positions;</w:t>
      </w:r>
    </w:p>
    <w:p>
      <w:pPr>
        <w:spacing w:after="0" w:line="1"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effectiveness of our risk mitigation strategies;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9960"/>
          </w:cols>
          <w:pgMar w:left="960" w:top="711" w:right="960" w:bottom="0" w:gutter="0" w:footer="0" w:header="0"/>
          <w:type w:val="continuous"/>
        </w:sectPr>
      </w:pPr>
    </w:p>
    <w:bookmarkStart w:id="54" w:name="page55"/>
    <w:bookmarkEnd w:id="54"/>
    <w:p>
      <w:pPr>
        <w:ind w:left="700" w:right="20" w:hanging="260"/>
        <w:spacing w:after="0" w:line="270" w:lineRule="auto"/>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conditions in the market for Agency RMBS and other mortgage securities, including changes in the available supply of such securities or investor appetite therefor;</w:t>
      </w:r>
    </w:p>
    <w:p>
      <w:pPr>
        <w:spacing w:after="0" w:line="1" w:lineRule="exact"/>
        <w:rPr>
          <w:rFonts w:ascii="Times New Roman" w:cs="Times New Roman" w:eastAsia="Times New Roman" w:hAnsi="Times New Roman"/>
          <w:sz w:val="19"/>
          <w:szCs w:val="19"/>
          <w:color w:val="auto"/>
        </w:rPr>
      </w:pPr>
    </w:p>
    <w:p>
      <w:pPr>
        <w:ind w:left="700" w:hanging="260"/>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actions by the federal, state, or local governments that affect the economy, the housing sector or financial markets;</w:t>
      </w:r>
    </w:p>
    <w:p>
      <w:pPr>
        <w:spacing w:after="0" w:line="72" w:lineRule="exact"/>
        <w:rPr>
          <w:rFonts w:ascii="Times New Roman" w:cs="Times New Roman" w:eastAsia="Times New Roman" w:hAnsi="Times New Roman"/>
          <w:sz w:val="19"/>
          <w:szCs w:val="19"/>
          <w:color w:val="auto"/>
        </w:rPr>
      </w:pPr>
    </w:p>
    <w:p>
      <w:pPr>
        <w:jc w:val="both"/>
        <w:ind w:left="700" w:hanging="260"/>
        <w:spacing w:after="0" w:line="263" w:lineRule="auto"/>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ind w:left="700" w:right="820" w:hanging="260"/>
        <w:spacing w:after="0" w:line="239" w:lineRule="auto"/>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availability of personnel, operational resources, information technology and other systems to conduct our operations;</w:t>
      </w:r>
    </w:p>
    <w:p>
      <w:pPr>
        <w:spacing w:after="0" w:line="1" w:lineRule="exact"/>
        <w:rPr>
          <w:rFonts w:ascii="Times New Roman" w:cs="Times New Roman" w:eastAsia="Times New Roman" w:hAnsi="Times New Roman"/>
          <w:sz w:val="19"/>
          <w:szCs w:val="19"/>
          <w:color w:val="auto"/>
        </w:rPr>
      </w:pPr>
    </w:p>
    <w:p>
      <w:pPr>
        <w:ind w:left="700" w:right="60" w:hanging="260"/>
        <w:spacing w:after="0" w:line="245" w:lineRule="auto"/>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to laws, regulations, rules or policies that affect the GSE's, the primary or secondary mortgage markets in which we participate or U.S. housing finance activity, including actions that would end or alter the conservatorships of Fannie Mae or Freddie Mac or their quasi-governmental status; and</w:t>
      </w:r>
    </w:p>
    <w:p>
      <w:pPr>
        <w:spacing w:after="0" w:line="18" w:lineRule="exact"/>
        <w:rPr>
          <w:rFonts w:ascii="Times New Roman" w:cs="Times New Roman" w:eastAsia="Times New Roman" w:hAnsi="Times New Roman"/>
          <w:sz w:val="19"/>
          <w:szCs w:val="19"/>
          <w:color w:val="auto"/>
        </w:rPr>
      </w:pPr>
    </w:p>
    <w:p>
      <w:pPr>
        <w:ind w:left="700" w:hanging="260"/>
        <w:spacing w:after="0" w:line="293" w:lineRule="auto"/>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legislative or regulatory actions that affect our status as a REIT or our exemption from the Investment Company Act of 1940.</w:t>
      </w:r>
    </w:p>
    <w:p>
      <w:pPr>
        <w:spacing w:after="0" w:line="107"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 xml:space="preserve"> in Part I of this document. We caution readers not to place undue reliance on our forward-looking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WEBSITE AND SOCIAL MEDIA DISCLOSURE</w:t>
      </w:r>
    </w:p>
    <w:p>
      <w:pPr>
        <w:spacing w:after="0" w:line="196"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7A. </w:t>
      </w:r>
      <w:r>
        <w:rPr>
          <w:rFonts w:ascii="Times New Roman" w:cs="Times New Roman" w:eastAsia="Times New Roman" w:hAnsi="Times New Roman"/>
          <w:sz w:val="19"/>
          <w:szCs w:val="19"/>
          <w:b w:val="1"/>
          <w:bCs w:val="1"/>
          <w:i w:val="1"/>
          <w:iCs w:val="1"/>
          <w:color w:val="auto"/>
        </w:rPr>
        <w:t>Quantitative and Qualitative Disclosures about Market Risk</w:t>
      </w:r>
    </w:p>
    <w:p>
      <w:pPr>
        <w:spacing w:after="0" w:line="196"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Interest Rate Risk</w:t>
      </w:r>
    </w:p>
    <w:p>
      <w:pPr>
        <w:spacing w:after="0" w:line="196"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9"/>
          <w:szCs w:val="19"/>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5"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9"/>
          <w:szCs w:val="19"/>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36"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9960"/>
          </w:cols>
          <w:pgMar w:left="960" w:top="711" w:right="960" w:bottom="0" w:gutter="0" w:footer="0" w:header="0"/>
          <w:type w:val="continuous"/>
        </w:sectPr>
      </w:pPr>
    </w:p>
    <w:bookmarkStart w:id="55" w:name="page56"/>
    <w:bookmarkEnd w:id="55"/>
    <w:p>
      <w:pPr>
        <w:jc w:val="both"/>
        <w:spacing w:after="0" w:line="293" w:lineRule="auto"/>
        <w:rPr>
          <w:sz w:val="20"/>
          <w:szCs w:val="20"/>
          <w:color w:val="auto"/>
        </w:rPr>
      </w:pPr>
      <w:r>
        <w:rPr>
          <w:rFonts w:ascii="Times New Roman" w:cs="Times New Roman" w:eastAsia="Times New Roman" w:hAnsi="Times New Roman"/>
          <w:sz w:val="19"/>
          <w:szCs w:val="19"/>
          <w:color w:val="auto"/>
        </w:rPr>
        <w:t>and decrease when interest rates fall. This "negative convexity" generally increases the interest rate exposure of our investment portfolio in excess of what is measured by duration alone.</w:t>
      </w:r>
    </w:p>
    <w:p>
      <w:pPr>
        <w:spacing w:after="0" w:line="10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0.3 years as of December 31, 2024, compared to -0.5 years as of 2023.</w:t>
      </w:r>
    </w:p>
    <w:p>
      <w:pPr>
        <w:spacing w:after="0" w:line="132"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The table below quantifies the estimated changes in the fair value of our investment portfolio (including derivatives and other securities used for hedging purposes) and in our tangible net book value per common share as of December 31, 2024 and 2023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December 31, 2024 and 2023.</w:t>
      </w:r>
    </w:p>
    <w:p>
      <w:pPr>
        <w:spacing w:after="0" w:line="135"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Interest Rate Sensitivity </w:t>
      </w:r>
      <w:r>
        <w:rPr>
          <w:rFonts w:ascii="Times New Roman" w:cs="Times New Roman" w:eastAsia="Times New Roman" w:hAnsi="Times New Roman"/>
          <w:sz w:val="20"/>
          <w:szCs w:val="20"/>
          <w:b w:val="1"/>
          <w:bCs w:val="1"/>
          <w:color w:val="auto"/>
          <w:vertAlign w:val="superscript"/>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699770</wp:posOffset>
                </wp:positionH>
                <wp:positionV relativeFrom="paragraph">
                  <wp:posOffset>1905</wp:posOffset>
                </wp:positionV>
                <wp:extent cx="492442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4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pt,0.15pt" to="442.85pt,0.15pt" o:allowincell="f" strokecolor="#000000" strokeweight="1pt"/>
            </w:pict>
          </mc:Fallback>
        </mc:AlternateContent>
      </w:r>
    </w:p>
    <w:p>
      <w:pPr>
        <w:spacing w:after="0" w:line="17" w:lineRule="exact"/>
        <w:rPr>
          <w:sz w:val="20"/>
          <w:szCs w:val="20"/>
          <w:color w:val="auto"/>
        </w:rPr>
      </w:pPr>
    </w:p>
    <w:tbl>
      <w:tblPr>
        <w:tblLayout w:type="fixed"/>
        <w:tblInd w:w="1100" w:type="dxa"/>
        <w:tblCellMar>
          <w:top w:w="0" w:type="dxa"/>
          <w:left w:w="0" w:type="dxa"/>
          <w:bottom w:w="0" w:type="dxa"/>
          <w:right w:w="0" w:type="dxa"/>
        </w:tblCellMar>
      </w:tblPr>
      <w:tr>
        <w:trPr>
          <w:trHeight w:val="204"/>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7"/>
                <w:szCs w:val="17"/>
                <w:color w:val="auto"/>
              </w:rPr>
            </w:pPr>
          </w:p>
        </w:tc>
        <w:tc>
          <w:tcPr>
            <w:tcW w:w="24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60" w:type="dxa"/>
            <w:vAlign w:val="bottom"/>
          </w:tcPr>
          <w:p>
            <w:pPr>
              <w:spacing w:after="0"/>
              <w:rPr>
                <w:sz w:val="15"/>
                <w:szCs w:val="15"/>
                <w:color w:val="auto"/>
              </w:rPr>
            </w:pPr>
          </w:p>
        </w:tc>
        <w:tc>
          <w:tcPr>
            <w:tcW w:w="11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Estimated</w:t>
            </w:r>
          </w:p>
        </w:tc>
        <w:tc>
          <w:tcPr>
            <w:tcW w:w="12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Estimated</w:t>
            </w:r>
          </w:p>
        </w:tc>
        <w:tc>
          <w:tcPr>
            <w:tcW w:w="6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Estimated</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Change in</w:t>
            </w: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Change in</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Change in</w:t>
            </w:r>
          </w:p>
        </w:tc>
        <w:tc>
          <w:tcPr>
            <w:tcW w:w="6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Tangible Net</w:t>
            </w:r>
          </w:p>
        </w:tc>
        <w:tc>
          <w:tcPr>
            <w:tcW w:w="12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Change in</w:t>
            </w:r>
          </w:p>
        </w:tc>
        <w:tc>
          <w:tcPr>
            <w:tcW w:w="6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Tangible Net</w:t>
            </w:r>
          </w:p>
        </w:tc>
        <w:tc>
          <w:tcPr>
            <w:tcW w:w="0" w:type="dxa"/>
            <w:vAlign w:val="bottom"/>
          </w:tcPr>
          <w:p>
            <w:pPr>
              <w:spacing w:after="0"/>
              <w:rPr>
                <w:sz w:val="1"/>
                <w:szCs w:val="1"/>
                <w:color w:val="auto"/>
              </w:rPr>
            </w:pPr>
          </w:p>
        </w:tc>
      </w:tr>
      <w:tr>
        <w:trPr>
          <w:trHeight w:val="155"/>
        </w:trPr>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 in Interest Rate</w:t>
            </w:r>
          </w:p>
        </w:tc>
        <w:tc>
          <w:tcPr>
            <w:tcW w:w="120" w:type="dxa"/>
            <w:vAlign w:val="bottom"/>
            <w:vMerge w:val="restart"/>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Portfolio</w:t>
            </w:r>
          </w:p>
        </w:tc>
        <w:tc>
          <w:tcPr>
            <w:tcW w:w="6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Book Value Per</w:t>
            </w:r>
          </w:p>
        </w:tc>
        <w:tc>
          <w:tcPr>
            <w:tcW w:w="12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Portfolio</w:t>
            </w:r>
          </w:p>
        </w:tc>
        <w:tc>
          <w:tcPr>
            <w:tcW w:w="6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Book Value Per</w:t>
            </w:r>
          </w:p>
        </w:tc>
        <w:tc>
          <w:tcPr>
            <w:tcW w:w="0" w:type="dxa"/>
            <w:vAlign w:val="bottom"/>
          </w:tcPr>
          <w:p>
            <w:pPr>
              <w:spacing w:after="0"/>
              <w:rPr>
                <w:sz w:val="1"/>
                <w:szCs w:val="1"/>
                <w:color w:val="auto"/>
              </w:rPr>
            </w:pPr>
          </w:p>
        </w:tc>
      </w:tr>
      <w:tr>
        <w:trPr>
          <w:trHeight w:val="208"/>
        </w:trPr>
        <w:tc>
          <w:tcPr>
            <w:tcW w:w="26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Market Value</w:t>
            </w:r>
          </w:p>
        </w:tc>
        <w:tc>
          <w:tcPr>
            <w:tcW w:w="6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Share</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Share</w:t>
            </w:r>
          </w:p>
        </w:tc>
        <w:tc>
          <w:tcPr>
            <w:tcW w:w="0" w:type="dxa"/>
            <w:vAlign w:val="bottom"/>
          </w:tcPr>
          <w:p>
            <w:pPr>
              <w:spacing w:after="0"/>
              <w:rPr>
                <w:sz w:val="1"/>
                <w:szCs w:val="1"/>
                <w:color w:val="auto"/>
              </w:rPr>
            </w:pPr>
          </w:p>
        </w:tc>
      </w:tr>
      <w:tr>
        <w:trPr>
          <w:trHeight w:val="265"/>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-75 Basis Points</w:t>
            </w:r>
            <w:r>
              <w:rPr>
                <w:rFonts w:ascii="Times New Roman" w:cs="Times New Roman" w:eastAsia="Times New Roman" w:hAnsi="Times New Roman"/>
                <w:sz w:val="16"/>
                <w:szCs w:val="16"/>
                <w:color w:val="B4B4B4"/>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-0.1%</w:t>
            </w:r>
          </w:p>
        </w:tc>
        <w:tc>
          <w:tcPr>
            <w:tcW w:w="12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8"/>
              </w:rPr>
              <w:t>-0.9%</w:t>
            </w:r>
          </w:p>
        </w:tc>
        <w:tc>
          <w:tcPr>
            <w:tcW w:w="13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8"/>
              </w:rPr>
              <w:t>-0.7%</w:t>
            </w:r>
          </w:p>
        </w:tc>
        <w:tc>
          <w:tcPr>
            <w:tcW w:w="12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8"/>
              </w:rPr>
              <w:t>-7.0%</w:t>
            </w:r>
          </w:p>
        </w:tc>
        <w:tc>
          <w:tcPr>
            <w:tcW w:w="0" w:type="dxa"/>
            <w:vAlign w:val="bottom"/>
          </w:tcPr>
          <w:p>
            <w:pPr>
              <w:spacing w:after="0"/>
              <w:rPr>
                <w:sz w:val="1"/>
                <w:szCs w:val="1"/>
                <w:color w:val="auto"/>
              </w:rPr>
            </w:pPr>
          </w:p>
        </w:tc>
      </w:tr>
      <w:tr>
        <w:trPr>
          <w:trHeight w:val="291"/>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-50 Basis Points</w:t>
            </w:r>
            <w:r>
              <w:rPr>
                <w:rFonts w:ascii="Times New Roman" w:cs="Times New Roman" w:eastAsia="Times New Roman" w:hAnsi="Times New Roman"/>
                <w:sz w:val="16"/>
                <w:szCs w:val="16"/>
                <w:color w:val="B4B4B4"/>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0.0%</w:t>
            </w:r>
          </w:p>
        </w:tc>
        <w:tc>
          <w:tcPr>
            <w:tcW w:w="12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+0.2%</w:t>
            </w:r>
          </w:p>
        </w:tc>
        <w:tc>
          <w:tcPr>
            <w:tcW w:w="13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8"/>
              </w:rPr>
              <w:t>-0.4%</w:t>
            </w:r>
          </w:p>
        </w:tc>
        <w:tc>
          <w:tcPr>
            <w:tcW w:w="12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8"/>
              </w:rPr>
              <w:t>-3.8%</w:t>
            </w:r>
          </w:p>
        </w:tc>
        <w:tc>
          <w:tcPr>
            <w:tcW w:w="0" w:type="dxa"/>
            <w:vAlign w:val="bottom"/>
          </w:tcPr>
          <w:p>
            <w:pPr>
              <w:spacing w:after="0"/>
              <w:rPr>
                <w:sz w:val="1"/>
                <w:szCs w:val="1"/>
                <w:color w:val="auto"/>
              </w:rPr>
            </w:pPr>
          </w:p>
        </w:tc>
      </w:tr>
      <w:tr>
        <w:trPr>
          <w:trHeight w:val="291"/>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-25 Basis Points</w:t>
            </w:r>
            <w:r>
              <w:rPr>
                <w:rFonts w:ascii="Times New Roman" w:cs="Times New Roman" w:eastAsia="Times New Roman" w:hAnsi="Times New Roman"/>
                <w:sz w:val="16"/>
                <w:szCs w:val="16"/>
                <w:color w:val="B4B4B4"/>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12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+0.5%</w:t>
            </w:r>
          </w:p>
        </w:tc>
        <w:tc>
          <w:tcPr>
            <w:tcW w:w="13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8"/>
              </w:rPr>
              <w:t>-0.1%</w:t>
            </w:r>
          </w:p>
        </w:tc>
        <w:tc>
          <w:tcPr>
            <w:tcW w:w="12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8"/>
              </w:rPr>
              <w:t>-1.5%</w:t>
            </w:r>
          </w:p>
        </w:tc>
        <w:tc>
          <w:tcPr>
            <w:tcW w:w="0" w:type="dxa"/>
            <w:vAlign w:val="bottom"/>
          </w:tcPr>
          <w:p>
            <w:pPr>
              <w:spacing w:after="0"/>
              <w:rPr>
                <w:sz w:val="1"/>
                <w:szCs w:val="1"/>
                <w:color w:val="auto"/>
              </w:rPr>
            </w:pPr>
          </w:p>
        </w:tc>
      </w:tr>
      <w:tr>
        <w:trPr>
          <w:trHeight w:val="291"/>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+25 Basis Points</w:t>
            </w:r>
            <w:r>
              <w:rPr>
                <w:rFonts w:ascii="Times New Roman" w:cs="Times New Roman" w:eastAsia="Times New Roman" w:hAnsi="Times New Roman"/>
                <w:sz w:val="16"/>
                <w:szCs w:val="16"/>
                <w:color w:val="B4B4B4"/>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-0.1%</w:t>
            </w:r>
          </w:p>
        </w:tc>
        <w:tc>
          <w:tcPr>
            <w:tcW w:w="12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8"/>
              </w:rPr>
              <w:t>-1.1%</w:t>
            </w:r>
          </w:p>
        </w:tc>
        <w:tc>
          <w:tcPr>
            <w:tcW w:w="13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+0.1%</w:t>
            </w:r>
          </w:p>
        </w:tc>
        <w:tc>
          <w:tcPr>
            <w:tcW w:w="12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+0.7%</w:t>
            </w:r>
          </w:p>
        </w:tc>
        <w:tc>
          <w:tcPr>
            <w:tcW w:w="0" w:type="dxa"/>
            <w:vAlign w:val="bottom"/>
          </w:tcPr>
          <w:p>
            <w:pPr>
              <w:spacing w:after="0"/>
              <w:rPr>
                <w:sz w:val="1"/>
                <w:szCs w:val="1"/>
                <w:color w:val="auto"/>
              </w:rPr>
            </w:pPr>
          </w:p>
        </w:tc>
      </w:tr>
      <w:tr>
        <w:trPr>
          <w:trHeight w:val="291"/>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+50 Basis Points</w:t>
            </w:r>
            <w:r>
              <w:rPr>
                <w:rFonts w:ascii="Times New Roman" w:cs="Times New Roman" w:eastAsia="Times New Roman" w:hAnsi="Times New Roman"/>
                <w:sz w:val="16"/>
                <w:szCs w:val="16"/>
                <w:color w:val="B4B4B4"/>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-0.3%</w:t>
            </w:r>
          </w:p>
        </w:tc>
        <w:tc>
          <w:tcPr>
            <w:tcW w:w="12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8"/>
              </w:rPr>
              <w:t>-2.8%</w:t>
            </w:r>
          </w:p>
        </w:tc>
        <w:tc>
          <w:tcPr>
            <w:tcW w:w="13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+0.1%</w:t>
            </w:r>
          </w:p>
        </w:tc>
        <w:tc>
          <w:tcPr>
            <w:tcW w:w="12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+0.7%</w:t>
            </w:r>
          </w:p>
        </w:tc>
        <w:tc>
          <w:tcPr>
            <w:tcW w:w="0" w:type="dxa"/>
            <w:vAlign w:val="bottom"/>
          </w:tcPr>
          <w:p>
            <w:pPr>
              <w:spacing w:after="0"/>
              <w:rPr>
                <w:sz w:val="1"/>
                <w:szCs w:val="1"/>
                <w:color w:val="auto"/>
              </w:rPr>
            </w:pPr>
          </w:p>
        </w:tc>
      </w:tr>
      <w:tr>
        <w:trPr>
          <w:trHeight w:val="291"/>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+75 Basis Points</w:t>
            </w:r>
            <w:r>
              <w:rPr>
                <w:rFonts w:ascii="Times New Roman" w:cs="Times New Roman" w:eastAsia="Times New Roman" w:hAnsi="Times New Roman"/>
                <w:sz w:val="16"/>
                <w:szCs w:val="16"/>
                <w:color w:val="B4B4B4"/>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-0.5%</w:t>
            </w:r>
          </w:p>
        </w:tc>
        <w:tc>
          <w:tcPr>
            <w:tcW w:w="12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8"/>
              </w:rPr>
              <w:t>-4.8%</w:t>
            </w:r>
          </w:p>
        </w:tc>
        <w:tc>
          <w:tcPr>
            <w:tcW w:w="130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5"/>
              </w:rPr>
              <w:t>0.0%</w:t>
            </w:r>
          </w:p>
        </w:tc>
        <w:tc>
          <w:tcPr>
            <w:tcW w:w="128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5"/>
              </w:rPr>
              <w:t>0.0%</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line="241" w:lineRule="auto"/>
        <w:tabs>
          <w:tab w:leader="none" w:pos="7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Derived from models that are dependent on inputs and assumptions, assumes there are no changes in mortgage spreads and assumes a static portfolio. Actual results could differ materially from these estimates.</w:t>
      </w:r>
    </w:p>
    <w:p>
      <w:pPr>
        <w:spacing w:after="0" w:line="1" w:lineRule="exact"/>
        <w:rPr>
          <w:rFonts w:ascii="Times New Roman" w:cs="Times New Roman" w:eastAsia="Times New Roman" w:hAnsi="Times New Roman"/>
          <w:sz w:val="16"/>
          <w:szCs w:val="16"/>
          <w:color w:val="auto"/>
        </w:rPr>
      </w:pPr>
    </w:p>
    <w:p>
      <w:pPr>
        <w:ind w:left="700" w:hanging="347"/>
        <w:spacing w:after="0" w:line="245" w:lineRule="auto"/>
        <w:tabs>
          <w:tab w:leader="none" w:pos="7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 of derivatives and other securities used for hedging purposes. Interest rates are assumed to be floored at 0% in down rate scenarios.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Prepayment Risk and Extension Risk</w:t>
      </w:r>
    </w:p>
    <w:p>
      <w:pPr>
        <w:spacing w:after="0" w:line="196"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9"/>
          <w:szCs w:val="19"/>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30" w:lineRule="exact"/>
        <w:rPr>
          <w:sz w:val="20"/>
          <w:szCs w:val="20"/>
          <w:color w:val="auto"/>
        </w:rPr>
      </w:pPr>
    </w:p>
    <w:p>
      <w:pPr>
        <w:jc w:val="both"/>
        <w:ind w:firstLine="524"/>
        <w:spacing w:after="0" w:line="263" w:lineRule="auto"/>
        <w:rPr>
          <w:sz w:val="20"/>
          <w:szCs w:val="20"/>
          <w:color w:val="auto"/>
        </w:rPr>
      </w:pPr>
      <w:r>
        <w:rPr>
          <w:rFonts w:ascii="Times New Roman" w:cs="Times New Roman" w:eastAsia="Times New Roman" w:hAnsi="Times New Roman"/>
          <w:sz w:val="19"/>
          <w:szCs w:val="19"/>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5"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9960"/>
          </w:cols>
          <w:pgMar w:left="960" w:top="711" w:right="960" w:bottom="0" w:gutter="0" w:footer="0" w:header="0"/>
          <w:type w:val="continuous"/>
        </w:sectPr>
      </w:pPr>
    </w:p>
    <w:bookmarkStart w:id="56" w:name="page57"/>
    <w:bookmarkEnd w:id="56"/>
    <w:p>
      <w:pPr>
        <w:jc w:val="both"/>
        <w:spacing w:after="0" w:line="293" w:lineRule="auto"/>
        <w:rPr>
          <w:sz w:val="20"/>
          <w:szCs w:val="20"/>
          <w:color w:val="auto"/>
        </w:rPr>
      </w:pPr>
      <w:r>
        <w:rPr>
          <w:rFonts w:ascii="Times New Roman" w:cs="Times New Roman" w:eastAsia="Times New Roman" w:hAnsi="Times New Roman"/>
          <w:sz w:val="19"/>
          <w:szCs w:val="19"/>
          <w:color w:val="auto"/>
        </w:rPr>
        <w:t>mortgages at a slower pace than originally anticipated, adversely impacting our net interest spread, and thus our net interest income.</w:t>
      </w:r>
    </w:p>
    <w:p>
      <w:pPr>
        <w:spacing w:after="0" w:line="10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As of December 31, 2024 and 2023, our investment securities (excluding TBAs) had a weighted average projected CPR of 7.7% and 11.4%, respectively, and a weighted average yield of 4.77% and 4.41%,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Interest Rate Sensitivity </w:t>
      </w:r>
      <w:r>
        <w:rPr>
          <w:rFonts w:ascii="Times New Roman" w:cs="Times New Roman" w:eastAsia="Times New Roman" w:hAnsi="Times New Roman"/>
          <w:sz w:val="20"/>
          <w:szCs w:val="20"/>
          <w:b w:val="1"/>
          <w:bCs w:val="1"/>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713740</wp:posOffset>
                </wp:positionH>
                <wp:positionV relativeFrom="paragraph">
                  <wp:posOffset>1905</wp:posOffset>
                </wp:positionV>
                <wp:extent cx="489648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964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2pt,0.15pt" to="441.75pt,0.15pt" o:allowincell="f" strokecolor="#000000" strokeweight="1pt"/>
            </w:pict>
          </mc:Fallback>
        </mc:AlternateContent>
      </w:r>
    </w:p>
    <w:p>
      <w:pPr>
        <w:spacing w:after="0" w:line="17" w:lineRule="exact"/>
        <w:rPr>
          <w:sz w:val="20"/>
          <w:szCs w:val="20"/>
          <w:color w:val="auto"/>
        </w:rPr>
      </w:pPr>
    </w:p>
    <w:tbl>
      <w:tblPr>
        <w:tblLayout w:type="fixed"/>
        <w:tblInd w:w="112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7"/>
                <w:szCs w:val="17"/>
                <w:color w:val="auto"/>
              </w:rPr>
            </w:pPr>
          </w:p>
        </w:tc>
        <w:tc>
          <w:tcPr>
            <w:tcW w:w="23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5"/>
        </w:trPr>
        <w:tc>
          <w:tcPr>
            <w:tcW w:w="2740" w:type="dxa"/>
            <w:vAlign w:val="bottom"/>
            <w:vMerge w:val="restart"/>
          </w:tcPr>
          <w:p>
            <w:pPr>
              <w:jc w:val="right"/>
              <w:ind w:right="1022"/>
              <w:spacing w:after="0"/>
              <w:rPr>
                <w:sz w:val="20"/>
                <w:szCs w:val="20"/>
                <w:color w:val="auto"/>
              </w:rPr>
            </w:pPr>
            <w:r>
              <w:rPr>
                <w:rFonts w:ascii="Times New Roman" w:cs="Times New Roman" w:eastAsia="Times New Roman" w:hAnsi="Times New Roman"/>
                <w:sz w:val="16"/>
                <w:szCs w:val="16"/>
                <w:b w:val="1"/>
                <w:bCs w:val="1"/>
                <w:color w:val="auto"/>
                <w:w w:val="99"/>
              </w:rPr>
              <w:t>Change in Interest Rate</w:t>
            </w:r>
          </w:p>
        </w:tc>
        <w:tc>
          <w:tcPr>
            <w:tcW w:w="120" w:type="dxa"/>
            <w:vAlign w:val="bottom"/>
            <w:vMerge w:val="restart"/>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Average Asset</w:t>
            </w:r>
          </w:p>
        </w:tc>
        <w:tc>
          <w:tcPr>
            <w:tcW w:w="12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 Asset</w:t>
            </w:r>
          </w:p>
        </w:tc>
        <w:tc>
          <w:tcPr>
            <w:tcW w:w="0" w:type="dxa"/>
            <w:vAlign w:val="bottom"/>
          </w:tcPr>
          <w:p>
            <w:pPr>
              <w:spacing w:after="0"/>
              <w:rPr>
                <w:sz w:val="1"/>
                <w:szCs w:val="1"/>
                <w:color w:val="auto"/>
              </w:rPr>
            </w:pPr>
          </w:p>
        </w:tc>
      </w:tr>
      <w:tr>
        <w:trPr>
          <w:trHeight w:val="208"/>
        </w:trPr>
        <w:tc>
          <w:tcPr>
            <w:tcW w:w="27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Projected CPR</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Yield </w:t>
            </w:r>
            <w:r>
              <w:rPr>
                <w:rFonts w:ascii="Times New Roman" w:cs="Times New Roman" w:eastAsia="Times New Roman" w:hAnsi="Times New Roman"/>
                <w:sz w:val="20"/>
                <w:szCs w:val="20"/>
                <w:b w:val="1"/>
                <w:bCs w:val="1"/>
                <w:color w:val="auto"/>
                <w:w w:val="93"/>
                <w:vertAlign w:val="superscript"/>
              </w:rPr>
              <w:t>2</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Projected CPR</w:t>
            </w:r>
          </w:p>
        </w:tc>
        <w:tc>
          <w:tcPr>
            <w:tcW w:w="60" w:type="dxa"/>
            <w:vAlign w:val="bottom"/>
          </w:tcPr>
          <w:p>
            <w:pPr>
              <w:spacing w:after="0"/>
              <w:rPr>
                <w:sz w:val="18"/>
                <w:szCs w:val="18"/>
                <w:color w:val="auto"/>
              </w:rPr>
            </w:pPr>
          </w:p>
        </w:tc>
        <w:tc>
          <w:tcPr>
            <w:tcW w:w="116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Yield </w:t>
            </w:r>
            <w:r>
              <w:rPr>
                <w:rFonts w:ascii="Times New Roman" w:cs="Times New Roman" w:eastAsia="Times New Roman" w:hAnsi="Times New Roman"/>
                <w:sz w:val="20"/>
                <w:szCs w:val="20"/>
                <w:b w:val="1"/>
                <w:bCs w:val="1"/>
                <w:color w:val="auto"/>
                <w:w w:val="93"/>
                <w:vertAlign w:val="superscript"/>
              </w:rPr>
              <w:t>2</w:t>
            </w:r>
          </w:p>
        </w:tc>
        <w:tc>
          <w:tcPr>
            <w:tcW w:w="0" w:type="dxa"/>
            <w:vAlign w:val="bottom"/>
          </w:tcPr>
          <w:p>
            <w:pPr>
              <w:spacing w:after="0"/>
              <w:rPr>
                <w:sz w:val="1"/>
                <w:szCs w:val="1"/>
                <w:color w:val="auto"/>
              </w:rPr>
            </w:pPr>
          </w:p>
        </w:tc>
      </w:tr>
      <w:tr>
        <w:trPr>
          <w:trHeight w:val="265"/>
        </w:trPr>
        <w:tc>
          <w:tcPr>
            <w:tcW w:w="2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 xml:space="preserve">-75 Basis Points </w:t>
            </w:r>
            <w:r>
              <w:rPr>
                <w:rFonts w:ascii="Times New Roman" w:cs="Times New Roman" w:eastAsia="Times New Roman" w:hAnsi="Times New Roman"/>
                <w:sz w:val="16"/>
                <w:szCs w:val="16"/>
                <w:color w:val="B4B4B4"/>
                <w:w w:val="97"/>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11.7%</w:t>
            </w:r>
          </w:p>
        </w:tc>
        <w:tc>
          <w:tcPr>
            <w:tcW w:w="122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4.70%</w:t>
            </w:r>
          </w:p>
        </w:tc>
        <w:tc>
          <w:tcPr>
            <w:tcW w:w="128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17.8%</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4.33%</w:t>
            </w:r>
          </w:p>
        </w:tc>
        <w:tc>
          <w:tcPr>
            <w:tcW w:w="0" w:type="dxa"/>
            <w:vAlign w:val="bottom"/>
          </w:tcPr>
          <w:p>
            <w:pPr>
              <w:spacing w:after="0"/>
              <w:rPr>
                <w:sz w:val="1"/>
                <w:szCs w:val="1"/>
                <w:color w:val="auto"/>
              </w:rPr>
            </w:pPr>
          </w:p>
        </w:tc>
      </w:tr>
      <w:tr>
        <w:trPr>
          <w:trHeight w:val="291"/>
        </w:trPr>
        <w:tc>
          <w:tcPr>
            <w:tcW w:w="2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 xml:space="preserve">-50 Basis Points </w:t>
            </w:r>
            <w:r>
              <w:rPr>
                <w:rFonts w:ascii="Times New Roman" w:cs="Times New Roman" w:eastAsia="Times New Roman" w:hAnsi="Times New Roman"/>
                <w:sz w:val="16"/>
                <w:szCs w:val="16"/>
                <w:color w:val="B4B4B4"/>
                <w:w w:val="97"/>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9.8%</w:t>
            </w:r>
          </w:p>
        </w:tc>
        <w:tc>
          <w:tcPr>
            <w:tcW w:w="122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4.73%</w:t>
            </w:r>
          </w:p>
        </w:tc>
        <w:tc>
          <w:tcPr>
            <w:tcW w:w="128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15.4%</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4.36%</w:t>
            </w:r>
          </w:p>
        </w:tc>
        <w:tc>
          <w:tcPr>
            <w:tcW w:w="0" w:type="dxa"/>
            <w:vAlign w:val="bottom"/>
          </w:tcPr>
          <w:p>
            <w:pPr>
              <w:spacing w:after="0"/>
              <w:rPr>
                <w:sz w:val="1"/>
                <w:szCs w:val="1"/>
                <w:color w:val="auto"/>
              </w:rPr>
            </w:pPr>
          </w:p>
        </w:tc>
      </w:tr>
      <w:tr>
        <w:trPr>
          <w:trHeight w:val="291"/>
        </w:trPr>
        <w:tc>
          <w:tcPr>
            <w:tcW w:w="2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 xml:space="preserve">-25 Basis Points </w:t>
            </w:r>
            <w:r>
              <w:rPr>
                <w:rFonts w:ascii="Times New Roman" w:cs="Times New Roman" w:eastAsia="Times New Roman" w:hAnsi="Times New Roman"/>
                <w:sz w:val="16"/>
                <w:szCs w:val="16"/>
                <w:color w:val="B4B4B4"/>
                <w:w w:val="97"/>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8.5%</w:t>
            </w:r>
          </w:p>
        </w:tc>
        <w:tc>
          <w:tcPr>
            <w:tcW w:w="122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4.76%</w:t>
            </w:r>
          </w:p>
        </w:tc>
        <w:tc>
          <w:tcPr>
            <w:tcW w:w="128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13.2%</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4.39%</w:t>
            </w:r>
          </w:p>
        </w:tc>
        <w:tc>
          <w:tcPr>
            <w:tcW w:w="0" w:type="dxa"/>
            <w:vAlign w:val="bottom"/>
          </w:tcPr>
          <w:p>
            <w:pPr>
              <w:spacing w:after="0"/>
              <w:rPr>
                <w:sz w:val="1"/>
                <w:szCs w:val="1"/>
                <w:color w:val="auto"/>
              </w:rPr>
            </w:pPr>
          </w:p>
        </w:tc>
      </w:tr>
      <w:tr>
        <w:trPr>
          <w:trHeight w:val="291"/>
        </w:trPr>
        <w:tc>
          <w:tcPr>
            <w:tcW w:w="2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Actual as of Period End </w:t>
            </w:r>
            <w:r>
              <w:rPr>
                <w:rFonts w:ascii="Times New Roman" w:cs="Times New Roman" w:eastAsia="Times New Roman" w:hAnsi="Times New Roman"/>
                <w:sz w:val="16"/>
                <w:szCs w:val="16"/>
                <w:color w:val="B4B4B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22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4.77%</w:t>
            </w:r>
          </w:p>
        </w:tc>
        <w:tc>
          <w:tcPr>
            <w:tcW w:w="128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11.4%</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4.41%</w:t>
            </w:r>
          </w:p>
        </w:tc>
        <w:tc>
          <w:tcPr>
            <w:tcW w:w="0" w:type="dxa"/>
            <w:vAlign w:val="bottom"/>
          </w:tcPr>
          <w:p>
            <w:pPr>
              <w:spacing w:after="0"/>
              <w:rPr>
                <w:sz w:val="1"/>
                <w:szCs w:val="1"/>
                <w:color w:val="auto"/>
              </w:rPr>
            </w:pPr>
          </w:p>
        </w:tc>
      </w:tr>
      <w:tr>
        <w:trPr>
          <w:trHeight w:val="291"/>
        </w:trPr>
        <w:tc>
          <w:tcPr>
            <w:tcW w:w="2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 xml:space="preserve">+25 Basis Points </w:t>
            </w:r>
            <w:r>
              <w:rPr>
                <w:rFonts w:ascii="Times New Roman" w:cs="Times New Roman" w:eastAsia="Times New Roman" w:hAnsi="Times New Roman"/>
                <w:sz w:val="16"/>
                <w:szCs w:val="16"/>
                <w:color w:val="B4B4B4"/>
                <w:w w:val="97"/>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7.3%</w:t>
            </w:r>
          </w:p>
        </w:tc>
        <w:tc>
          <w:tcPr>
            <w:tcW w:w="122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4.78%</w:t>
            </w:r>
          </w:p>
        </w:tc>
        <w:tc>
          <w:tcPr>
            <w:tcW w:w="128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5"/>
              </w:rPr>
              <w:t>9.7%</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4.44%</w:t>
            </w:r>
          </w:p>
        </w:tc>
        <w:tc>
          <w:tcPr>
            <w:tcW w:w="0" w:type="dxa"/>
            <w:vAlign w:val="bottom"/>
          </w:tcPr>
          <w:p>
            <w:pPr>
              <w:spacing w:after="0"/>
              <w:rPr>
                <w:sz w:val="1"/>
                <w:szCs w:val="1"/>
                <w:color w:val="auto"/>
              </w:rPr>
            </w:pPr>
          </w:p>
        </w:tc>
      </w:tr>
      <w:tr>
        <w:trPr>
          <w:trHeight w:val="291"/>
        </w:trPr>
        <w:tc>
          <w:tcPr>
            <w:tcW w:w="2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 xml:space="preserve">+50 Basis Points </w:t>
            </w:r>
            <w:r>
              <w:rPr>
                <w:rFonts w:ascii="Times New Roman" w:cs="Times New Roman" w:eastAsia="Times New Roman" w:hAnsi="Times New Roman"/>
                <w:sz w:val="16"/>
                <w:szCs w:val="16"/>
                <w:color w:val="B4B4B4"/>
                <w:w w:val="97"/>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6.9%</w:t>
            </w:r>
          </w:p>
        </w:tc>
        <w:tc>
          <w:tcPr>
            <w:tcW w:w="122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4.79%</w:t>
            </w:r>
          </w:p>
        </w:tc>
        <w:tc>
          <w:tcPr>
            <w:tcW w:w="128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5"/>
              </w:rPr>
              <w:t>8.5%</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4.46%</w:t>
            </w:r>
          </w:p>
        </w:tc>
        <w:tc>
          <w:tcPr>
            <w:tcW w:w="0" w:type="dxa"/>
            <w:vAlign w:val="bottom"/>
          </w:tcPr>
          <w:p>
            <w:pPr>
              <w:spacing w:after="0"/>
              <w:rPr>
                <w:sz w:val="1"/>
                <w:szCs w:val="1"/>
                <w:color w:val="auto"/>
              </w:rPr>
            </w:pPr>
          </w:p>
        </w:tc>
      </w:tr>
      <w:tr>
        <w:trPr>
          <w:trHeight w:val="291"/>
        </w:trPr>
        <w:tc>
          <w:tcPr>
            <w:tcW w:w="2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 xml:space="preserve">+75 Basis Points </w:t>
            </w:r>
            <w:r>
              <w:rPr>
                <w:rFonts w:ascii="Times New Roman" w:cs="Times New Roman" w:eastAsia="Times New Roman" w:hAnsi="Times New Roman"/>
                <w:sz w:val="16"/>
                <w:szCs w:val="16"/>
                <w:color w:val="B4B4B4"/>
                <w:w w:val="97"/>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6.7%</w:t>
            </w:r>
          </w:p>
        </w:tc>
        <w:tc>
          <w:tcPr>
            <w:tcW w:w="1220" w:type="dxa"/>
            <w:vAlign w:val="bottom"/>
            <w:gridSpan w:val="2"/>
          </w:tcPr>
          <w:p>
            <w:pPr>
              <w:jc w:val="center"/>
              <w:ind w:left="62"/>
              <w:spacing w:after="0"/>
              <w:rPr>
                <w:sz w:val="20"/>
                <w:szCs w:val="20"/>
                <w:color w:val="auto"/>
              </w:rPr>
            </w:pPr>
            <w:r>
              <w:rPr>
                <w:rFonts w:ascii="Times New Roman" w:cs="Times New Roman" w:eastAsia="Times New Roman" w:hAnsi="Times New Roman"/>
                <w:sz w:val="16"/>
                <w:szCs w:val="16"/>
                <w:color w:val="auto"/>
                <w:w w:val="96"/>
              </w:rPr>
              <w:t>4.80%</w:t>
            </w:r>
          </w:p>
        </w:tc>
        <w:tc>
          <w:tcPr>
            <w:tcW w:w="128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5"/>
              </w:rPr>
              <w:t>7.7%</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4.47%</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line="241" w:lineRule="auto"/>
        <w:tabs>
          <w:tab w:leader="none" w:pos="7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Derived from models that are dependent on inputs and assumptions and assumes a static portfolio. Actual results could differ materially from these estimates. Table excludes TBA securities.</w:t>
      </w:r>
    </w:p>
    <w:p>
      <w:pPr>
        <w:spacing w:after="0" w:line="1" w:lineRule="exact"/>
        <w:rPr>
          <w:rFonts w:ascii="Times New Roman" w:cs="Times New Roman" w:eastAsia="Times New Roman" w:hAnsi="Times New Roman"/>
          <w:sz w:val="16"/>
          <w:szCs w:val="16"/>
          <w:color w:val="auto"/>
        </w:rPr>
      </w:pPr>
    </w:p>
    <w:p>
      <w:pPr>
        <w:ind w:left="700" w:hanging="347"/>
        <w:spacing w:after="0" w:line="245" w:lineRule="auto"/>
        <w:tabs>
          <w:tab w:leader="none" w:pos="7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yield based on historical cost basis and does not include the impact of retroactive "catch-up" premium amortization adjustments due to changes in projected CPR.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Spread Risk</w:t>
      </w:r>
    </w:p>
    <w:p>
      <w:pPr>
        <w:spacing w:after="0" w:line="196"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9"/>
          <w:szCs w:val="19"/>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32"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9"/>
          <w:szCs w:val="19"/>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December 31, 2024 and 2023 should spreads widen or tighten by 10, 25 and 50 basis points. The estimated impact of changes in spreads is in addition to our interest rate shock sensitivity included in the interest rate shock table above. The table below assumes a spread duration of 5.1 and 4.7 years as of December 31, 2024 and 2023,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Spread Sensitivity </w:t>
      </w:r>
      <w:r>
        <w:rPr>
          <w:rFonts w:ascii="Times New Roman" w:cs="Times New Roman" w:eastAsia="Times New Roman" w:hAnsi="Times New Roman"/>
          <w:sz w:val="20"/>
          <w:szCs w:val="20"/>
          <w:b w:val="1"/>
          <w:bCs w:val="1"/>
          <w:color w:val="auto"/>
          <w:vertAlign w:val="superscript"/>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699770</wp:posOffset>
                </wp:positionH>
                <wp:positionV relativeFrom="paragraph">
                  <wp:posOffset>1905</wp:posOffset>
                </wp:positionV>
                <wp:extent cx="492442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4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pt,0.15pt" to="442.85pt,0.15pt" o:allowincell="f" strokecolor="#000000" strokeweight="1pt"/>
            </w:pict>
          </mc:Fallback>
        </mc:AlternateContent>
      </w:r>
    </w:p>
    <w:p>
      <w:pPr>
        <w:spacing w:after="0" w:line="17" w:lineRule="exact"/>
        <w:rPr>
          <w:sz w:val="20"/>
          <w:szCs w:val="20"/>
          <w:color w:val="auto"/>
        </w:rPr>
      </w:pPr>
    </w:p>
    <w:tbl>
      <w:tblPr>
        <w:tblLayout w:type="fixed"/>
        <w:tblInd w:w="1100" w:type="dxa"/>
        <w:tblCellMar>
          <w:top w:w="0" w:type="dxa"/>
          <w:left w:w="0" w:type="dxa"/>
          <w:bottom w:w="0" w:type="dxa"/>
          <w:right w:w="0" w:type="dxa"/>
        </w:tblCellMar>
      </w:tblPr>
      <w:tr>
        <w:trPr>
          <w:trHeight w:val="204"/>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7"/>
                <w:szCs w:val="17"/>
                <w:color w:val="auto"/>
              </w:rPr>
            </w:pPr>
          </w:p>
        </w:tc>
        <w:tc>
          <w:tcPr>
            <w:tcW w:w="2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80" w:type="dxa"/>
            <w:vAlign w:val="bottom"/>
          </w:tcPr>
          <w:p>
            <w:pPr>
              <w:spacing w:after="0"/>
              <w:rPr>
                <w:sz w:val="15"/>
                <w:szCs w:val="15"/>
                <w:color w:val="auto"/>
              </w:rPr>
            </w:pPr>
          </w:p>
        </w:tc>
        <w:tc>
          <w:tcPr>
            <w:tcW w:w="11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Estimated</w:t>
            </w:r>
          </w:p>
        </w:tc>
        <w:tc>
          <w:tcPr>
            <w:tcW w:w="12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Estimated</w:t>
            </w:r>
          </w:p>
        </w:tc>
        <w:tc>
          <w:tcPr>
            <w:tcW w:w="80" w:type="dxa"/>
            <w:vAlign w:val="bottom"/>
          </w:tcPr>
          <w:p>
            <w:pPr>
              <w:spacing w:after="0"/>
              <w:rPr>
                <w:sz w:val="15"/>
                <w:szCs w:val="15"/>
                <w:color w:val="auto"/>
              </w:rPr>
            </w:pPr>
          </w:p>
        </w:tc>
        <w:tc>
          <w:tcPr>
            <w:tcW w:w="11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Estimated</w:t>
            </w: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Change in</w:t>
            </w: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Change in</w:t>
            </w: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Change in</w:t>
            </w:r>
          </w:p>
        </w:tc>
        <w:tc>
          <w:tcPr>
            <w:tcW w:w="8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Tangible Net</w:t>
            </w:r>
          </w:p>
        </w:tc>
        <w:tc>
          <w:tcPr>
            <w:tcW w:w="12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Change in</w:t>
            </w:r>
          </w:p>
        </w:tc>
        <w:tc>
          <w:tcPr>
            <w:tcW w:w="8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Tangible Net</w:t>
            </w:r>
          </w:p>
        </w:tc>
        <w:tc>
          <w:tcPr>
            <w:tcW w:w="0" w:type="dxa"/>
            <w:vAlign w:val="bottom"/>
          </w:tcPr>
          <w:p>
            <w:pPr>
              <w:spacing w:after="0"/>
              <w:rPr>
                <w:sz w:val="1"/>
                <w:szCs w:val="1"/>
                <w:color w:val="auto"/>
              </w:rPr>
            </w:pPr>
          </w:p>
        </w:tc>
      </w:tr>
      <w:tr>
        <w:trPr>
          <w:trHeight w:val="155"/>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 in MBS Spread</w:t>
            </w:r>
          </w:p>
        </w:tc>
        <w:tc>
          <w:tcPr>
            <w:tcW w:w="120" w:type="dxa"/>
            <w:vAlign w:val="bottom"/>
            <w:vMerge w:val="restart"/>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Portfolio</w:t>
            </w:r>
          </w:p>
        </w:tc>
        <w:tc>
          <w:tcPr>
            <w:tcW w:w="8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Book Value Per</w:t>
            </w:r>
          </w:p>
        </w:tc>
        <w:tc>
          <w:tcPr>
            <w:tcW w:w="12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Portfolio</w:t>
            </w:r>
          </w:p>
        </w:tc>
        <w:tc>
          <w:tcPr>
            <w:tcW w:w="8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Book Value Per</w:t>
            </w:r>
          </w:p>
        </w:tc>
        <w:tc>
          <w:tcPr>
            <w:tcW w:w="0" w:type="dxa"/>
            <w:vAlign w:val="bottom"/>
          </w:tcPr>
          <w:p>
            <w:pPr>
              <w:spacing w:after="0"/>
              <w:rPr>
                <w:sz w:val="1"/>
                <w:szCs w:val="1"/>
                <w:color w:val="auto"/>
              </w:rPr>
            </w:pPr>
          </w:p>
        </w:tc>
      </w:tr>
      <w:tr>
        <w:trPr>
          <w:trHeight w:val="208"/>
        </w:trPr>
        <w:tc>
          <w:tcPr>
            <w:tcW w:w="27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Market Value</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Share</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Share</w:t>
            </w:r>
          </w:p>
        </w:tc>
        <w:tc>
          <w:tcPr>
            <w:tcW w:w="0" w:type="dxa"/>
            <w:vAlign w:val="bottom"/>
          </w:tcPr>
          <w:p>
            <w:pPr>
              <w:spacing w:after="0"/>
              <w:rPr>
                <w:sz w:val="1"/>
                <w:szCs w:val="1"/>
                <w:color w:val="auto"/>
              </w:rPr>
            </w:pPr>
          </w:p>
        </w:tc>
      </w:tr>
      <w:tr>
        <w:trPr>
          <w:trHeight w:val="265"/>
        </w:trPr>
        <w:tc>
          <w:tcPr>
            <w:tcW w:w="2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-50 Basis Points </w:t>
            </w:r>
            <w:r>
              <w:rPr>
                <w:rFonts w:ascii="Times New Roman" w:cs="Times New Roman" w:eastAsia="Times New Roman" w:hAnsi="Times New Roman"/>
                <w:sz w:val="16"/>
                <w:szCs w:val="16"/>
                <w:color w:val="B4B4B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+24.5%</w:t>
            </w:r>
          </w:p>
        </w:tc>
        <w:tc>
          <w:tcPr>
            <w:tcW w:w="12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+2.3%</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+23.1%</w:t>
            </w:r>
          </w:p>
        </w:tc>
        <w:tc>
          <w:tcPr>
            <w:tcW w:w="0" w:type="dxa"/>
            <w:vAlign w:val="bottom"/>
          </w:tcPr>
          <w:p>
            <w:pPr>
              <w:spacing w:after="0"/>
              <w:rPr>
                <w:sz w:val="1"/>
                <w:szCs w:val="1"/>
                <w:color w:val="auto"/>
              </w:rPr>
            </w:pPr>
          </w:p>
        </w:tc>
      </w:tr>
      <w:tr>
        <w:trPr>
          <w:trHeight w:val="291"/>
        </w:trPr>
        <w:tc>
          <w:tcPr>
            <w:tcW w:w="2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-25 Basis Points </w:t>
            </w:r>
            <w:r>
              <w:rPr>
                <w:rFonts w:ascii="Times New Roman" w:cs="Times New Roman" w:eastAsia="Times New Roman" w:hAnsi="Times New Roman"/>
                <w:sz w:val="16"/>
                <w:szCs w:val="16"/>
                <w:color w:val="B4B4B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+12.3%</w:t>
            </w:r>
          </w:p>
        </w:tc>
        <w:tc>
          <w:tcPr>
            <w:tcW w:w="12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+1.2%</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+11.6%</w:t>
            </w:r>
          </w:p>
        </w:tc>
        <w:tc>
          <w:tcPr>
            <w:tcW w:w="0" w:type="dxa"/>
            <w:vAlign w:val="bottom"/>
          </w:tcPr>
          <w:p>
            <w:pPr>
              <w:spacing w:after="0"/>
              <w:rPr>
                <w:sz w:val="1"/>
                <w:szCs w:val="1"/>
                <w:color w:val="auto"/>
              </w:rPr>
            </w:pPr>
          </w:p>
        </w:tc>
      </w:tr>
      <w:tr>
        <w:trPr>
          <w:trHeight w:val="291"/>
        </w:trPr>
        <w:tc>
          <w:tcPr>
            <w:tcW w:w="2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-10 Basis Points </w:t>
            </w:r>
            <w:r>
              <w:rPr>
                <w:rFonts w:ascii="Times New Roman" w:cs="Times New Roman" w:eastAsia="Times New Roman" w:hAnsi="Times New Roman"/>
                <w:sz w:val="16"/>
                <w:szCs w:val="16"/>
                <w:color w:val="B4B4B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+4.9%</w:t>
            </w:r>
          </w:p>
        </w:tc>
        <w:tc>
          <w:tcPr>
            <w:tcW w:w="12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+0.5%</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291"/>
        </w:trPr>
        <w:tc>
          <w:tcPr>
            <w:tcW w:w="2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+10 Basis Points </w:t>
            </w:r>
            <w:r>
              <w:rPr>
                <w:rFonts w:ascii="Times New Roman" w:cs="Times New Roman" w:eastAsia="Times New Roman" w:hAnsi="Times New Roman"/>
                <w:sz w:val="16"/>
                <w:szCs w:val="16"/>
                <w:color w:val="B4B4B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-0.5%</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8"/>
              </w:rPr>
              <w:t>-4.9%</w:t>
            </w:r>
          </w:p>
        </w:tc>
        <w:tc>
          <w:tcPr>
            <w:tcW w:w="12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8"/>
              </w:rPr>
              <w:t>-0.5%</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8"/>
              </w:rPr>
              <w:t>-4.6%</w:t>
            </w:r>
          </w:p>
        </w:tc>
        <w:tc>
          <w:tcPr>
            <w:tcW w:w="0" w:type="dxa"/>
            <w:vAlign w:val="bottom"/>
          </w:tcPr>
          <w:p>
            <w:pPr>
              <w:spacing w:after="0"/>
              <w:rPr>
                <w:sz w:val="1"/>
                <w:szCs w:val="1"/>
                <w:color w:val="auto"/>
              </w:rPr>
            </w:pPr>
          </w:p>
        </w:tc>
      </w:tr>
      <w:tr>
        <w:trPr>
          <w:trHeight w:val="291"/>
        </w:trPr>
        <w:tc>
          <w:tcPr>
            <w:tcW w:w="2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+25 Basis Points </w:t>
            </w:r>
            <w:r>
              <w:rPr>
                <w:rFonts w:ascii="Times New Roman" w:cs="Times New Roman" w:eastAsia="Times New Roman" w:hAnsi="Times New Roman"/>
                <w:sz w:val="16"/>
                <w:szCs w:val="16"/>
                <w:color w:val="B4B4B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8"/>
              </w:rPr>
              <w:t>-12.3%</w:t>
            </w:r>
          </w:p>
        </w:tc>
        <w:tc>
          <w:tcPr>
            <w:tcW w:w="12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8"/>
              </w:rPr>
              <w:t>-1.2%</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8"/>
              </w:rPr>
              <w:t>-11.6%</w:t>
            </w:r>
          </w:p>
        </w:tc>
        <w:tc>
          <w:tcPr>
            <w:tcW w:w="0" w:type="dxa"/>
            <w:vAlign w:val="bottom"/>
          </w:tcPr>
          <w:p>
            <w:pPr>
              <w:spacing w:after="0"/>
              <w:rPr>
                <w:sz w:val="1"/>
                <w:szCs w:val="1"/>
                <w:color w:val="auto"/>
              </w:rPr>
            </w:pPr>
          </w:p>
        </w:tc>
      </w:tr>
      <w:tr>
        <w:trPr>
          <w:trHeight w:val="291"/>
        </w:trPr>
        <w:tc>
          <w:tcPr>
            <w:tcW w:w="2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+50 Basis Points </w:t>
            </w:r>
            <w:r>
              <w:rPr>
                <w:rFonts w:ascii="Times New Roman" w:cs="Times New Roman" w:eastAsia="Times New Roman" w:hAnsi="Times New Roman"/>
                <w:sz w:val="16"/>
                <w:szCs w:val="16"/>
                <w:color w:val="B4B4B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-2.5%</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8"/>
              </w:rPr>
              <w:t>-24.5%</w:t>
            </w:r>
          </w:p>
        </w:tc>
        <w:tc>
          <w:tcPr>
            <w:tcW w:w="12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8"/>
              </w:rPr>
              <w:t>-2.3%</w:t>
            </w:r>
          </w:p>
        </w:tc>
        <w:tc>
          <w:tcPr>
            <w:tcW w:w="12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8"/>
              </w:rPr>
              <w:t>-23.1%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880" w:h="15480" w:orient="portrait"/>
          <w:cols w:equalWidth="0" w:num="1">
            <w:col w:w="9960"/>
          </w:cols>
          <w:pgMar w:left="960" w:top="711" w:right="96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line="241" w:lineRule="auto"/>
        <w:tabs>
          <w:tab w:leader="none" w:pos="7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Spread sensitivity is derived from models that are dependent on inputs and assumptions, assumes there are no changes in interest rates and assumes a static portfolio. Actual results could differ materially from these estimates.</w:t>
      </w:r>
    </w:p>
    <w:p>
      <w:pPr>
        <w:spacing w:after="0" w:line="1"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 of derivatives and other securities used for hedging purposes.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Liquidity Risk</w:t>
      </w:r>
    </w:p>
    <w:p>
      <w:pPr>
        <w:spacing w:after="0" w:line="196"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which fluctuates with changes in interest rates and liquidity conditions within the commercial banking and mortgage finance industries.</w:t>
      </w:r>
    </w:p>
    <w:p>
      <w:pPr>
        <w:spacing w:after="0" w:line="130" w:lineRule="exact"/>
        <w:rPr>
          <w:sz w:val="20"/>
          <w:szCs w:val="20"/>
          <w:color w:val="auto"/>
        </w:rPr>
      </w:pPr>
    </w:p>
    <w:p>
      <w:pPr>
        <w:jc w:val="both"/>
        <w:ind w:firstLine="480"/>
        <w:spacing w:after="0" w:line="260" w:lineRule="auto"/>
        <w:rPr>
          <w:sz w:val="20"/>
          <w:szCs w:val="20"/>
          <w:color w:val="auto"/>
        </w:rPr>
      </w:pPr>
      <w:r>
        <w:rPr>
          <w:rFonts w:ascii="Times New Roman" w:cs="Times New Roman" w:eastAsia="Times New Roman" w:hAnsi="Times New Roman"/>
          <w:sz w:val="19"/>
          <w:szCs w:val="19"/>
          <w:color w:val="auto"/>
        </w:rPr>
        <w:t xml:space="preserve">As of December 31, 2024, we believe that we have sufficient liquidity and capital resources available to execute our business strategy (see </w:t>
      </w:r>
      <w:r>
        <w:rPr>
          <w:rFonts w:ascii="Times New Roman" w:cs="Times New Roman" w:eastAsia="Times New Roman" w:hAnsi="Times New Roman"/>
          <w:sz w:val="19"/>
          <w:szCs w:val="19"/>
          <w:b w:val="1"/>
          <w:bCs w:val="1"/>
          <w:i w:val="1"/>
          <w:iCs w:val="1"/>
          <w:color w:val="auto"/>
        </w:rPr>
        <w:t>Liquidity and Capital Resources</w:t>
      </w:r>
      <w:r>
        <w:rPr>
          <w:rFonts w:ascii="Times New Roman" w:cs="Times New Roman" w:eastAsia="Times New Roman" w:hAnsi="Times New Roman"/>
          <w:sz w:val="19"/>
          <w:szCs w:val="19"/>
          <w:color w:val="auto"/>
        </w:rPr>
        <w:t xml:space="preserve"> in this Form 10-K for additional details). However, should the value of our collateral or the value of our derivative instruments suddenly 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Risk</w:t>
      </w:r>
    </w:p>
    <w:p>
      <w:pPr>
        <w:spacing w:after="0" w:line="196"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0"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9"/>
          <w:szCs w:val="19"/>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December 31, 2024, our maximum amount at risk with any counterparty related to our repurchase agreements and derivative agreements was less than 2% and less than 1%, respectively, of tangible stockholders' equity.</w:t>
      </w:r>
    </w:p>
    <w:p>
      <w:pPr>
        <w:sectPr>
          <w:pgSz w:w="11880" w:h="15480" w:orient="portrait"/>
          <w:cols w:equalWidth="0" w:num="1">
            <w:col w:w="9960"/>
          </w:cols>
          <w:pgMar w:left="960" w:top="73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9960"/>
          </w:cols>
          <w:pgMar w:left="960" w:top="736" w:right="96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9"/>
          <w:szCs w:val="19"/>
          <w:b w:val="1"/>
          <w:bCs w:val="1"/>
          <w:color w:val="auto"/>
        </w:rPr>
        <w:t xml:space="preserve">Item 8. </w:t>
      </w:r>
      <w:r>
        <w:rPr>
          <w:rFonts w:ascii="Times New Roman" w:cs="Times New Roman" w:eastAsia="Times New Roman" w:hAnsi="Times New Roman"/>
          <w:sz w:val="19"/>
          <w:szCs w:val="19"/>
          <w:b w:val="1"/>
          <w:bCs w:val="1"/>
          <w:i w:val="1"/>
          <w:iCs w:val="1"/>
          <w:color w:val="auto"/>
        </w:rPr>
        <w:t>Financial Statements</w:t>
      </w:r>
    </w:p>
    <w:p>
      <w:pPr>
        <w:spacing w:after="0" w:line="196"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consolidated financial statements as of December 31, 2024 and 2023 and for fiscal years 2024, 2023 and 2022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audits. For further information refer to the Ernst &amp; Young LLP (PCAOB ID: 42) audit opinion included in this Item 8 of our Annual Report.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138"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323"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Management assessed the effectiveness of our internal control over financial reporting as of December 31, 2024,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2024. The effectiveness of our internal control over financial reporting as of December 31, 2024 has been audited by Ernst &amp; Young LLP, our independent registered public accounting firm, as stated in their attestation report included in this Form 10-K.</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9960"/>
          </w:cols>
          <w:pgMar w:left="960" w:top="704" w:right="960" w:bottom="0" w:gutter="0" w:footer="0" w:header="0"/>
          <w:type w:val="continuous"/>
        </w:sectPr>
      </w:pPr>
    </w:p>
    <w:bookmarkStart w:id="59" w:name="page60"/>
    <w:bookmarkEnd w:id="59"/>
    <w:p>
      <w:pPr>
        <w:ind w:left="256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Stockholders and the Board of Directors of AGNC Investment Corp.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Internal Control over Financial Reporting</w:t>
      </w:r>
    </w:p>
    <w:p>
      <w:pPr>
        <w:spacing w:after="0" w:line="2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have audited AGNC Investment Corp.’s internal control over financial reporting as of December 31, 2024, based on criteria established in Internal Control Integrated Framework issued by the Committee of Sponsoring Organizations of the Treadway Commission (2013 framework) (the COSO criteria). In our opinion, AGNC Investment Corp. (the Company) maintained, in all material respects, effective internal control over financial reporting as of December 31, 2024, based on the COSO criteria</w:t>
      </w:r>
      <w:r>
        <w:rPr>
          <w:rFonts w:ascii="Times New Roman" w:cs="Times New Roman" w:eastAsia="Times New Roman" w:hAnsi="Times New Roman"/>
          <w:sz w:val="19"/>
          <w:szCs w:val="19"/>
          <w:b w:val="1"/>
          <w:bCs w:val="1"/>
          <w:color w:val="auto"/>
        </w:rPr>
        <w: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balance sheets of the Company as of December 31, 2024 and 2023, the related consolidated statements of comprehensive income, stockholders’ equity, and cash flows for each of the three years in the period ended December 31, 2024, and the related notes, and our report dated February 21, 2025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2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6"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Tysons, Virginia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21, 2025</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9960"/>
          </w:cols>
          <w:pgMar w:left="960" w:top="704" w:right="960" w:bottom="0" w:gutter="0" w:footer="0" w:header="0"/>
          <w:type w:val="continuous"/>
        </w:sectPr>
      </w:pPr>
    </w:p>
    <w:bookmarkStart w:id="60" w:name="page61"/>
    <w:bookmarkEnd w:id="60"/>
    <w:p>
      <w:pPr>
        <w:ind w:left="256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Stockholders and the Board of Directors of AGNC Investment Corp.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2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AGNC Investment Corp. (the Company) as of December 31, 2024 and 2023, the related consolidated statements of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2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9960"/>
          </w:cols>
          <w:pgMar w:left="960" w:top="704" w:right="960" w:bottom="0" w:gutter="0" w:footer="0" w:header="0"/>
          <w:type w:val="continuous"/>
        </w:sectPr>
      </w:pPr>
    </w:p>
    <w:bookmarkStart w:id="61" w:name="page62"/>
    <w:bookmarkEnd w:id="61"/>
    <w:p>
      <w:pPr>
        <w:ind w:left="2180"/>
        <w:spacing w:after="0"/>
        <w:rPr>
          <w:sz w:val="20"/>
          <w:szCs w:val="20"/>
          <w:color w:val="auto"/>
        </w:rPr>
      </w:pPr>
      <w:r>
        <w:rPr>
          <w:rFonts w:ascii="Times New Roman" w:cs="Times New Roman" w:eastAsia="Times New Roman" w:hAnsi="Times New Roman"/>
          <w:sz w:val="19"/>
          <w:szCs w:val="19"/>
          <w:b w:val="1"/>
          <w:bCs w:val="1"/>
          <w:i w:val="1"/>
          <w:iCs w:val="1"/>
          <w:color w:val="auto"/>
        </w:rPr>
        <w:t>Agency securities and non-agency securities of high credit quality net premium amortization</w:t>
      </w:r>
    </w:p>
    <w:p>
      <w:pPr>
        <w:spacing w:after="0" w:line="206" w:lineRule="exact"/>
        <w:rPr>
          <w:sz w:val="20"/>
          <w:szCs w:val="20"/>
          <w:color w:val="auto"/>
        </w:rPr>
      </w:pPr>
    </w:p>
    <w:p>
      <w:pPr>
        <w:ind w:left="60"/>
        <w:spacing w:after="0"/>
        <w:tabs>
          <w:tab w:leader="none" w:pos="2160" w:val="left"/>
        </w:tabs>
        <w:rPr>
          <w:sz w:val="20"/>
          <w:szCs w:val="20"/>
          <w:color w:val="auto"/>
        </w:rPr>
      </w:pPr>
      <w:r>
        <w:rPr>
          <w:rFonts w:ascii="Times New Roman" w:cs="Times New Roman" w:eastAsia="Times New Roman" w:hAnsi="Times New Roman"/>
          <w:sz w:val="19"/>
          <w:szCs w:val="19"/>
          <w:b w:val="1"/>
          <w:bCs w:val="1"/>
          <w:i w:val="1"/>
          <w:iCs w:val="1"/>
          <w:color w:val="auto"/>
        </w:rPr>
        <w:t>Description</w:t>
      </w:r>
      <w:r>
        <w:rPr>
          <w:sz w:val="20"/>
          <w:szCs w:val="20"/>
          <w:color w:val="auto"/>
        </w:rPr>
        <w:tab/>
      </w:r>
      <w:r>
        <w:rPr>
          <w:rFonts w:ascii="Times New Roman" w:cs="Times New Roman" w:eastAsia="Times New Roman" w:hAnsi="Times New Roman"/>
          <w:sz w:val="19"/>
          <w:szCs w:val="19"/>
          <w:color w:val="auto"/>
        </w:rPr>
        <w:t>As of December 31, 2024, the Company’s investment securities had a net unamortized premium</w:t>
      </w:r>
    </w:p>
    <w:p>
      <w:pPr>
        <w:ind w:left="60"/>
        <w:spacing w:after="0" w:line="215" w:lineRule="auto"/>
        <w:tabs>
          <w:tab w:leader="none" w:pos="2160" w:val="left"/>
        </w:tabs>
        <w:rPr>
          <w:sz w:val="20"/>
          <w:szCs w:val="20"/>
          <w:color w:val="auto"/>
        </w:rPr>
      </w:pPr>
      <w:r>
        <w:rPr>
          <w:rFonts w:ascii="Times New Roman" w:cs="Times New Roman" w:eastAsia="Times New Roman" w:hAnsi="Times New Roman"/>
          <w:sz w:val="19"/>
          <w:szCs w:val="19"/>
          <w:b w:val="1"/>
          <w:bCs w:val="1"/>
          <w:i w:val="1"/>
          <w:iCs w:val="1"/>
          <w:color w:val="auto"/>
        </w:rPr>
        <w:t>of the Matter</w:t>
      </w:r>
      <w:r>
        <w:rPr>
          <w:sz w:val="20"/>
          <w:szCs w:val="20"/>
          <w:color w:val="auto"/>
        </w:rPr>
        <w:tab/>
      </w:r>
      <w:r>
        <w:rPr>
          <w:rFonts w:ascii="Times New Roman" w:cs="Times New Roman" w:eastAsia="Times New Roman" w:hAnsi="Times New Roman"/>
          <w:sz w:val="19"/>
          <w:szCs w:val="19"/>
          <w:color w:val="auto"/>
        </w:rPr>
        <w:t>balance of $1.0 billion, including interest and principal-only securities, and it recorded $123</w:t>
      </w:r>
    </w:p>
    <w:p>
      <w:pPr>
        <w:ind w:left="2180"/>
        <w:spacing w:after="0" w:line="213" w:lineRule="auto"/>
        <w:rPr>
          <w:sz w:val="20"/>
          <w:szCs w:val="20"/>
          <w:color w:val="auto"/>
        </w:rPr>
      </w:pPr>
      <w:r>
        <w:rPr>
          <w:rFonts w:ascii="Times New Roman" w:cs="Times New Roman" w:eastAsia="Times New Roman" w:hAnsi="Times New Roman"/>
          <w:sz w:val="19"/>
          <w:szCs w:val="19"/>
          <w:color w:val="auto"/>
        </w:rPr>
        <w:t>million of net premium amortization for the year then ended. As explained in Note 2 to the</w:t>
      </w:r>
    </w:p>
    <w:p>
      <w:pPr>
        <w:ind w:left="2180"/>
        <w:spacing w:after="0" w:line="213" w:lineRule="auto"/>
        <w:rPr>
          <w:sz w:val="20"/>
          <w:szCs w:val="20"/>
          <w:color w:val="auto"/>
        </w:rPr>
      </w:pPr>
      <w:r>
        <w:rPr>
          <w:rFonts w:ascii="Times New Roman" w:cs="Times New Roman" w:eastAsia="Times New Roman" w:hAnsi="Times New Roman"/>
          <w:sz w:val="19"/>
          <w:szCs w:val="19"/>
          <w:color w:val="auto"/>
        </w:rPr>
        <w:t>financial statements, premiums or discounts associated with the purchase of Agency residential</w:t>
      </w:r>
    </w:p>
    <w:p>
      <w:pPr>
        <w:ind w:left="2180"/>
        <w:spacing w:after="0" w:line="213" w:lineRule="auto"/>
        <w:rPr>
          <w:sz w:val="20"/>
          <w:szCs w:val="20"/>
          <w:color w:val="auto"/>
        </w:rPr>
      </w:pPr>
      <w:r>
        <w:rPr>
          <w:rFonts w:ascii="Times New Roman" w:cs="Times New Roman" w:eastAsia="Times New Roman" w:hAnsi="Times New Roman"/>
          <w:sz w:val="19"/>
          <w:szCs w:val="19"/>
          <w:color w:val="auto"/>
        </w:rPr>
        <w:t>mortgage-backed securities (“Agency RMBS") and non-Agency mortgage-backed securities of</w:t>
      </w:r>
    </w:p>
    <w:p>
      <w:pPr>
        <w:ind w:left="2180"/>
        <w:spacing w:after="0" w:line="213" w:lineRule="auto"/>
        <w:rPr>
          <w:sz w:val="20"/>
          <w:szCs w:val="20"/>
          <w:color w:val="auto"/>
        </w:rPr>
      </w:pPr>
      <w:r>
        <w:rPr>
          <w:rFonts w:ascii="Times New Roman" w:cs="Times New Roman" w:eastAsia="Times New Roman" w:hAnsi="Times New Roman"/>
          <w:sz w:val="19"/>
          <w:szCs w:val="19"/>
          <w:color w:val="auto"/>
        </w:rPr>
        <w:t>high credit quality are amortized or accreted into interest income, respectively, over the projected</w:t>
      </w:r>
    </w:p>
    <w:p>
      <w:pPr>
        <w:ind w:left="2180"/>
        <w:spacing w:after="0" w:line="213" w:lineRule="auto"/>
        <w:rPr>
          <w:sz w:val="20"/>
          <w:szCs w:val="20"/>
          <w:color w:val="auto"/>
        </w:rPr>
      </w:pPr>
      <w:r>
        <w:rPr>
          <w:rFonts w:ascii="Times New Roman" w:cs="Times New Roman" w:eastAsia="Times New Roman" w:hAnsi="Times New Roman"/>
          <w:sz w:val="19"/>
          <w:szCs w:val="19"/>
          <w:color w:val="auto"/>
        </w:rPr>
        <w:t>lives of the securities, including contractual payments and estimated prepayments using the</w:t>
      </w:r>
    </w:p>
    <w:p>
      <w:pPr>
        <w:ind w:left="2180"/>
        <w:spacing w:after="0" w:line="213" w:lineRule="auto"/>
        <w:rPr>
          <w:sz w:val="20"/>
          <w:szCs w:val="20"/>
          <w:color w:val="auto"/>
        </w:rPr>
      </w:pPr>
      <w:r>
        <w:rPr>
          <w:rFonts w:ascii="Times New Roman" w:cs="Times New Roman" w:eastAsia="Times New Roman" w:hAnsi="Times New Roman"/>
          <w:sz w:val="19"/>
          <w:szCs w:val="19"/>
          <w:color w:val="auto"/>
        </w:rPr>
        <w:t>effective interest method. The effective yield on the Company’s Agency RMBS and non-Agency</w:t>
      </w:r>
    </w:p>
    <w:p>
      <w:pPr>
        <w:ind w:left="2180"/>
        <w:spacing w:after="0" w:line="213" w:lineRule="auto"/>
        <w:rPr>
          <w:sz w:val="20"/>
          <w:szCs w:val="20"/>
          <w:color w:val="auto"/>
        </w:rPr>
      </w:pPr>
      <w:r>
        <w:rPr>
          <w:rFonts w:ascii="Times New Roman" w:cs="Times New Roman" w:eastAsia="Times New Roman" w:hAnsi="Times New Roman"/>
          <w:sz w:val="19"/>
          <w:szCs w:val="19"/>
          <w:color w:val="auto"/>
        </w:rPr>
        <w:t>mortgage-backed securities of high credit quality is highly impacted by the Company’s estimate of</w:t>
      </w:r>
    </w:p>
    <w:p>
      <w:pPr>
        <w:ind w:left="2180"/>
        <w:spacing w:after="0" w:line="213" w:lineRule="auto"/>
        <w:rPr>
          <w:sz w:val="20"/>
          <w:szCs w:val="20"/>
          <w:color w:val="auto"/>
        </w:rPr>
      </w:pPr>
      <w:r>
        <w:rPr>
          <w:rFonts w:ascii="Times New Roman" w:cs="Times New Roman" w:eastAsia="Times New Roman" w:hAnsi="Times New Roman"/>
          <w:sz w:val="19"/>
          <w:szCs w:val="19"/>
          <w:color w:val="auto"/>
        </w:rPr>
        <w:t>future prepayments. The Company estimates long-term prepayment speeds of such securities using</w:t>
      </w:r>
    </w:p>
    <w:p>
      <w:pPr>
        <w:ind w:left="2180"/>
        <w:spacing w:after="0" w:line="214" w:lineRule="auto"/>
        <w:rPr>
          <w:sz w:val="20"/>
          <w:szCs w:val="20"/>
          <w:color w:val="auto"/>
        </w:rPr>
      </w:pPr>
      <w:r>
        <w:rPr>
          <w:rFonts w:ascii="Times New Roman" w:cs="Times New Roman" w:eastAsia="Times New Roman" w:hAnsi="Times New Roman"/>
          <w:sz w:val="19"/>
          <w:szCs w:val="19"/>
          <w:color w:val="auto"/>
        </w:rPr>
        <w:t>a third-party service provider and market data. The third-party service provider estimates long-</w:t>
      </w:r>
    </w:p>
    <w:p>
      <w:pPr>
        <w:ind w:left="2180"/>
        <w:spacing w:after="0" w:line="213" w:lineRule="auto"/>
        <w:rPr>
          <w:sz w:val="20"/>
          <w:szCs w:val="20"/>
          <w:color w:val="auto"/>
        </w:rPr>
      </w:pPr>
      <w:r>
        <w:rPr>
          <w:rFonts w:ascii="Times New Roman" w:cs="Times New Roman" w:eastAsia="Times New Roman" w:hAnsi="Times New Roman"/>
          <w:sz w:val="19"/>
          <w:szCs w:val="19"/>
          <w:color w:val="auto"/>
        </w:rPr>
        <w:t>term prepayment speeds using a prepayment model that incorporates the forward yield curve,</w:t>
      </w:r>
    </w:p>
    <w:p>
      <w:pPr>
        <w:ind w:left="2180"/>
        <w:spacing w:after="0" w:line="213" w:lineRule="auto"/>
        <w:rPr>
          <w:sz w:val="20"/>
          <w:szCs w:val="20"/>
          <w:color w:val="auto"/>
        </w:rPr>
      </w:pPr>
      <w:r>
        <w:rPr>
          <w:rFonts w:ascii="Times New Roman" w:cs="Times New Roman" w:eastAsia="Times New Roman" w:hAnsi="Times New Roman"/>
          <w:sz w:val="19"/>
          <w:szCs w:val="19"/>
          <w:color w:val="auto"/>
        </w:rPr>
        <w:t>current mortgage rates, mortgage rates of the outstanding loans, age and size of the outstanding</w:t>
      </w:r>
    </w:p>
    <w:p>
      <w:pPr>
        <w:ind w:left="2180"/>
        <w:spacing w:after="0"/>
        <w:rPr>
          <w:sz w:val="20"/>
          <w:szCs w:val="20"/>
          <w:color w:val="auto"/>
        </w:rPr>
      </w:pPr>
      <w:r>
        <w:rPr>
          <w:rFonts w:ascii="Times New Roman" w:cs="Times New Roman" w:eastAsia="Times New Roman" w:hAnsi="Times New Roman"/>
          <w:sz w:val="19"/>
          <w:szCs w:val="19"/>
          <w:color w:val="auto"/>
        </w:rPr>
        <w:t>loans, loan-to-value ratios, interest rate volatility and other factors.</w:t>
      </w:r>
    </w:p>
    <w:p>
      <w:pPr>
        <w:spacing w:after="0" w:line="1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9"/>
          <w:szCs w:val="19"/>
          <w:color w:val="auto"/>
        </w:rPr>
        <w:t>Auditing the Company's estimation of long-term prepayment speeds used for the amortization of</w:t>
      </w:r>
    </w:p>
    <w:p>
      <w:pPr>
        <w:ind w:left="2180"/>
        <w:spacing w:after="0" w:line="213" w:lineRule="auto"/>
        <w:rPr>
          <w:sz w:val="20"/>
          <w:szCs w:val="20"/>
          <w:color w:val="auto"/>
        </w:rPr>
      </w:pPr>
      <w:r>
        <w:rPr>
          <w:rFonts w:ascii="Times New Roman" w:cs="Times New Roman" w:eastAsia="Times New Roman" w:hAnsi="Times New Roman"/>
          <w:sz w:val="19"/>
          <w:szCs w:val="19"/>
          <w:color w:val="auto"/>
        </w:rPr>
        <w:t>premiums and accretion of discounts is subjective due to the significant judgments and estimates</w:t>
      </w:r>
    </w:p>
    <w:p>
      <w:pPr>
        <w:ind w:left="2180"/>
        <w:spacing w:after="0" w:line="213" w:lineRule="auto"/>
        <w:rPr>
          <w:sz w:val="20"/>
          <w:szCs w:val="20"/>
          <w:color w:val="auto"/>
        </w:rPr>
      </w:pPr>
      <w:r>
        <w:rPr>
          <w:rFonts w:ascii="Times New Roman" w:cs="Times New Roman" w:eastAsia="Times New Roman" w:hAnsi="Times New Roman"/>
          <w:sz w:val="19"/>
          <w:szCs w:val="19"/>
          <w:color w:val="auto"/>
        </w:rPr>
        <w:t>required by management and the third-party service provider, as inputs into prepayment models are</w:t>
      </w:r>
    </w:p>
    <w:p>
      <w:pPr>
        <w:ind w:left="2180"/>
        <w:spacing w:after="0"/>
        <w:rPr>
          <w:sz w:val="20"/>
          <w:szCs w:val="20"/>
          <w:color w:val="auto"/>
        </w:rPr>
      </w:pPr>
      <w:r>
        <w:rPr>
          <w:rFonts w:ascii="Times New Roman" w:cs="Times New Roman" w:eastAsia="Times New Roman" w:hAnsi="Times New Roman"/>
          <w:sz w:val="19"/>
          <w:szCs w:val="19"/>
          <w:color w:val="auto"/>
        </w:rPr>
        <w:t>prone to fluctuation based on changing macroeconomic conditions.</w:t>
      </w:r>
    </w:p>
    <w:p>
      <w:pPr>
        <w:spacing w:after="0" w:line="119" w:lineRule="exact"/>
        <w:rPr>
          <w:sz w:val="20"/>
          <w:szCs w:val="20"/>
          <w:color w:val="auto"/>
        </w:rPr>
      </w:pPr>
    </w:p>
    <w:p>
      <w:pPr>
        <w:ind w:left="60"/>
        <w:spacing w:after="0"/>
        <w:tabs>
          <w:tab w:leader="none" w:pos="2160" w:val="left"/>
        </w:tabs>
        <w:rPr>
          <w:sz w:val="20"/>
          <w:szCs w:val="20"/>
          <w:color w:val="auto"/>
        </w:rPr>
      </w:pPr>
      <w:r>
        <w:rPr>
          <w:rFonts w:ascii="Times New Roman" w:cs="Times New Roman" w:eastAsia="Times New Roman" w:hAnsi="Times New Roman"/>
          <w:sz w:val="19"/>
          <w:szCs w:val="19"/>
          <w:b w:val="1"/>
          <w:bCs w:val="1"/>
          <w:i w:val="1"/>
          <w:iCs w:val="1"/>
          <w:color w:val="auto"/>
        </w:rPr>
        <w:t>How We Addressed the</w:t>
      </w:r>
      <w:r>
        <w:rPr>
          <w:sz w:val="20"/>
          <w:szCs w:val="20"/>
          <w:color w:val="auto"/>
        </w:rPr>
        <w:tab/>
      </w:r>
      <w:r>
        <w:rPr>
          <w:rFonts w:ascii="Times New Roman" w:cs="Times New Roman" w:eastAsia="Times New Roman" w:hAnsi="Times New Roman"/>
          <w:sz w:val="19"/>
          <w:szCs w:val="19"/>
          <w:color w:val="auto"/>
        </w:rPr>
        <w:t>We obtained an understanding, evaluated the design and tested the operating effectiveness of</w:t>
      </w:r>
    </w:p>
    <w:p>
      <w:pPr>
        <w:ind w:left="60"/>
        <w:spacing w:after="0" w:line="213" w:lineRule="auto"/>
        <w:tabs>
          <w:tab w:leader="none" w:pos="2160" w:val="left"/>
        </w:tabs>
        <w:rPr>
          <w:sz w:val="20"/>
          <w:szCs w:val="20"/>
          <w:color w:val="auto"/>
        </w:rPr>
      </w:pPr>
      <w:r>
        <w:rPr>
          <w:rFonts w:ascii="Times New Roman" w:cs="Times New Roman" w:eastAsia="Times New Roman" w:hAnsi="Times New Roman"/>
          <w:sz w:val="19"/>
          <w:szCs w:val="19"/>
          <w:b w:val="1"/>
          <w:bCs w:val="1"/>
          <w:i w:val="1"/>
          <w:iCs w:val="1"/>
          <w:color w:val="auto"/>
        </w:rPr>
        <w:t>Matter in Our Audit</w:t>
      </w:r>
      <w:r>
        <w:rPr>
          <w:sz w:val="20"/>
          <w:szCs w:val="20"/>
          <w:color w:val="auto"/>
        </w:rPr>
        <w:tab/>
      </w:r>
      <w:r>
        <w:rPr>
          <w:rFonts w:ascii="Times New Roman" w:cs="Times New Roman" w:eastAsia="Times New Roman" w:hAnsi="Times New Roman"/>
          <w:sz w:val="19"/>
          <w:szCs w:val="19"/>
          <w:color w:val="auto"/>
        </w:rPr>
        <w:t>internal controls over the estimation of long-term prepayment speeds, including management’s</w:t>
      </w:r>
    </w:p>
    <w:p>
      <w:pPr>
        <w:ind w:left="2180"/>
        <w:spacing w:after="0"/>
        <w:rPr>
          <w:sz w:val="20"/>
          <w:szCs w:val="20"/>
          <w:color w:val="auto"/>
        </w:rPr>
      </w:pPr>
      <w:r>
        <w:rPr>
          <w:rFonts w:ascii="Times New Roman" w:cs="Times New Roman" w:eastAsia="Times New Roman" w:hAnsi="Times New Roman"/>
          <w:sz w:val="19"/>
          <w:szCs w:val="19"/>
          <w:color w:val="auto"/>
        </w:rPr>
        <w:t>review of the estimated prepayment speeds provided by the third-party service provider.</w:t>
      </w:r>
    </w:p>
    <w:p>
      <w:pPr>
        <w:spacing w:after="0" w:line="1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9"/>
          <w:szCs w:val="19"/>
          <w:color w:val="auto"/>
        </w:rPr>
        <w:t>Our audit procedures included, among others, performing comparative analyses between the</w:t>
      </w:r>
    </w:p>
    <w:p>
      <w:pPr>
        <w:ind w:left="2180"/>
        <w:spacing w:after="0" w:line="213" w:lineRule="auto"/>
        <w:rPr>
          <w:sz w:val="20"/>
          <w:szCs w:val="20"/>
          <w:color w:val="auto"/>
        </w:rPr>
      </w:pPr>
      <w:r>
        <w:rPr>
          <w:rFonts w:ascii="Times New Roman" w:cs="Times New Roman" w:eastAsia="Times New Roman" w:hAnsi="Times New Roman"/>
          <w:sz w:val="19"/>
          <w:szCs w:val="19"/>
          <w:color w:val="auto"/>
        </w:rPr>
        <w:t>Company’s long-term prepayment speed estimates and long-term prepayment speed estimates data</w:t>
      </w:r>
    </w:p>
    <w:p>
      <w:pPr>
        <w:ind w:left="2180"/>
        <w:spacing w:after="0" w:line="213" w:lineRule="auto"/>
        <w:rPr>
          <w:sz w:val="20"/>
          <w:szCs w:val="20"/>
          <w:color w:val="auto"/>
        </w:rPr>
      </w:pPr>
      <w:r>
        <w:rPr>
          <w:rFonts w:ascii="Times New Roman" w:cs="Times New Roman" w:eastAsia="Times New Roman" w:hAnsi="Times New Roman"/>
          <w:sz w:val="19"/>
          <w:szCs w:val="19"/>
          <w:color w:val="auto"/>
        </w:rPr>
        <w:t>from  independent  third-party  sources,  reconciling  the  Company’s  estimates  of  long-term</w:t>
      </w:r>
    </w:p>
    <w:p>
      <w:pPr>
        <w:jc w:val="right"/>
        <w:spacing w:after="0" w:line="213" w:lineRule="auto"/>
        <w:rPr>
          <w:sz w:val="20"/>
          <w:szCs w:val="20"/>
          <w:color w:val="auto"/>
        </w:rPr>
      </w:pPr>
      <w:r>
        <w:rPr>
          <w:rFonts w:ascii="Times New Roman" w:cs="Times New Roman" w:eastAsia="Times New Roman" w:hAnsi="Times New Roman"/>
          <w:sz w:val="19"/>
          <w:szCs w:val="19"/>
          <w:color w:val="auto"/>
        </w:rPr>
        <w:t>prepayment speeds to source prepayment speeds data provided by management’s third-party</w:t>
      </w:r>
    </w:p>
    <w:p>
      <w:pPr>
        <w:ind w:left="2180"/>
        <w:spacing w:after="0" w:line="213" w:lineRule="auto"/>
        <w:rPr>
          <w:sz w:val="20"/>
          <w:szCs w:val="20"/>
          <w:color w:val="auto"/>
        </w:rPr>
      </w:pPr>
      <w:r>
        <w:rPr>
          <w:rFonts w:ascii="Times New Roman" w:cs="Times New Roman" w:eastAsia="Times New Roman" w:hAnsi="Times New Roman"/>
          <w:sz w:val="19"/>
          <w:szCs w:val="19"/>
          <w:color w:val="auto"/>
        </w:rPr>
        <w:t>service provider, evaluating the competency and objectivity of management’s third-party service</w:t>
      </w:r>
    </w:p>
    <w:p>
      <w:pPr>
        <w:ind w:left="2180"/>
        <w:spacing w:after="0" w:line="213" w:lineRule="auto"/>
        <w:rPr>
          <w:sz w:val="20"/>
          <w:szCs w:val="20"/>
          <w:color w:val="auto"/>
        </w:rPr>
      </w:pPr>
      <w:r>
        <w:rPr>
          <w:rFonts w:ascii="Times New Roman" w:cs="Times New Roman" w:eastAsia="Times New Roman" w:hAnsi="Times New Roman"/>
          <w:sz w:val="19"/>
          <w:szCs w:val="19"/>
          <w:color w:val="auto"/>
        </w:rPr>
        <w:t>provider, and identifying potential sources of contrary information, with the assistance of an</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9"/>
          <w:szCs w:val="19"/>
          <w:color w:val="auto"/>
        </w:rPr>
        <w:t>internal valuation specialist.</w:t>
      </w:r>
    </w:p>
    <w:p>
      <w:pPr>
        <w:spacing w:after="0" w:line="200" w:lineRule="exact"/>
        <w:rPr>
          <w:sz w:val="20"/>
          <w:szCs w:val="20"/>
          <w:color w:val="auto"/>
        </w:rPr>
      </w:pPr>
    </w:p>
    <w:p>
      <w:pPr>
        <w:spacing w:after="0" w:line="336"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2008.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Tysons, Virginia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21, 2025</w:t>
      </w:r>
    </w:p>
    <w:p>
      <w:pPr>
        <w:sectPr>
          <w:pgSz w:w="11880" w:h="15480" w:orient="portrait"/>
          <w:cols w:equalWidth="0" w:num="1">
            <w:col w:w="9900"/>
          </w:cols>
          <w:pgMar w:left="960" w:top="77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50</w:t>
      </w:r>
    </w:p>
    <w:p>
      <w:pPr>
        <w:sectPr>
          <w:pgSz w:w="11880" w:h="15480" w:orient="portrait"/>
          <w:cols w:equalWidth="0" w:num="1">
            <w:col w:w="9900"/>
          </w:cols>
          <w:pgMar w:left="960" w:top="776" w:right="102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auto"/>
        </w:rPr>
        <w:t>AGNC INVESTMENT CORP.</w:t>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 millions, except per share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Agency securities, at fair value (including pledged securities of $59,952 and $49,575,</w:t>
            </w:r>
          </w:p>
        </w:tc>
        <w:tc>
          <w:tcPr>
            <w:tcW w:w="360" w:type="dxa"/>
            <w:vAlign w:val="bottom"/>
            <w:vMerge w:val="restart"/>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65,367</w:t>
            </w:r>
          </w:p>
        </w:tc>
        <w:tc>
          <w:tcPr>
            <w:tcW w:w="5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53,673</w:t>
            </w:r>
          </w:p>
        </w:tc>
        <w:tc>
          <w:tcPr>
            <w:tcW w:w="0" w:type="dxa"/>
            <w:vAlign w:val="bottom"/>
          </w:tcPr>
          <w:p>
            <w:pPr>
              <w:spacing w:after="0"/>
              <w:rPr>
                <w:sz w:val="1"/>
                <w:szCs w:val="1"/>
                <w:color w:val="auto"/>
              </w:rPr>
            </w:pPr>
          </w:p>
        </w:tc>
      </w:tr>
      <w:tr>
        <w:trPr>
          <w:trHeight w:val="228"/>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respectively)</w:t>
            </w:r>
            <w:r>
              <w:rPr>
                <w:rFonts w:ascii="Times New Roman" w:cs="Times New Roman" w:eastAsia="Times New Roman" w:hAnsi="Times New Roman"/>
                <w:sz w:val="17"/>
                <w:szCs w:val="17"/>
                <w:color w:val="B4B4B4"/>
              </w:rPr>
              <w:t>.....................................................................................................................................</w:t>
            </w: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Agency securities transferred to consolidated variable interest entities, at fair value (pledged</w:t>
            </w:r>
          </w:p>
        </w:tc>
        <w:tc>
          <w:tcPr>
            <w:tcW w:w="3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28"/>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securities) </w:t>
            </w:r>
            <w:r>
              <w:rPr>
                <w:rFonts w:ascii="Times New Roman" w:cs="Times New Roman" w:eastAsia="Times New Roman" w:hAnsi="Times New Roman"/>
                <w:sz w:val="17"/>
                <w:szCs w:val="17"/>
                <w:color w:val="B4B4B4"/>
              </w:rPr>
              <w:t>.........................................................................................................................................</w:t>
            </w: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Credit risk transfer securities, at fair value (including pledged securities of $590 and $678,</w:t>
            </w:r>
          </w:p>
        </w:tc>
        <w:tc>
          <w:tcPr>
            <w:tcW w:w="3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228"/>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respectively)</w:t>
            </w:r>
            <w:r>
              <w:rPr>
                <w:rFonts w:ascii="Times New Roman" w:cs="Times New Roman" w:eastAsia="Times New Roman" w:hAnsi="Times New Roman"/>
                <w:sz w:val="17"/>
                <w:szCs w:val="17"/>
                <w:color w:val="B4B4B4"/>
              </w:rPr>
              <w:t>.....................................................................................................................................</w:t>
            </w: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Non-Agency securities, at fair value, and other mortgage credit investments (including pledged</w:t>
            </w:r>
          </w:p>
        </w:tc>
        <w:tc>
          <w:tcPr>
            <w:tcW w:w="3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228"/>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securities of $206 and $262, respectively) </w:t>
            </w:r>
            <w:r>
              <w:rPr>
                <w:rFonts w:ascii="Times New Roman" w:cs="Times New Roman" w:eastAsia="Times New Roman" w:hAnsi="Times New Roman"/>
                <w:sz w:val="17"/>
                <w:szCs w:val="17"/>
                <w:color w:val="B4B4B4"/>
              </w:rPr>
              <w:t>......................................................................................</w:t>
            </w: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Treasury securities, at fair value (including pledged securities of $1,565 and $1,530,</w:t>
            </w:r>
          </w:p>
        </w:tc>
        <w:tc>
          <w:tcPr>
            <w:tcW w:w="3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1,540</w:t>
            </w:r>
          </w:p>
        </w:tc>
        <w:tc>
          <w:tcPr>
            <w:tcW w:w="0" w:type="dxa"/>
            <w:vAlign w:val="bottom"/>
          </w:tcPr>
          <w:p>
            <w:pPr>
              <w:spacing w:after="0"/>
              <w:rPr>
                <w:sz w:val="1"/>
                <w:szCs w:val="1"/>
                <w:color w:val="auto"/>
              </w:rPr>
            </w:pPr>
          </w:p>
        </w:tc>
      </w:tr>
      <w:tr>
        <w:trPr>
          <w:trHeight w:val="228"/>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respectively)</w:t>
            </w:r>
            <w:r>
              <w:rPr>
                <w:rFonts w:ascii="Times New Roman" w:cs="Times New Roman" w:eastAsia="Times New Roman" w:hAnsi="Times New Roman"/>
                <w:sz w:val="17"/>
                <w:szCs w:val="17"/>
                <w:color w:val="B4B4B4"/>
              </w:rPr>
              <w:t>.....................................................................................................................................</w:t>
            </w: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17"/>
                <w:szCs w:val="17"/>
                <w:color w:val="B4B4B4"/>
              </w:rPr>
              <w:t>...............................................................................................................</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Restricted cash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Derivative assets, at fair value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Receivable under reverse repurchase agreements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11,618</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Goodwill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81"/>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Other assets </w:t>
            </w:r>
            <w:r>
              <w:rPr>
                <w:rFonts w:ascii="Times New Roman" w:cs="Times New Roman" w:eastAsia="Times New Roman" w:hAnsi="Times New Roman"/>
                <w:sz w:val="17"/>
                <w:szCs w:val="17"/>
                <w:color w:val="B4B4B4"/>
              </w:rPr>
              <w:t>......................................................................................................................................</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37"/>
        </w:trPr>
        <w:tc>
          <w:tcPr>
            <w:tcW w:w="69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xml:space="preserve">Total assets </w:t>
            </w:r>
            <w:r>
              <w:rPr>
                <w:rFonts w:ascii="Times New Roman" w:cs="Times New Roman" w:eastAsia="Times New Roman" w:hAnsi="Times New Roman"/>
                <w:sz w:val="17"/>
                <w:szCs w:val="17"/>
                <w:color w:val="B4B4B4"/>
              </w:rPr>
              <w:t>..............................................................................................................................</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88,015</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71,596</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Repurchase agreements </w:t>
            </w:r>
            <w:r>
              <w:rPr>
                <w:rFonts w:ascii="Times New Roman" w:cs="Times New Roman" w:eastAsia="Times New Roman" w:hAnsi="Times New Roman"/>
                <w:sz w:val="17"/>
                <w:szCs w:val="17"/>
                <w:color w:val="B4B4B4"/>
              </w:rPr>
              <w:t>...................................................................................................................</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60,798</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50,426</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of consolidated variable interest entities, at fair value</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Payable for investment securities purchased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Derivative liabilities, at fair value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Dividends payable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Obligation to return securities borrowed under reverse repurchase agreements, at fair value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10,894</w:t>
            </w:r>
          </w:p>
        </w:tc>
        <w:tc>
          <w:tcPr>
            <w:tcW w:w="0" w:type="dxa"/>
            <w:vAlign w:val="bottom"/>
          </w:tcPr>
          <w:p>
            <w:pPr>
              <w:spacing w:after="0"/>
              <w:rPr>
                <w:sz w:val="1"/>
                <w:szCs w:val="1"/>
                <w:color w:val="auto"/>
              </w:rPr>
            </w:pPr>
          </w:p>
        </w:tc>
      </w:tr>
      <w:tr>
        <w:trPr>
          <w:trHeight w:val="281"/>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Other liabilities </w:t>
            </w:r>
            <w:r>
              <w:rPr>
                <w:rFonts w:ascii="Times New Roman" w:cs="Times New Roman" w:eastAsia="Times New Roman" w:hAnsi="Times New Roman"/>
                <w:sz w:val="17"/>
                <w:szCs w:val="17"/>
                <w:color w:val="B4B4B4"/>
              </w:rPr>
              <w:t>................................................................................................................................</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256"/>
        </w:trPr>
        <w:tc>
          <w:tcPr>
            <w:tcW w:w="69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xml:space="preserve">Total liabilities </w:t>
            </w:r>
            <w:r>
              <w:rPr>
                <w:rFonts w:ascii="Times New Roman" w:cs="Times New Roman" w:eastAsia="Times New Roman" w:hAnsi="Times New Roman"/>
                <w:sz w:val="17"/>
                <w:szCs w:val="17"/>
                <w:color w:val="B4B4B4"/>
              </w:rPr>
              <w:t>.........................................................................................................................</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78,253</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63,339</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Preferred Stock - aggregate liquidation preference of $1,688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0" w:type="dxa"/>
            <w:vAlign w:val="bottom"/>
          </w:tcPr>
          <w:p>
            <w:pPr>
              <w:spacing w:after="0"/>
              <w:rPr>
                <w:sz w:val="1"/>
                <w:szCs w:val="1"/>
                <w:color w:val="auto"/>
              </w:rPr>
            </w:pPr>
          </w:p>
        </w:tc>
      </w:tr>
      <w:tr>
        <w:trPr>
          <w:trHeight w:val="224"/>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 $0.01 par value; 1,500 shares authorized; 897.4 and 694.3 shares issued and</w:t>
            </w:r>
          </w:p>
        </w:tc>
        <w:tc>
          <w:tcPr>
            <w:tcW w:w="3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8"/>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outstanding, respectively</w:t>
            </w: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Additional paid-in capital </w:t>
            </w:r>
            <w:r>
              <w:rPr>
                <w:rFonts w:ascii="Times New Roman" w:cs="Times New Roman" w:eastAsia="Times New Roman" w:hAnsi="Times New Roman"/>
                <w:sz w:val="17"/>
                <w:szCs w:val="17"/>
                <w:color w:val="B4B4B4"/>
              </w:rPr>
              <w:t>................................................................................................................</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15,281</w:t>
            </w:r>
          </w:p>
        </w:tc>
        <w:tc>
          <w:tcPr>
            <w:tcW w:w="0" w:type="dxa"/>
            <w:vAlign w:val="bottom"/>
          </w:tcPr>
          <w:p>
            <w:pPr>
              <w:spacing w:after="0"/>
              <w:rPr>
                <w:sz w:val="1"/>
                <w:szCs w:val="1"/>
                <w:color w:val="auto"/>
              </w:rPr>
            </w:pPr>
          </w:p>
        </w:tc>
      </w:tr>
      <w:tr>
        <w:trPr>
          <w:trHeight w:val="276"/>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Retained deficit </w:t>
            </w:r>
            <w:r>
              <w:rPr>
                <w:rFonts w:ascii="Times New Roman" w:cs="Times New Roman" w:eastAsia="Times New Roman" w:hAnsi="Times New Roman"/>
                <w:sz w:val="17"/>
                <w:szCs w:val="17"/>
                <w:color w:val="B4B4B4"/>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(8,148)</w:t>
            </w:r>
          </w:p>
        </w:tc>
        <w:tc>
          <w:tcPr>
            <w:tcW w:w="0" w:type="dxa"/>
            <w:vAlign w:val="bottom"/>
          </w:tcPr>
          <w:p>
            <w:pPr>
              <w:spacing w:after="0"/>
              <w:rPr>
                <w:sz w:val="1"/>
                <w:szCs w:val="1"/>
                <w:color w:val="auto"/>
              </w:rPr>
            </w:pPr>
          </w:p>
        </w:tc>
      </w:tr>
      <w:tr>
        <w:trPr>
          <w:trHeight w:val="281"/>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Accumulated other comprehensive loss </w:t>
            </w:r>
            <w:r>
              <w:rPr>
                <w:rFonts w:ascii="Times New Roman" w:cs="Times New Roman" w:eastAsia="Times New Roman" w:hAnsi="Times New Roman"/>
                <w:sz w:val="17"/>
                <w:szCs w:val="17"/>
                <w:color w:val="B4B4B4"/>
              </w:rPr>
              <w:t>..........................................................................................</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0" w:type="dxa"/>
            <w:vAlign w:val="bottom"/>
          </w:tcPr>
          <w:p>
            <w:pPr>
              <w:spacing w:after="0"/>
              <w:rPr>
                <w:sz w:val="1"/>
                <w:szCs w:val="1"/>
                <w:color w:val="auto"/>
              </w:rPr>
            </w:pPr>
          </w:p>
        </w:tc>
      </w:tr>
      <w:tr>
        <w:trPr>
          <w:trHeight w:val="256"/>
        </w:trPr>
        <w:tc>
          <w:tcPr>
            <w:tcW w:w="69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xml:space="preserve">Total stockholders' equity </w:t>
            </w:r>
            <w:r>
              <w:rPr>
                <w:rFonts w:ascii="Times New Roman" w:cs="Times New Roman" w:eastAsia="Times New Roman" w:hAnsi="Times New Roman"/>
                <w:sz w:val="17"/>
                <w:szCs w:val="17"/>
                <w:color w:val="B4B4B4"/>
              </w:rPr>
              <w:t>........................................................................................................</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9,762</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8,257</w:t>
            </w:r>
          </w:p>
        </w:tc>
        <w:tc>
          <w:tcPr>
            <w:tcW w:w="0" w:type="dxa"/>
            <w:vAlign w:val="bottom"/>
          </w:tcPr>
          <w:p>
            <w:pPr>
              <w:spacing w:after="0"/>
              <w:rPr>
                <w:sz w:val="1"/>
                <w:szCs w:val="1"/>
                <w:color w:val="auto"/>
              </w:rPr>
            </w:pPr>
          </w:p>
        </w:tc>
      </w:tr>
      <w:tr>
        <w:trPr>
          <w:trHeight w:val="237"/>
        </w:trPr>
        <w:tc>
          <w:tcPr>
            <w:tcW w:w="69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xml:space="preserve">Total liabilities and stockholders' equity </w:t>
            </w:r>
            <w:r>
              <w:rPr>
                <w:rFonts w:ascii="Times New Roman" w:cs="Times New Roman" w:eastAsia="Times New Roman" w:hAnsi="Times New Roman"/>
                <w:sz w:val="17"/>
                <w:szCs w:val="17"/>
                <w:color w:val="B4B4B4"/>
              </w:rPr>
              <w:t>.................................................................................</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88,015</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71,596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-3138170</wp:posOffset>
            </wp:positionV>
            <wp:extent cx="1863725" cy="50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9">
                      <a:extLst>
                        <a:ext uri="{28A0092B-C50C-407E-A947-70E740481C1C}"/>
                      </a:extLst>
                    </a:blip>
                    <a:srcRect/>
                    <a:stretch>
                      <a:fillRect/>
                    </a:stretch>
                  </pic:blipFill>
                  <pic:spPr bwMode="auto">
                    <a:xfrm>
                      <a:off x="0" y="0"/>
                      <a:ext cx="1863725" cy="5016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-43180</wp:posOffset>
            </wp:positionV>
            <wp:extent cx="1863725" cy="501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0">
                      <a:extLst>
                        <a:ext uri="{28A0092B-C50C-407E-A947-70E740481C1C}"/>
                      </a:extLst>
                    </a:blip>
                    <a:srcRect/>
                    <a:stretch>
                      <a:fillRect/>
                    </a:stretch>
                  </pic:blipFill>
                  <pic:spPr bwMode="auto">
                    <a:xfrm>
                      <a:off x="0" y="0"/>
                      <a:ext cx="1863725" cy="50165"/>
                    </a:xfrm>
                    <a:prstGeom prst="rect">
                      <a:avLst/>
                    </a:prstGeom>
                    <a:noFill/>
                  </pic:spPr>
                </pic:pic>
              </a:graphicData>
            </a:graphic>
          </wp:anchor>
        </w:drawing>
      </w:r>
    </w:p>
    <w:p>
      <w:pPr>
        <w:spacing w:after="0" w:line="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0" w:orient="portrait"/>
          <w:cols w:equalWidth="0" w:num="1">
            <w:col w:w="9880"/>
          </w:cols>
          <w:pgMar w:left="102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9880"/>
          </w:cols>
          <w:pgMar w:left="1020" w:top="704" w:right="980" w:bottom="0" w:gutter="0" w:footer="0" w:header="0"/>
          <w:type w:val="continuous"/>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AGNC INVESTMENT CORP.</w:t>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 millions, except per share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right"/>
              <w:ind w:right="36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56"/>
        </w:trPr>
        <w:tc>
          <w:tcPr>
            <w:tcW w:w="6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Interest income:</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Interest income </w:t>
            </w:r>
            <w:r>
              <w:rPr>
                <w:rFonts w:ascii="Times New Roman" w:cs="Times New Roman" w:eastAsia="Times New Roman" w:hAnsi="Times New Roman"/>
                <w:sz w:val="19"/>
                <w:szCs w:val="19"/>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2,041</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1,590</w:t>
            </w:r>
          </w:p>
        </w:tc>
        <w:tc>
          <w:tcPr>
            <w:tcW w:w="0" w:type="dxa"/>
            <w:vAlign w:val="bottom"/>
          </w:tcPr>
          <w:p>
            <w:pPr>
              <w:spacing w:after="0"/>
              <w:rPr>
                <w:sz w:val="1"/>
                <w:szCs w:val="1"/>
                <w:color w:val="auto"/>
              </w:rPr>
            </w:pPr>
          </w:p>
        </w:tc>
      </w:tr>
      <w:tr>
        <w:trPr>
          <w:trHeight w:val="294"/>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Interest expense </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2,931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2,287</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625</w:t>
            </w:r>
          </w:p>
        </w:tc>
        <w:tc>
          <w:tcPr>
            <w:tcW w:w="0" w:type="dxa"/>
            <w:vAlign w:val="bottom"/>
          </w:tcPr>
          <w:p>
            <w:pPr>
              <w:spacing w:after="0"/>
              <w:rPr>
                <w:sz w:val="1"/>
                <w:szCs w:val="1"/>
                <w:color w:val="auto"/>
              </w:rPr>
            </w:pPr>
          </w:p>
        </w:tc>
      </w:tr>
      <w:tr>
        <w:trPr>
          <w:trHeight w:val="271"/>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interest income (expense)</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(246)</w:t>
            </w:r>
          </w:p>
        </w:tc>
        <w:tc>
          <w:tcPr>
            <w:tcW w:w="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965</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Other gain (loss), net:</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Loss on sale of investment securities, net </w:t>
            </w:r>
            <w:r>
              <w:rPr>
                <w:rFonts w:ascii="Times New Roman" w:cs="Times New Roman" w:eastAsia="Times New Roman" w:hAnsi="Times New Roman"/>
                <w:sz w:val="19"/>
                <w:szCs w:val="19"/>
                <w:color w:val="B4B4B4"/>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(2,916)</w:t>
            </w:r>
          </w:p>
        </w:tc>
        <w:tc>
          <w:tcPr>
            <w:tcW w:w="0" w:type="dxa"/>
            <w:vAlign w:val="bottom"/>
          </w:tcPr>
          <w:p>
            <w:pPr>
              <w:spacing w:after="0"/>
              <w:rPr>
                <w:sz w:val="1"/>
                <w:szCs w:val="1"/>
                <w:color w:val="auto"/>
              </w:rPr>
            </w:pPr>
          </w:p>
        </w:tc>
      </w:tr>
      <w:tr>
        <w:trPr>
          <w:trHeight w:val="228"/>
        </w:trPr>
        <w:tc>
          <w:tcPr>
            <w:tcW w:w="6180" w:type="dxa"/>
            <w:vAlign w:val="bottom"/>
          </w:tcPr>
          <w:p>
            <w:pPr>
              <w:jc w:val="right"/>
              <w:ind w:right="323"/>
              <w:spacing w:after="0"/>
              <w:rPr>
                <w:sz w:val="20"/>
                <w:szCs w:val="20"/>
                <w:color w:val="auto"/>
              </w:rPr>
            </w:pPr>
            <w:r>
              <w:rPr>
                <w:rFonts w:ascii="Times New Roman" w:cs="Times New Roman" w:eastAsia="Times New Roman" w:hAnsi="Times New Roman"/>
                <w:sz w:val="19"/>
                <w:szCs w:val="19"/>
                <w:color w:val="auto"/>
              </w:rPr>
              <w:t>Unrealized gain (loss) on investment securities measured at fair value</w:t>
            </w:r>
          </w:p>
        </w:tc>
        <w:tc>
          <w:tcPr>
            <w:tcW w:w="22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(885)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1,678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(3,795)</w:t>
            </w:r>
          </w:p>
        </w:tc>
        <w:tc>
          <w:tcPr>
            <w:tcW w:w="0" w:type="dxa"/>
            <w:vAlign w:val="bottom"/>
          </w:tcPr>
          <w:p>
            <w:pPr>
              <w:spacing w:after="0"/>
              <w:rPr>
                <w:sz w:val="1"/>
                <w:szCs w:val="1"/>
                <w:color w:val="auto"/>
              </w:rPr>
            </w:pPr>
          </w:p>
        </w:tc>
      </w:tr>
      <w:tr>
        <w:trPr>
          <w:trHeight w:val="253"/>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through net income, net </w:t>
            </w:r>
            <w:r>
              <w:rPr>
                <w:rFonts w:ascii="Times New Roman" w:cs="Times New Roman" w:eastAsia="Times New Roman" w:hAnsi="Times New Roman"/>
                <w:sz w:val="19"/>
                <w:szCs w:val="19"/>
                <w:color w:val="B4B4B4"/>
              </w:rPr>
              <w:t>.................................................................................</w:t>
            </w:r>
          </w:p>
        </w:tc>
        <w:tc>
          <w:tcPr>
            <w:tcW w:w="22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Gain on derivative instruments and other investments, net </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386</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4,630</w:t>
            </w:r>
          </w:p>
        </w:tc>
        <w:tc>
          <w:tcPr>
            <w:tcW w:w="0" w:type="dxa"/>
            <w:vAlign w:val="bottom"/>
          </w:tcPr>
          <w:p>
            <w:pPr>
              <w:spacing w:after="0"/>
              <w:rPr>
                <w:sz w:val="1"/>
                <w:szCs w:val="1"/>
                <w:color w:val="auto"/>
              </w:rPr>
            </w:pPr>
          </w:p>
        </w:tc>
      </w:tr>
      <w:tr>
        <w:trPr>
          <w:trHeight w:val="271"/>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other gain (loss), net: </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497</w:t>
            </w:r>
          </w:p>
        </w:tc>
        <w:tc>
          <w:tcPr>
            <w:tcW w:w="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(2,081)</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Expenses:</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Compensation and benefits </w:t>
            </w:r>
            <w:r>
              <w:rPr>
                <w:rFonts w:ascii="Times New Roman" w:cs="Times New Roman" w:eastAsia="Times New Roman" w:hAnsi="Times New Roman"/>
                <w:sz w:val="19"/>
                <w:szCs w:val="19"/>
                <w:color w:val="B4B4B4"/>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0" w:type="dxa"/>
            <w:vAlign w:val="bottom"/>
          </w:tcPr>
          <w:p>
            <w:pPr>
              <w:spacing w:after="0"/>
              <w:rPr>
                <w:sz w:val="1"/>
                <w:szCs w:val="1"/>
                <w:color w:val="auto"/>
              </w:rPr>
            </w:pPr>
          </w:p>
        </w:tc>
      </w:tr>
      <w:tr>
        <w:trPr>
          <w:trHeight w:val="294"/>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Other operating expense</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0" w:type="dxa"/>
            <w:vAlign w:val="bottom"/>
          </w:tcPr>
          <w:p>
            <w:pPr>
              <w:spacing w:after="0"/>
              <w:rPr>
                <w:sz w:val="1"/>
                <w:szCs w:val="1"/>
                <w:color w:val="auto"/>
              </w:rPr>
            </w:pPr>
          </w:p>
        </w:tc>
      </w:tr>
      <w:tr>
        <w:trPr>
          <w:trHeight w:val="271"/>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Total operating expense </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w:t>
            </w:r>
          </w:p>
        </w:tc>
        <w:tc>
          <w:tcPr>
            <w:tcW w:w="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0" w:type="dxa"/>
            <w:vAlign w:val="bottom"/>
          </w:tcPr>
          <w:p>
            <w:pPr>
              <w:spacing w:after="0"/>
              <w:rPr>
                <w:sz w:val="1"/>
                <w:szCs w:val="1"/>
                <w:color w:val="auto"/>
              </w:rPr>
            </w:pPr>
          </w:p>
        </w:tc>
      </w:tr>
      <w:tr>
        <w:trPr>
          <w:trHeight w:val="268"/>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Net income (loss) </w:t>
            </w:r>
            <w:r>
              <w:rPr>
                <w:rFonts w:ascii="Times New Roman" w:cs="Times New Roman" w:eastAsia="Times New Roman" w:hAnsi="Times New Roman"/>
                <w:sz w:val="19"/>
                <w:szCs w:val="19"/>
                <w:b w:val="1"/>
                <w:bCs w:val="1"/>
                <w:color w:val="B4B4B4"/>
              </w:rPr>
              <w:t>.................................................................................................</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(1,190)</w:t>
            </w:r>
          </w:p>
        </w:tc>
        <w:tc>
          <w:tcPr>
            <w:tcW w:w="0" w:type="dxa"/>
            <w:vAlign w:val="bottom"/>
          </w:tcPr>
          <w:p>
            <w:pPr>
              <w:spacing w:after="0"/>
              <w:rPr>
                <w:sz w:val="1"/>
                <w:szCs w:val="1"/>
                <w:color w:val="auto"/>
              </w:rPr>
            </w:pPr>
          </w:p>
        </w:tc>
      </w:tr>
      <w:tr>
        <w:trPr>
          <w:trHeight w:val="294"/>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Dividends on preferred stock </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0" w:type="dxa"/>
            <w:vAlign w:val="bottom"/>
          </w:tcPr>
          <w:p>
            <w:pPr>
              <w:spacing w:after="0"/>
              <w:rPr>
                <w:sz w:val="1"/>
                <w:szCs w:val="1"/>
                <w:color w:val="auto"/>
              </w:rPr>
            </w:pPr>
          </w:p>
        </w:tc>
      </w:tr>
      <w:tr>
        <w:trPr>
          <w:trHeight w:val="252"/>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Net income (loss) available (attributable) to common stockholders </w:t>
            </w:r>
            <w:r>
              <w:rPr>
                <w:rFonts w:ascii="Times New Roman" w:cs="Times New Roman" w:eastAsia="Times New Roman" w:hAnsi="Times New Roman"/>
                <w:sz w:val="19"/>
                <w:szCs w:val="19"/>
                <w:b w:val="1"/>
                <w:bCs w:val="1"/>
                <w:color w:val="B4B4B4"/>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731</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40" w:type="dxa"/>
            <w:vAlign w:val="bottom"/>
          </w:tcPr>
          <w:p>
            <w:pPr>
              <w:spacing w:after="0"/>
              <w:rPr>
                <w:sz w:val="21"/>
                <w:szCs w:val="21"/>
                <w:color w:val="auto"/>
              </w:rPr>
            </w:pP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(1,295)</w:t>
            </w:r>
          </w:p>
        </w:tc>
        <w:tc>
          <w:tcPr>
            <w:tcW w:w="0" w:type="dxa"/>
            <w:vAlign w:val="bottom"/>
          </w:tcPr>
          <w:p>
            <w:pPr>
              <w:spacing w:after="0"/>
              <w:rPr>
                <w:sz w:val="1"/>
                <w:szCs w:val="1"/>
                <w:color w:val="auto"/>
              </w:rPr>
            </w:pPr>
          </w:p>
        </w:tc>
      </w:tr>
      <w:tr>
        <w:trPr>
          <w:trHeight w:val="20"/>
        </w:trPr>
        <w:tc>
          <w:tcPr>
            <w:tcW w:w="6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Net income (loss) </w:t>
            </w:r>
            <w:r>
              <w:rPr>
                <w:rFonts w:ascii="Times New Roman" w:cs="Times New Roman" w:eastAsia="Times New Roman" w:hAnsi="Times New Roman"/>
                <w:sz w:val="19"/>
                <w:szCs w:val="19"/>
                <w:b w:val="1"/>
                <w:bCs w:val="1"/>
                <w:color w:val="B4B4B4"/>
              </w:rPr>
              <w:t>.................................................................................................</w:t>
            </w: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6180" w:type="dxa"/>
            <w:vAlign w:val="bottom"/>
            <w:vMerge w:val="continue"/>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(1,190)</w:t>
            </w:r>
          </w:p>
        </w:tc>
        <w:tc>
          <w:tcPr>
            <w:tcW w:w="0" w:type="dxa"/>
            <w:vAlign w:val="bottom"/>
          </w:tcPr>
          <w:p>
            <w:pPr>
              <w:spacing w:after="0"/>
              <w:rPr>
                <w:sz w:val="1"/>
                <w:szCs w:val="1"/>
                <w:color w:val="auto"/>
              </w:rPr>
            </w:pPr>
          </w:p>
        </w:tc>
      </w:tr>
      <w:tr>
        <w:trPr>
          <w:trHeight w:val="228"/>
        </w:trPr>
        <w:tc>
          <w:tcPr>
            <w:tcW w:w="6180" w:type="dxa"/>
            <w:vAlign w:val="bottom"/>
          </w:tcPr>
          <w:p>
            <w:pPr>
              <w:jc w:val="right"/>
              <w:ind w:right="323"/>
              <w:spacing w:after="0"/>
              <w:rPr>
                <w:sz w:val="20"/>
                <w:szCs w:val="20"/>
                <w:color w:val="auto"/>
              </w:rPr>
            </w:pPr>
            <w:r>
              <w:rPr>
                <w:rFonts w:ascii="Times New Roman" w:cs="Times New Roman" w:eastAsia="Times New Roman" w:hAnsi="Times New Roman"/>
                <w:sz w:val="19"/>
                <w:szCs w:val="19"/>
                <w:color w:val="auto"/>
              </w:rPr>
              <w:t>Unrealized gain (loss) on investment securities measured at fair value</w:t>
            </w:r>
          </w:p>
        </w:tc>
        <w:tc>
          <w:tcPr>
            <w:tcW w:w="22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(973)</w:t>
            </w:r>
          </w:p>
        </w:tc>
        <w:tc>
          <w:tcPr>
            <w:tcW w:w="0" w:type="dxa"/>
            <w:vAlign w:val="bottom"/>
          </w:tcPr>
          <w:p>
            <w:pPr>
              <w:spacing w:after="0"/>
              <w:rPr>
                <w:sz w:val="1"/>
                <w:szCs w:val="1"/>
                <w:color w:val="auto"/>
              </w:rPr>
            </w:pPr>
          </w:p>
        </w:tc>
      </w:tr>
      <w:tr>
        <w:trPr>
          <w:trHeight w:val="255"/>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through other comprehensive income (loss), net </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Comprehensive income (loss) </w:t>
            </w:r>
            <w:r>
              <w:rPr>
                <w:rFonts w:ascii="Times New Roman" w:cs="Times New Roman" w:eastAsia="Times New Roman" w:hAnsi="Times New Roman"/>
                <w:sz w:val="19"/>
                <w:szCs w:val="19"/>
                <w:b w:val="1"/>
                <w:bCs w:val="1"/>
                <w:color w:val="B4B4B4"/>
              </w:rPr>
              <w:t>............................................................................</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(2,163)</w:t>
            </w:r>
          </w:p>
        </w:tc>
        <w:tc>
          <w:tcPr>
            <w:tcW w:w="0" w:type="dxa"/>
            <w:vAlign w:val="bottom"/>
          </w:tcPr>
          <w:p>
            <w:pPr>
              <w:spacing w:after="0"/>
              <w:rPr>
                <w:sz w:val="1"/>
                <w:szCs w:val="1"/>
                <w:color w:val="auto"/>
              </w:rPr>
            </w:pPr>
          </w:p>
        </w:tc>
      </w:tr>
      <w:tr>
        <w:trPr>
          <w:trHeight w:val="294"/>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Dividends on preferred stock </w:t>
            </w:r>
            <w:r>
              <w:rPr>
                <w:rFonts w:ascii="Times New Roman" w:cs="Times New Roman" w:eastAsia="Times New Roman" w:hAnsi="Times New Roman"/>
                <w:sz w:val="19"/>
                <w:szCs w:val="19"/>
                <w:color w:val="B4B4B4"/>
              </w:rPr>
              <w:t>........................................................................</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0" w:type="dxa"/>
            <w:vAlign w:val="bottom"/>
          </w:tcPr>
          <w:p>
            <w:pPr>
              <w:spacing w:after="0"/>
              <w:rPr>
                <w:sz w:val="1"/>
                <w:szCs w:val="1"/>
                <w:color w:val="auto"/>
              </w:rPr>
            </w:pPr>
          </w:p>
        </w:tc>
      </w:tr>
      <w:tr>
        <w:trPr>
          <w:trHeight w:val="205"/>
        </w:trPr>
        <w:tc>
          <w:tcPr>
            <w:tcW w:w="6180" w:type="dxa"/>
            <w:vAlign w:val="bottom"/>
          </w:tcPr>
          <w:p>
            <w:pPr>
              <w:jc w:val="right"/>
              <w:ind w:right="703"/>
              <w:spacing w:after="0" w:line="205" w:lineRule="exact"/>
              <w:rPr>
                <w:sz w:val="20"/>
                <w:szCs w:val="20"/>
                <w:color w:val="auto"/>
              </w:rPr>
            </w:pPr>
            <w:r>
              <w:rPr>
                <w:rFonts w:ascii="Times New Roman" w:cs="Times New Roman" w:eastAsia="Times New Roman" w:hAnsi="Times New Roman"/>
                <w:sz w:val="19"/>
                <w:szCs w:val="19"/>
                <w:b w:val="1"/>
                <w:bCs w:val="1"/>
                <w:color w:val="auto"/>
              </w:rPr>
              <w:t>Comprehensive income (loss) available (attributable) to common</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657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187</w:t>
            </w:r>
          </w:p>
        </w:tc>
        <w:tc>
          <w:tcPr>
            <w:tcW w:w="30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(2,268)</w:t>
            </w:r>
          </w:p>
        </w:tc>
        <w:tc>
          <w:tcPr>
            <w:tcW w:w="0" w:type="dxa"/>
            <w:vAlign w:val="bottom"/>
          </w:tcPr>
          <w:p>
            <w:pPr>
              <w:spacing w:after="0"/>
              <w:rPr>
                <w:sz w:val="1"/>
                <w:szCs w:val="1"/>
                <w:color w:val="auto"/>
              </w:rPr>
            </w:pPr>
          </w:p>
        </w:tc>
      </w:tr>
      <w:tr>
        <w:trPr>
          <w:trHeight w:val="235"/>
        </w:trPr>
        <w:tc>
          <w:tcPr>
            <w:tcW w:w="6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stockholders </w:t>
            </w:r>
            <w:r>
              <w:rPr>
                <w:rFonts w:ascii="Times New Roman" w:cs="Times New Roman" w:eastAsia="Times New Roman" w:hAnsi="Times New Roman"/>
                <w:sz w:val="19"/>
                <w:szCs w:val="19"/>
                <w:b w:val="1"/>
                <w:bCs w:val="1"/>
                <w:color w:val="B4B4B4"/>
              </w:rPr>
              <w:t>........................................................................................................</w:t>
            </w:r>
          </w:p>
        </w:tc>
        <w:tc>
          <w:tcPr>
            <w:tcW w:w="2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Weighted average number of common shares outstanding - basic </w:t>
            </w:r>
            <w:r>
              <w:rPr>
                <w:rFonts w:ascii="Times New Roman" w:cs="Times New Roman" w:eastAsia="Times New Roman" w:hAnsi="Times New Roman"/>
                <w:sz w:val="19"/>
                <w:szCs w:val="19"/>
                <w:b w:val="1"/>
                <w:bCs w:val="1"/>
                <w:color w:val="B4B4B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6180" w:type="dxa"/>
            <w:vAlign w:val="bottom"/>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618.4</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537.0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Weighted average number of common shares outstanding - diluted</w:t>
            </w: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180" w:type="dxa"/>
            <w:vAlign w:val="bottom"/>
            <w:vMerge w:val="continue"/>
          </w:tcPr>
          <w:p>
            <w:pPr>
              <w:jc w:val="right"/>
              <w:spacing w:after="0" w:line="190" w:lineRule="exact"/>
              <w:rPr>
                <w:sz w:val="20"/>
                <w:szCs w:val="20"/>
                <w:color w:val="auto"/>
              </w:rPr>
            </w:pPr>
            <w:r>
              <w:rPr>
                <w:rFonts w:ascii="Times New Roman" w:cs="Times New Roman" w:eastAsia="Times New Roman" w:hAnsi="Times New Roman"/>
                <w:sz w:val="19"/>
                <w:szCs w:val="19"/>
                <w:b w:val="1"/>
                <w:bCs w:val="1"/>
                <w:color w:val="B4B4B4"/>
              </w:rPr>
              <w:t>............</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786.0</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619.6</w:t>
            </w: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537.0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Net income (loss) per common share - basic</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180" w:type="dxa"/>
            <w:vAlign w:val="bottom"/>
            <w:vMerge w:val="continue"/>
          </w:tcPr>
          <w:p>
            <w:pPr>
              <w:jc w:val="right"/>
              <w:spacing w:after="0" w:line="190" w:lineRule="exact"/>
              <w:rPr>
                <w:sz w:val="20"/>
                <w:szCs w:val="20"/>
                <w:color w:val="auto"/>
              </w:rPr>
            </w:pPr>
            <w:r>
              <w:rPr>
                <w:rFonts w:ascii="Times New Roman" w:cs="Times New Roman" w:eastAsia="Times New Roman" w:hAnsi="Times New Roman"/>
                <w:sz w:val="19"/>
                <w:szCs w:val="19"/>
                <w:b w:val="1"/>
                <w:bCs w:val="1"/>
                <w:color w:val="B4B4B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0.93</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0.05</w:t>
            </w:r>
          </w:p>
        </w:tc>
        <w:tc>
          <w:tcPr>
            <w:tcW w:w="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Net income (loss) per common share - diluted</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180" w:type="dxa"/>
            <w:vAlign w:val="bottom"/>
            <w:vMerge w:val="continue"/>
          </w:tcPr>
          <w:p>
            <w:pPr>
              <w:jc w:val="right"/>
              <w:spacing w:after="0" w:line="190" w:lineRule="exact"/>
              <w:rPr>
                <w:sz w:val="20"/>
                <w:szCs w:val="20"/>
                <w:color w:val="auto"/>
              </w:rPr>
            </w:pPr>
            <w:r>
              <w:rPr>
                <w:rFonts w:ascii="Times New Roman" w:cs="Times New Roman" w:eastAsia="Times New Roman" w:hAnsi="Times New Roman"/>
                <w:sz w:val="19"/>
                <w:szCs w:val="19"/>
                <w:b w:val="1"/>
                <w:bCs w:val="1"/>
                <w:color w:val="B4B4B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0.93</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0.05</w:t>
            </w:r>
          </w:p>
        </w:tc>
        <w:tc>
          <w:tcPr>
            <w:tcW w:w="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-2334260</wp:posOffset>
            </wp:positionV>
            <wp:extent cx="1863725" cy="50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1">
                      <a:extLst>
                        <a:ext uri="{28A0092B-C50C-407E-A947-70E740481C1C}"/>
                      </a:extLst>
                    </a:blip>
                    <a:srcRect/>
                    <a:stretch>
                      <a:fillRect/>
                    </a:stretch>
                  </pic:blipFill>
                  <pic:spPr bwMode="auto">
                    <a:xfrm>
                      <a:off x="0" y="0"/>
                      <a:ext cx="1863725" cy="5016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-975995</wp:posOffset>
            </wp:positionV>
            <wp:extent cx="1863725" cy="50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2">
                      <a:extLst>
                        <a:ext uri="{28A0092B-C50C-407E-A947-70E740481C1C}"/>
                      </a:extLst>
                    </a:blip>
                    <a:srcRect/>
                    <a:stretch>
                      <a:fillRect/>
                    </a:stretch>
                  </pic:blipFill>
                  <pic:spPr bwMode="auto">
                    <a:xfrm>
                      <a:off x="0" y="0"/>
                      <a:ext cx="1863725" cy="5016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-597535</wp:posOffset>
            </wp:positionV>
            <wp:extent cx="1863725"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3">
                      <a:extLst>
                        <a:ext uri="{28A0092B-C50C-407E-A947-70E740481C1C}"/>
                      </a:extLst>
                    </a:blip>
                    <a:srcRect/>
                    <a:stretch>
                      <a:fillRect/>
                    </a:stretch>
                  </pic:blipFill>
                  <pic:spPr bwMode="auto">
                    <a:xfrm>
                      <a:off x="0" y="0"/>
                      <a:ext cx="1863725" cy="5016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-412750</wp:posOffset>
            </wp:positionV>
            <wp:extent cx="1863725" cy="501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4">
                      <a:extLst>
                        <a:ext uri="{28A0092B-C50C-407E-A947-70E740481C1C}"/>
                      </a:extLst>
                    </a:blip>
                    <a:srcRect/>
                    <a:stretch>
                      <a:fillRect/>
                    </a:stretch>
                  </pic:blipFill>
                  <pic:spPr bwMode="auto">
                    <a:xfrm>
                      <a:off x="0" y="0"/>
                      <a:ext cx="1863725" cy="5016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-227965</wp:posOffset>
            </wp:positionV>
            <wp:extent cx="1863725" cy="50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5">
                      <a:extLst>
                        <a:ext uri="{28A0092B-C50C-407E-A947-70E740481C1C}"/>
                      </a:extLst>
                    </a:blip>
                    <a:srcRect/>
                    <a:stretch>
                      <a:fillRect/>
                    </a:stretch>
                  </pic:blipFill>
                  <pic:spPr bwMode="auto">
                    <a:xfrm>
                      <a:off x="0" y="0"/>
                      <a:ext cx="1863725" cy="5016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-43180</wp:posOffset>
            </wp:positionV>
            <wp:extent cx="1863725" cy="50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6">
                      <a:extLst>
                        <a:ext uri="{28A0092B-C50C-407E-A947-70E740481C1C}"/>
                      </a:extLst>
                    </a:blip>
                    <a:srcRect/>
                    <a:stretch>
                      <a:fillRect/>
                    </a:stretch>
                  </pic:blipFill>
                  <pic:spPr bwMode="auto">
                    <a:xfrm>
                      <a:off x="0" y="0"/>
                      <a:ext cx="1863725" cy="50165"/>
                    </a:xfrm>
                    <a:prstGeom prst="rect">
                      <a:avLst/>
                    </a:prstGeom>
                    <a:noFill/>
                  </pic:spPr>
                </pic:pic>
              </a:graphicData>
            </a:graphic>
          </wp:anchor>
        </w:drawing>
      </w:r>
    </w:p>
    <w:p>
      <w:pPr>
        <w:spacing w:after="0" w:line="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0" w:orient="portrait"/>
          <w:cols w:equalWidth="0" w:num="1">
            <w:col w:w="9080"/>
          </w:cols>
          <w:pgMar w:left="1420" w:top="704"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52</w:t>
      </w:r>
    </w:p>
    <w:p>
      <w:pPr>
        <w:sectPr>
          <w:pgSz w:w="11880" w:h="15480" w:orient="portrait"/>
          <w:cols w:equalWidth="0" w:num="1">
            <w:col w:w="9080"/>
          </w:cols>
          <w:pgMar w:left="1420" w:top="704" w:right="1380" w:bottom="0" w:gutter="0" w:footer="0" w:header="0"/>
          <w:type w:val="continuous"/>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AGNC INVESTMENT CORP.</w:t>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6"/>
                <w:szCs w:val="16"/>
                <w:b w:val="1"/>
                <w:bCs w:val="1"/>
                <w:color w:val="auto"/>
                <w:w w:val="92"/>
              </w:rPr>
              <w:t>Other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940" w:type="dxa"/>
            <w:vAlign w:val="bottom"/>
            <w:gridSpan w:val="3"/>
          </w:tcPr>
          <w:p>
            <w:pPr>
              <w:ind w:left="120"/>
              <w:spacing w:after="0" w:line="116"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82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103"/>
              <w:spacing w:after="0" w:line="116"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63"/>
              <w:spacing w:after="0" w:line="116"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10"/>
                <w:szCs w:val="10"/>
                <w:color w:val="auto"/>
              </w:rPr>
            </w:pPr>
          </w:p>
        </w:tc>
        <w:tc>
          <w:tcPr>
            <w:tcW w:w="118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3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9"/>
                <w:szCs w:val="19"/>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1"/>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Balance, December 31, 2021</w:t>
            </w:r>
            <w:r>
              <w:rPr>
                <w:rFonts w:ascii="Times New Roman" w:cs="Times New Roman" w:eastAsia="Times New Roman" w:hAnsi="Times New Roman"/>
                <w:sz w:val="16"/>
                <w:szCs w:val="16"/>
                <w:b w:val="1"/>
                <w:bCs w:val="1"/>
                <w:color w:val="B4B4B4"/>
                <w:w w:val="96"/>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1,489</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loss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47"/>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Unrealized loss on available-for-sale securities, net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Stock-based compensation, net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of preferred stock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of common stock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Repurchase of common stock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Preferred dividends declared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54"/>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Common dividends declared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21"/>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Balance, December 31, 2022</w:t>
            </w:r>
            <w:r>
              <w:rPr>
                <w:rFonts w:ascii="Times New Roman" w:cs="Times New Roman" w:eastAsia="Times New Roman" w:hAnsi="Times New Roman"/>
                <w:sz w:val="16"/>
                <w:szCs w:val="16"/>
                <w:b w:val="1"/>
                <w:bCs w:val="1"/>
                <w:color w:val="B4B4B4"/>
                <w:w w:val="96"/>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1,634</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47"/>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Unrealized gain on available-for-sale securities, net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Stock-based compensation, net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of common stock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Preferred dividends declared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54"/>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Common dividends declared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21"/>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Balance, December 31, 2023</w:t>
            </w:r>
            <w:r>
              <w:rPr>
                <w:rFonts w:ascii="Times New Roman" w:cs="Times New Roman" w:eastAsia="Times New Roman" w:hAnsi="Times New Roman"/>
                <w:sz w:val="16"/>
                <w:szCs w:val="16"/>
                <w:b w:val="1"/>
                <w:bCs w:val="1"/>
                <w:color w:val="B4B4B4"/>
                <w:w w:val="96"/>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1,634</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863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47"/>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Unrealized loss on available-for-sale securities, net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Stock-based compensation, net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of common stock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47"/>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Preferred dividends declared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54"/>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Common dividends declared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208"/>
        </w:trPr>
        <w:tc>
          <w:tcPr>
            <w:tcW w:w="3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Balance, December 31, 2024</w:t>
            </w:r>
            <w:r>
              <w:rPr>
                <w:rFonts w:ascii="Times New Roman" w:cs="Times New Roman" w:eastAsia="Times New Roman" w:hAnsi="Times New Roman"/>
                <w:sz w:val="16"/>
                <w:szCs w:val="16"/>
                <w:b w:val="1"/>
                <w:bCs w:val="1"/>
                <w:color w:val="B4B4B4"/>
                <w:w w:val="96"/>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1,634</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-43180</wp:posOffset>
            </wp:positionV>
            <wp:extent cx="4386580" cy="50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7">
                      <a:extLst>
                        <a:ext uri="{28A0092B-C50C-407E-A947-70E740481C1C}"/>
                      </a:extLst>
                    </a:blip>
                    <a:srcRect/>
                    <a:stretch>
                      <a:fillRect/>
                    </a:stretch>
                  </pic:blipFill>
                  <pic:spPr bwMode="auto">
                    <a:xfrm>
                      <a:off x="0" y="0"/>
                      <a:ext cx="4386580" cy="50165"/>
                    </a:xfrm>
                    <a:prstGeom prst="rect">
                      <a:avLst/>
                    </a:prstGeom>
                    <a:noFill/>
                  </pic:spPr>
                </pic:pic>
              </a:graphicData>
            </a:graphic>
          </wp:anchor>
        </w:drawing>
      </w:r>
    </w:p>
    <w:p>
      <w:pPr>
        <w:spacing w:after="0" w:line="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0" w:orient="portrait"/>
          <w:cols w:equalWidth="0" w:num="1">
            <w:col w:w="10600"/>
          </w:cols>
          <w:pgMar w:left="660" w:top="704"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10600"/>
          </w:cols>
          <w:pgMar w:left="660" w:top="704" w:right="620" w:bottom="0" w:gutter="0" w:footer="0" w:header="0"/>
          <w:type w:val="continuous"/>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AGNC INVESTMENT CORP.</w:t>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7"/>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7"/>
        </w:trPr>
        <w:tc>
          <w:tcPr>
            <w:tcW w:w="6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Net income (loss) </w:t>
            </w:r>
            <w:r>
              <w:rPr>
                <w:rFonts w:ascii="Times New Roman" w:cs="Times New Roman" w:eastAsia="Times New Roman" w:hAnsi="Times New Roman"/>
                <w:sz w:val="17"/>
                <w:szCs w:val="17"/>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0" w:type="dxa"/>
            <w:vAlign w:val="bottom"/>
          </w:tcPr>
          <w:p>
            <w:pPr>
              <w:spacing w:after="0"/>
              <w:rPr>
                <w:sz w:val="1"/>
                <w:szCs w:val="1"/>
                <w:color w:val="auto"/>
              </w:rPr>
            </w:pPr>
          </w:p>
        </w:tc>
      </w:tr>
      <w:tr>
        <w:trPr>
          <w:trHeight w:val="276"/>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Amortization of premiums and discounts on mortgage-backed securities, net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Stock-based compensation, net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Loss on sale of investment securities, net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2,916</w:t>
            </w:r>
          </w:p>
        </w:tc>
        <w:tc>
          <w:tcPr>
            <w:tcW w:w="0" w:type="dxa"/>
            <w:vAlign w:val="bottom"/>
          </w:tcPr>
          <w:p>
            <w:pPr>
              <w:spacing w:after="0"/>
              <w:rPr>
                <w:sz w:val="1"/>
                <w:szCs w:val="1"/>
                <w:color w:val="auto"/>
              </w:rPr>
            </w:pPr>
          </w:p>
        </w:tc>
      </w:tr>
      <w:tr>
        <w:trPr>
          <w:trHeight w:val="195"/>
        </w:trPr>
        <w:tc>
          <w:tcPr>
            <w:tcW w:w="6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Unrealized (gain) loss on investment securities measured at fair value through net</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3,795</w:t>
            </w:r>
          </w:p>
        </w:tc>
        <w:tc>
          <w:tcPr>
            <w:tcW w:w="0" w:type="dxa"/>
            <w:vAlign w:val="bottom"/>
          </w:tcPr>
          <w:p>
            <w:pPr>
              <w:spacing w:after="0"/>
              <w:rPr>
                <w:sz w:val="1"/>
                <w:szCs w:val="1"/>
                <w:color w:val="auto"/>
              </w:rPr>
            </w:pPr>
          </w:p>
        </w:tc>
      </w:tr>
      <w:tr>
        <w:trPr>
          <w:trHeight w:val="228"/>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income, net </w:t>
            </w:r>
            <w:r>
              <w:rPr>
                <w:rFonts w:ascii="Times New Roman" w:cs="Times New Roman" w:eastAsia="Times New Roman" w:hAnsi="Times New Roman"/>
                <w:sz w:val="17"/>
                <w:szCs w:val="17"/>
                <w:color w:val="B4B4B4"/>
              </w:rPr>
              <w:t>............................................................................................................................</w:t>
            </w: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Gain on derivative instruments and other securities, net </w:t>
            </w:r>
            <w:r>
              <w:rPr>
                <w:rFonts w:ascii="Times New Roman" w:cs="Times New Roman" w:eastAsia="Times New Roman" w:hAnsi="Times New Roman"/>
                <w:sz w:val="17"/>
                <w:szCs w:val="17"/>
                <w:color w:val="B4B4B4"/>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(4,630)</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(Increase) decrease in other assets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81"/>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Increase (decrease) in other liabilities</w:t>
            </w:r>
            <w:r>
              <w:rPr>
                <w:rFonts w:ascii="Times New Roman" w:cs="Times New Roman" w:eastAsia="Times New Roman" w:hAnsi="Times New Roman"/>
                <w:sz w:val="17"/>
                <w:szCs w:val="17"/>
                <w:color w:val="B4B4B4"/>
              </w:rPr>
              <w:t>...................................................................................</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5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Net cash provided by (used in) operating activities </w:t>
            </w:r>
            <w:r>
              <w:rPr>
                <w:rFonts w:ascii="Times New Roman" w:cs="Times New Roman" w:eastAsia="Times New Roman" w:hAnsi="Times New Roman"/>
                <w:sz w:val="17"/>
                <w:szCs w:val="17"/>
                <w:color w:val="B4B4B4"/>
              </w:rPr>
              <w: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Purchases of Agency mortgage-backed securities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(32,216)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(26,842)</w:t>
            </w:r>
          </w:p>
        </w:tc>
        <w:tc>
          <w:tcPr>
            <w:tcW w:w="0" w:type="dxa"/>
            <w:vAlign w:val="bottom"/>
          </w:tcPr>
          <w:p>
            <w:pPr>
              <w:spacing w:after="0"/>
              <w:rPr>
                <w:sz w:val="1"/>
                <w:szCs w:val="1"/>
                <w:color w:val="auto"/>
              </w:rPr>
            </w:pPr>
          </w:p>
        </w:tc>
      </w:tr>
      <w:tr>
        <w:trPr>
          <w:trHeight w:val="195"/>
        </w:trPr>
        <w:tc>
          <w:tcPr>
            <w:tcW w:w="6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credit risk transfer and non-Agency securities and other mortgage credit</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0" w:type="dxa"/>
            <w:vAlign w:val="bottom"/>
          </w:tcPr>
          <w:p>
            <w:pPr>
              <w:spacing w:after="0"/>
              <w:rPr>
                <w:sz w:val="1"/>
                <w:szCs w:val="1"/>
                <w:color w:val="auto"/>
              </w:rPr>
            </w:pPr>
          </w:p>
        </w:tc>
      </w:tr>
      <w:tr>
        <w:trPr>
          <w:trHeight w:val="228"/>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investments </w:t>
            </w:r>
            <w:r>
              <w:rPr>
                <w:rFonts w:ascii="Times New Roman" w:cs="Times New Roman" w:eastAsia="Times New Roman" w:hAnsi="Times New Roman"/>
                <w:sz w:val="17"/>
                <w:szCs w:val="17"/>
                <w:color w:val="B4B4B4"/>
              </w:rPr>
              <w:t>...........................................................................................................................</w:t>
            </w: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Proceeds from sale of Agency mortgage-backed securities </w:t>
            </w:r>
            <w:r>
              <w:rPr>
                <w:rFonts w:ascii="Times New Roman" w:cs="Times New Roman" w:eastAsia="Times New Roman" w:hAnsi="Times New Roman"/>
                <w:sz w:val="17"/>
                <w:szCs w:val="17"/>
                <w:color w:val="B4B4B4"/>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25,978</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Proceeds from sale of credit risk transfer and non-Agency securities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Principal collections on Agency mortgage-backed securities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6,525</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Principal collections on credit risk transfer and non-Agency securities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Payments on U.S. Treasury securities</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(30,535)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(27,494)</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Proceeds from U.S. Treasury securities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25,878</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Net proceeds from (payments on) reverse repurchase agreements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w:t>
            </w:r>
          </w:p>
        </w:tc>
        <w:tc>
          <w:tcPr>
            <w:tcW w:w="0" w:type="dxa"/>
            <w:vAlign w:val="bottom"/>
          </w:tcPr>
          <w:p>
            <w:pPr>
              <w:spacing w:after="0"/>
              <w:rPr>
                <w:sz w:val="1"/>
                <w:szCs w:val="1"/>
                <w:color w:val="auto"/>
              </w:rPr>
            </w:pPr>
          </w:p>
        </w:tc>
      </w:tr>
      <w:tr>
        <w:trPr>
          <w:trHeight w:val="281"/>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Net proceeds from derivative instruments </w:t>
            </w:r>
            <w:r>
              <w:rPr>
                <w:rFonts w:ascii="Times New Roman" w:cs="Times New Roman" w:eastAsia="Times New Roman" w:hAnsi="Times New Roman"/>
                <w:sz w:val="17"/>
                <w:szCs w:val="17"/>
                <w:color w:val="B4B4B4"/>
              </w:rPr>
              <w:t>............................................................................</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2,907</w:t>
            </w:r>
          </w:p>
        </w:tc>
        <w:tc>
          <w:tcPr>
            <w:tcW w:w="0" w:type="dxa"/>
            <w:vAlign w:val="bottom"/>
          </w:tcPr>
          <w:p>
            <w:pPr>
              <w:spacing w:after="0"/>
              <w:rPr>
                <w:sz w:val="1"/>
                <w:szCs w:val="1"/>
                <w:color w:val="auto"/>
              </w:rPr>
            </w:pPr>
          </w:p>
        </w:tc>
      </w:tr>
      <w:tr>
        <w:trPr>
          <w:trHeight w:val="25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Net cash provided by (used in) investing activities </w:t>
            </w:r>
            <w:r>
              <w:rPr>
                <w:rFonts w:ascii="Times New Roman" w:cs="Times New Roman" w:eastAsia="Times New Roman" w:hAnsi="Times New Roman"/>
                <w:sz w:val="17"/>
                <w:szCs w:val="17"/>
                <w:color w:val="B4B4B4"/>
              </w:rPr>
              <w: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(11,169)</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(14,672)</w:t>
            </w: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11,188</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Proceeds from repurchase arrangements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5,600,336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3,282,218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2,360,328</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Payments on repurchase agreements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(5,589,964)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(3,268,054)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(2,371,447)</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Payments on debt of consolidated variable interest entities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Net proceeds from preferred stock issuances</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Net proceeds from common stock issuances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Payments for common stock repurchases </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81"/>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Cash dividends paid </w:t>
            </w:r>
            <w:r>
              <w:rPr>
                <w:rFonts w:ascii="Times New Roman" w:cs="Times New Roman" w:eastAsia="Times New Roman" w:hAnsi="Times New Roman"/>
                <w:sz w:val="17"/>
                <w:szCs w:val="17"/>
                <w:color w:val="B4B4B4"/>
              </w:rPr>
              <w:t>..............................................................................................................</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0" w:type="dxa"/>
            <w:vAlign w:val="bottom"/>
          </w:tcPr>
          <w:p>
            <w:pPr>
              <w:spacing w:after="0"/>
              <w:rPr>
                <w:sz w:val="1"/>
                <w:szCs w:val="1"/>
                <w:color w:val="auto"/>
              </w:rPr>
            </w:pPr>
          </w:p>
        </w:tc>
      </w:tr>
      <w:tr>
        <w:trPr>
          <w:trHeight w:val="25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Net cash provided by (used in) financing activities </w:t>
            </w:r>
            <w:r>
              <w:rPr>
                <w:rFonts w:ascii="Times New Roman" w:cs="Times New Roman" w:eastAsia="Times New Roman" w:hAnsi="Times New Roman"/>
                <w:sz w:val="17"/>
                <w:szCs w:val="17"/>
                <w:color w:val="B4B4B4"/>
              </w:rPr>
              <w: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14,227</w:t>
            </w: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(11,392)</w:t>
            </w:r>
          </w:p>
        </w:tc>
        <w:tc>
          <w:tcPr>
            <w:tcW w:w="0" w:type="dxa"/>
            <w:vAlign w:val="bottom"/>
          </w:tcPr>
          <w:p>
            <w:pPr>
              <w:spacing w:after="0"/>
              <w:rPr>
                <w:sz w:val="1"/>
                <w:szCs w:val="1"/>
                <w:color w:val="auto"/>
              </w:rPr>
            </w:pPr>
          </w:p>
        </w:tc>
      </w:tr>
      <w:tr>
        <w:trPr>
          <w:trHeight w:val="252"/>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Net change in cash, cash equivalents and restricted cash </w:t>
            </w:r>
            <w:r>
              <w:rPr>
                <w:rFonts w:ascii="Times New Roman" w:cs="Times New Roman" w:eastAsia="Times New Roman" w:hAnsi="Times New Roman"/>
                <w:sz w:val="17"/>
                <w:szCs w:val="17"/>
                <w:color w:val="B4B4B4"/>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0" w:type="dxa"/>
            <w:vAlign w:val="bottom"/>
          </w:tcPr>
          <w:p>
            <w:pPr>
              <w:spacing w:after="0"/>
              <w:rPr>
                <w:sz w:val="1"/>
                <w:szCs w:val="1"/>
                <w:color w:val="auto"/>
              </w:rPr>
            </w:pPr>
          </w:p>
        </w:tc>
      </w:tr>
      <w:tr>
        <w:trPr>
          <w:trHeight w:val="281"/>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Cash, cash equivalents and restricted cash at beginning of period </w:t>
            </w:r>
            <w:r>
              <w:rPr>
                <w:rFonts w:ascii="Times New Roman" w:cs="Times New Roman" w:eastAsia="Times New Roman" w:hAnsi="Times New Roman"/>
                <w:sz w:val="17"/>
                <w:szCs w:val="17"/>
                <w:color w:val="B4B4B4"/>
              </w:rPr>
              <w:t>...............................................</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2,334</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0" w:type="dxa"/>
            <w:vAlign w:val="bottom"/>
          </w:tcPr>
          <w:p>
            <w:pPr>
              <w:spacing w:after="0"/>
              <w:rPr>
                <w:sz w:val="1"/>
                <w:szCs w:val="1"/>
                <w:color w:val="auto"/>
              </w:rPr>
            </w:pPr>
          </w:p>
        </w:tc>
      </w:tr>
      <w:tr>
        <w:trPr>
          <w:trHeight w:val="237"/>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Cash, cash equivalents and restricted cash at end of period </w:t>
            </w:r>
            <w:r>
              <w:rPr>
                <w:rFonts w:ascii="Times New Roman" w:cs="Times New Roman" w:eastAsia="Times New Roman" w:hAnsi="Times New Roman"/>
                <w:sz w:val="17"/>
                <w:szCs w:val="17"/>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end of period: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17"/>
                <w:szCs w:val="17"/>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0" w:type="dxa"/>
            <w:vAlign w:val="bottom"/>
          </w:tcPr>
          <w:p>
            <w:pPr>
              <w:spacing w:after="0"/>
              <w:rPr>
                <w:sz w:val="1"/>
                <w:szCs w:val="1"/>
                <w:color w:val="auto"/>
              </w:rPr>
            </w:pPr>
          </w:p>
        </w:tc>
      </w:tr>
      <w:tr>
        <w:trPr>
          <w:trHeight w:val="281"/>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Restricted cash </w:t>
            </w:r>
            <w:r>
              <w:rPr>
                <w:rFonts w:ascii="Times New Roman" w:cs="Times New Roman" w:eastAsia="Times New Roman" w:hAnsi="Times New Roman"/>
                <w:sz w:val="17"/>
                <w:szCs w:val="17"/>
                <w:color w:val="B4B4B4"/>
              </w:rPr>
              <w:t>......................................................................................................................</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1,253</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0" w:type="dxa"/>
            <w:vAlign w:val="bottom"/>
          </w:tcPr>
          <w:p>
            <w:pPr>
              <w:spacing w:after="0"/>
              <w:rPr>
                <w:sz w:val="1"/>
                <w:szCs w:val="1"/>
                <w:color w:val="auto"/>
              </w:rPr>
            </w:pPr>
          </w:p>
        </w:tc>
      </w:tr>
      <w:tr>
        <w:trPr>
          <w:trHeight w:val="237"/>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Total cash, cash equivalents and restricted cash, end of period</w:t>
            </w:r>
            <w:r>
              <w:rPr>
                <w:rFonts w:ascii="Times New Roman" w:cs="Times New Roman" w:eastAsia="Times New Roman" w:hAnsi="Times New Roman"/>
                <w:sz w:val="17"/>
                <w:szCs w:val="17"/>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to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Interest paid</w:t>
            </w:r>
            <w:r>
              <w:rPr>
                <w:rFonts w:ascii="Times New Roman" w:cs="Times New Roman" w:eastAsia="Times New Roman" w:hAnsi="Times New Roman"/>
                <w:sz w:val="17"/>
                <w:szCs w:val="17"/>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-1355090</wp:posOffset>
            </wp:positionV>
            <wp:extent cx="2076450" cy="501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8">
                      <a:extLst>
                        <a:ext uri="{28A0092B-C50C-407E-A947-70E740481C1C}"/>
                      </a:extLst>
                    </a:blip>
                    <a:srcRect/>
                    <a:stretch>
                      <a:fillRect/>
                    </a:stretch>
                  </pic:blipFill>
                  <pic:spPr bwMode="auto">
                    <a:xfrm>
                      <a:off x="0" y="0"/>
                      <a:ext cx="2076450" cy="5016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-523240</wp:posOffset>
            </wp:positionV>
            <wp:extent cx="2076450" cy="501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a:extLst>
                        <a:ext uri="{28A0092B-C50C-407E-A947-70E740481C1C}"/>
                      </a:extLst>
                    </a:blip>
                    <a:srcRect/>
                    <a:stretch>
                      <a:fillRect/>
                    </a:stretch>
                  </pic:blipFill>
                  <pic:spPr bwMode="auto">
                    <a:xfrm>
                      <a:off x="0" y="0"/>
                      <a:ext cx="2076450" cy="5016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-43180</wp:posOffset>
            </wp:positionV>
            <wp:extent cx="2076450" cy="50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0">
                      <a:extLst>
                        <a:ext uri="{28A0092B-C50C-407E-A947-70E740481C1C}"/>
                      </a:extLst>
                    </a:blip>
                    <a:srcRect/>
                    <a:stretch>
                      <a:fillRect/>
                    </a:stretch>
                  </pic:blipFill>
                  <pic:spPr bwMode="auto">
                    <a:xfrm>
                      <a:off x="0" y="0"/>
                      <a:ext cx="2076450" cy="50165"/>
                    </a:xfrm>
                    <a:prstGeom prst="rect">
                      <a:avLst/>
                    </a:prstGeom>
                    <a:noFill/>
                  </pic:spPr>
                </pic:pic>
              </a:graphicData>
            </a:graphic>
          </wp:anchor>
        </w:drawing>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0" w:orient="portrait"/>
          <w:cols w:equalWidth="0" w:num="1">
            <w:col w:w="9880"/>
          </w:cols>
          <w:pgMar w:left="1020" w:top="704" w:right="98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54</w:t>
      </w:r>
    </w:p>
    <w:p>
      <w:pPr>
        <w:sectPr>
          <w:pgSz w:w="11880" w:h="15480" w:orient="portrait"/>
          <w:cols w:equalWidth="0" w:num="1">
            <w:col w:w="9880"/>
          </w:cols>
          <w:pgMar w:left="1020" w:top="704" w:right="980" w:bottom="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9"/>
          <w:szCs w:val="19"/>
          <w:b w:val="1"/>
          <w:bCs w:val="1"/>
          <w:color w:val="auto"/>
        </w:rPr>
        <w:t>AGNC INVESTMENT CORP.</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 Organization</w:t>
      </w:r>
    </w:p>
    <w:p>
      <w:pPr>
        <w:spacing w:after="0" w:line="196"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5"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6"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32"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 and Consolidation</w:t>
      </w:r>
    </w:p>
    <w:p>
      <w:pPr>
        <w:spacing w:after="0" w:line="196"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96"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Investment Securities</w:t>
      </w:r>
    </w:p>
    <w:p>
      <w:pPr>
        <w:spacing w:after="0" w:line="196" w:lineRule="exact"/>
        <w:rPr>
          <w:sz w:val="20"/>
          <w:szCs w:val="20"/>
          <w:color w:val="auto"/>
        </w:rPr>
      </w:pPr>
    </w:p>
    <w:p>
      <w:pPr>
        <w:jc w:val="both"/>
        <w:ind w:firstLine="436"/>
        <w:spacing w:after="0" w:line="271" w:lineRule="auto"/>
        <w:rPr>
          <w:sz w:val="20"/>
          <w:szCs w:val="20"/>
          <w:color w:val="auto"/>
        </w:rPr>
      </w:pPr>
      <w:r>
        <w:rPr>
          <w:rFonts w:ascii="Times New Roman" w:cs="Times New Roman" w:eastAsia="Times New Roman" w:hAnsi="Times New Roman"/>
          <w:sz w:val="19"/>
          <w:szCs w:val="19"/>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366"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5"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1880" w:h="15480" w:orient="portrait"/>
          <w:cols w:equalWidth="0" w:num="1">
            <w:col w:w="9960"/>
          </w:cols>
          <w:pgMar w:left="960" w:top="704" w:right="960" w:bottom="0" w:gutter="0" w:footer="0" w:header="0"/>
          <w:type w:val="continuous"/>
        </w:sectPr>
      </w:pPr>
    </w:p>
    <w:bookmarkStart w:id="67" w:name="page68"/>
    <w:bookmarkEnd w:id="67"/>
    <w:p>
      <w:pPr>
        <w:jc w:val="both"/>
        <w:ind w:firstLine="480"/>
        <w:spacing w:after="0" w:line="258" w:lineRule="auto"/>
        <w:rPr>
          <w:sz w:val="20"/>
          <w:szCs w:val="20"/>
          <w:color w:val="auto"/>
        </w:rPr>
      </w:pPr>
      <w:r>
        <w:rPr>
          <w:rFonts w:ascii="Times New Roman" w:cs="Times New Roman" w:eastAsia="Times New Roman" w:hAnsi="Times New Roman"/>
          <w:sz w:val="19"/>
          <w:szCs w:val="19"/>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19"/>
          <w:szCs w:val="19"/>
          <w:b w:val="1"/>
          <w:bCs w:val="1"/>
          <w:i w:val="1"/>
          <w:iCs w:val="1"/>
          <w:color w:val="auto"/>
        </w:rPr>
        <w:t>Investments—Debt and Equity Securities</w:t>
      </w:r>
      <w:r>
        <w:rPr>
          <w:rFonts w:ascii="Times New Roman" w:cs="Times New Roman" w:eastAsia="Times New Roman" w:hAnsi="Times New Roman"/>
          <w:sz w:val="19"/>
          <w:szCs w:val="19"/>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Times New Roman" w:cs="Times New Roman" w:eastAsia="Times New Roman" w:hAnsi="Times New Roman"/>
          <w:sz w:val="19"/>
          <w:szCs w:val="19"/>
          <w:b w:val="1"/>
          <w:bCs w:val="1"/>
          <w:i w:val="1"/>
          <w:iCs w:val="1"/>
          <w:color w:val="auto"/>
        </w:rPr>
        <w:t>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Instruments</w:t>
      </w:r>
      <w:r>
        <w:rPr>
          <w:rFonts w:ascii="Times New Roman" w:cs="Times New Roman" w:eastAsia="Times New Roman" w:hAnsi="Times New Roman"/>
          <w:sz w:val="19"/>
          <w:szCs w:val="19"/>
          <w:color w:val="auto"/>
        </w:rPr>
        <w:t>. Prior to fiscal year 2017, we primarily designated our investment securities as available-for-sale. On January 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381" w:lineRule="exact"/>
        <w:rPr>
          <w:sz w:val="20"/>
          <w:szCs w:val="20"/>
          <w:color w:val="auto"/>
        </w:rPr>
      </w:pPr>
    </w:p>
    <w:p>
      <w:pPr>
        <w:jc w:val="both"/>
        <w:ind w:firstLine="480"/>
        <w:spacing w:after="0" w:line="260" w:lineRule="auto"/>
        <w:rPr>
          <w:sz w:val="20"/>
          <w:szCs w:val="20"/>
          <w:color w:val="auto"/>
        </w:rPr>
      </w:pPr>
      <w:r>
        <w:rPr>
          <w:rFonts w:ascii="Times New Roman" w:cs="Times New Roman" w:eastAsia="Times New Roman" w:hAnsi="Times New Roman"/>
          <w:sz w:val="19"/>
          <w:szCs w:val="19"/>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December 31, 2024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Interest Income</w:t>
      </w:r>
    </w:p>
    <w:p>
      <w:pPr>
        <w:spacing w:after="0" w:line="196"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9"/>
          <w:szCs w:val="19"/>
          <w:b w:val="1"/>
          <w:bCs w:val="1"/>
          <w:i w:val="1"/>
          <w:iCs w:val="1"/>
          <w:color w:val="auto"/>
        </w:rPr>
        <w:t>Receivables—Nonrefundable Fees and Other Costs</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9"/>
          <w:szCs w:val="19"/>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375"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9"/>
          <w:szCs w:val="19"/>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Repurchase Agreements</w:t>
      </w:r>
    </w:p>
    <w:p>
      <w:pPr>
        <w:spacing w:after="0" w:line="196"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880" w:h="15480" w:orient="portrait"/>
          <w:cols w:equalWidth="0" w:num="1">
            <w:col w:w="9960"/>
          </w:cols>
          <w:pgMar w:left="960" w:top="711" w:right="960" w:bottom="0" w:gutter="0" w:footer="0" w:header="0"/>
          <w:type w:val="continuous"/>
        </w:sectPr>
      </w:pPr>
    </w:p>
    <w:bookmarkStart w:id="68" w:name="page69"/>
    <w:bookmarkEnd w:id="68"/>
    <w:p>
      <w:pPr>
        <w:jc w:val="both"/>
        <w:spacing w:after="0" w:line="275" w:lineRule="auto"/>
        <w:rPr>
          <w:sz w:val="20"/>
          <w:szCs w:val="20"/>
          <w:color w:val="auto"/>
        </w:rPr>
      </w:pPr>
      <w:r>
        <w:rPr>
          <w:rFonts w:ascii="Times New Roman" w:cs="Times New Roman" w:eastAsia="Times New Roman" w:hAnsi="Times New Roman"/>
          <w:sz w:val="19"/>
          <w:szCs w:val="19"/>
          <w:color w:val="auto"/>
        </w:rPr>
        <w:t xml:space="preserve">and we receive the related principal and interest payments. Pursuant to ASC Topic 860, </w:t>
      </w:r>
      <w:r>
        <w:rPr>
          <w:rFonts w:ascii="Times New Roman" w:cs="Times New Roman" w:eastAsia="Times New Roman" w:hAnsi="Times New Roman"/>
          <w:sz w:val="19"/>
          <w:szCs w:val="19"/>
          <w:b w:val="1"/>
          <w:bCs w:val="1"/>
          <w:i w:val="1"/>
          <w:iCs w:val="1"/>
          <w:color w:val="auto"/>
        </w:rPr>
        <w:t>Transfers and Servicing</w:t>
      </w:r>
      <w:r>
        <w:rPr>
          <w:rFonts w:ascii="Times New Roman" w:cs="Times New Roman" w:eastAsia="Times New Roman" w:hAnsi="Times New Roman"/>
          <w:sz w:val="19"/>
          <w:szCs w:val="19"/>
          <w:color w:val="auto"/>
        </w:rPr>
        <w:t>, we account for repurchase agreements as collateralized financing transactions, which are carried at their contractual amounts (cost), plus accrued interest. Our repurchase agreements typically have maturities of less than one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Reverse Repurchase Agreements and Obligation to Return Securities Borrowed under Reverse Repurchase Agreements</w:t>
      </w:r>
    </w:p>
    <w:p>
      <w:pPr>
        <w:spacing w:after="0" w:line="196"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19"/>
          <w:szCs w:val="19"/>
          <w:b w:val="1"/>
          <w:bCs w:val="1"/>
          <w:i w:val="1"/>
          <w:iCs w:val="1"/>
          <w:color w:val="auto"/>
        </w:rPr>
        <w:t>Derivative Instruments</w:t>
      </w:r>
      <w:r>
        <w:rPr>
          <w:rFonts w:ascii="Times New Roman" w:cs="Times New Roman" w:eastAsia="Times New Roman" w:hAnsi="Times New Roman"/>
          <w:sz w:val="19"/>
          <w:szCs w:val="19"/>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Derivative Instruments</w:t>
      </w:r>
    </w:p>
    <w:p>
      <w:pPr>
        <w:spacing w:after="0" w:line="196"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We account for derivative instruments in accordance with ASC Topic 815, </w:t>
      </w:r>
      <w:r>
        <w:rPr>
          <w:rFonts w:ascii="Times New Roman" w:cs="Times New Roman" w:eastAsia="Times New Roman" w:hAnsi="Times New Roman"/>
          <w:sz w:val="19"/>
          <w:szCs w:val="19"/>
          <w:b w:val="1"/>
          <w:bCs w:val="1"/>
          <w:i w:val="1"/>
          <w:iCs w:val="1"/>
          <w:color w:val="auto"/>
        </w:rPr>
        <w:t>Derivatives and Hedging</w:t>
      </w:r>
      <w:r>
        <w:rPr>
          <w:rFonts w:ascii="Times New Roman" w:cs="Times New Roman" w:eastAsia="Times New Roman" w:hAnsi="Times New Roman"/>
          <w:sz w:val="19"/>
          <w:szCs w:val="19"/>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372"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Interest rate swap agreements</w:t>
      </w:r>
    </w:p>
    <w:p>
      <w:pPr>
        <w:spacing w:after="0" w:line="191"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9"/>
          <w:szCs w:val="19"/>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Interest rate swaptions</w:t>
      </w:r>
    </w:p>
    <w:p>
      <w:pPr>
        <w:spacing w:after="0" w:line="191"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w:t>
      </w:r>
    </w:p>
    <w:p>
      <w:pPr>
        <w:sectPr>
          <w:pgSz w:w="11880" w:h="15480" w:orient="portrait"/>
          <w:cols w:equalWidth="0" w:num="1">
            <w:col w:w="9960"/>
          </w:cols>
          <w:pgMar w:left="960" w:top="70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880" w:h="15480" w:orient="portrait"/>
          <w:cols w:equalWidth="0" w:num="1">
            <w:col w:w="9960"/>
          </w:cols>
          <w:pgMar w:left="960" w:top="709" w:right="960" w:bottom="0" w:gutter="0" w:footer="0" w:header="0"/>
          <w:type w:val="continuous"/>
        </w:sectPr>
      </w:pPr>
    </w:p>
    <w:bookmarkStart w:id="69" w:name="page70"/>
    <w:bookmarkEnd w:id="69"/>
    <w:p>
      <w:pPr>
        <w:jc w:val="both"/>
        <w:spacing w:after="0" w:line="293" w:lineRule="auto"/>
        <w:rPr>
          <w:sz w:val="20"/>
          <w:szCs w:val="20"/>
          <w:color w:val="auto"/>
        </w:rPr>
      </w:pPr>
      <w:r>
        <w:rPr>
          <w:rFonts w:ascii="Times New Roman" w:cs="Times New Roman" w:eastAsia="Times New Roman" w:hAnsi="Times New Roman"/>
          <w:sz w:val="19"/>
          <w:szCs w:val="19"/>
          <w:color w:val="auto"/>
        </w:rPr>
        <w:t>paid. If we sell or exercise a swaption, the realized gain or loss on the swaption would be equal to the difference between the cash or the fair value of the underlying interest rate swap and the premium paid.</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TBA securities</w:t>
      </w:r>
    </w:p>
    <w:p>
      <w:pPr>
        <w:spacing w:after="0" w:line="191" w:lineRule="exact"/>
        <w:rPr>
          <w:sz w:val="20"/>
          <w:szCs w:val="20"/>
          <w:color w:val="auto"/>
        </w:rPr>
      </w:pPr>
    </w:p>
    <w:p>
      <w:pPr>
        <w:jc w:val="both"/>
        <w:ind w:firstLine="480"/>
        <w:spacing w:after="0" w:line="260" w:lineRule="auto"/>
        <w:rPr>
          <w:sz w:val="20"/>
          <w:szCs w:val="20"/>
          <w:color w:val="auto"/>
        </w:rPr>
      </w:pPr>
      <w:r>
        <w:rPr>
          <w:rFonts w:ascii="Times New Roman" w:cs="Times New Roman" w:eastAsia="Times New Roman" w:hAnsi="Times New Roman"/>
          <w:sz w:val="19"/>
          <w:szCs w:val="19"/>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372"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U.S. Treasury securities and US Treasury futures contracts</w:t>
      </w:r>
    </w:p>
    <w:p>
      <w:pPr>
        <w:spacing w:after="0" w:line="191"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9"/>
          <w:szCs w:val="19"/>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196"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three levels of valuation hierarchy are defined as follows:</w:t>
      </w:r>
    </w:p>
    <w:p>
      <w:pPr>
        <w:spacing w:after="0" w:line="189" w:lineRule="exact"/>
        <w:rPr>
          <w:sz w:val="20"/>
          <w:szCs w:val="20"/>
          <w:color w:val="auto"/>
        </w:rPr>
      </w:pPr>
    </w:p>
    <w:p>
      <w:pPr>
        <w:ind w:left="700" w:hanging="347"/>
        <w:spacing w:after="0" w:line="293" w:lineRule="auto"/>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1 Inputs —Quoted prices (unadjusted) for identical unrestricted assets and liabilities in active markets that are accessible at the measurement date.</w:t>
      </w:r>
    </w:p>
    <w:p>
      <w:pPr>
        <w:spacing w:after="0" w:line="106" w:lineRule="exact"/>
        <w:rPr>
          <w:rFonts w:ascii="Times New Roman" w:cs="Times New Roman" w:eastAsia="Times New Roman" w:hAnsi="Times New Roman"/>
          <w:sz w:val="19"/>
          <w:szCs w:val="19"/>
          <w:color w:val="auto"/>
        </w:rPr>
      </w:pPr>
    </w:p>
    <w:p>
      <w:pPr>
        <w:jc w:val="both"/>
        <w:ind w:left="700" w:hanging="347"/>
        <w:spacing w:after="0" w:line="274" w:lineRule="auto"/>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24" w:lineRule="exact"/>
        <w:rPr>
          <w:rFonts w:ascii="Times New Roman" w:cs="Times New Roman" w:eastAsia="Times New Roman" w:hAnsi="Times New Roman"/>
          <w:sz w:val="19"/>
          <w:szCs w:val="19"/>
          <w:color w:val="auto"/>
        </w:rPr>
      </w:pPr>
    </w:p>
    <w:p>
      <w:pPr>
        <w:ind w:left="700" w:hanging="347"/>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3 Inputs —Instruments with primarily unobservable market data that cannot be corroborated.</w:t>
      </w:r>
    </w:p>
    <w:p>
      <w:pPr>
        <w:spacing w:after="0" w:line="189"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9"/>
          <w:szCs w:val="19"/>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ectPr>
          <w:pgSz w:w="11880" w:h="15480" w:orient="portrait"/>
          <w:cols w:equalWidth="0" w:num="1">
            <w:col w:w="9960"/>
          </w:cols>
          <w:pgMar w:left="960" w:top="711" w:right="960" w:bottom="0"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1880" w:h="15480" w:orient="portrait"/>
          <w:cols w:equalWidth="0" w:num="1">
            <w:col w:w="9960"/>
          </w:cols>
          <w:pgMar w:left="960" w:top="711" w:right="960" w:bottom="0" w:gutter="0" w:footer="0" w:header="0"/>
          <w:type w:val="continuous"/>
        </w:sectPr>
      </w:pPr>
    </w:p>
    <w:bookmarkStart w:id="70" w:name="page71"/>
    <w:bookmarkEnd w:id="70"/>
    <w:p>
      <w:pPr>
        <w:jc w:val="both"/>
        <w:spacing w:after="0" w:line="293" w:lineRule="auto"/>
        <w:rPr>
          <w:sz w:val="20"/>
          <w:szCs w:val="20"/>
          <w:color w:val="auto"/>
        </w:rPr>
      </w:pPr>
      <w:r>
        <w:rPr>
          <w:rFonts w:ascii="Times New Roman" w:cs="Times New Roman" w:eastAsia="Times New Roman" w:hAnsi="Times New Roman"/>
          <w:sz w:val="19"/>
          <w:szCs w:val="19"/>
          <w:color w:val="auto"/>
        </w:rPr>
        <w:t>would indicate and we cannot obtain an understanding from the third-party source as to the significant inputs used to determine the price.</w:t>
      </w:r>
    </w:p>
    <w:p>
      <w:pPr>
        <w:spacing w:after="0" w:line="10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31" w:lineRule="exact"/>
        <w:rPr>
          <w:sz w:val="20"/>
          <w:szCs w:val="20"/>
          <w:color w:val="auto"/>
        </w:rPr>
      </w:pPr>
    </w:p>
    <w:p>
      <w:pPr>
        <w:jc w:val="both"/>
        <w:ind w:firstLine="48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Investment securities </w:t>
      </w:r>
      <w:r>
        <w:rPr>
          <w:rFonts w:ascii="Times New Roman" w:cs="Times New Roman" w:eastAsia="Times New Roman" w:hAnsi="Times New Roman"/>
          <w:sz w:val="19"/>
          <w:szCs w:val="19"/>
          <w:color w:val="auto"/>
        </w:rPr>
        <w:t>- are valued based on prices obtained from multiple third-party pricing sources. The pricing sources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utilize various valuation 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36"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19"/>
          <w:szCs w:val="19"/>
          <w:b w:val="1"/>
          <w:bCs w:val="1"/>
          <w:i w:val="1"/>
          <w:iCs w:val="1"/>
          <w:color w:val="auto"/>
        </w:rPr>
        <w:t xml:space="preserve">TBA securities </w:t>
      </w:r>
      <w:r>
        <w:rPr>
          <w:rFonts w:ascii="Times New Roman" w:cs="Times New Roman" w:eastAsia="Times New Roman" w:hAnsi="Times New Roman"/>
          <w:sz w:val="19"/>
          <w:szCs w:val="19"/>
          <w:color w:val="auto"/>
        </w:rPr>
        <w:t>- are valued using prices obtained from third-party pricing sources based on pricing models that reference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recent trading activity.</w:t>
      </w:r>
    </w:p>
    <w:p>
      <w:pPr>
        <w:spacing w:after="0" w:line="103"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Interest rate swaps </w:t>
      </w:r>
      <w:r>
        <w:rPr>
          <w:rFonts w:ascii="Times New Roman" w:cs="Times New Roman" w:eastAsia="Times New Roman" w:hAnsi="Times New Roman"/>
          <w:sz w:val="19"/>
          <w:szCs w:val="19"/>
          <w:color w:val="auto"/>
        </w:rPr>
        <w:t>- are valued using the daily settlement price, or fair value, determined by the clearing exchange based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on a pricing model that references observable market inputs, including current benchmark rates and the forward yield curve.</w:t>
      </w:r>
    </w:p>
    <w:p>
      <w:pPr>
        <w:spacing w:after="0" w:line="103" w:lineRule="exact"/>
        <w:rPr>
          <w:sz w:val="20"/>
          <w:szCs w:val="20"/>
          <w:color w:val="auto"/>
        </w:rPr>
      </w:pPr>
    </w:p>
    <w:p>
      <w:pPr>
        <w:jc w:val="both"/>
        <w:ind w:firstLine="48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Interest rate swaptions </w:t>
      </w:r>
      <w:r>
        <w:rPr>
          <w:rFonts w:ascii="Times New Roman" w:cs="Times New Roman" w:eastAsia="Times New Roman" w:hAnsi="Times New Roman"/>
          <w:sz w:val="19"/>
          <w:szCs w:val="19"/>
          <w:color w:val="auto"/>
        </w:rPr>
        <w:t>- are valued using prices obtained from the counterparty and other third-party pricing models.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pricing models are based on the value of the future interest rate swap that we have the option to enter into as well as the remaining length of time that we have to exercise the option based on observable market inputs, adjusted for non-performance risk, if any.</w:t>
      </w:r>
    </w:p>
    <w:p>
      <w:pPr>
        <w:spacing w:after="0" w:line="365" w:lineRule="exact"/>
        <w:rPr>
          <w:sz w:val="20"/>
          <w:szCs w:val="20"/>
          <w:color w:val="auto"/>
        </w:rPr>
      </w:pPr>
    </w:p>
    <w:p>
      <w:pPr>
        <w:jc w:val="both"/>
        <w:ind w:firstLine="480"/>
        <w:spacing w:after="0" w:line="293" w:lineRule="auto"/>
        <w:rPr>
          <w:sz w:val="20"/>
          <w:szCs w:val="20"/>
          <w:color w:val="auto"/>
        </w:rPr>
      </w:pPr>
      <w:r>
        <w:rPr>
          <w:rFonts w:ascii="Times New Roman" w:cs="Times New Roman" w:eastAsia="Times New Roman" w:hAnsi="Times New Roman"/>
          <w:sz w:val="19"/>
          <w:szCs w:val="19"/>
          <w:color w:val="auto"/>
        </w:rPr>
        <w:t>U.S. Treasury securities and futures are valued based on quoted prices for identical instruments in active markets and are classified as Level 1 assets. None of our financial instruments are classified as Level 3 inputs.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Consolidated Variable Interest Entities</w:t>
      </w:r>
    </w:p>
    <w:p>
      <w:pPr>
        <w:spacing w:after="0" w:line="194"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9"/>
          <w:szCs w:val="19"/>
          <w:color w:val="auto"/>
        </w:rPr>
        <w:t xml:space="preserve">ASC Topic 810, </w:t>
      </w:r>
      <w:r>
        <w:rPr>
          <w:rFonts w:ascii="Times New Roman" w:cs="Times New Roman" w:eastAsia="Times New Roman" w:hAnsi="Times New Roman"/>
          <w:sz w:val="19"/>
          <w:szCs w:val="19"/>
          <w:b w:val="1"/>
          <w:bCs w:val="1"/>
          <w:i w:val="1"/>
          <w:iCs w:val="1"/>
          <w:color w:val="auto"/>
        </w:rPr>
        <w:t>Consolidation</w:t>
      </w:r>
      <w:r>
        <w:rPr>
          <w:rFonts w:ascii="Times New Roman" w:cs="Times New Roman" w:eastAsia="Times New Roman" w:hAnsi="Times New Roman"/>
          <w:sz w:val="19"/>
          <w:szCs w:val="19"/>
          <w:color w:val="auto"/>
        </w:rPr>
        <w:t xml:space="preserve"> ("ASC 810"), requires an enterprise to consolidate a variable interest entity ("VIE") if it is deemed the primary beneficiary of the VIE. As of December 31, 2024 and 2023, our consolidated financial statements reflect the consolidation of certain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Cash and cash equivalents include cash held in bank accounts and cash held in money market funds on an overnight basis.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Restricted Cash</w:t>
      </w:r>
    </w:p>
    <w:p>
      <w:pPr>
        <w:spacing w:after="0" w:line="196"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Restricted cash includes cash pledged as collateral for clearing and executing trades, repurchase agreements, and interest rate swaps and other derivative instruments.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Goodwill</w:t>
      </w:r>
    </w:p>
    <w:p>
      <w:pPr>
        <w:spacing w:after="0" w:line="196"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Goodwill is the cost of an acquisition in excess of the fair value of identified assets acquired and liabilities assumed and is recognized as an asset on our consolidated balance sheets. As of December 31, 2024 and 2023, we had $526 million of goodwill related to our acquisition of AGNC Management, LLC, our former manager, on July 1, 2016. Goodwill is not subject to amortization but must be tested for impairment at least annually and at interim periods when events or circumstances may make it more likely than not that an impairment has occurred. If a qualitative analysis indicates that there may be an impairment, a quantitative analysis is performed. The quantitative analysis requires that we compare the carrying value of the</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880" w:h="15480" w:orient="portrait"/>
          <w:cols w:equalWidth="0" w:num="1">
            <w:col w:w="9960"/>
          </w:cols>
          <w:pgMar w:left="960" w:top="711" w:right="960" w:bottom="0" w:gutter="0" w:footer="0" w:header="0"/>
          <w:type w:val="continuous"/>
        </w:sectPr>
      </w:pPr>
    </w:p>
    <w:bookmarkStart w:id="71" w:name="page72"/>
    <w:bookmarkEnd w:id="71"/>
    <w:p>
      <w:pPr>
        <w:jc w:val="both"/>
        <w:spacing w:after="0" w:line="274" w:lineRule="auto"/>
        <w:rPr>
          <w:sz w:val="20"/>
          <w:szCs w:val="20"/>
          <w:color w:val="auto"/>
        </w:rPr>
      </w:pPr>
      <w:r>
        <w:rPr>
          <w:rFonts w:ascii="Times New Roman" w:cs="Times New Roman" w:eastAsia="Times New Roman" w:hAnsi="Times New Roman"/>
          <w:sz w:val="19"/>
          <w:szCs w:val="19"/>
          <w:color w:val="auto"/>
        </w:rPr>
        <w:t>identified reporting unit comprising the goodwill to the reporting unit's fair value. If the reporting unit's carrying value is greater than its fair value, an impairment charge is recognized to the extent the carrying amount of the reporting unit exceeds its fair value. During the three fiscal years ended December 31, 2024, we did not recognize a goodwill impairment charge.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96"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9"/>
          <w:szCs w:val="19"/>
          <w:color w:val="auto"/>
        </w:rPr>
        <w:t>Under our Amended and Restated AGNC Investment Corp. 2016 Equity and Incentive Compensation Plan (the "2016 Equity Plan" or "the Plan"), we may grant equity-based compensation to our officers and other employees and non-employee directors for the purpose of providing incentives and rewards for service or performance. Stock-based awards issued under the Plan include time-based and performance-based restricted stock unit awards ("RSU" and "PSU" awards, respectively), but may include other forms of equity-based compensation.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w:t>
      </w:r>
    </w:p>
    <w:p>
      <w:pPr>
        <w:spacing w:after="0" w:line="136"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9"/>
          <w:szCs w:val="19"/>
          <w:color w:val="auto"/>
        </w:rPr>
        <w:t>We measure and recognize compensation expense for all stock-based payment awards made to employees and non-employee directors based on their fair values. We value RSU and PSU awards based on the fair value of our common stock on the date of grant. Compensation expense is recognized over each award’s respective service period. For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373"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Shares underlying RSU and PSU awards are issued when the awards vest, or later if distribution of such shares has been deferred beyond the vest date. Shares issued are net of shares withheld to cover minimum statutory tax withholding obligations. The fair value of shares withheld for tax withholdings is recorded as a reduction to additional paid-in capital.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196"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3. Investment Securities</w:t>
      </w:r>
    </w:p>
    <w:p>
      <w:pPr>
        <w:spacing w:after="0" w:line="196"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9"/>
          <w:szCs w:val="19"/>
          <w:color w:val="auto"/>
        </w:rPr>
        <w:t>As of December 31, 2024 and 2023, our investment portfolio consisted of $66.3 billion and $54.8 billion investment securities, at fair value, respectively, $6.9 billion and $5.4 billion net TBA securities, at fair value, respectively, and other mortgage credit investments of $64 million and $44 million, respectively, which we account for under the equity method of accounting. Our TBA position is reported at its net carrying value totaling $(26) million and $66 million as of December 31, 2024 and 2023,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135"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As of December 31, 2024 and 2023, our investment securities had a net unamortized premium balance of $1.0 billion and $1.2 billion, respectively.</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880" w:h="15480" w:orient="portrait"/>
          <w:cols w:equalWidth="0" w:num="1">
            <w:col w:w="9960"/>
          </w:cols>
          <w:pgMar w:left="960" w:top="711" w:right="960" w:bottom="0" w:gutter="0" w:footer="0" w:header="0"/>
          <w:type w:val="continuous"/>
        </w:sectPr>
      </w:pPr>
    </w:p>
    <w:bookmarkStart w:id="72" w:name="page73"/>
    <w:bookmarkEnd w:id="72"/>
    <w:p>
      <w:pPr>
        <w:ind w:firstLine="436"/>
        <w:spacing w:after="0" w:line="293" w:lineRule="auto"/>
        <w:rPr>
          <w:sz w:val="20"/>
          <w:szCs w:val="20"/>
          <w:color w:val="auto"/>
        </w:rPr>
      </w:pPr>
      <w:r>
        <w:rPr>
          <w:rFonts w:ascii="Times New Roman" w:cs="Times New Roman" w:eastAsia="Times New Roman" w:hAnsi="Times New Roman"/>
          <w:sz w:val="19"/>
          <w:szCs w:val="19"/>
          <w:color w:val="auto"/>
        </w:rPr>
        <w:t>The following tables summarize our investment securities as of December 31, 2024 and 2023, excluding TBA securities and other mortgage credit investments (dollars in millions). Details of our TBA securities are included in Note 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7"/>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w w:val="95"/>
              </w:rPr>
              <w:t>December 31,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5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Investment Securities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Amortized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Agency RMBS:</w:t>
            </w: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1"/>
                <w:szCs w:val="11"/>
                <w:color w:val="auto"/>
                <w:w w:val="71"/>
              </w:rPr>
              <w:t>Fixed rate</w:t>
            </w:r>
            <w:r>
              <w:rPr>
                <w:rFonts w:ascii="Times New Roman" w:cs="Times New Roman" w:eastAsia="Times New Roman" w:hAnsi="Times New Roman"/>
                <w:sz w:val="11"/>
                <w:szCs w:val="11"/>
                <w:color w:val="B4B4B4"/>
                <w:w w:val="71"/>
              </w:rPr>
              <w: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3"/>
          </w:tcPr>
          <w:p>
            <w:pPr>
              <w:jc w:val="right"/>
              <w:ind w:right="17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67,139</w:t>
            </w:r>
          </w:p>
        </w:tc>
        <w:tc>
          <w:tcPr>
            <w:tcW w:w="4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64,049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55,289</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53,161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1"/>
                <w:szCs w:val="11"/>
                <w:color w:val="auto"/>
                <w:w w:val="71"/>
              </w:rPr>
              <w:t xml:space="preserve">Adjustable rate </w:t>
            </w:r>
            <w:r>
              <w:rPr>
                <w:rFonts w:ascii="Times New Roman" w:cs="Times New Roman" w:eastAsia="Times New Roman" w:hAnsi="Times New Roman"/>
                <w:sz w:val="11"/>
                <w:szCs w:val="11"/>
                <w:color w:val="B4B4B4"/>
                <w:w w:val="71"/>
              </w:rPr>
              <w: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1"/>
                <w:szCs w:val="11"/>
                <w:color w:val="auto"/>
                <w:w w:val="71"/>
              </w:rPr>
              <w:t>CMO</w:t>
            </w:r>
            <w:r>
              <w:rPr>
                <w:rFonts w:ascii="Times New Roman" w:cs="Times New Roman" w:eastAsia="Times New Roman" w:hAnsi="Times New Roman"/>
                <w:sz w:val="11"/>
                <w:szCs w:val="11"/>
                <w:color w:val="B4B4B4"/>
                <w:w w:val="71"/>
              </w:rPr>
              <w: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26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w w:val="73"/>
              </w:rPr>
              <w:t xml:space="preserve">Interest-only and principal-only strips </w:t>
            </w:r>
            <w:r>
              <w:rPr>
                <w:rFonts w:ascii="Times New Roman" w:cs="Times New Roman" w:eastAsia="Times New Roman" w:hAnsi="Times New Roman"/>
                <w:sz w:val="14"/>
                <w:szCs w:val="14"/>
                <w:color w:val="B4B4B4"/>
                <w:w w:val="73"/>
              </w:rPr>
              <w: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87"/>
              </w:rPr>
              <w:t>67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1"/>
                <w:szCs w:val="11"/>
                <w:color w:val="auto"/>
                <w:w w:val="71"/>
              </w:rPr>
              <w:t xml:space="preserve">Multifamily </w:t>
            </w:r>
            <w:r>
              <w:rPr>
                <w:rFonts w:ascii="Times New Roman" w:cs="Times New Roman" w:eastAsia="Times New Roman" w:hAnsi="Times New Roman"/>
                <w:sz w:val="11"/>
                <w:szCs w:val="11"/>
                <w:color w:val="B4B4B4"/>
                <w:w w:val="71"/>
              </w:rPr>
              <w: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w w:val="73"/>
              </w:rPr>
              <w:t xml:space="preserve">Total Agency RMBS </w:t>
            </w:r>
            <w:r>
              <w:rPr>
                <w:rFonts w:ascii="Times New Roman" w:cs="Times New Roman" w:eastAsia="Times New Roman" w:hAnsi="Times New Roman"/>
                <w:sz w:val="11"/>
                <w:szCs w:val="11"/>
                <w:color w:val="B4B4B4"/>
                <w:w w:val="73"/>
              </w:rPr>
              <w:t>.......................................................................................</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65,464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55,937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53,794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40" w:type="dxa"/>
            <w:vAlign w:val="bottom"/>
          </w:tcPr>
          <w:p>
            <w:pPr>
              <w:spacing w:after="0"/>
              <w:rPr>
                <w:sz w:val="24"/>
                <w:szCs w:val="24"/>
                <w:color w:val="auto"/>
              </w:rPr>
            </w:pP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w w:val="73"/>
              </w:rPr>
              <w:t xml:space="preserve">Non-Agency RMBS </w:t>
            </w:r>
            <w:r>
              <w:rPr>
                <w:rFonts w:ascii="Times New Roman" w:cs="Times New Roman" w:eastAsia="Times New Roman" w:hAnsi="Times New Roman"/>
                <w:sz w:val="14"/>
                <w:szCs w:val="14"/>
                <w:color w:val="auto"/>
                <w:w w:val="73"/>
                <w:vertAlign w:val="superscript"/>
              </w:rPr>
              <w:t>1</w:t>
            </w:r>
            <w:r>
              <w:rPr>
                <w:rFonts w:ascii="Times New Roman" w:cs="Times New Roman" w:eastAsia="Times New Roman" w:hAnsi="Times New Roman"/>
                <w:sz w:val="11"/>
                <w:szCs w:val="11"/>
                <w:color w:val="auto"/>
                <w:w w:val="73"/>
              </w:rPr>
              <w:t xml:space="preserve"> </w:t>
            </w:r>
            <w:r>
              <w:rPr>
                <w:rFonts w:ascii="Times New Roman" w:cs="Times New Roman" w:eastAsia="Times New Roman" w:hAnsi="Times New Roman"/>
                <w:sz w:val="11"/>
                <w:szCs w:val="11"/>
                <w:color w:val="B4B4B4"/>
                <w:w w:val="73"/>
              </w:rPr>
              <w: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87"/>
              </w:rPr>
              <w:t>43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w w:val="73"/>
              </w:rPr>
              <w:t xml:space="preserve">CMBS </w:t>
            </w:r>
            <w:r>
              <w:rPr>
                <w:rFonts w:ascii="Times New Roman" w:cs="Times New Roman" w:eastAsia="Times New Roman" w:hAnsi="Times New Roman"/>
                <w:sz w:val="11"/>
                <w:szCs w:val="11"/>
                <w:color w:val="B4B4B4"/>
                <w:w w:val="73"/>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w w:val="73"/>
              </w:rPr>
              <w:t xml:space="preserve">CRT securities </w:t>
            </w:r>
            <w:r>
              <w:rPr>
                <w:rFonts w:ascii="Times New Roman" w:cs="Times New Roman" w:eastAsia="Times New Roman" w:hAnsi="Times New Roman"/>
                <w:sz w:val="11"/>
                <w:szCs w:val="11"/>
                <w:color w:val="B4B4B4"/>
                <w:w w:val="73"/>
              </w:rPr>
              <w: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w w:val="73"/>
              </w:rPr>
              <w:t xml:space="preserve">Total investment securities </w:t>
            </w:r>
            <w:r>
              <w:rPr>
                <w:rFonts w:ascii="Times New Roman" w:cs="Times New Roman" w:eastAsia="Times New Roman" w:hAnsi="Times New Roman"/>
                <w:sz w:val="11"/>
                <w:szCs w:val="11"/>
                <w:color w:val="B4B4B4"/>
                <w:w w:val="73"/>
              </w:rPr>
              <w:t>..............................................................................</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69,446</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66,348</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56,965</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54,824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9"/>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191"/>
              <w:spacing w:after="0" w:line="228" w:lineRule="exact"/>
              <w:rPr>
                <w:sz w:val="20"/>
                <w:szCs w:val="20"/>
                <w:color w:val="auto"/>
              </w:rPr>
            </w:pPr>
            <w:r>
              <w:rPr>
                <w:rFonts w:ascii="Times New Roman" w:cs="Times New Roman" w:eastAsia="Times New Roman" w:hAnsi="Times New Roman"/>
                <w:sz w:val="16"/>
                <w:szCs w:val="16"/>
                <w:b w:val="1"/>
                <w:bCs w:val="1"/>
                <w:color w:val="auto"/>
              </w:rPr>
              <w:t xml:space="preserve">Non-Agency </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6"/>
          </w:tcPr>
          <w:p>
            <w:pPr>
              <w:jc w:val="right"/>
              <w:ind w:right="188"/>
              <w:spacing w:after="0" w:line="228" w:lineRule="exact"/>
              <w:rPr>
                <w:sz w:val="20"/>
                <w:szCs w:val="20"/>
                <w:color w:val="auto"/>
              </w:rPr>
            </w:pPr>
            <w:r>
              <w:rPr>
                <w:rFonts w:ascii="Times New Roman" w:cs="Times New Roman" w:eastAsia="Times New Roman" w:hAnsi="Times New Roman"/>
                <w:sz w:val="16"/>
                <w:szCs w:val="16"/>
                <w:b w:val="1"/>
                <w:bCs w:val="1"/>
                <w:color w:val="auto"/>
                <w:w w:val="96"/>
              </w:rPr>
              <w:t xml:space="preserve">Non-Agency </w:t>
            </w:r>
            <w:r>
              <w:rPr>
                <w:rFonts w:ascii="Times New Roman" w:cs="Times New Roman" w:eastAsia="Times New Roman" w:hAnsi="Times New Roman"/>
                <w:sz w:val="20"/>
                <w:szCs w:val="20"/>
                <w:b w:val="1"/>
                <w:bCs w:val="1"/>
                <w:color w:val="auto"/>
                <w:w w:val="96"/>
                <w:vertAlign w:val="superscript"/>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Securities</w:t>
            </w:r>
          </w:p>
        </w:tc>
        <w:tc>
          <w:tcPr>
            <w:tcW w:w="120" w:type="dxa"/>
            <w:vAlign w:val="bottom"/>
            <w:vMerge w:val="restart"/>
          </w:tcPr>
          <w:p>
            <w:pPr>
              <w:spacing w:after="0"/>
              <w:rPr>
                <w:sz w:val="15"/>
                <w:szCs w:val="15"/>
                <w:color w:val="auto"/>
              </w:rPr>
            </w:pPr>
          </w:p>
        </w:tc>
        <w:tc>
          <w:tcPr>
            <w:tcW w:w="740" w:type="dxa"/>
            <w:vAlign w:val="bottom"/>
            <w:gridSpan w:val="3"/>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Agency</w:t>
            </w:r>
          </w:p>
        </w:tc>
        <w:tc>
          <w:tcPr>
            <w:tcW w:w="120" w:type="dxa"/>
            <w:vAlign w:val="bottom"/>
          </w:tcPr>
          <w:p>
            <w:pPr>
              <w:spacing w:after="0"/>
              <w:rPr>
                <w:sz w:val="15"/>
                <w:szCs w:val="15"/>
                <w:color w:val="auto"/>
              </w:rPr>
            </w:pPr>
          </w:p>
        </w:tc>
        <w:tc>
          <w:tcPr>
            <w:tcW w:w="560" w:type="dxa"/>
            <w:vAlign w:val="bottom"/>
            <w:vMerge w:val="restart"/>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0"/>
              </w:rPr>
              <w:t>RMBS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0"/>
              </w:rPr>
              <w:t>CMBS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CRT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Agency</w:t>
            </w:r>
          </w:p>
        </w:tc>
        <w:tc>
          <w:tcPr>
            <w:tcW w:w="60" w:type="dxa"/>
            <w:vAlign w:val="bottom"/>
          </w:tcPr>
          <w:p>
            <w:pPr>
              <w:spacing w:after="0"/>
              <w:rPr>
                <w:sz w:val="15"/>
                <w:szCs w:val="15"/>
                <w:color w:val="auto"/>
              </w:rPr>
            </w:pPr>
          </w:p>
        </w:tc>
        <w:tc>
          <w:tcPr>
            <w:tcW w:w="680" w:type="dxa"/>
            <w:vAlign w:val="bottom"/>
            <w:gridSpan w:val="4"/>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RMBS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CMBS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w w:val="94"/>
              </w:rPr>
              <w:t>CRT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8"/>
        </w:trPr>
        <w:tc>
          <w:tcPr>
            <w:tcW w:w="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0"/>
              </w:rPr>
              <w:t>RMBS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RMBS</w:t>
            </w:r>
          </w:p>
        </w:tc>
        <w:tc>
          <w:tcPr>
            <w:tcW w:w="60" w:type="dxa"/>
            <w:vAlign w:val="bottom"/>
          </w:tcPr>
          <w:p>
            <w:pPr>
              <w:spacing w:after="0"/>
              <w:rPr>
                <w:sz w:val="18"/>
                <w:szCs w:val="18"/>
                <w:color w:val="auto"/>
              </w:rPr>
            </w:pPr>
          </w:p>
        </w:tc>
        <w:tc>
          <w:tcPr>
            <w:tcW w:w="680" w:type="dxa"/>
            <w:vAlign w:val="bottom"/>
            <w:tcBorders>
              <w:bottom w:val="single" w:sz="8" w:color="auto"/>
            </w:tcBorders>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Par value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Unamortized discount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Unamortized premium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Amortized cost </w:t>
            </w:r>
            <w:r>
              <w:rPr>
                <w:rFonts w:ascii="Times New Roman" w:cs="Times New Roman" w:eastAsia="Times New Roman" w:hAnsi="Times New Roman"/>
                <w:sz w:val="14"/>
                <w:szCs w:val="14"/>
                <w:color w:val="B4B4B4"/>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Gross unrealized gains </w:t>
            </w:r>
            <w:r>
              <w:rPr>
                <w:rFonts w:ascii="Times New Roman" w:cs="Times New Roman" w:eastAsia="Times New Roman" w:hAnsi="Times New Roman"/>
                <w:sz w:val="14"/>
                <w:szCs w:val="14"/>
                <w:color w:val="B4B4B4"/>
              </w:rPr>
              <w:t>.......................</w:t>
            </w:r>
          </w:p>
        </w:tc>
        <w:tc>
          <w:tcPr>
            <w:tcW w:w="1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Gross unrealized losses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available-for-sale securities, at fair</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remeasured at fair value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through earnings: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Par value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63,119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Unamortized discount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Unamortized premium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Amortized cost </w:t>
            </w:r>
            <w:r>
              <w:rPr>
                <w:rFonts w:ascii="Times New Roman" w:cs="Times New Roman" w:eastAsia="Times New Roman" w:hAnsi="Times New Roman"/>
                <w:sz w:val="14"/>
                <w:szCs w:val="14"/>
                <w:color w:val="B4B4B4"/>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50,604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Gross unrealized gains </w:t>
            </w:r>
            <w:r>
              <w:rPr>
                <w:rFonts w:ascii="Times New Roman" w:cs="Times New Roman" w:eastAsia="Times New Roman" w:hAnsi="Times New Roman"/>
                <w:sz w:val="14"/>
                <w:szCs w:val="14"/>
                <w:color w:val="B4B4B4"/>
              </w:rPr>
              <w:t>.......................</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Gross unrealized losses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(1,949)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securities remeasured at fair value</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61,344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62,228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48,978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through earnings</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Total securities, at fair value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65,464</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53,794</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0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-3698875</wp:posOffset>
            </wp:positionV>
            <wp:extent cx="3176270" cy="501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1">
                      <a:extLst>
                        <a:ext uri="{28A0092B-C50C-407E-A947-70E740481C1C}"/>
                      </a:extLst>
                    </a:blip>
                    <a:srcRect/>
                    <a:stretch>
                      <a:fillRect/>
                    </a:stretch>
                  </pic:blipFill>
                  <pic:spPr bwMode="auto">
                    <a:xfrm>
                      <a:off x="0" y="0"/>
                      <a:ext cx="3176270" cy="5016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-43180</wp:posOffset>
            </wp:positionV>
            <wp:extent cx="4801870" cy="50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2">
                      <a:extLst>
                        <a:ext uri="{28A0092B-C50C-407E-A947-70E740481C1C}"/>
                      </a:extLst>
                    </a:blip>
                    <a:srcRect/>
                    <a:stretch>
                      <a:fillRect/>
                    </a:stretch>
                  </pic:blipFill>
                  <pic:spPr bwMode="auto">
                    <a:xfrm>
                      <a:off x="0" y="0"/>
                      <a:ext cx="4801870" cy="5016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Non-Agency amounts exclude other mortgage credit investments of $64 million and $44 million as of December 31, 2024 and 2023, respectively.</w:t>
      </w:r>
    </w:p>
    <w:p>
      <w:pPr>
        <w:spacing w:after="0" w:line="23" w:lineRule="exact"/>
        <w:rPr>
          <w:rFonts w:ascii="Times New Roman" w:cs="Times New Roman" w:eastAsia="Times New Roman" w:hAnsi="Times New Roman"/>
          <w:sz w:val="14"/>
          <w:szCs w:val="14"/>
          <w:color w:val="auto"/>
        </w:rPr>
      </w:pPr>
    </w:p>
    <w:p>
      <w:pPr>
        <w:ind w:left="700" w:hanging="347"/>
        <w:spacing w:after="0" w:line="245" w:lineRule="auto"/>
        <w:tabs>
          <w:tab w:leader="none" w:pos="7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 value excludes interest-only securities. As of December 31, 2024 and 2023, Agency RMBS interest-only securities had a par value of $307 million and $336 million, respectively, and non-Agency interest-only securities had a par value of $93 million and $98 million, respectively.</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880" w:h="15480" w:orient="portrait"/>
          <w:cols w:equalWidth="0" w:num="1">
            <w:col w:w="9960"/>
          </w:cols>
          <w:pgMar w:left="960" w:top="711" w:right="960" w:bottom="0" w:gutter="0" w:footer="0" w:header="0"/>
          <w:type w:val="continuous"/>
        </w:sectPr>
      </w:pPr>
    </w:p>
    <w:bookmarkStart w:id="73" w:name="page74"/>
    <w:bookmarkEnd w:id="73"/>
    <w:p>
      <w:pPr>
        <w:ind w:firstLine="480"/>
        <w:spacing w:after="0" w:line="293" w:lineRule="auto"/>
        <w:rPr>
          <w:sz w:val="20"/>
          <w:szCs w:val="20"/>
          <w:color w:val="auto"/>
        </w:rPr>
      </w:pPr>
      <w:r>
        <w:rPr>
          <w:rFonts w:ascii="Times New Roman" w:cs="Times New Roman" w:eastAsia="Times New Roman" w:hAnsi="Times New Roman"/>
          <w:sz w:val="19"/>
          <w:szCs w:val="19"/>
          <w:color w:val="auto"/>
        </w:rPr>
        <w:t>The following table presents the Company's Agency RMBS portfolio by issuing GSE or U.S. Government agency at fair value as of December 31, 2024 and 2023 (in millions):</w:t>
      </w:r>
    </w:p>
    <w:p>
      <w:pPr>
        <w:spacing w:after="0" w:line="194" w:lineRule="exact"/>
        <w:rPr>
          <w:sz w:val="20"/>
          <w:szCs w:val="20"/>
          <w:color w:val="auto"/>
        </w:rPr>
      </w:pPr>
    </w:p>
    <w:tbl>
      <w:tblPr>
        <w:tblLayout w:type="fixed"/>
        <w:tblInd w:w="2620" w:type="dxa"/>
        <w:tblCellMar>
          <w:top w:w="0" w:type="dxa"/>
          <w:left w:w="0" w:type="dxa"/>
          <w:bottom w:w="0" w:type="dxa"/>
          <w:right w:w="0" w:type="dxa"/>
        </w:tblCellMar>
      </w:tblPr>
      <w:tr>
        <w:trPr>
          <w:trHeight w:val="211"/>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7"/>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1"/>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Fannie Mae</w:t>
            </w:r>
            <w:r>
              <w:rPr>
                <w:rFonts w:ascii="Times New Roman" w:cs="Times New Roman" w:eastAsia="Times New Roman" w:hAnsi="Times New Roman"/>
                <w:sz w:val="16"/>
                <w:szCs w:val="16"/>
                <w:color w:val="B4B4B4"/>
              </w:rPr>
              <w:t>......................................</w:t>
            </w: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33,119</w:t>
            </w:r>
          </w:p>
        </w:tc>
      </w:tr>
      <w:tr>
        <w:trPr>
          <w:trHeight w:val="247"/>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Freddie Mac </w:t>
            </w:r>
            <w:r>
              <w:rPr>
                <w:rFonts w:ascii="Times New Roman" w:cs="Times New Roman" w:eastAsia="Times New Roman" w:hAnsi="Times New Roman"/>
                <w:sz w:val="16"/>
                <w:szCs w:val="16"/>
                <w:color w:val="B4B4B4"/>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20,393</w:t>
            </w:r>
          </w:p>
        </w:tc>
      </w:tr>
      <w:tr>
        <w:trPr>
          <w:trHeight w:val="254"/>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Ginnie Mae</w:t>
            </w:r>
            <w:r>
              <w:rPr>
                <w:rFonts w:ascii="Times New Roman" w:cs="Times New Roman" w:eastAsia="Times New Roman" w:hAnsi="Times New Roman"/>
                <w:sz w:val="16"/>
                <w:szCs w:val="16"/>
                <w:color w:val="B4B4B4"/>
              </w:rPr>
              <w:t>......................................</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08"/>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65,464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53,794</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-43180</wp:posOffset>
            </wp:positionV>
            <wp:extent cx="1485265"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3">
                      <a:extLst>
                        <a:ext uri="{28A0092B-C50C-407E-A947-70E740481C1C}"/>
                      </a:extLst>
                    </a:blip>
                    <a:srcRect/>
                    <a:stretch>
                      <a:fillRect/>
                    </a:stretch>
                  </pic:blipFill>
                  <pic:spPr bwMode="auto">
                    <a:xfrm>
                      <a:off x="0" y="0"/>
                      <a:ext cx="1485265" cy="50165"/>
                    </a:xfrm>
                    <a:prstGeom prst="rect">
                      <a:avLst/>
                    </a:prstGeom>
                    <a:noFill/>
                  </pic:spPr>
                </pic:pic>
              </a:graphicData>
            </a:graphic>
          </wp:anchor>
        </w:drawing>
      </w:r>
    </w:p>
    <w:p>
      <w:pPr>
        <w:spacing w:after="0" w:line="162" w:lineRule="exact"/>
        <w:rPr>
          <w:sz w:val="20"/>
          <w:szCs w:val="20"/>
          <w:color w:val="auto"/>
        </w:rPr>
      </w:pPr>
    </w:p>
    <w:p>
      <w:pPr>
        <w:ind w:firstLine="480"/>
        <w:spacing w:after="0" w:line="293" w:lineRule="auto"/>
        <w:rPr>
          <w:sz w:val="20"/>
          <w:szCs w:val="20"/>
          <w:color w:val="auto"/>
        </w:rPr>
      </w:pPr>
      <w:r>
        <w:rPr>
          <w:rFonts w:ascii="Times New Roman" w:cs="Times New Roman" w:eastAsia="Times New Roman" w:hAnsi="Times New Roman"/>
          <w:sz w:val="19"/>
          <w:szCs w:val="19"/>
          <w:color w:val="auto"/>
        </w:rPr>
        <w:t>As of December 31, 2024 and 2023, our investments in CRT and non-Agency securities had the following credit ratings (in millions):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5"/>
              </w:rPr>
              <w:t>December 31, 2024</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760" w:type="dxa"/>
            <w:vAlign w:val="bottom"/>
            <w:tcBorders>
              <w:bottom w:val="single" w:sz="8" w:color="auto"/>
            </w:tcBorders>
          </w:tcPr>
          <w:p>
            <w:pPr>
              <w:spacing w:after="0"/>
              <w:rPr>
                <w:sz w:val="18"/>
                <w:szCs w:val="18"/>
                <w:color w:val="auto"/>
              </w:rPr>
            </w:pPr>
          </w:p>
        </w:tc>
      </w:tr>
      <w:tr>
        <w:trPr>
          <w:trHeight w:val="227"/>
        </w:trPr>
        <w:tc>
          <w:tcPr>
            <w:tcW w:w="3560" w:type="dxa"/>
            <w:vAlign w:val="bottom"/>
            <w:tcBorders>
              <w:bottom w:val="single" w:sz="8" w:color="auto"/>
            </w:tcBorders>
          </w:tcPr>
          <w:p>
            <w:pPr>
              <w:ind w:left="40"/>
              <w:spacing w:after="0" w:line="228" w:lineRule="exact"/>
              <w:rPr>
                <w:sz w:val="20"/>
                <w:szCs w:val="20"/>
                <w:color w:val="auto"/>
              </w:rPr>
            </w:pPr>
            <w:r>
              <w:rPr>
                <w:rFonts w:ascii="Times New Roman" w:cs="Times New Roman" w:eastAsia="Times New Roman" w:hAnsi="Times New Roman"/>
                <w:sz w:val="16"/>
                <w:szCs w:val="16"/>
                <w:b w:val="1"/>
                <w:bCs w:val="1"/>
                <w:color w:val="auto"/>
              </w:rPr>
              <w:t xml:space="preserve">CRT and Non-Agency Security Credit Ratings </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CRT</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2"/>
              <w:spacing w:after="0" w:line="228" w:lineRule="exact"/>
              <w:rPr>
                <w:sz w:val="20"/>
                <w:szCs w:val="20"/>
                <w:color w:val="auto"/>
              </w:rPr>
            </w:pPr>
            <w:r>
              <w:rPr>
                <w:rFonts w:ascii="Times New Roman" w:cs="Times New Roman" w:eastAsia="Times New Roman" w:hAnsi="Times New Roman"/>
                <w:sz w:val="16"/>
                <w:szCs w:val="16"/>
                <w:b w:val="1"/>
                <w:bCs w:val="1"/>
                <w:color w:val="auto"/>
                <w:w w:val="98"/>
              </w:rPr>
              <w:t xml:space="preserve">RMBS </w:t>
            </w:r>
            <w:r>
              <w:rPr>
                <w:rFonts w:ascii="Times New Roman" w:cs="Times New Roman" w:eastAsia="Times New Roman" w:hAnsi="Times New Roman"/>
                <w:sz w:val="20"/>
                <w:szCs w:val="20"/>
                <w:b w:val="1"/>
                <w:bCs w:val="1"/>
                <w:color w:val="auto"/>
                <w:w w:val="98"/>
                <w:vertAlign w:val="superscript"/>
              </w:rPr>
              <w:t>2</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CMBS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CRT</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2"/>
              <w:spacing w:after="0" w:line="228" w:lineRule="exact"/>
              <w:rPr>
                <w:sz w:val="20"/>
                <w:szCs w:val="20"/>
                <w:color w:val="auto"/>
              </w:rPr>
            </w:pPr>
            <w:r>
              <w:rPr>
                <w:rFonts w:ascii="Times New Roman" w:cs="Times New Roman" w:eastAsia="Times New Roman" w:hAnsi="Times New Roman"/>
                <w:sz w:val="16"/>
                <w:szCs w:val="16"/>
                <w:b w:val="1"/>
                <w:bCs w:val="1"/>
                <w:color w:val="auto"/>
                <w:w w:val="98"/>
              </w:rPr>
              <w:t xml:space="preserve">RMBS </w:t>
            </w:r>
            <w:r>
              <w:rPr>
                <w:rFonts w:ascii="Times New Roman" w:cs="Times New Roman" w:eastAsia="Times New Roman" w:hAnsi="Times New Roman"/>
                <w:sz w:val="20"/>
                <w:szCs w:val="20"/>
                <w:b w:val="1"/>
                <w:bCs w:val="1"/>
                <w:color w:val="auto"/>
                <w:w w:val="98"/>
                <w:vertAlign w:val="superscript"/>
              </w:rPr>
              <w:t>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CMBS</w:t>
            </w:r>
          </w:p>
        </w:tc>
      </w:tr>
      <w:tr>
        <w:trPr>
          <w:trHeight w:val="221"/>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AAA </w:t>
            </w:r>
            <w:r>
              <w:rPr>
                <w:rFonts w:ascii="Times New Roman" w:cs="Times New Roman" w:eastAsia="Times New Roman" w:hAnsi="Times New Roman"/>
                <w:sz w:val="16"/>
                <w:szCs w:val="16"/>
                <w:color w:val="B4B4B4"/>
              </w:rPr>
              <w:t>................................................................................</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7"/>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AA </w:t>
            </w:r>
            <w:r>
              <w:rPr>
                <w:rFonts w:ascii="Times New Roman" w:cs="Times New Roman" w:eastAsia="Times New Roman" w:hAnsi="Times New Roman"/>
                <w:sz w:val="16"/>
                <w:szCs w:val="16"/>
                <w:color w:val="B4B4B4"/>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7"/>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color w:val="B4B4B4"/>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47"/>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BBB </w:t>
            </w:r>
            <w:r>
              <w:rPr>
                <w:rFonts w:ascii="Times New Roman" w:cs="Times New Roman" w:eastAsia="Times New Roman" w:hAnsi="Times New Roman"/>
                <w:sz w:val="16"/>
                <w:szCs w:val="16"/>
                <w:color w:val="B4B4B4"/>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47"/>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BB </w:t>
            </w:r>
            <w:r>
              <w:rPr>
                <w:rFonts w:ascii="Times New Roman" w:cs="Times New Roman" w:eastAsia="Times New Roman" w:hAnsi="Times New Roman"/>
                <w:sz w:val="16"/>
                <w:szCs w:val="16"/>
                <w:color w:val="B4B4B4"/>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47"/>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color w:val="B4B4B4"/>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54"/>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Not Rated </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8"/>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0"/>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-43180</wp:posOffset>
            </wp:positionV>
            <wp:extent cx="3998595" cy="501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4">
                      <a:extLst>
                        <a:ext uri="{28A0092B-C50C-407E-A947-70E740481C1C}"/>
                      </a:extLst>
                    </a:blip>
                    <a:srcRect/>
                    <a:stretch>
                      <a:fillRect/>
                    </a:stretch>
                  </pic:blipFill>
                  <pic:spPr bwMode="auto">
                    <a:xfrm>
                      <a:off x="0" y="0"/>
                      <a:ext cx="3998595" cy="5016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line="241" w:lineRule="auto"/>
        <w:tabs>
          <w:tab w:leader="none" w:pos="7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lowest of Standard and Poor's ("S&amp;P"), Moody's, Fitch, DBRS, Kroll Bond Rating Agency ("KBRA") and Morningstar credit ratings, stated in terms of the S&amp;P equivalent rating as of each date.</w:t>
      </w:r>
    </w:p>
    <w:p>
      <w:pPr>
        <w:spacing w:after="0" w:line="1"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RMBS excludes other mortgage credit investments of $64 million and $44 million as of December 31, 2024 and 2023, respectively.</w:t>
      </w:r>
    </w:p>
    <w:p>
      <w:pPr>
        <w:spacing w:after="0" w:line="149" w:lineRule="exact"/>
        <w:rPr>
          <w:sz w:val="20"/>
          <w:szCs w:val="20"/>
          <w:color w:val="auto"/>
        </w:rPr>
      </w:pPr>
    </w:p>
    <w:p>
      <w:pPr>
        <w:jc w:val="both"/>
        <w:ind w:firstLine="480"/>
        <w:spacing w:after="0" w:line="293" w:lineRule="auto"/>
        <w:rPr>
          <w:sz w:val="20"/>
          <w:szCs w:val="20"/>
          <w:color w:val="auto"/>
        </w:rPr>
      </w:pPr>
      <w:r>
        <w:rPr>
          <w:rFonts w:ascii="Times New Roman" w:cs="Times New Roman" w:eastAsia="Times New Roman" w:hAnsi="Times New Roman"/>
          <w:sz w:val="19"/>
          <w:szCs w:val="19"/>
          <w:color w:val="auto"/>
        </w:rPr>
        <w:t>Our CRT securities reference the performance of loans underlying Agency RMBS issued by Fannie Mae or Freddie Mac, which were subject to their underwriting standards.</w:t>
      </w:r>
    </w:p>
    <w:p>
      <w:pPr>
        <w:spacing w:after="0" w:line="107" w:lineRule="exact"/>
        <w:rPr>
          <w:sz w:val="20"/>
          <w:szCs w:val="20"/>
          <w:color w:val="auto"/>
        </w:rPr>
      </w:pPr>
    </w:p>
    <w:p>
      <w:pPr>
        <w:jc w:val="both"/>
        <w:ind w:firstLine="480"/>
        <w:spacing w:after="0" w:line="260" w:lineRule="auto"/>
        <w:rPr>
          <w:sz w:val="20"/>
          <w:szCs w:val="20"/>
          <w:color w:val="auto"/>
        </w:rPr>
      </w:pPr>
      <w:r>
        <w:rPr>
          <w:rFonts w:ascii="Times New Roman" w:cs="Times New Roman" w:eastAsia="Times New Roman" w:hAnsi="Times New Roman"/>
          <w:sz w:val="19"/>
          <w:szCs w:val="19"/>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December 31, 2024 and 2023, the weighted average expected constant prepayment rate ("CPR") over the remaining life of our Agency and high credit quality non-Agency RMBS investment portfolio was 7.7% and 11.4%, respectively. Our estimates can differ materially for different securities and thus our individual holdings have a wide range of projected CPRs. The following table summarizes our investments as of December 31, 2024 and 2023 according to their estimated weighted average life classification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Estimated Weighted Average Life</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5"/>
        </w:trPr>
        <w:tc>
          <w:tcPr>
            <w:tcW w:w="2540" w:type="dxa"/>
            <w:vAlign w:val="bottom"/>
            <w:gridSpan w:val="2"/>
            <w:vMerge w:val="continue"/>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8"/>
        </w:trPr>
        <w:tc>
          <w:tcPr>
            <w:tcW w:w="2460" w:type="dxa"/>
            <w:vAlign w:val="bottom"/>
            <w:tcBorders>
              <w:bottom w:val="single" w:sz="8" w:color="auto"/>
            </w:tcBorders>
          </w:tcPr>
          <w:p>
            <w:pPr>
              <w:ind w:left="60"/>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of Investment Securities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Coupon</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140" w:type="dxa"/>
            <w:vAlign w:val="bottom"/>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Coupon</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0" w:type="dxa"/>
            <w:vAlign w:val="bottom"/>
          </w:tcPr>
          <w:p>
            <w:pPr>
              <w:spacing w:after="0"/>
              <w:rPr>
                <w:sz w:val="1"/>
                <w:szCs w:val="1"/>
                <w:color w:val="auto"/>
              </w:rPr>
            </w:pPr>
          </w:p>
        </w:tc>
      </w:tr>
      <w:tr>
        <w:trPr>
          <w:trHeight w:val="221"/>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3 years</w:t>
            </w:r>
            <w:r>
              <w:rPr>
                <w:rFonts w:ascii="Times New Roman" w:cs="Times New Roman" w:eastAsia="Times New Roman" w:hAnsi="Times New Roman"/>
                <w:sz w:val="16"/>
                <w:szCs w:val="16"/>
                <w:color w:val="B4B4B4"/>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7.37%</w:t>
            </w:r>
          </w:p>
        </w:tc>
        <w:tc>
          <w:tcPr>
            <w:tcW w:w="9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8.06%</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6.57%</w:t>
            </w:r>
          </w:p>
        </w:tc>
        <w:tc>
          <w:tcPr>
            <w:tcW w:w="9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5.93%</w:t>
            </w:r>
          </w:p>
        </w:tc>
        <w:tc>
          <w:tcPr>
            <w:tcW w:w="0" w:type="dxa"/>
            <w:vAlign w:val="bottom"/>
          </w:tcPr>
          <w:p>
            <w:pPr>
              <w:spacing w:after="0"/>
              <w:rPr>
                <w:sz w:val="1"/>
                <w:szCs w:val="1"/>
                <w:color w:val="auto"/>
              </w:rPr>
            </w:pPr>
          </w:p>
        </w:tc>
      </w:tr>
      <w:tr>
        <w:trPr>
          <w:trHeight w:val="247"/>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&gt; 3 years and ≤ 5 years </w:t>
            </w:r>
            <w:r>
              <w:rPr>
                <w:rFonts w:ascii="Times New Roman" w:cs="Times New Roman" w:eastAsia="Times New Roman" w:hAnsi="Times New Roman"/>
                <w:sz w:val="16"/>
                <w:szCs w:val="16"/>
                <w:color w:val="B4B4B4"/>
              </w:rPr>
              <w:t>.......................</w:t>
            </w:r>
          </w:p>
        </w:tc>
        <w:tc>
          <w:tcPr>
            <w:tcW w:w="22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5.96%</w:t>
            </w:r>
          </w:p>
        </w:tc>
        <w:tc>
          <w:tcPr>
            <w:tcW w:w="9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5.48%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10,331</w:t>
            </w: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5.94%</w:t>
            </w:r>
          </w:p>
        </w:tc>
        <w:tc>
          <w:tcPr>
            <w:tcW w:w="9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5.52%</w:t>
            </w:r>
          </w:p>
        </w:tc>
        <w:tc>
          <w:tcPr>
            <w:tcW w:w="0" w:type="dxa"/>
            <w:vAlign w:val="bottom"/>
          </w:tcPr>
          <w:p>
            <w:pPr>
              <w:spacing w:after="0"/>
              <w:rPr>
                <w:sz w:val="1"/>
                <w:szCs w:val="1"/>
                <w:color w:val="auto"/>
              </w:rPr>
            </w:pPr>
          </w:p>
        </w:tc>
      </w:tr>
      <w:tr>
        <w:trPr>
          <w:trHeight w:val="247"/>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&gt; 5 years and ≤10 years </w:t>
            </w:r>
            <w:r>
              <w:rPr>
                <w:rFonts w:ascii="Times New Roman" w:cs="Times New Roman" w:eastAsia="Times New Roman" w:hAnsi="Times New Roman"/>
                <w:sz w:val="16"/>
                <w:szCs w:val="16"/>
                <w:color w:val="B4B4B4"/>
              </w:rPr>
              <w:t>......................</w:t>
            </w:r>
          </w:p>
        </w:tc>
        <w:tc>
          <w:tcPr>
            <w:tcW w:w="22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56,551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59,479</w:t>
            </w: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4.97%</w:t>
            </w:r>
          </w:p>
        </w:tc>
        <w:tc>
          <w:tcPr>
            <w:tcW w:w="9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4.66%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42,988</w:t>
            </w: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4.55%</w:t>
            </w:r>
          </w:p>
        </w:tc>
        <w:tc>
          <w:tcPr>
            <w:tcW w:w="9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4.10%</w:t>
            </w:r>
          </w:p>
        </w:tc>
        <w:tc>
          <w:tcPr>
            <w:tcW w:w="0" w:type="dxa"/>
            <w:vAlign w:val="bottom"/>
          </w:tcPr>
          <w:p>
            <w:pPr>
              <w:spacing w:after="0"/>
              <w:rPr>
                <w:sz w:val="1"/>
                <w:szCs w:val="1"/>
                <w:color w:val="auto"/>
              </w:rPr>
            </w:pPr>
          </w:p>
        </w:tc>
      </w:tr>
      <w:tr>
        <w:trPr>
          <w:trHeight w:val="254"/>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&gt; 10 years</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7,232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5.14%</w:t>
            </w:r>
          </w:p>
        </w:tc>
        <w:tc>
          <w:tcPr>
            <w:tcW w:w="8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5.24%</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4.77%</w:t>
            </w:r>
          </w:p>
        </w:tc>
        <w:tc>
          <w:tcPr>
            <w:tcW w:w="8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4.63%</w:t>
            </w:r>
          </w:p>
        </w:tc>
        <w:tc>
          <w:tcPr>
            <w:tcW w:w="0" w:type="dxa"/>
            <w:vAlign w:val="bottom"/>
          </w:tcPr>
          <w:p>
            <w:pPr>
              <w:spacing w:after="0"/>
              <w:rPr>
                <w:sz w:val="1"/>
                <w:szCs w:val="1"/>
                <w:color w:val="auto"/>
              </w:rPr>
            </w:pPr>
          </w:p>
        </w:tc>
      </w:tr>
      <w:tr>
        <w:trPr>
          <w:trHeight w:val="208"/>
        </w:trPr>
        <w:tc>
          <w:tcPr>
            <w:tcW w:w="2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66,348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69,446</w:t>
            </w: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5.03%</w:t>
            </w:r>
          </w:p>
        </w:tc>
        <w:tc>
          <w:tcPr>
            <w:tcW w:w="9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4.77%</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56,965</w:t>
            </w: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4.85%</w:t>
            </w:r>
          </w:p>
        </w:tc>
        <w:tc>
          <w:tcPr>
            <w:tcW w:w="96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6"/>
              </w:rPr>
              <w:t>4.41%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-43180</wp:posOffset>
            </wp:positionV>
            <wp:extent cx="4691380"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5">
                      <a:extLst>
                        <a:ext uri="{28A0092B-C50C-407E-A947-70E740481C1C}"/>
                      </a:extLst>
                    </a:blip>
                    <a:srcRect/>
                    <a:stretch>
                      <a:fillRect/>
                    </a:stretch>
                  </pic:blipFill>
                  <pic:spPr bwMode="auto">
                    <a:xfrm>
                      <a:off x="0" y="0"/>
                      <a:ext cx="4691380" cy="50165"/>
                    </a:xfrm>
                    <a:prstGeom prst="rect">
                      <a:avLst/>
                    </a:prstGeom>
                    <a:noFill/>
                  </pic:spPr>
                </pic:pic>
              </a:graphicData>
            </a:graphic>
          </wp:anchor>
        </w:drawing>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46" w:lineRule="exact"/>
        <w:rPr>
          <w:sz w:val="20"/>
          <w:szCs w:val="20"/>
          <w:color w:val="auto"/>
        </w:rPr>
      </w:pPr>
    </w:p>
    <w:p>
      <w:pPr>
        <w:ind w:left="700" w:hanging="347"/>
        <w:spacing w:after="0"/>
        <w:tabs>
          <w:tab w:leader="none" w:pos="7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Table excludes other mortgage credit investments of $64 million and $44 million as of December 31, 2024 and 2023, respectively.</w:t>
      </w:r>
    </w:p>
    <w:p>
      <w:pPr>
        <w:spacing w:after="0" w:line="165" w:lineRule="exact"/>
        <w:rPr>
          <w:sz w:val="20"/>
          <w:szCs w:val="20"/>
          <w:color w:val="auto"/>
        </w:rPr>
      </w:pPr>
    </w:p>
    <w:p>
      <w:pPr>
        <w:jc w:val="both"/>
        <w:ind w:firstLine="524"/>
        <w:spacing w:after="0" w:line="286" w:lineRule="auto"/>
        <w:rPr>
          <w:sz w:val="20"/>
          <w:szCs w:val="20"/>
          <w:color w:val="auto"/>
        </w:rPr>
      </w:pPr>
      <w:r>
        <w:rPr>
          <w:rFonts w:ascii="Times New Roman" w:cs="Times New Roman" w:eastAsia="Times New Roman" w:hAnsi="Times New Roman"/>
          <w:sz w:val="19"/>
          <w:szCs w:val="19"/>
          <w:color w:val="auto"/>
        </w:rPr>
        <w:t>The following table presents the gross unrealized loss and fair values of securities classified as available-for-sale by length of time that such securities have been in a continuous unrealized loss position as of December 31, 2024 and 2023 (in millions):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880" w:h="15480" w:orient="portrait"/>
          <w:cols w:equalWidth="0" w:num="1">
            <w:col w:w="9960"/>
          </w:cols>
          <w:pgMar w:left="960" w:top="711" w:right="960" w:bottom="0" w:gutter="0" w:footer="0" w:header="0"/>
          <w:type w:val="continuous"/>
        </w:sectPr>
      </w:pPr>
    </w:p>
    <w:bookmarkStart w:id="74" w:name="page75"/>
    <w:bookmarkEnd w:id="74"/>
    <w:tbl>
      <w:tblPr>
        <w:tblLayout w:type="fixed"/>
        <w:tblInd w:w="80"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Unrealized Loss Position For</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3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Classified as Available-for-Sale</w:t>
            </w:r>
          </w:p>
        </w:tc>
        <w:tc>
          <w:tcPr>
            <w:tcW w:w="80" w:type="dxa"/>
            <w:vAlign w:val="bottom"/>
            <w:vMerge w:val="restart"/>
          </w:tcPr>
          <w:p>
            <w:pPr>
              <w:spacing w:after="0"/>
              <w:rPr>
                <w:sz w:val="15"/>
                <w:szCs w:val="15"/>
                <w:color w:val="auto"/>
              </w:rPr>
            </w:pPr>
          </w:p>
        </w:tc>
        <w:tc>
          <w:tcPr>
            <w:tcW w:w="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Fair</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3"/>
              </w:rPr>
              <w:t>Unrealized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0" w:type="dxa"/>
            <w:vAlign w:val="bottom"/>
          </w:tcPr>
          <w:p>
            <w:pPr>
              <w:spacing w:after="0"/>
              <w:rPr>
                <w:sz w:val="1"/>
                <w:szCs w:val="1"/>
                <w:color w:val="auto"/>
              </w:rPr>
            </w:pPr>
          </w:p>
        </w:tc>
      </w:tr>
      <w:tr>
        <w:trPr>
          <w:trHeight w:val="208"/>
        </w:trPr>
        <w:tc>
          <w:tcPr>
            <w:tcW w:w="36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79"/>
        </w:trPr>
        <w:tc>
          <w:tcPr>
            <w:tcW w:w="3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 xml:space="preserve">December 31, 2024 </w:t>
            </w:r>
            <w:r>
              <w:rPr>
                <w:rFonts w:ascii="Times New Roman" w:cs="Times New Roman" w:eastAsia="Times New Roman" w:hAnsi="Times New Roman"/>
                <w:sz w:val="16"/>
                <w:szCs w:val="16"/>
                <w:color w:val="B4B4B4"/>
                <w:w w:val="99"/>
              </w:rPr>
              <w:t>..........................................................</w:t>
            </w:r>
          </w:p>
        </w:tc>
        <w:tc>
          <w:tcPr>
            <w:tcW w:w="72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306"/>
        </w:trPr>
        <w:tc>
          <w:tcPr>
            <w:tcW w:w="3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 xml:space="preserve">December 31, 2023 </w:t>
            </w:r>
            <w:r>
              <w:rPr>
                <w:rFonts w:ascii="Times New Roman" w:cs="Times New Roman" w:eastAsia="Times New Roman" w:hAnsi="Times New Roman"/>
                <w:sz w:val="16"/>
                <w:szCs w:val="16"/>
                <w:color w:val="B4B4B4"/>
                <w:w w:val="99"/>
              </w:rPr>
              <w:t>..........................................................</w:t>
            </w:r>
          </w:p>
        </w:tc>
        <w:tc>
          <w:tcPr>
            <w:tcW w:w="72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i w:val="1"/>
          <w:iCs w:val="1"/>
          <w:color w:val="auto"/>
        </w:rPr>
        <w:t>Gains and Losses on Sale of Investment Securities</w:t>
      </w:r>
    </w:p>
    <w:p>
      <w:pPr>
        <w:spacing w:after="0" w:line="196" w:lineRule="exact"/>
        <w:rPr>
          <w:sz w:val="20"/>
          <w:szCs w:val="20"/>
          <w:color w:val="auto"/>
        </w:rPr>
      </w:pPr>
    </w:p>
    <w:p>
      <w:pPr>
        <w:jc w:val="both"/>
        <w:ind w:left="80" w:right="80" w:firstLine="524"/>
        <w:spacing w:after="0" w:line="293" w:lineRule="auto"/>
        <w:rPr>
          <w:sz w:val="20"/>
          <w:szCs w:val="20"/>
          <w:color w:val="auto"/>
        </w:rPr>
      </w:pPr>
      <w:r>
        <w:rPr>
          <w:rFonts w:ascii="Times New Roman" w:cs="Times New Roman" w:eastAsia="Times New Roman" w:hAnsi="Times New Roman"/>
          <w:sz w:val="19"/>
          <w:szCs w:val="19"/>
          <w:color w:val="auto"/>
        </w:rPr>
        <w:t>The following table is a summary of our net gain (loss) from the sale of investment securities for fiscal years 2024, 2023 and 2022 by investment classification of accounting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w w:val="96"/>
              </w:rPr>
              <w:t>Fiscal Year 2024</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w w:val="96"/>
              </w:rPr>
              <w:t>Fiscal Year 2023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w w:val="94"/>
              </w:rPr>
              <w:t>Fiscal Year 2022</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Available-</w:t>
            </w:r>
          </w:p>
        </w:tc>
        <w:tc>
          <w:tcPr>
            <w:tcW w:w="60" w:type="dxa"/>
            <w:vAlign w:val="bottom"/>
          </w:tcPr>
          <w:p>
            <w:pPr>
              <w:spacing w:after="0"/>
              <w:rPr>
                <w:sz w:val="24"/>
                <w:szCs w:val="24"/>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Available-</w:t>
            </w:r>
          </w:p>
        </w:tc>
        <w:tc>
          <w:tcPr>
            <w:tcW w:w="60" w:type="dxa"/>
            <w:vAlign w:val="bottom"/>
          </w:tcPr>
          <w:p>
            <w:pPr>
              <w:spacing w:after="0"/>
              <w:rPr>
                <w:sz w:val="24"/>
                <w:szCs w:val="24"/>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Available-</w:t>
            </w:r>
          </w:p>
        </w:tc>
        <w:tc>
          <w:tcPr>
            <w:tcW w:w="60" w:type="dxa"/>
            <w:vAlign w:val="bottom"/>
          </w:tcPr>
          <w:p>
            <w:pPr>
              <w:spacing w:after="0"/>
              <w:rPr>
                <w:sz w:val="24"/>
                <w:szCs w:val="24"/>
                <w:color w:val="auto"/>
              </w:rPr>
            </w:pPr>
          </w:p>
        </w:tc>
        <w:tc>
          <w:tcPr>
            <w:tcW w:w="8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5"/>
              <w:spacing w:after="0" w:line="136" w:lineRule="exact"/>
              <w:rPr>
                <w:sz w:val="20"/>
                <w:szCs w:val="20"/>
                <w:color w:val="auto"/>
              </w:rPr>
            </w:pPr>
            <w:r>
              <w:rPr>
                <w:rFonts w:ascii="Times New Roman" w:cs="Times New Roman" w:eastAsia="Times New Roman" w:hAnsi="Times New Roman"/>
                <w:sz w:val="14"/>
                <w:szCs w:val="14"/>
                <w:b w:val="1"/>
                <w:bCs w:val="1"/>
                <w:color w:val="auto"/>
                <w:w w:val="96"/>
              </w:rPr>
              <w:t>for-Sale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jc w:val="center"/>
              <w:ind w:right="260"/>
              <w:spacing w:after="0" w:line="136"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1"/>
                <w:szCs w:val="11"/>
                <w:color w:val="auto"/>
              </w:rPr>
            </w:pPr>
          </w:p>
        </w:tc>
        <w:tc>
          <w:tcPr>
            <w:tcW w:w="56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5"/>
              <w:spacing w:after="0" w:line="136" w:lineRule="exact"/>
              <w:rPr>
                <w:sz w:val="20"/>
                <w:szCs w:val="20"/>
                <w:color w:val="auto"/>
              </w:rPr>
            </w:pPr>
            <w:r>
              <w:rPr>
                <w:rFonts w:ascii="Times New Roman" w:cs="Times New Roman" w:eastAsia="Times New Roman" w:hAnsi="Times New Roman"/>
                <w:sz w:val="14"/>
                <w:szCs w:val="14"/>
                <w:b w:val="1"/>
                <w:bCs w:val="1"/>
                <w:color w:val="auto"/>
                <w:w w:val="96"/>
              </w:rPr>
              <w:t>for-Sale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jc w:val="center"/>
              <w:ind w:right="280"/>
              <w:spacing w:after="0" w:line="136"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00" w:type="dxa"/>
            <w:vAlign w:val="bottom"/>
          </w:tcPr>
          <w:p>
            <w:pPr>
              <w:spacing w:after="0"/>
              <w:rPr>
                <w:sz w:val="11"/>
                <w:szCs w:val="11"/>
                <w:color w:val="auto"/>
              </w:rPr>
            </w:pPr>
          </w:p>
        </w:tc>
        <w:tc>
          <w:tcPr>
            <w:tcW w:w="56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85"/>
              <w:spacing w:after="0" w:line="136" w:lineRule="exact"/>
              <w:rPr>
                <w:sz w:val="20"/>
                <w:szCs w:val="20"/>
                <w:color w:val="auto"/>
              </w:rPr>
            </w:pPr>
            <w:r>
              <w:rPr>
                <w:rFonts w:ascii="Times New Roman" w:cs="Times New Roman" w:eastAsia="Times New Roman" w:hAnsi="Times New Roman"/>
                <w:sz w:val="14"/>
                <w:szCs w:val="14"/>
                <w:b w:val="1"/>
                <w:bCs w:val="1"/>
                <w:color w:val="auto"/>
                <w:w w:val="96"/>
              </w:rPr>
              <w:t>for-Sale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240"/>
              <w:spacing w:after="0" w:line="136"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20" w:type="dxa"/>
            <w:vAlign w:val="bottom"/>
          </w:tcPr>
          <w:p>
            <w:pPr>
              <w:spacing w:after="0"/>
              <w:rPr>
                <w:sz w:val="11"/>
                <w:szCs w:val="11"/>
                <w:color w:val="auto"/>
              </w:rPr>
            </w:pPr>
          </w:p>
        </w:tc>
        <w:tc>
          <w:tcPr>
            <w:tcW w:w="58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5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860" w:type="dxa"/>
            <w:vAlign w:val="bottom"/>
            <w:tcBorders>
              <w:bottom w:val="single" w:sz="8" w:color="auto"/>
            </w:tcBorders>
            <w:gridSpan w:val="2"/>
          </w:tcPr>
          <w:p>
            <w:pPr>
              <w:jc w:val="center"/>
              <w:spacing w:after="0" w:line="185" w:lineRule="exact"/>
              <w:rPr>
                <w:sz w:val="20"/>
                <w:szCs w:val="20"/>
                <w:color w:val="auto"/>
              </w:rPr>
            </w:pPr>
            <w:r>
              <w:rPr>
                <w:rFonts w:ascii="Times New Roman" w:cs="Times New Roman" w:eastAsia="Times New Roman" w:hAnsi="Times New Roman"/>
                <w:sz w:val="14"/>
                <w:szCs w:val="14"/>
                <w:b w:val="1"/>
                <w:bCs w:val="1"/>
                <w:color w:val="auto"/>
                <w:w w:val="94"/>
              </w:rPr>
              <w:t xml:space="preserve">Securities </w:t>
            </w:r>
            <w:r>
              <w:rPr>
                <w:rFonts w:ascii="Times New Roman" w:cs="Times New Roman" w:eastAsia="Times New Roman" w:hAnsi="Times New Roman"/>
                <w:sz w:val="17"/>
                <w:szCs w:val="17"/>
                <w:b w:val="1"/>
                <w:bCs w:val="1"/>
                <w:color w:val="auto"/>
                <w:w w:val="94"/>
                <w:vertAlign w:val="superscript"/>
              </w:rPr>
              <w:t>2,3</w:t>
            </w:r>
          </w:p>
        </w:tc>
        <w:tc>
          <w:tcPr>
            <w:tcW w:w="6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line="185" w:lineRule="exact"/>
              <w:rPr>
                <w:sz w:val="20"/>
                <w:szCs w:val="20"/>
                <w:color w:val="auto"/>
              </w:rPr>
            </w:pPr>
            <w:r>
              <w:rPr>
                <w:rFonts w:ascii="Times New Roman" w:cs="Times New Roman" w:eastAsia="Times New Roman" w:hAnsi="Times New Roman"/>
                <w:sz w:val="14"/>
                <w:szCs w:val="14"/>
                <w:b w:val="1"/>
                <w:bCs w:val="1"/>
                <w:color w:val="auto"/>
                <w:w w:val="92"/>
              </w:rPr>
              <w:t xml:space="preserve">Securities </w:t>
            </w:r>
            <w:r>
              <w:rPr>
                <w:rFonts w:ascii="Times New Roman" w:cs="Times New Roman" w:eastAsia="Times New Roman" w:hAnsi="Times New Roman"/>
                <w:sz w:val="17"/>
                <w:szCs w:val="17"/>
                <w:b w:val="1"/>
                <w:bCs w:val="1"/>
                <w:color w:val="auto"/>
                <w:w w:val="92"/>
                <w:vertAlign w:val="superscript"/>
              </w:rPr>
              <w:t>2,3</w:t>
            </w:r>
          </w:p>
        </w:tc>
        <w:tc>
          <w:tcPr>
            <w:tcW w:w="6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line="185" w:lineRule="exact"/>
              <w:rPr>
                <w:sz w:val="20"/>
                <w:szCs w:val="20"/>
                <w:color w:val="auto"/>
              </w:rPr>
            </w:pPr>
            <w:r>
              <w:rPr>
                <w:rFonts w:ascii="Times New Roman" w:cs="Times New Roman" w:eastAsia="Times New Roman" w:hAnsi="Times New Roman"/>
                <w:sz w:val="14"/>
                <w:szCs w:val="14"/>
                <w:b w:val="1"/>
                <w:bCs w:val="1"/>
                <w:color w:val="auto"/>
                <w:w w:val="94"/>
              </w:rPr>
              <w:t xml:space="preserve">Securities </w:t>
            </w:r>
            <w:r>
              <w:rPr>
                <w:rFonts w:ascii="Times New Roman" w:cs="Times New Roman" w:eastAsia="Times New Roman" w:hAnsi="Times New Roman"/>
                <w:sz w:val="17"/>
                <w:szCs w:val="17"/>
                <w:b w:val="1"/>
                <w:bCs w:val="1"/>
                <w:color w:val="auto"/>
                <w:w w:val="94"/>
                <w:vertAlign w:val="superscript"/>
              </w:rPr>
              <w:t>2,3</w:t>
            </w:r>
          </w:p>
        </w:tc>
        <w:tc>
          <w:tcPr>
            <w:tcW w:w="6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Investment securities sold, at cost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(23,299)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(15,787)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(30,213)</w:t>
            </w:r>
          </w:p>
        </w:tc>
        <w:tc>
          <w:tcPr>
            <w:tcW w:w="0" w:type="dxa"/>
            <w:vAlign w:val="bottom"/>
          </w:tcPr>
          <w:p>
            <w:pPr>
              <w:spacing w:after="0"/>
              <w:rPr>
                <w:sz w:val="1"/>
                <w:szCs w:val="1"/>
                <w:color w:val="auto"/>
              </w:rPr>
            </w:pPr>
          </w:p>
        </w:tc>
      </w:tr>
      <w:tr>
        <w:trPr>
          <w:trHeight w:val="206"/>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Proceeds from investment securities</w:t>
            </w:r>
          </w:p>
        </w:tc>
        <w:tc>
          <w:tcPr>
            <w:tcW w:w="140" w:type="dxa"/>
            <w:vAlign w:val="bottom"/>
          </w:tcPr>
          <w:p>
            <w:pPr>
              <w:spacing w:after="0"/>
              <w:rPr>
                <w:sz w:val="17"/>
                <w:szCs w:val="17"/>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23,111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23,111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13,759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14,220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744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26,553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27,297</w:t>
            </w:r>
          </w:p>
        </w:tc>
        <w:tc>
          <w:tcPr>
            <w:tcW w:w="0" w:type="dxa"/>
            <w:vAlign w:val="bottom"/>
          </w:tcPr>
          <w:p>
            <w:pPr>
              <w:spacing w:after="0"/>
              <w:rPr>
                <w:sz w:val="1"/>
                <w:szCs w:val="1"/>
                <w:color w:val="auto"/>
              </w:rPr>
            </w:pPr>
          </w:p>
        </w:tc>
      </w:tr>
      <w:tr>
        <w:trPr>
          <w:trHeight w:val="208"/>
        </w:trPr>
        <w:tc>
          <w:tcPr>
            <w:tcW w:w="25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6"/>
                <w:szCs w:val="16"/>
                <w:color w:val="auto"/>
                <w:w w:val="99"/>
              </w:rPr>
              <w:t xml:space="preserve">sold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5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Net gain (loss) on sale of investment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0" w:type="dxa"/>
            <w:vAlign w:val="bottom"/>
          </w:tcPr>
          <w:p>
            <w:pPr>
              <w:spacing w:after="0"/>
              <w:rPr>
                <w:sz w:val="1"/>
                <w:szCs w:val="1"/>
                <w:color w:val="auto"/>
              </w:rPr>
            </w:pPr>
          </w:p>
        </w:tc>
      </w:tr>
      <w:tr>
        <w:trPr>
          <w:trHeight w:val="188"/>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 xml:space="preserve">securities </w:t>
            </w:r>
            <w:r>
              <w:rPr>
                <w:rFonts w:ascii="Times New Roman" w:cs="Times New Roman" w:eastAsia="Times New Roman" w:hAnsi="Times New Roman"/>
                <w:sz w:val="16"/>
                <w:szCs w:val="16"/>
                <w:color w:val="B4B4B4"/>
                <w:w w:val="99"/>
              </w:rPr>
              <w:t>...............................................</w:t>
            </w: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Gross gain on sale of investment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580" w:type="dxa"/>
            <w:vAlign w:val="bottom"/>
            <w:gridSpan w:val="2"/>
            <w:vMerge w:val="continue"/>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164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2"/>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 xml:space="preserve">securities </w:t>
            </w:r>
            <w:r>
              <w:rPr>
                <w:rFonts w:ascii="Times New Roman" w:cs="Times New Roman" w:eastAsia="Times New Roman" w:hAnsi="Times New Roman"/>
                <w:sz w:val="16"/>
                <w:szCs w:val="16"/>
                <w:color w:val="B4B4B4"/>
                <w:w w:val="99"/>
              </w:rPr>
              <w:t>...............................................</w:t>
            </w: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Gross loss on sale of investment</w:t>
            </w:r>
          </w:p>
        </w:tc>
        <w:tc>
          <w:tcPr>
            <w:tcW w:w="140" w:type="dxa"/>
            <w:vAlign w:val="bottom"/>
          </w:tcPr>
          <w:p>
            <w:pPr>
              <w:spacing w:after="0"/>
              <w:rPr>
                <w:sz w:val="17"/>
                <w:szCs w:val="17"/>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0" w:type="dxa"/>
            <w:vAlign w:val="bottom"/>
          </w:tcPr>
          <w:p>
            <w:pPr>
              <w:spacing w:after="0"/>
              <w:rPr>
                <w:sz w:val="1"/>
                <w:szCs w:val="1"/>
                <w:color w:val="auto"/>
              </w:rPr>
            </w:pPr>
          </w:p>
        </w:tc>
      </w:tr>
      <w:tr>
        <w:trPr>
          <w:trHeight w:val="208"/>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 xml:space="preserve">securities </w:t>
            </w:r>
            <w:r>
              <w:rPr>
                <w:rFonts w:ascii="Times New Roman" w:cs="Times New Roman" w:eastAsia="Times New Roman" w:hAnsi="Times New Roman"/>
                <w:sz w:val="16"/>
                <w:szCs w:val="16"/>
                <w:color w:val="B4B4B4"/>
                <w:w w:val="99"/>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5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Net gain (loss) on sale of investment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0" w:type="dxa"/>
            <w:vAlign w:val="bottom"/>
          </w:tcPr>
          <w:p>
            <w:pPr>
              <w:spacing w:after="0"/>
              <w:rPr>
                <w:sz w:val="1"/>
                <w:szCs w:val="1"/>
                <w:color w:val="auto"/>
              </w:rPr>
            </w:pPr>
          </w:p>
        </w:tc>
      </w:tr>
      <w:tr>
        <w:trPr>
          <w:trHeight w:val="188"/>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 xml:space="preserve">securities </w:t>
            </w:r>
            <w:r>
              <w:rPr>
                <w:rFonts w:ascii="Times New Roman" w:cs="Times New Roman" w:eastAsia="Times New Roman" w:hAnsi="Times New Roman"/>
                <w:sz w:val="16"/>
                <w:szCs w:val="16"/>
                <w:color w:val="B4B4B4"/>
                <w:w w:val="99"/>
              </w:rPr>
              <w:t>...............................................</w:t>
            </w: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-1013460</wp:posOffset>
            </wp:positionV>
            <wp:extent cx="4811395" cy="50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6">
                      <a:extLst>
                        <a:ext uri="{28A0092B-C50C-407E-A947-70E740481C1C}"/>
                      </a:extLst>
                    </a:blip>
                    <a:srcRect/>
                    <a:stretch>
                      <a:fillRect/>
                    </a:stretch>
                  </pic:blipFill>
                  <pic:spPr bwMode="auto">
                    <a:xfrm>
                      <a:off x="0" y="0"/>
                      <a:ext cx="4811395" cy="5016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-43180</wp:posOffset>
            </wp:positionV>
            <wp:extent cx="4811395" cy="50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7">
                      <a:extLst>
                        <a:ext uri="{28A0092B-C50C-407E-A947-70E740481C1C}"/>
                      </a:extLst>
                    </a:blip>
                    <a:srcRect/>
                    <a:stretch>
                      <a:fillRect/>
                    </a:stretch>
                  </pic:blipFill>
                  <pic:spPr bwMode="auto">
                    <a:xfrm>
                      <a:off x="0" y="0"/>
                      <a:ext cx="4811395" cy="50165"/>
                    </a:xfrm>
                    <a:prstGeom prst="rect">
                      <a:avLst/>
                    </a:prstGeom>
                    <a:noFill/>
                  </pic:spPr>
                </pic:pic>
              </a:graphicData>
            </a:graphic>
          </wp:anchor>
        </w:drawing>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46" w:lineRule="exact"/>
        <w:rPr>
          <w:sz w:val="20"/>
          <w:szCs w:val="20"/>
          <w:color w:val="auto"/>
        </w:rPr>
      </w:pPr>
    </w:p>
    <w:p>
      <w:pPr>
        <w:ind w:left="780" w:hanging="347"/>
        <w:spacing w:after="0"/>
        <w:tabs>
          <w:tab w:leader="none" w:pos="7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Proceeds include cash received during the period, plus receivable for investment securities sold during the period as of period end.</w:t>
      </w:r>
    </w:p>
    <w:p>
      <w:pPr>
        <w:spacing w:after="0" w:line="18" w:lineRule="exact"/>
        <w:rPr>
          <w:rFonts w:ascii="Times New Roman" w:cs="Times New Roman" w:eastAsia="Times New Roman" w:hAnsi="Times New Roman"/>
          <w:sz w:val="16"/>
          <w:szCs w:val="16"/>
          <w:color w:val="auto"/>
        </w:rPr>
      </w:pPr>
    </w:p>
    <w:p>
      <w:pPr>
        <w:ind w:left="780" w:hanging="347"/>
        <w:spacing w:after="0"/>
        <w:tabs>
          <w:tab w:leader="none" w:pos="7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9 for a summary of changes in accumulated OCI.</w:t>
      </w:r>
    </w:p>
    <w:p>
      <w:pPr>
        <w:spacing w:after="0" w:line="2" w:lineRule="exact"/>
        <w:rPr>
          <w:rFonts w:ascii="Times New Roman" w:cs="Times New Roman" w:eastAsia="Times New Roman" w:hAnsi="Times New Roman"/>
          <w:sz w:val="16"/>
          <w:szCs w:val="16"/>
          <w:color w:val="auto"/>
        </w:rPr>
      </w:pPr>
    </w:p>
    <w:p>
      <w:pPr>
        <w:ind w:left="780" w:right="80" w:hanging="347"/>
        <w:spacing w:after="0" w:line="245" w:lineRule="auto"/>
        <w:tabs>
          <w:tab w:leader="none" w:pos="7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years 2024, 2023 and 2022, we received principal repayments on available-for-sale securities of $0.6 billion, $0.7 billion and $1.5 billion, respectively.</w:t>
      </w:r>
    </w:p>
    <w:p>
      <w:pPr>
        <w:spacing w:after="0" w:line="207" w:lineRule="exact"/>
        <w:rPr>
          <w:sz w:val="20"/>
          <w:szCs w:val="20"/>
          <w:color w:val="auto"/>
        </w:rPr>
      </w:pPr>
    </w:p>
    <w:p>
      <w:pPr>
        <w:ind w:left="80" w:right="4260"/>
        <w:spacing w:after="0" w:line="451" w:lineRule="auto"/>
        <w:rPr>
          <w:sz w:val="20"/>
          <w:szCs w:val="20"/>
          <w:color w:val="auto"/>
        </w:rPr>
      </w:pPr>
      <w:r>
        <w:rPr>
          <w:rFonts w:ascii="Times New Roman" w:cs="Times New Roman" w:eastAsia="Times New Roman" w:hAnsi="Times New Roman"/>
          <w:sz w:val="19"/>
          <w:szCs w:val="19"/>
          <w:b w:val="1"/>
          <w:bCs w:val="1"/>
          <w:color w:val="auto"/>
        </w:rPr>
        <w:t xml:space="preserve">Note 4. Repurchase Agreements and Reverse Repurchase Agreements </w:t>
      </w:r>
      <w:r>
        <w:rPr>
          <w:rFonts w:ascii="Times New Roman" w:cs="Times New Roman" w:eastAsia="Times New Roman" w:hAnsi="Times New Roman"/>
          <w:sz w:val="19"/>
          <w:szCs w:val="19"/>
          <w:b w:val="1"/>
          <w:bCs w:val="1"/>
          <w:i w:val="1"/>
          <w:iCs w:val="1"/>
          <w:color w:val="auto"/>
        </w:rPr>
        <w:t>Repurchase Agreements</w:t>
      </w:r>
    </w:p>
    <w:p>
      <w:pPr>
        <w:spacing w:after="0" w:line="1" w:lineRule="exact"/>
        <w:rPr>
          <w:sz w:val="20"/>
          <w:szCs w:val="20"/>
          <w:color w:val="auto"/>
        </w:rPr>
      </w:pPr>
    </w:p>
    <w:p>
      <w:pPr>
        <w:jc w:val="both"/>
        <w:ind w:left="80" w:right="80" w:firstLine="480"/>
        <w:spacing w:after="0" w:line="262" w:lineRule="auto"/>
        <w:rPr>
          <w:sz w:val="20"/>
          <w:szCs w:val="20"/>
          <w:color w:val="auto"/>
        </w:rPr>
      </w:pPr>
      <w:r>
        <w:rPr>
          <w:rFonts w:ascii="Times New Roman" w:cs="Times New Roman" w:eastAsia="Times New Roman" w:hAnsi="Times New Roman"/>
          <w:sz w:val="19"/>
          <w:szCs w:val="19"/>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2024, we had met all margin call requirements. For additional information regarding our pledged assets, please refer to Note 6.</w:t>
      </w:r>
    </w:p>
    <w:p>
      <w:pPr>
        <w:spacing w:after="0" w:line="135" w:lineRule="exact"/>
        <w:rPr>
          <w:sz w:val="20"/>
          <w:szCs w:val="20"/>
          <w:color w:val="auto"/>
        </w:rPr>
      </w:pPr>
    </w:p>
    <w:p>
      <w:pPr>
        <w:jc w:val="both"/>
        <w:ind w:left="80" w:right="80" w:firstLine="480"/>
        <w:spacing w:after="0" w:line="265" w:lineRule="auto"/>
        <w:rPr>
          <w:sz w:val="20"/>
          <w:szCs w:val="20"/>
          <w:color w:val="auto"/>
        </w:rPr>
      </w:pPr>
      <w:r>
        <w:rPr>
          <w:rFonts w:ascii="Times New Roman" w:cs="Times New Roman" w:eastAsia="Times New Roman" w:hAnsi="Times New Roman"/>
          <w:sz w:val="19"/>
          <w:szCs w:val="19"/>
          <w:color w:val="auto"/>
        </w:rPr>
        <w:t>As of December 31, 2024 and 2023, we had $60.8 billion and $50.4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December 31, 2024 and 2023 (dollars in millions):</w:t>
      </w:r>
    </w:p>
    <w:p>
      <w:pPr>
        <w:sectPr>
          <w:pgSz w:w="11880" w:h="15480" w:orient="portrait"/>
          <w:cols w:equalWidth="0" w:num="1">
            <w:col w:w="10120"/>
          </w:cols>
          <w:pgMar w:left="880" w:top="79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880" w:h="15480" w:orient="portrait"/>
          <w:cols w:equalWidth="0" w:num="1">
            <w:col w:w="10120"/>
          </w:cols>
          <w:pgMar w:left="880" w:top="798" w:right="880" w:bottom="0" w:gutter="0" w:footer="0" w:header="0"/>
          <w:type w:val="continuous"/>
        </w:sectPr>
      </w:pPr>
    </w:p>
    <w:bookmarkStart w:id="75" w:name="page76"/>
    <w:bookmarkEnd w:id="75"/>
    <w:tbl>
      <w:tblPr>
        <w:tblLayout w:type="fixed"/>
        <w:tblInd w:w="40" w:type="dxa"/>
        <w:tblCellMar>
          <w:top w:w="0" w:type="dxa"/>
          <w:left w:w="0" w:type="dxa"/>
          <w:bottom w:w="0" w:type="dxa"/>
          <w:right w:w="0" w:type="dxa"/>
        </w:tblCellMar>
      </w:tblPr>
      <w:tr>
        <w:trPr>
          <w:trHeight w:val="211"/>
        </w:trPr>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0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100" w:type="dxa"/>
            <w:vAlign w:val="bottom"/>
          </w:tcPr>
          <w:p>
            <w:pPr>
              <w:spacing w:after="0"/>
              <w:rPr>
                <w:sz w:val="13"/>
                <w:szCs w:val="13"/>
                <w:color w:val="auto"/>
              </w:rPr>
            </w:pPr>
          </w:p>
        </w:tc>
        <w:tc>
          <w:tcPr>
            <w:tcW w:w="11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Remaining Maturity</w:t>
            </w:r>
          </w:p>
        </w:tc>
        <w:tc>
          <w:tcPr>
            <w:tcW w:w="380" w:type="dxa"/>
            <w:vAlign w:val="bottom"/>
            <w:vMerge w:val="restart"/>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Average Days</w:t>
            </w:r>
          </w:p>
        </w:tc>
        <w:tc>
          <w:tcPr>
            <w:tcW w:w="4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Average Days</w:t>
            </w:r>
          </w:p>
        </w:tc>
        <w:tc>
          <w:tcPr>
            <w:tcW w:w="0" w:type="dxa"/>
            <w:vAlign w:val="bottom"/>
          </w:tcPr>
          <w:p>
            <w:pPr>
              <w:spacing w:after="0"/>
              <w:rPr>
                <w:sz w:val="1"/>
                <w:szCs w:val="1"/>
                <w:color w:val="auto"/>
              </w:rPr>
            </w:pPr>
          </w:p>
        </w:tc>
      </w:tr>
      <w:tr>
        <w:trPr>
          <w:trHeight w:val="208"/>
        </w:trPr>
        <w:tc>
          <w:tcPr>
            <w:tcW w:w="2380" w:type="dxa"/>
            <w:vAlign w:val="bottom"/>
            <w:tcBorders>
              <w:bottom w:val="single" w:sz="8" w:color="auto"/>
            </w:tcBorders>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06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Rate</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to Maturity</w:t>
            </w:r>
          </w:p>
        </w:tc>
        <w:tc>
          <w:tcPr>
            <w:tcW w:w="40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to Maturity</w:t>
            </w:r>
          </w:p>
        </w:tc>
        <w:tc>
          <w:tcPr>
            <w:tcW w:w="0" w:type="dxa"/>
            <w:vAlign w:val="bottom"/>
          </w:tcPr>
          <w:p>
            <w:pPr>
              <w:spacing w:after="0"/>
              <w:rPr>
                <w:sz w:val="1"/>
                <w:szCs w:val="1"/>
                <w:color w:val="auto"/>
              </w:rPr>
            </w:pPr>
          </w:p>
        </w:tc>
      </w:tr>
      <w:tr>
        <w:trPr>
          <w:trHeight w:val="266"/>
        </w:trPr>
        <w:tc>
          <w:tcPr>
            <w:tcW w:w="2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Investment Securities Repo</w:t>
            </w: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7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 xml:space="preserve">≤ 1 month </w:t>
            </w:r>
            <w:r>
              <w:rPr>
                <w:rFonts w:ascii="Times New Roman" w:cs="Times New Roman" w:eastAsia="Times New Roman" w:hAnsi="Times New Roman"/>
                <w:sz w:val="17"/>
                <w:szCs w:val="17"/>
                <w:color w:val="B4B4B4"/>
              </w:rPr>
              <w:t>................................</w:t>
            </w:r>
          </w:p>
        </w:tc>
        <w:tc>
          <w:tcPr>
            <w:tcW w:w="32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4.77 %</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72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5.61 %</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81"/>
        </w:trPr>
        <w:tc>
          <w:tcPr>
            <w:tcW w:w="27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 xml:space="preserve">&gt; 1 to ≤ 3 months </w:t>
            </w:r>
            <w:r>
              <w:rPr>
                <w:rFonts w:ascii="Times New Roman" w:cs="Times New Roman" w:eastAsia="Times New Roman" w:hAnsi="Times New Roman"/>
                <w:sz w:val="17"/>
                <w:szCs w:val="17"/>
                <w:color w:val="B4B4B4"/>
              </w:rPr>
              <w:t>....................</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3,782</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4.68 %</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7,933</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5.55 %</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71"/>
        </w:trPr>
        <w:tc>
          <w:tcPr>
            <w:tcW w:w="27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Investment Securities Repo</w:t>
            </w:r>
            <w:r>
              <w:rPr>
                <w:rFonts w:ascii="Times New Roman" w:cs="Times New Roman" w:eastAsia="Times New Roman" w:hAnsi="Times New Roman"/>
                <w:sz w:val="17"/>
                <w:szCs w:val="17"/>
                <w:color w:val="B4B4B4"/>
              </w:rPr>
              <w:t>........</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4.76 %</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5.60 %</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66"/>
        </w:trPr>
        <w:tc>
          <w:tcPr>
            <w:tcW w:w="2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U.S. Treasury Repo:</w:t>
            </w:r>
          </w:p>
        </w:tc>
        <w:tc>
          <w:tcPr>
            <w:tcW w:w="3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27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 xml:space="preserve">≤ 1 month </w:t>
            </w:r>
            <w:r>
              <w:rPr>
                <w:rFonts w:ascii="Times New Roman" w:cs="Times New Roman" w:eastAsia="Times New Roman" w:hAnsi="Times New Roman"/>
                <w:sz w:val="17"/>
                <w:szCs w:val="17"/>
                <w:color w:val="B4B4B4"/>
              </w:rPr>
              <w:t>................................</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4.68 %</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5.54 %</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2"/>
        </w:trPr>
        <w:tc>
          <w:tcPr>
            <w:tcW w:w="27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17"/>
                <w:szCs w:val="17"/>
                <w:color w:val="B4B4B4"/>
              </w:rPr>
              <w:t>...........................................</w:t>
            </w:r>
          </w:p>
        </w:tc>
        <w:tc>
          <w:tcPr>
            <w:tcW w:w="32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4.76 %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72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5.60 %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-43180</wp:posOffset>
            </wp:positionV>
            <wp:extent cx="4543425" cy="501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8">
                      <a:extLst>
                        <a:ext uri="{28A0092B-C50C-407E-A947-70E740481C1C}"/>
                      </a:extLst>
                    </a:blip>
                    <a:srcRect/>
                    <a:stretch>
                      <a:fillRect/>
                    </a:stretch>
                  </pic:blipFill>
                  <pic:spPr bwMode="auto">
                    <a:xfrm>
                      <a:off x="0" y="0"/>
                      <a:ext cx="4543425" cy="50165"/>
                    </a:xfrm>
                    <a:prstGeom prst="rect">
                      <a:avLst/>
                    </a:prstGeom>
                    <a:noFill/>
                  </pic:spPr>
                </pic:pic>
              </a:graphicData>
            </a:graphic>
          </wp:anchor>
        </w:drawing>
      </w:r>
    </w:p>
    <w:p>
      <w:pPr>
        <w:spacing w:after="0" w:line="181"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As of December 31, 2024 and 2023, $25.4 billion and $16.7 billion, respectively, of our investment securities repurchase agreements and all of our U.S. Treasury repurchase agreements had an overnight maturity of one business day and none of our repurchase agreements were due on demand. As of December 31, 2024, we had $17.3 billion of forward commitments to enter into repurchase agreements with a weighted average forward start date of 2 days and a weighted average interest rate of 4.61%. As of December 31, 2023, we had $8.8 billion of forward commitments to enter into repurchase agreements, with a weighted average forward start date of 4 days and a weighted average interest rate of 5.54%. As of December 31, 2024 and 2023, 50% and 48%,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47% and 43% of our repurchase agreement funding outstanding as of December 31, 2024 and 2023,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Reverse Repurchase Agreements</w:t>
      </w:r>
    </w:p>
    <w:p>
      <w:pPr>
        <w:spacing w:after="0" w:line="19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9"/>
          <w:szCs w:val="19"/>
          <w:color w:val="auto"/>
        </w:rPr>
        <w:t>As of December 31, 2024 and 2023, we had $17.1 billion and $11.6 billion, respectively, of reverse repurchase agreements outstanding used primarily to borrow securities to cover short sales of U.S. Treasury securities, for which we had associated obligations to return borrowed securities at fair value of $16.7 billion and $10.9 billion, respectively. As of December 31, 2024 and 2023, $3.9 billion and $3.1 billion, respectively, of our reverse repurchase agreements were with the FICC sourced through BES.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5. Derivative and Other Hedging Instruments</w:t>
      </w:r>
    </w:p>
    <w:p>
      <w:pPr>
        <w:spacing w:after="0" w:line="196"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ectPr>
          <w:pgSz w:w="11880" w:h="15480" w:orient="portrait"/>
          <w:cols w:equalWidth="0" w:num="1">
            <w:col w:w="9960"/>
          </w:cols>
          <w:pgMar w:left="960" w:top="79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880" w:h="15480" w:orient="portrait"/>
          <w:cols w:equalWidth="0" w:num="1">
            <w:col w:w="9960"/>
          </w:cols>
          <w:pgMar w:left="960" w:top="798" w:right="96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9"/>
          <w:szCs w:val="19"/>
          <w:b w:val="1"/>
          <w:bCs w:val="1"/>
          <w:i w:val="1"/>
          <w:iCs w:val="1"/>
          <w:color w:val="auto"/>
        </w:rPr>
        <w:t>Derivative and Other Hedging Instrument Assets (Liabilities), at Fair Value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table below summarizes fair value information about our derivative and other hedging instrument assets/(liabilities)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and 2023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8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w w:val="98"/>
              </w:rPr>
              <w:t>Derivative and Other Hedging Instruments</w:t>
            </w:r>
          </w:p>
        </w:tc>
        <w:tc>
          <w:tcPr>
            <w:tcW w:w="60" w:type="dxa"/>
            <w:vAlign w:val="bottom"/>
          </w:tcPr>
          <w:p>
            <w:pPr>
              <w:spacing w:after="0"/>
              <w:rPr>
                <w:sz w:val="18"/>
                <w:szCs w:val="18"/>
                <w:color w:val="auto"/>
              </w:rPr>
            </w:pPr>
          </w:p>
        </w:tc>
        <w:tc>
          <w:tcPr>
            <w:tcW w:w="37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01"/>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Interest rate swaps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Derivative assets, at fair value</w:t>
            </w:r>
            <w:r>
              <w:rPr>
                <w:rFonts w:ascii="Times New Roman" w:cs="Times New Roman" w:eastAsia="Times New Roman" w:hAnsi="Times New Roman"/>
                <w:sz w:val="17"/>
                <w:szCs w:val="17"/>
                <w:color w:val="B4B4B4"/>
              </w:rPr>
              <w:t>...................................</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8"/>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Swaptions </w:t>
            </w:r>
            <w:r>
              <w:rPr>
                <w:rFonts w:ascii="Times New Roman" w:cs="Times New Roman" w:eastAsia="Times New Roman" w:hAnsi="Times New Roman"/>
                <w:sz w:val="17"/>
                <w:szCs w:val="17"/>
                <w:color w:val="B4B4B4"/>
              </w:rPr>
              <w:t>.....................................................................</w:t>
            </w:r>
          </w:p>
        </w:tc>
        <w:tc>
          <w:tcPr>
            <w:tcW w:w="60" w:type="dxa"/>
            <w:vAlign w:val="bottom"/>
          </w:tcPr>
          <w:p>
            <w:pPr>
              <w:spacing w:after="0"/>
              <w:rPr>
                <w:sz w:val="19"/>
                <w:szCs w:val="19"/>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Derivative assets, at fair value</w:t>
            </w:r>
            <w:r>
              <w:rPr>
                <w:rFonts w:ascii="Times New Roman" w:cs="Times New Roman" w:eastAsia="Times New Roman" w:hAnsi="Times New Roman"/>
                <w:sz w:val="17"/>
                <w:szCs w:val="17"/>
                <w:color w:val="B4B4B4"/>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76"/>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TBA and forward settling non-Agency securities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Derivative assets, at fair value</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76"/>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U.S. Treasury futures - short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Derivative assets, at fair value</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1"/>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SOFR futures contracts - long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Derivative assets, at fair value</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Total derivative assets, at fair value </w:t>
            </w:r>
            <w:r>
              <w:rPr>
                <w:rFonts w:ascii="Times New Roman" w:cs="Times New Roman" w:eastAsia="Times New Roman" w:hAnsi="Times New Roman"/>
                <w:sz w:val="17"/>
                <w:szCs w:val="17"/>
                <w:color w:val="B4B4B4"/>
              </w:rPr>
              <w:t>.........................</w:t>
            </w:r>
          </w:p>
        </w:tc>
        <w:tc>
          <w:tcPr>
            <w:tcW w:w="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0"/>
        </w:trPr>
        <w:tc>
          <w:tcPr>
            <w:tcW w:w="3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xml:space="preserve">Interest rate swaps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B4B4B4"/>
              </w:rPr>
              <w:t>......................................................</w:t>
            </w:r>
          </w:p>
        </w:tc>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3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Derivative liabilities, at fair value </w:t>
            </w:r>
            <w:r>
              <w:rPr>
                <w:rFonts w:ascii="Times New Roman" w:cs="Times New Roman" w:eastAsia="Times New Roman" w:hAnsi="Times New Roman"/>
                <w:sz w:val="17"/>
                <w:szCs w:val="17"/>
                <w:color w:val="B4B4B4"/>
              </w:rPr>
              <w:t>.............................</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8"/>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TBA and forward settling non-Agency securities </w:t>
            </w:r>
            <w:r>
              <w:rPr>
                <w:rFonts w:ascii="Times New Roman" w:cs="Times New Roman" w:eastAsia="Times New Roman" w:hAnsi="Times New Roman"/>
                <w:sz w:val="17"/>
                <w:szCs w:val="17"/>
                <w:color w:val="B4B4B4"/>
              </w:rPr>
              <w:t>........</w:t>
            </w:r>
          </w:p>
        </w:tc>
        <w:tc>
          <w:tcPr>
            <w:tcW w:w="60" w:type="dxa"/>
            <w:vAlign w:val="bottom"/>
          </w:tcPr>
          <w:p>
            <w:pPr>
              <w:spacing w:after="0"/>
              <w:rPr>
                <w:sz w:val="19"/>
                <w:szCs w:val="19"/>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Derivative liabilities, at fair value </w:t>
            </w:r>
            <w:r>
              <w:rPr>
                <w:rFonts w:ascii="Times New Roman" w:cs="Times New Roman" w:eastAsia="Times New Roman" w:hAnsi="Times New Roman"/>
                <w:sz w:val="17"/>
                <w:szCs w:val="17"/>
                <w:color w:val="B4B4B4"/>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76"/>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U.S. Treasury futures - short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Derivative liabilities, at fair value </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76"/>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SOFR futures contracts - long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Derivative liabilities, at fair value </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81"/>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Credit default swaps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Derivative liabilities, at fair value </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Total derivative liabilities, at fair value </w:t>
            </w:r>
            <w:r>
              <w:rPr>
                <w:rFonts w:ascii="Times New Roman" w:cs="Times New Roman" w:eastAsia="Times New Roman" w:hAnsi="Times New Roman"/>
                <w:sz w:val="17"/>
                <w:szCs w:val="17"/>
                <w:color w:val="B4B4B4"/>
              </w:rPr>
              <w:t>...................</w:t>
            </w:r>
          </w:p>
        </w:tc>
        <w:tc>
          <w:tcPr>
            <w:tcW w:w="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U.S. Treasury securities - long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securities, at fair value </w:t>
            </w:r>
            <w:r>
              <w:rPr>
                <w:rFonts w:ascii="Times New Roman" w:cs="Times New Roman" w:eastAsia="Times New Roman" w:hAnsi="Times New Roman"/>
                <w:sz w:val="17"/>
                <w:szCs w:val="17"/>
                <w:color w:val="B4B4B4"/>
              </w:rPr>
              <w:t>.......................</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w:t>
            </w:r>
          </w:p>
        </w:tc>
        <w:tc>
          <w:tcPr>
            <w:tcW w:w="0" w:type="dxa"/>
            <w:vAlign w:val="bottom"/>
          </w:tcPr>
          <w:p>
            <w:pPr>
              <w:spacing w:after="0"/>
              <w:rPr>
                <w:sz w:val="1"/>
                <w:szCs w:val="1"/>
                <w:color w:val="auto"/>
              </w:rPr>
            </w:pPr>
          </w:p>
        </w:tc>
      </w:tr>
      <w:tr>
        <w:trPr>
          <w:trHeight w:val="224"/>
        </w:trPr>
        <w:tc>
          <w:tcPr>
            <w:tcW w:w="3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xml:space="preserve">U.S. Treasury securities - short </w:t>
            </w:r>
            <w:r>
              <w:rPr>
                <w:rFonts w:ascii="Times New Roman" w:cs="Times New Roman" w:eastAsia="Times New Roman" w:hAnsi="Times New Roman"/>
                <w:sz w:val="17"/>
                <w:szCs w:val="17"/>
                <w:color w:val="B4B4B4"/>
              </w:rPr>
              <w:t>....................................</w:t>
            </w:r>
          </w:p>
        </w:tc>
        <w:tc>
          <w:tcPr>
            <w:tcW w:w="60" w:type="dxa"/>
            <w:vAlign w:val="bottom"/>
          </w:tcPr>
          <w:p>
            <w:pPr>
              <w:spacing w:after="0"/>
              <w:rPr>
                <w:sz w:val="19"/>
                <w:szCs w:val="19"/>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Obligation to return securities borrowed under</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(16,676)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(10,894)</w:t>
            </w:r>
          </w:p>
        </w:tc>
        <w:tc>
          <w:tcPr>
            <w:tcW w:w="0" w:type="dxa"/>
            <w:vAlign w:val="bottom"/>
          </w:tcPr>
          <w:p>
            <w:pPr>
              <w:spacing w:after="0"/>
              <w:rPr>
                <w:sz w:val="1"/>
                <w:szCs w:val="1"/>
                <w:color w:val="auto"/>
              </w:rPr>
            </w:pPr>
          </w:p>
        </w:tc>
      </w:tr>
      <w:tr>
        <w:trPr>
          <w:trHeight w:val="231"/>
        </w:trPr>
        <w:tc>
          <w:tcPr>
            <w:tcW w:w="3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reverse repurchase agreements, at fair value </w:t>
            </w:r>
            <w:r>
              <w:rPr>
                <w:rFonts w:ascii="Times New Roman" w:cs="Times New Roman" w:eastAsia="Times New Roman" w:hAnsi="Times New Roman"/>
                <w:sz w:val="17"/>
                <w:szCs w:val="17"/>
                <w:color w:val="B4B4B4"/>
              </w:rPr>
              <w:t>.............</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Total U.S. Treasury securities, net at fair value </w:t>
            </w:r>
            <w:r>
              <w:rPr>
                <w:rFonts w:ascii="Times New Roman" w:cs="Times New Roman" w:eastAsia="Times New Roman" w:hAnsi="Times New Roman"/>
                <w:sz w:val="17"/>
                <w:szCs w:val="17"/>
                <w:color w:val="B4B4B4"/>
              </w:rPr>
              <w:t>.......</w:t>
            </w:r>
          </w:p>
        </w:tc>
        <w:tc>
          <w:tcPr>
            <w:tcW w:w="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(15,101)</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-2084705</wp:posOffset>
            </wp:positionV>
            <wp:extent cx="1420495" cy="501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9">
                      <a:extLst>
                        <a:ext uri="{28A0092B-C50C-407E-A947-70E740481C1C}"/>
                      </a:extLst>
                    </a:blip>
                    <a:srcRect/>
                    <a:stretch>
                      <a:fillRect/>
                    </a:stretch>
                  </pic:blipFill>
                  <pic:spPr bwMode="auto">
                    <a:xfrm>
                      <a:off x="0" y="0"/>
                      <a:ext cx="1420495" cy="5016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-855980</wp:posOffset>
            </wp:positionV>
            <wp:extent cx="1420495" cy="501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0">
                      <a:extLst>
                        <a:ext uri="{28A0092B-C50C-407E-A947-70E740481C1C}"/>
                      </a:extLst>
                    </a:blip>
                    <a:srcRect/>
                    <a:stretch>
                      <a:fillRect/>
                    </a:stretch>
                  </pic:blipFill>
                  <pic:spPr bwMode="auto">
                    <a:xfrm>
                      <a:off x="0" y="0"/>
                      <a:ext cx="1420495" cy="5016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-43180</wp:posOffset>
            </wp:positionV>
            <wp:extent cx="1420495" cy="501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1">
                      <a:extLst>
                        <a:ext uri="{28A0092B-C50C-407E-A947-70E740481C1C}"/>
                      </a:extLst>
                    </a:blip>
                    <a:srcRect/>
                    <a:stretch>
                      <a:fillRect/>
                    </a:stretch>
                  </pic:blipFill>
                  <pic:spPr bwMode="auto">
                    <a:xfrm>
                      <a:off x="0" y="0"/>
                      <a:ext cx="1420495" cy="5016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2" w:lineRule="exact"/>
        <w:rPr>
          <w:sz w:val="20"/>
          <w:szCs w:val="20"/>
          <w:color w:val="auto"/>
        </w:rPr>
      </w:pPr>
    </w:p>
    <w:p>
      <w:pPr>
        <w:jc w:val="both"/>
        <w:ind w:left="700" w:hanging="347"/>
        <w:spacing w:after="0" w:line="251" w:lineRule="auto"/>
        <w:tabs>
          <w:tab w:leader="none" w:pos="7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and 2023, the net fair value of our interest rate swaps excluding the recognition of variation margin settlements as a direct reduction of carrying value (see Note 2) was a net asset (liability) of $2.3 billion and $2.9 billion, respectively. As of December 31, 2023, the net fair value of our credit default swaps excluding the recognition of variation margin settlements was a net asset (liability) of $(6) million.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following tables summarize certain characteristics of our derivative and other hedging instruments outstanding as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2024 and 2023 (dollars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Pay Fixed / Receive Variable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5"/>
                <w:szCs w:val="15"/>
                <w:color w:val="auto"/>
              </w:rPr>
            </w:pP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Notional</w:t>
            </w: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Variable</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Notional</w:t>
            </w: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Variable</w:t>
            </w: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Years to Maturity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Fixed Pay</w:t>
            </w: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Receive</w:t>
            </w:r>
          </w:p>
        </w:tc>
        <w:tc>
          <w:tcPr>
            <w:tcW w:w="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Maturity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Fixed Pay</w:t>
            </w:r>
          </w:p>
        </w:tc>
        <w:tc>
          <w:tcPr>
            <w:tcW w:w="6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Receive</w:t>
            </w: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Maturity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Rate</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6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xml:space="preserve">≤ 1 year </w:t>
            </w:r>
            <w:r>
              <w:rPr>
                <w:rFonts w:ascii="Times New Roman" w:cs="Times New Roman" w:eastAsia="Times New Roman" w:hAnsi="Times New Roman"/>
                <w:sz w:val="17"/>
                <w:szCs w:val="17"/>
                <w:color w:val="B4B4B4"/>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0.14%</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4.42%</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13,750</w:t>
            </w:r>
          </w:p>
        </w:tc>
        <w:tc>
          <w:tcPr>
            <w:tcW w:w="9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0.14%</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5.37%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&gt; 1 to ≤ 3 years</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10,550</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0.22%</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4.45%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15,800</w:t>
            </w:r>
          </w:p>
        </w:tc>
        <w:tc>
          <w:tcPr>
            <w:tcW w:w="9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0.17%</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5.36%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&gt; 3 to ≤ 5 years</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3,800</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0.25%</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4.49%</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w:t>
            </w:r>
          </w:p>
        </w:tc>
        <w:tc>
          <w:tcPr>
            <w:tcW w:w="9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0.24%</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5.38%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&gt; 5 to ≤ 7 years</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4,150</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2.14%</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4.46%</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9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0.92%</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5.37%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&gt; 7 to ≤ 10 years</w:t>
            </w:r>
            <w:r>
              <w:rPr>
                <w:rFonts w:ascii="Times New Roman" w:cs="Times New Roman" w:eastAsia="Times New Roman" w:hAnsi="Times New Roman"/>
                <w:sz w:val="17"/>
                <w:szCs w:val="17"/>
                <w:color w:val="B4B4B4"/>
              </w:rPr>
              <w:t>....................</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12,646</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3.52%</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4.49%</w:t>
            </w:r>
          </w:p>
        </w:tc>
        <w:tc>
          <w:tcPr>
            <w:tcW w:w="8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8.8</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5,226</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3.06%</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5.38%</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17"/>
                <w:szCs w:val="17"/>
                <w:color w:val="B4B4B4"/>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39,646</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1.46%</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4.46%</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44,476</w:t>
            </w:r>
          </w:p>
        </w:tc>
        <w:tc>
          <w:tcPr>
            <w:tcW w:w="9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0.57%</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5.37%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jc w:val="right"/>
              <w:ind w:right="216"/>
              <w:spacing w:after="0"/>
              <w:rPr>
                <w:sz w:val="20"/>
                <w:szCs w:val="20"/>
                <w:color w:val="auto"/>
              </w:rPr>
            </w:pPr>
            <w:r>
              <w:rPr>
                <w:rFonts w:ascii="Times New Roman" w:cs="Times New Roman" w:eastAsia="Times New Roman" w:hAnsi="Times New Roman"/>
                <w:sz w:val="12"/>
                <w:szCs w:val="12"/>
                <w:color w:val="auto"/>
                <w:w w:val="95"/>
              </w:rPr>
              <w:t>________________________________</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-154940</wp:posOffset>
            </wp:positionV>
            <wp:extent cx="4866640" cy="501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2">
                      <a:extLst>
                        <a:ext uri="{28A0092B-C50C-407E-A947-70E740481C1C}"/>
                      </a:extLst>
                    </a:blip>
                    <a:srcRect/>
                    <a:stretch>
                      <a:fillRect/>
                    </a:stretch>
                  </pic:blipFill>
                  <pic:spPr bwMode="auto">
                    <a:xfrm>
                      <a:off x="0" y="0"/>
                      <a:ext cx="4866640" cy="50165"/>
                    </a:xfrm>
                    <a:prstGeom prst="rect">
                      <a:avLst/>
                    </a:prstGeom>
                    <a:noFill/>
                  </pic:spPr>
                </pic:pic>
              </a:graphicData>
            </a:graphic>
          </wp:anchor>
        </w:drawing>
      </w:r>
    </w:p>
    <w:p>
      <w:pPr>
        <w:ind w:left="700" w:hanging="347"/>
        <w:spacing w:after="0" w:line="243" w:lineRule="auto"/>
        <w:tabs>
          <w:tab w:leader="none" w:pos="7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82% and 18% of notional amount receive index references SOFR and OIS, respectively. As of December 31, 2023, 80% and 20% of notional amount receive index references SOFR and OIS, respectively.</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880" w:h="15480" w:orient="portrait"/>
          <w:cols w:equalWidth="0" w:num="1">
            <w:col w:w="9960"/>
          </w:cols>
          <w:pgMar w:left="960" w:top="704" w:right="960" w:bottom="0" w:gutter="0" w:footer="0" w:header="0"/>
          <w:type w:val="continuous"/>
        </w:sectPr>
      </w:pPr>
    </w:p>
    <w:bookmarkStart w:id="77" w:name="page78"/>
    <w:bookmarkEnd w:id="77"/>
    <w:tbl>
      <w:tblPr>
        <w:tblLayout w:type="fixed"/>
        <w:tblInd w:w="20" w:type="dxa"/>
        <w:tblCellMar>
          <w:top w:w="0" w:type="dxa"/>
          <w:left w:w="0" w:type="dxa"/>
          <w:bottom w:w="0" w:type="dxa"/>
          <w:right w:w="0" w:type="dxa"/>
        </w:tblCellMar>
      </w:tblPr>
      <w:tr>
        <w:trPr>
          <w:trHeight w:val="184"/>
        </w:trPr>
        <w:tc>
          <w:tcPr>
            <w:tcW w:w="2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Receive Fixed / Pay Variable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Average</w:t>
            </w:r>
          </w:p>
        </w:tc>
        <w:tc>
          <w:tcPr>
            <w:tcW w:w="60" w:type="dxa"/>
            <w:vAlign w:val="bottom"/>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Variable</w:t>
            </w: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Fixed</w:t>
            </w: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Notional</w:t>
            </w:r>
          </w:p>
        </w:tc>
        <w:tc>
          <w:tcPr>
            <w:tcW w:w="10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3"/>
              </w:rPr>
              <w:t>Variable</w:t>
            </w:r>
          </w:p>
        </w:tc>
        <w:tc>
          <w:tcPr>
            <w:tcW w:w="6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Fixed</w:t>
            </w: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Years to Maturity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Pay</w:t>
            </w: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Receive</w:t>
            </w:r>
          </w:p>
        </w:tc>
        <w:tc>
          <w:tcPr>
            <w:tcW w:w="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Maturity</w:t>
            </w: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2"/>
              </w:rPr>
              <w:t>Pay</w:t>
            </w:r>
          </w:p>
        </w:tc>
        <w:tc>
          <w:tcPr>
            <w:tcW w:w="6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Receive</w:t>
            </w:r>
          </w:p>
        </w:tc>
        <w:tc>
          <w:tcPr>
            <w:tcW w:w="8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Maturity</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Rate</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Rate</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81"/>
        </w:trPr>
        <w:tc>
          <w:tcPr>
            <w:tcW w:w="2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&gt; 1 to ≤ 3 years</w:t>
            </w:r>
            <w:r>
              <w:rPr>
                <w:rFonts w:ascii="Times New Roman" w:cs="Times New Roman" w:eastAsia="Times New Roman" w:hAnsi="Times New Roman"/>
                <w:sz w:val="17"/>
                <w:szCs w:val="17"/>
                <w:color w:val="B4B4B4"/>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1040" w:type="dxa"/>
            <w:vAlign w:val="bottom"/>
            <w:gridSpan w:val="2"/>
          </w:tcPr>
          <w:p>
            <w:pPr>
              <w:jc w:val="center"/>
              <w:ind w:left="93"/>
              <w:spacing w:after="0"/>
              <w:rPr>
                <w:sz w:val="20"/>
                <w:szCs w:val="20"/>
                <w:color w:val="auto"/>
              </w:rPr>
            </w:pPr>
            <w:r>
              <w:rPr>
                <w:rFonts w:ascii="Times New Roman" w:cs="Times New Roman" w:eastAsia="Times New Roman" w:hAnsi="Times New Roman"/>
                <w:sz w:val="17"/>
                <w:szCs w:val="17"/>
                <w:color w:val="auto"/>
              </w:rPr>
              <w:t>$   (1,000)</w:t>
            </w:r>
          </w:p>
        </w:tc>
        <w:tc>
          <w:tcPr>
            <w:tcW w:w="9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5.38%</w:t>
            </w:r>
          </w:p>
        </w:tc>
        <w:tc>
          <w:tcPr>
            <w:tcW w:w="9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4.65%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85" w:lineRule="exact"/>
        <w:rPr>
          <w:sz w:val="20"/>
          <w:szCs w:val="20"/>
          <w:color w:val="auto"/>
        </w:rPr>
      </w:pPr>
    </w:p>
    <w:p>
      <w:pPr>
        <w:ind w:left="700" w:hanging="347"/>
        <w:spacing w:after="0"/>
        <w:tabs>
          <w:tab w:leader="none" w:pos="7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index references SOFR.</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1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Payer Swaptions</w:t>
            </w: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Underlying Payer Swap</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Months to</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3"/>
              </w:rPr>
              <w:t>Cost Basis</w:t>
            </w:r>
          </w:p>
        </w:tc>
        <w:tc>
          <w:tcPr>
            <w:tcW w:w="80" w:type="dxa"/>
            <w:vAlign w:val="bottom"/>
          </w:tcPr>
          <w:p>
            <w:pPr>
              <w:spacing w:after="0"/>
              <w:rPr>
                <w:sz w:val="13"/>
                <w:szCs w:val="13"/>
                <w:color w:val="auto"/>
              </w:rPr>
            </w:pPr>
          </w:p>
        </w:tc>
        <w:tc>
          <w:tcPr>
            <w:tcW w:w="98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Expiration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Fixed Pay</w:t>
            </w:r>
          </w:p>
        </w:tc>
        <w:tc>
          <w:tcPr>
            <w:tcW w:w="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0" w:type="dxa"/>
            <w:vAlign w:val="bottom"/>
          </w:tcPr>
          <w:p>
            <w:pPr>
              <w:spacing w:after="0"/>
              <w:rPr>
                <w:sz w:val="1"/>
                <w:szCs w:val="1"/>
                <w:color w:val="auto"/>
              </w:rPr>
            </w:pPr>
          </w:p>
        </w:tc>
      </w:tr>
      <w:tr>
        <w:trPr>
          <w:trHeight w:val="208"/>
        </w:trPr>
        <w:tc>
          <w:tcPr>
            <w:tcW w:w="1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Expiration Date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52"/>
        </w:trPr>
        <w:tc>
          <w:tcPr>
            <w:tcW w:w="1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December 31, 2024 </w:t>
            </w:r>
            <w:r>
              <w:rPr>
                <w:rFonts w:ascii="Times New Roman" w:cs="Times New Roman" w:eastAsia="Times New Roman" w:hAnsi="Times New Roman"/>
                <w:sz w:val="17"/>
                <w:szCs w:val="17"/>
                <w:color w:val="B4B4B4"/>
              </w:rPr>
              <w:t>.........</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 xml:space="preserve">≤ 1 year </w:t>
            </w:r>
            <w:r>
              <w:rPr>
                <w:rFonts w:ascii="Times New Roman" w:cs="Times New Roman" w:eastAsia="Times New Roman" w:hAnsi="Times New Roman"/>
                <w:sz w:val="17"/>
                <w:szCs w:val="17"/>
                <w:color w:val="B4B4B4"/>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6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4.16%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76"/>
        </w:trPr>
        <w:tc>
          <w:tcPr>
            <w:tcW w:w="1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December 31, 2023 </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 xml:space="preserve">≤ 1 year </w:t>
            </w:r>
            <w:r>
              <w:rPr>
                <w:rFonts w:ascii="Times New Roman" w:cs="Times New Roman" w:eastAsia="Times New Roman" w:hAnsi="Times New Roman"/>
                <w:sz w:val="17"/>
                <w:szCs w:val="17"/>
                <w:color w:val="B4B4B4"/>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6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2.61%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tabs>
          <w:tab w:leader="none" w:pos="7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index references SOFR.</w:t>
      </w: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Receiver Swaptions</w:t>
            </w:r>
          </w:p>
        </w:tc>
        <w:tc>
          <w:tcPr>
            <w:tcW w:w="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Underlying Receiver Swap</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Months to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Option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8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3"/>
              </w:rPr>
              <w:t>Cost Basis</w:t>
            </w:r>
          </w:p>
        </w:tc>
        <w:tc>
          <w:tcPr>
            <w:tcW w:w="80" w:type="dxa"/>
            <w:vAlign w:val="bottom"/>
          </w:tcPr>
          <w:p>
            <w:pPr>
              <w:spacing w:after="0"/>
              <w:rPr>
                <w:sz w:val="13"/>
                <w:szCs w:val="13"/>
                <w:color w:val="auto"/>
              </w:rPr>
            </w:pPr>
          </w:p>
        </w:tc>
        <w:tc>
          <w:tcPr>
            <w:tcW w:w="98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Expiration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Receive</w:t>
            </w:r>
          </w:p>
        </w:tc>
        <w:tc>
          <w:tcPr>
            <w:tcW w:w="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0" w:type="dxa"/>
            <w:vAlign w:val="bottom"/>
          </w:tcPr>
          <w:p>
            <w:pPr>
              <w:spacing w:after="0"/>
              <w:rPr>
                <w:sz w:val="1"/>
                <w:szCs w:val="1"/>
                <w:color w:val="auto"/>
              </w:rPr>
            </w:pPr>
          </w:p>
        </w:tc>
      </w:tr>
      <w:tr>
        <w:trPr>
          <w:trHeight w:val="208"/>
        </w:trPr>
        <w:tc>
          <w:tcPr>
            <w:tcW w:w="19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Expiration Date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252"/>
        </w:trPr>
        <w:tc>
          <w:tcPr>
            <w:tcW w:w="1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xml:space="preserve">December 31, 2024 </w:t>
            </w:r>
            <w:r>
              <w:rPr>
                <w:rFonts w:ascii="Times New Roman" w:cs="Times New Roman" w:eastAsia="Times New Roman" w:hAnsi="Times New Roman"/>
                <w:sz w:val="17"/>
                <w:szCs w:val="17"/>
                <w:color w:val="B4B4B4"/>
              </w:rPr>
              <w:t>.........</w:t>
            </w:r>
          </w:p>
        </w:tc>
        <w:tc>
          <w:tcPr>
            <w:tcW w:w="6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 xml:space="preserve">≤ 1 year </w:t>
            </w:r>
            <w:r>
              <w:rPr>
                <w:rFonts w:ascii="Times New Roman" w:cs="Times New Roman" w:eastAsia="Times New Roman" w:hAnsi="Times New Roman"/>
                <w:sz w:val="17"/>
                <w:szCs w:val="17"/>
                <w:color w:val="B4B4B4"/>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2.98%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76"/>
        </w:trPr>
        <w:tc>
          <w:tcPr>
            <w:tcW w:w="1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xml:space="preserve">December 31, 2023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 xml:space="preserve">≤ 1 year </w:t>
            </w:r>
            <w:r>
              <w:rPr>
                <w:rFonts w:ascii="Times New Roman" w:cs="Times New Roman" w:eastAsia="Times New Roman" w:hAnsi="Times New Roman"/>
                <w:sz w:val="17"/>
                <w:szCs w:val="17"/>
                <w:color w:val="B4B4B4"/>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2.98%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   Pay index references SOFR.</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2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U.S. Treasury Securities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5"/>
              </w:rPr>
              <w:t>December 31, 2024</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Years to Maturity</w:t>
            </w:r>
          </w:p>
        </w:tc>
        <w:tc>
          <w:tcPr>
            <w:tcW w:w="80" w:type="dxa"/>
            <w:vAlign w:val="bottom"/>
          </w:tcPr>
          <w:p>
            <w:pPr>
              <w:spacing w:after="0"/>
              <w:rPr>
                <w:sz w:val="15"/>
                <w:szCs w:val="15"/>
                <w:color w:val="auto"/>
              </w:rPr>
            </w:pP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Face 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6"/>
              </w:rPr>
              <w:t>Cost Basis</w:t>
            </w:r>
          </w:p>
        </w:tc>
        <w:tc>
          <w:tcPr>
            <w:tcW w:w="1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00" w:type="dxa"/>
            <w:vAlign w:val="bottom"/>
          </w:tcPr>
          <w:p>
            <w:pPr>
              <w:spacing w:after="0"/>
              <w:rPr>
                <w:sz w:val="15"/>
                <w:szCs w:val="15"/>
                <w:color w:val="auto"/>
              </w:rPr>
            </w:pPr>
          </w:p>
        </w:tc>
        <w:tc>
          <w:tcPr>
            <w:tcW w:w="1120" w:type="dxa"/>
            <w:vAlign w:val="bottom"/>
            <w:gridSpan w:val="2"/>
          </w:tcPr>
          <w:p>
            <w:pPr>
              <w:jc w:val="right"/>
              <w:ind w:right="14"/>
              <w:spacing w:after="0" w:line="180" w:lineRule="exact"/>
              <w:rPr>
                <w:sz w:val="20"/>
                <w:szCs w:val="20"/>
                <w:color w:val="auto"/>
              </w:rPr>
            </w:pPr>
            <w:r>
              <w:rPr>
                <w:rFonts w:ascii="Times New Roman" w:cs="Times New Roman" w:eastAsia="Times New Roman" w:hAnsi="Times New Roman"/>
                <w:sz w:val="16"/>
                <w:szCs w:val="16"/>
                <w:b w:val="1"/>
                <w:bCs w:val="1"/>
                <w:color w:val="auto"/>
              </w:rPr>
              <w:t>Face 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208"/>
        </w:trPr>
        <w:tc>
          <w:tcPr>
            <w:tcW w:w="2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Long/(Short)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Long/(Short)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9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 5 years </w:t>
            </w:r>
            <w:r>
              <w:rPr>
                <w:rFonts w:ascii="Times New Roman" w:cs="Times New Roman" w:eastAsia="Times New Roman" w:hAnsi="Times New Roman"/>
                <w:sz w:val="17"/>
                <w:szCs w:val="17"/>
                <w:color w:val="B4B4B4"/>
              </w:rPr>
              <w:t>..................................................</w:t>
            </w:r>
          </w:p>
        </w:tc>
        <w:tc>
          <w:tcPr>
            <w:tcW w:w="36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480" w:type="dxa"/>
            <w:vAlign w:val="bottom"/>
            <w:gridSpan w:val="2"/>
          </w:tcPr>
          <w:p>
            <w:pPr>
              <w:jc w:val="right"/>
              <w:ind w:right="162"/>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0" w:type="dxa"/>
            <w:vAlign w:val="bottom"/>
          </w:tcPr>
          <w:p>
            <w:pPr>
              <w:spacing w:after="0"/>
              <w:rPr>
                <w:sz w:val="1"/>
                <w:szCs w:val="1"/>
                <w:color w:val="auto"/>
              </w:rPr>
            </w:pPr>
          </w:p>
        </w:tc>
      </w:tr>
      <w:tr>
        <w:trPr>
          <w:trHeight w:val="291"/>
        </w:trPr>
        <w:tc>
          <w:tcPr>
            <w:tcW w:w="29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&gt; 5 year ≤ 7 years </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0" w:type="dxa"/>
            <w:vAlign w:val="bottom"/>
          </w:tcPr>
          <w:p>
            <w:pPr>
              <w:spacing w:after="0"/>
              <w:rPr>
                <w:sz w:val="1"/>
                <w:szCs w:val="1"/>
                <w:color w:val="auto"/>
              </w:rPr>
            </w:pPr>
          </w:p>
        </w:tc>
      </w:tr>
      <w:tr>
        <w:trPr>
          <w:trHeight w:val="291"/>
        </w:trPr>
        <w:tc>
          <w:tcPr>
            <w:tcW w:w="29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&gt; 7 year ≤ 10 years </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(8,187)</w:t>
            </w:r>
          </w:p>
        </w:tc>
        <w:tc>
          <w:tcPr>
            <w:tcW w:w="0" w:type="dxa"/>
            <w:vAlign w:val="bottom"/>
          </w:tcPr>
          <w:p>
            <w:pPr>
              <w:spacing w:after="0"/>
              <w:rPr>
                <w:sz w:val="1"/>
                <w:szCs w:val="1"/>
                <w:color w:val="auto"/>
              </w:rPr>
            </w:pPr>
          </w:p>
        </w:tc>
      </w:tr>
      <w:tr>
        <w:trPr>
          <w:trHeight w:val="296"/>
        </w:trPr>
        <w:tc>
          <w:tcPr>
            <w:tcW w:w="29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&gt; 10 years </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0" w:type="dxa"/>
            <w:vAlign w:val="bottom"/>
          </w:tcPr>
          <w:p>
            <w:pPr>
              <w:spacing w:after="0"/>
              <w:rPr>
                <w:sz w:val="1"/>
                <w:szCs w:val="1"/>
                <w:color w:val="auto"/>
              </w:rPr>
            </w:pPr>
          </w:p>
        </w:tc>
      </w:tr>
      <w:tr>
        <w:trPr>
          <w:trHeight w:val="252"/>
        </w:trPr>
        <w:tc>
          <w:tcPr>
            <w:tcW w:w="29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Total U.S. Treasury securities </w:t>
            </w:r>
            <w:r>
              <w:rPr>
                <w:rFonts w:ascii="Times New Roman" w:cs="Times New Roman" w:eastAsia="Times New Roman" w:hAnsi="Times New Roman"/>
                <w:sz w:val="17"/>
                <w:szCs w:val="17"/>
                <w:color w:val="B4B4B4"/>
              </w:rPr>
              <w:t>.................</w:t>
            </w:r>
          </w:p>
        </w:tc>
        <w:tc>
          <w:tcPr>
            <w:tcW w:w="360" w:type="dxa"/>
            <w:vAlign w:val="bottom"/>
            <w:gridSpan w:val="2"/>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(16,207)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(15,101)</w:t>
            </w:r>
          </w:p>
        </w:tc>
        <w:tc>
          <w:tcPr>
            <w:tcW w:w="480" w:type="dxa"/>
            <w:vAlign w:val="bottom"/>
            <w:gridSpan w:val="2"/>
          </w:tcPr>
          <w:p>
            <w:pPr>
              <w:jc w:val="right"/>
              <w:ind w:right="162"/>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-43180</wp:posOffset>
            </wp:positionV>
            <wp:extent cx="4423410" cy="50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3">
                      <a:extLst>
                        <a:ext uri="{28A0092B-C50C-407E-A947-70E740481C1C}"/>
                      </a:extLst>
                    </a:blip>
                    <a:srcRect/>
                    <a:stretch>
                      <a:fillRect/>
                    </a:stretch>
                  </pic:blipFill>
                  <pic:spPr bwMode="auto">
                    <a:xfrm>
                      <a:off x="0" y="0"/>
                      <a:ext cx="4423410"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jc w:val="both"/>
        <w:ind w:left="700" w:hanging="347"/>
        <w:spacing w:after="0" w:line="243" w:lineRule="auto"/>
        <w:tabs>
          <w:tab w:leader="none" w:pos="7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and 2023, short U.S. Treasury securities totaling $(16.7) billion and $(10.9) billion, at fair value, respectively, had a weighted average yield of 3.85% and 3.64%, respectively. As of December 31, 2024 and 2023, long U.S. Treasury securities totaling $1.6 billion and $1.5 billion, at fair value, respectively, had a weighted average yield of 4.27% and 4.39%, respectively.</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U.S. Treasury Futures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w w:val="95"/>
              </w:rPr>
              <w:t>December 31, 2024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w w:val="93"/>
              </w:rPr>
              <w:t>Notional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restart"/>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w w:val="97"/>
              </w:rPr>
              <w:t>Notional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restart"/>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36"/>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6"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67"/>
              <w:spacing w:after="0" w:line="136"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6"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47"/>
              <w:spacing w:after="0" w:line="136"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84"/>
        </w:trPr>
        <w:tc>
          <w:tcPr>
            <w:tcW w:w="2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8"/>
              </w:rPr>
              <w:t>Long (Short)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Basis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7"/>
              <w:spacing w:after="0" w:line="185" w:lineRule="exact"/>
              <w:rPr>
                <w:sz w:val="20"/>
                <w:szCs w:val="20"/>
                <w:color w:val="auto"/>
              </w:rPr>
            </w:pPr>
            <w:r>
              <w:rPr>
                <w:rFonts w:ascii="Times New Roman" w:cs="Times New Roman" w:eastAsia="Times New Roman" w:hAnsi="Times New Roman"/>
                <w:sz w:val="14"/>
                <w:szCs w:val="14"/>
                <w:b w:val="1"/>
                <w:bCs w:val="1"/>
                <w:color w:val="auto"/>
                <w:w w:val="94"/>
              </w:rPr>
              <w:t xml:space="preserve">Value </w:t>
            </w:r>
            <w:r>
              <w:rPr>
                <w:rFonts w:ascii="Times New Roman" w:cs="Times New Roman" w:eastAsia="Times New Roman" w:hAnsi="Times New Roman"/>
                <w:sz w:val="17"/>
                <w:szCs w:val="17"/>
                <w:b w:val="1"/>
                <w:bCs w:val="1"/>
                <w:color w:val="auto"/>
                <w:w w:val="94"/>
                <w:vertAlign w:val="superscript"/>
              </w:rPr>
              <w:t>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8"/>
              </w:rPr>
              <w:t>Long (Short)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Basis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7"/>
              <w:spacing w:after="0" w:line="185" w:lineRule="exact"/>
              <w:rPr>
                <w:sz w:val="20"/>
                <w:szCs w:val="20"/>
                <w:color w:val="auto"/>
              </w:rPr>
            </w:pPr>
            <w:r>
              <w:rPr>
                <w:rFonts w:ascii="Times New Roman" w:cs="Times New Roman" w:eastAsia="Times New Roman" w:hAnsi="Times New Roman"/>
                <w:sz w:val="14"/>
                <w:szCs w:val="14"/>
                <w:b w:val="1"/>
                <w:bCs w:val="1"/>
                <w:color w:val="auto"/>
                <w:w w:val="94"/>
              </w:rPr>
              <w:t xml:space="preserve">Value </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50"/>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 xml:space="preserve">&gt; 5 year ≤ 7 years </w:t>
            </w:r>
            <w:r>
              <w:rPr>
                <w:rFonts w:ascii="Times New Roman" w:cs="Times New Roman" w:eastAsia="Times New Roman" w:hAnsi="Times New Roman"/>
                <w:sz w:val="16"/>
                <w:szCs w:val="16"/>
                <w:color w:val="B4B4B4"/>
                <w:w w:val="96"/>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76"/>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 xml:space="preserve">&gt; 7 year ≤ 10 years </w:t>
            </w:r>
            <w:r>
              <w:rPr>
                <w:rFonts w:ascii="Times New Roman" w:cs="Times New Roman" w:eastAsia="Times New Roman" w:hAnsi="Times New Roman"/>
                <w:sz w:val="16"/>
                <w:szCs w:val="16"/>
                <w:color w:val="B4B4B4"/>
                <w:w w:val="96"/>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83"/>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 xml:space="preserve">&gt; 10 years </w:t>
            </w:r>
            <w:r>
              <w:rPr>
                <w:rFonts w:ascii="Times New Roman" w:cs="Times New Roman" w:eastAsia="Times New Roman" w:hAnsi="Times New Roman"/>
                <w:sz w:val="16"/>
                <w:szCs w:val="16"/>
                <w:color w:val="B4B4B4"/>
                <w:w w:val="96"/>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7"/>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5"/>
              </w:rPr>
              <w:t xml:space="preserve">Total U.S. Treasury futures </w:t>
            </w:r>
            <w:r>
              <w:rPr>
                <w:rFonts w:ascii="Times New Roman" w:cs="Times New Roman" w:eastAsia="Times New Roman" w:hAnsi="Times New Roman"/>
                <w:sz w:val="16"/>
                <w:szCs w:val="16"/>
                <w:color w:val="B4B4B4"/>
                <w:w w:val="95"/>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-43180</wp:posOffset>
            </wp:positionV>
            <wp:extent cx="4811395" cy="501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4">
                      <a:extLst>
                        <a:ext uri="{28A0092B-C50C-407E-A947-70E740481C1C}"/>
                      </a:extLst>
                    </a:blip>
                    <a:srcRect/>
                    <a:stretch>
                      <a:fillRect/>
                    </a:stretch>
                  </pic:blipFill>
                  <pic:spPr bwMode="auto">
                    <a:xfrm>
                      <a:off x="0" y="0"/>
                      <a:ext cx="4811395"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jc w:val="both"/>
        <w:ind w:left="700" w:hanging="347"/>
        <w:spacing w:after="0" w:line="243" w:lineRule="auto"/>
        <w:tabs>
          <w:tab w:leader="none" w:pos="7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ectPr>
          <w:pgSz w:w="11880" w:h="15480" w:orient="portrait"/>
          <w:cols w:equalWidth="0" w:num="1">
            <w:col w:w="9960"/>
          </w:cols>
          <w:pgMar w:left="960" w:top="1390" w:right="960" w:bottom="0"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880" w:h="15480" w:orient="portrait"/>
          <w:cols w:equalWidth="0" w:num="1">
            <w:col w:w="9960"/>
          </w:cols>
          <w:pgMar w:left="960" w:top="1390" w:right="96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11"/>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w w:val="95"/>
              </w:rPr>
              <w:t>December 31, 2024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Notional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Notional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36"/>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TBA Securities by Coupon</w:t>
            </w:r>
          </w:p>
        </w:tc>
        <w:tc>
          <w:tcPr>
            <w:tcW w:w="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4"/>
              <w:spacing w:after="0" w:line="136"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64"/>
              <w:spacing w:after="0" w:line="136"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4"/>
              <w:spacing w:after="0" w:line="136"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44"/>
              <w:spacing w:after="0" w:line="136"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84"/>
        </w:trPr>
        <w:tc>
          <w:tcPr>
            <w:tcW w:w="22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8"/>
              </w:rPr>
              <w:t>Long (Short)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4"/>
              <w:spacing w:after="0" w:line="185" w:lineRule="exact"/>
              <w:rPr>
                <w:sz w:val="20"/>
                <w:szCs w:val="20"/>
                <w:color w:val="auto"/>
              </w:rPr>
            </w:pPr>
            <w:r>
              <w:rPr>
                <w:rFonts w:ascii="Times New Roman" w:cs="Times New Roman" w:eastAsia="Times New Roman" w:hAnsi="Times New Roman"/>
                <w:sz w:val="14"/>
                <w:szCs w:val="14"/>
                <w:b w:val="1"/>
                <w:bCs w:val="1"/>
                <w:color w:val="auto"/>
                <w:w w:val="94"/>
              </w:rPr>
              <w:t xml:space="preserve">Value </w:t>
            </w:r>
            <w:r>
              <w:rPr>
                <w:rFonts w:ascii="Times New Roman" w:cs="Times New Roman" w:eastAsia="Times New Roman" w:hAnsi="Times New Roman"/>
                <w:sz w:val="17"/>
                <w:szCs w:val="17"/>
                <w:b w:val="1"/>
                <w:bCs w:val="1"/>
                <w:color w:val="auto"/>
                <w:w w:val="94"/>
                <w:vertAlign w:val="superscript"/>
              </w:rPr>
              <w:t>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8"/>
              </w:rPr>
              <w:t>Long (Short)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Basis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4"/>
              <w:spacing w:after="0" w:line="185" w:lineRule="exact"/>
              <w:rPr>
                <w:sz w:val="20"/>
                <w:szCs w:val="20"/>
                <w:color w:val="auto"/>
              </w:rPr>
            </w:pPr>
            <w:r>
              <w:rPr>
                <w:rFonts w:ascii="Times New Roman" w:cs="Times New Roman" w:eastAsia="Times New Roman" w:hAnsi="Times New Roman"/>
                <w:sz w:val="14"/>
                <w:szCs w:val="14"/>
                <w:b w:val="1"/>
                <w:bCs w:val="1"/>
                <w:color w:val="auto"/>
                <w:w w:val="94"/>
              </w:rPr>
              <w:t xml:space="preserve">Value </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50"/>
        </w:trPr>
        <w:tc>
          <w:tcPr>
            <w:tcW w:w="2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15-Year TBA securities: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5.0%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6"/>
        </w:trPr>
        <w:tc>
          <w:tcPr>
            <w:tcW w:w="2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15-Year TBA securities</w:t>
            </w: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89</w:t>
            </w: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0"/>
        </w:trPr>
        <w:tc>
          <w:tcPr>
            <w:tcW w:w="2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30-Year TBA securities: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3.0% </w:t>
            </w:r>
            <w:r>
              <w:rPr>
                <w:rFonts w:ascii="Times New Roman" w:cs="Times New Roman" w:eastAsia="Times New Roman" w:hAnsi="Times New Roman"/>
                <w:sz w:val="16"/>
                <w:szCs w:val="16"/>
                <w:color w:val="B4B4B4"/>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76"/>
        </w:trPr>
        <w:tc>
          <w:tcPr>
            <w:tcW w:w="224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3.5% </w:t>
            </w:r>
            <w:r>
              <w:rPr>
                <w:rFonts w:ascii="Times New Roman" w:cs="Times New Roman" w:eastAsia="Times New Roman" w:hAnsi="Times New Roman"/>
                <w:sz w:val="16"/>
                <w:szCs w:val="16"/>
                <w:color w:val="B4B4B4"/>
                <w:w w:val="97"/>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6"/>
        </w:trPr>
        <w:tc>
          <w:tcPr>
            <w:tcW w:w="224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4.0% </w:t>
            </w:r>
            <w:r>
              <w:rPr>
                <w:rFonts w:ascii="Times New Roman" w:cs="Times New Roman" w:eastAsia="Times New Roman" w:hAnsi="Times New Roman"/>
                <w:sz w:val="16"/>
                <w:szCs w:val="16"/>
                <w:color w:val="B4B4B4"/>
                <w:w w:val="97"/>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6"/>
        </w:trPr>
        <w:tc>
          <w:tcPr>
            <w:tcW w:w="224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4.5% </w:t>
            </w:r>
            <w:r>
              <w:rPr>
                <w:rFonts w:ascii="Times New Roman" w:cs="Times New Roman" w:eastAsia="Times New Roman" w:hAnsi="Times New Roman"/>
                <w:sz w:val="16"/>
                <w:szCs w:val="16"/>
                <w:color w:val="B4B4B4"/>
                <w:w w:val="97"/>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2,342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76"/>
        </w:trPr>
        <w:tc>
          <w:tcPr>
            <w:tcW w:w="224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5.0% </w:t>
            </w:r>
            <w:r>
              <w:rPr>
                <w:rFonts w:ascii="Times New Roman" w:cs="Times New Roman" w:eastAsia="Times New Roman" w:hAnsi="Times New Roman"/>
                <w:sz w:val="16"/>
                <w:szCs w:val="16"/>
                <w:color w:val="B4B4B4"/>
                <w:w w:val="97"/>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2,780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1,717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6"/>
        </w:trPr>
        <w:tc>
          <w:tcPr>
            <w:tcW w:w="224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5.5% </w:t>
            </w:r>
            <w:r>
              <w:rPr>
                <w:rFonts w:ascii="Times New Roman" w:cs="Times New Roman" w:eastAsia="Times New Roman" w:hAnsi="Times New Roman"/>
                <w:sz w:val="16"/>
                <w:szCs w:val="16"/>
                <w:color w:val="B4B4B4"/>
                <w:w w:val="97"/>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2,034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2,047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76"/>
        </w:trPr>
        <w:tc>
          <w:tcPr>
            <w:tcW w:w="224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 xml:space="preserve">6.0% </w:t>
            </w:r>
            <w:r>
              <w:rPr>
                <w:rFonts w:ascii="Times New Roman" w:cs="Times New Roman" w:eastAsia="Times New Roman" w:hAnsi="Times New Roman"/>
                <w:sz w:val="16"/>
                <w:szCs w:val="16"/>
                <w:color w:val="B4B4B4"/>
                <w:w w:val="97"/>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2,033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83"/>
        </w:trPr>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6.5% </w:t>
            </w:r>
            <w:r>
              <w:rPr>
                <w:rFonts w:ascii="Times New Roman" w:cs="Times New Roman" w:eastAsia="Times New Roman" w:hAnsi="Times New Roman"/>
                <w:sz w:val="16"/>
                <w:szCs w:val="16"/>
                <w:color w:val="B4B4B4"/>
              </w:rPr>
              <w:t>......................................</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499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1,137</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1,152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1,164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56"/>
        </w:trPr>
        <w:tc>
          <w:tcPr>
            <w:tcW w:w="2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30-Year TBA securities, net</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6,955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6,861</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5,242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5,199</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5,263</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37"/>
        </w:trPr>
        <w:tc>
          <w:tcPr>
            <w:tcW w:w="2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8"/>
              </w:rPr>
              <w:t xml:space="preserve">Total TBA securities, net </w:t>
            </w:r>
            <w:r>
              <w:rPr>
                <w:rFonts w:ascii="Times New Roman" w:cs="Times New Roman" w:eastAsia="Times New Roman" w:hAnsi="Times New Roman"/>
                <w:sz w:val="16"/>
                <w:szCs w:val="16"/>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6,955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5,332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5,288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5,354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-43180</wp:posOffset>
            </wp:positionV>
            <wp:extent cx="4848225" cy="50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5">
                      <a:extLst>
                        <a:ext uri="{28A0092B-C50C-407E-A947-70E740481C1C}"/>
                      </a:extLst>
                    </a:blip>
                    <a:srcRect/>
                    <a:stretch>
                      <a:fillRect/>
                    </a:stretch>
                  </pic:blipFill>
                  <pic:spPr bwMode="auto">
                    <a:xfrm>
                      <a:off x="0" y="0"/>
                      <a:ext cx="4848225"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jc w:val="both"/>
        <w:ind w:left="700" w:hanging="347"/>
        <w:spacing w:after="0" w:line="243" w:lineRule="auto"/>
        <w:tabs>
          <w:tab w:leader="none" w:pos="7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64"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9"/>
          <w:szCs w:val="19"/>
          <w:color w:val="auto"/>
        </w:rPr>
        <w:t>As of December 31, 2024 and 2023, we held SOFR futures contracts with a long notional position of $1.2 billion and $0.9 billion, respectively, measured on a two-year swap equivalent basis, with a net carrying value of $(7) million and $(10) million, respectively.</w:t>
      </w:r>
    </w:p>
    <w:p>
      <w:pPr>
        <w:spacing w:after="0" w:line="144" w:lineRule="exact"/>
        <w:rPr>
          <w:sz w:val="20"/>
          <w:szCs w:val="20"/>
          <w:color w:val="auto"/>
        </w:rPr>
      </w:pPr>
    </w:p>
    <w:p>
      <w:pPr>
        <w:jc w:val="both"/>
        <w:ind w:firstLine="436"/>
        <w:spacing w:after="0" w:line="246" w:lineRule="auto"/>
        <w:rPr>
          <w:sz w:val="20"/>
          <w:szCs w:val="20"/>
          <w:color w:val="auto"/>
        </w:rPr>
      </w:pPr>
      <w:r>
        <w:rPr>
          <w:rFonts w:ascii="Times New Roman" w:cs="Times New Roman" w:eastAsia="Times New Roman" w:hAnsi="Times New Roman"/>
          <w:sz w:val="19"/>
          <w:szCs w:val="19"/>
          <w:color w:val="auto"/>
        </w:rPr>
        <w:t>As of December 31, 2023, we held centrally cleared credit default swaps ("CDS") with a notional value of $95 million that referenced the Markit CDX Investment Grade or High Yield Grade Index, maturing in December 2028. Under the terms of these contracts, we made fixed periodic payments equal to 1% per annum of the notional value and we were entitled to receive payments in the event of qualifying credit events. As of December 31, 2023, the credit default swaps had a market value of $(6) million and a carrying value of zero dollars, net of variation margin settlements. Pursuant to rules governing central clearing activities, we recognized variation margin settlements as a direct reduction of the carrying value of the CDS asset or liability.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Gain (Loss) From Derivative Instruments and Other Securities, Net</w:t>
      </w:r>
    </w:p>
    <w:p>
      <w:pPr>
        <w:spacing w:after="0" w:line="196"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The following table summarizes changes in our derivative and other hedge portfolio and their effect on our consolidated statements of comprehensive income for fiscal years 2024, 2023 and 2022 (in millions):</w:t>
      </w:r>
    </w:p>
    <w:p>
      <w:pPr>
        <w:sectPr>
          <w:pgSz w:w="11880" w:h="15480" w:orient="portrait"/>
          <w:cols w:equalWidth="0" w:num="1">
            <w:col w:w="9960"/>
          </w:cols>
          <w:pgMar w:left="960" w:top="115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1880" w:h="15480" w:orient="portrait"/>
          <w:cols w:equalWidth="0" w:num="1">
            <w:col w:w="9960"/>
          </w:cols>
          <w:pgMar w:left="960" w:top="1159" w:right="960"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Settlement,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4"/>
              </w:rPr>
              <w:t>Gain/(Loss)</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Ending</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34"/>
              <w:spacing w:after="0" w:line="155" w:lineRule="exact"/>
              <w:rPr>
                <w:sz w:val="20"/>
                <w:szCs w:val="20"/>
                <w:color w:val="auto"/>
              </w:rPr>
            </w:pPr>
            <w:r>
              <w:rPr>
                <w:rFonts w:ascii="Times New Roman" w:cs="Times New Roman" w:eastAsia="Times New Roman" w:hAnsi="Times New Roman"/>
                <w:sz w:val="16"/>
                <w:szCs w:val="16"/>
                <w:b w:val="1"/>
                <w:bCs w:val="1"/>
                <w:color w:val="auto"/>
                <w:w w:val="95"/>
              </w:rPr>
              <w:t>on Derivative</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Termination,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34"/>
              <w:spacing w:after="0" w:line="155" w:lineRule="exact"/>
              <w:rPr>
                <w:sz w:val="20"/>
                <w:szCs w:val="20"/>
                <w:color w:val="auto"/>
              </w:rPr>
            </w:pPr>
            <w:r>
              <w:rPr>
                <w:rFonts w:ascii="Times New Roman" w:cs="Times New Roman" w:eastAsia="Times New Roman" w:hAnsi="Times New Roman"/>
                <w:sz w:val="16"/>
                <w:szCs w:val="16"/>
                <w:b w:val="1"/>
                <w:bCs w:val="1"/>
                <w:color w:val="auto"/>
                <w:w w:val="95"/>
              </w:rPr>
              <w:t>Instruments</w:t>
            </w:r>
          </w:p>
        </w:tc>
        <w:tc>
          <w:tcPr>
            <w:tcW w:w="0" w:type="dxa"/>
            <w:vAlign w:val="bottom"/>
          </w:tcPr>
          <w:p>
            <w:pPr>
              <w:spacing w:after="0"/>
              <w:rPr>
                <w:sz w:val="1"/>
                <w:szCs w:val="1"/>
                <w:color w:val="auto"/>
              </w:rPr>
            </w:pPr>
          </w:p>
        </w:tc>
      </w:tr>
      <w:tr>
        <w:trPr>
          <w:trHeight w:val="155"/>
        </w:trPr>
        <w:tc>
          <w:tcPr>
            <w:tcW w:w="41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 and Other Hedging Instruments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4"/>
              <w:spacing w:after="0" w:line="155" w:lineRule="exact"/>
              <w:rPr>
                <w:sz w:val="20"/>
                <w:szCs w:val="20"/>
                <w:color w:val="auto"/>
              </w:rPr>
            </w:pPr>
            <w:r>
              <w:rPr>
                <w:rFonts w:ascii="Times New Roman" w:cs="Times New Roman" w:eastAsia="Times New Roman" w:hAnsi="Times New Roman"/>
                <w:sz w:val="16"/>
                <w:szCs w:val="16"/>
                <w:b w:val="1"/>
                <w:bCs w:val="1"/>
                <w:color w:val="auto"/>
                <w:w w:val="95"/>
              </w:rPr>
              <w:t>Notional</w:t>
            </w:r>
          </w:p>
        </w:tc>
        <w:tc>
          <w:tcPr>
            <w:tcW w:w="80" w:type="dxa"/>
            <w:vAlign w:val="bottom"/>
          </w:tcPr>
          <w:p>
            <w:pPr>
              <w:spacing w:after="0"/>
              <w:rPr>
                <w:sz w:val="13"/>
                <w:szCs w:val="13"/>
                <w:color w:val="auto"/>
              </w:rPr>
            </w:pPr>
          </w:p>
        </w:tc>
        <w:tc>
          <w:tcPr>
            <w:tcW w:w="104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Expiration 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5"/>
              </w:rPr>
              <w:t>Notional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34"/>
              <w:spacing w:after="0" w:line="155" w:lineRule="exact"/>
              <w:rPr>
                <w:sz w:val="20"/>
                <w:szCs w:val="20"/>
                <w:color w:val="auto"/>
              </w:rPr>
            </w:pPr>
            <w:r>
              <w:rPr>
                <w:rFonts w:ascii="Times New Roman" w:cs="Times New Roman" w:eastAsia="Times New Roman" w:hAnsi="Times New Roman"/>
                <w:sz w:val="16"/>
                <w:szCs w:val="16"/>
                <w:b w:val="1"/>
                <w:bCs w:val="1"/>
                <w:color w:val="auto"/>
                <w:w w:val="96"/>
              </w:rPr>
              <w:t>and Other</w:t>
            </w:r>
          </w:p>
        </w:tc>
        <w:tc>
          <w:tcPr>
            <w:tcW w:w="0" w:type="dxa"/>
            <w:vAlign w:val="bottom"/>
          </w:tcPr>
          <w:p>
            <w:pPr>
              <w:spacing w:after="0"/>
              <w:rPr>
                <w:sz w:val="1"/>
                <w:szCs w:val="1"/>
                <w:color w:val="auto"/>
              </w:rPr>
            </w:pPr>
          </w:p>
        </w:tc>
      </w:tr>
      <w:tr>
        <w:trPr>
          <w:trHeight w:val="208"/>
        </w:trPr>
        <w:tc>
          <w:tcPr>
            <w:tcW w:w="4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8"/>
                <w:szCs w:val="18"/>
                <w:color w:val="auto"/>
              </w:rPr>
            </w:pPr>
          </w:p>
        </w:tc>
        <w:tc>
          <w:tcPr>
            <w:tcW w:w="118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6"/>
                <w:szCs w:val="16"/>
                <w:b w:val="1"/>
                <w:bCs w:val="1"/>
                <w:color w:val="auto"/>
                <w:w w:val="98"/>
              </w:rPr>
              <w:t xml:space="preserve">Securities, Net </w:t>
            </w:r>
            <w:r>
              <w:rPr>
                <w:rFonts w:ascii="Times New Roman" w:cs="Times New Roman" w:eastAsia="Times New Roman" w:hAnsi="Times New Roman"/>
                <w:sz w:val="20"/>
                <w:szCs w:val="20"/>
                <w:b w:val="1"/>
                <w:bCs w:val="1"/>
                <w:color w:val="auto"/>
                <w:w w:val="98"/>
                <w:vertAlign w:val="superscript"/>
              </w:rPr>
              <w:t>1</w:t>
            </w:r>
          </w:p>
        </w:tc>
        <w:tc>
          <w:tcPr>
            <w:tcW w:w="0" w:type="dxa"/>
            <w:vAlign w:val="bottom"/>
          </w:tcPr>
          <w:p>
            <w:pPr>
              <w:spacing w:after="0"/>
              <w:rPr>
                <w:sz w:val="1"/>
                <w:szCs w:val="1"/>
                <w:color w:val="auto"/>
              </w:rPr>
            </w:pPr>
          </w:p>
        </w:tc>
      </w:tr>
      <w:tr>
        <w:trPr>
          <w:trHeight w:val="252"/>
        </w:trPr>
        <w:tc>
          <w:tcPr>
            <w:tcW w:w="4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Fiscal Year 2024:</w:t>
            </w: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TBA securities, net</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123,959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(122,336)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6,955</w:t>
            </w:r>
          </w:p>
        </w:tc>
        <w:tc>
          <w:tcPr>
            <w:tcW w:w="80" w:type="dxa"/>
            <w:vAlign w:val="bottom"/>
            <w:tcBorders>
              <w:right w:val="single" w:sz="8" w:color="auto"/>
            </w:tcBorders>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Forward settling non-Agency securities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rate swaps - payer</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44,476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39,646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rate swaps - receiver</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Credit default swaps - buy protection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Payer swaptions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Receiver swaptions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securities - short position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(16,948)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10,503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securities - long position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(7,687)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81"/>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futures contracts - short position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13,779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(4,373)</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76"/>
        </w:trPr>
        <w:tc>
          <w:tcPr>
            <w:tcW w:w="4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509"/>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Fiscal Year 2023: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TBA securities, net</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164,465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(178,183)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80" w:type="dxa"/>
            <w:vAlign w:val="bottom"/>
            <w:tcBorders>
              <w:right w:val="single" w:sz="8" w:color="auto"/>
            </w:tcBorders>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rate swaps - payer</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5,746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(9,095)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44,476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Interest rate swaps - receive, net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Credit default swaps - buy protection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Payer swaptions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Receiver swaptions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securities - short position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(20,143)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16,169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securities - long position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(13,137)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81"/>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futures contracts - short position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(31,465)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34,249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76"/>
        </w:trPr>
        <w:tc>
          <w:tcPr>
            <w:tcW w:w="4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0" w:type="dxa"/>
            <w:vAlign w:val="bottom"/>
          </w:tcPr>
          <w:p>
            <w:pPr>
              <w:spacing w:after="0"/>
              <w:rPr>
                <w:sz w:val="1"/>
                <w:szCs w:val="1"/>
                <w:color w:val="auto"/>
              </w:rPr>
            </w:pPr>
          </w:p>
        </w:tc>
      </w:tr>
      <w:tr>
        <w:trPr>
          <w:trHeight w:val="509"/>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Fiscal Year 2022: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TBA securities, net</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312,307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(319,930)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19,050</w:t>
            </w:r>
          </w:p>
        </w:tc>
        <w:tc>
          <w:tcPr>
            <w:tcW w:w="80" w:type="dxa"/>
            <w:vAlign w:val="bottom"/>
            <w:tcBorders>
              <w:right w:val="single" w:sz="8" w:color="auto"/>
            </w:tcBorders>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(2,860)</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Forward settling non-Agency securities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rate swaps - payer</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(9,295)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Credit default swaps - buy protection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(5,835)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5,620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Payer swaptions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Receiver swaptions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securities - short position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(15,548)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17,765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(7,373)</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0" w:type="dxa"/>
            <w:vAlign w:val="bottom"/>
          </w:tcPr>
          <w:p>
            <w:pPr>
              <w:spacing w:after="0"/>
              <w:rPr>
                <w:sz w:val="1"/>
                <w:szCs w:val="1"/>
                <w:color w:val="auto"/>
              </w:rPr>
            </w:pPr>
          </w:p>
        </w:tc>
      </w:tr>
      <w:tr>
        <w:trPr>
          <w:trHeight w:val="276"/>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securities - long position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10,202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(10,317)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81"/>
        </w:trPr>
        <w:tc>
          <w:tcPr>
            <w:tcW w:w="41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Treasury futures contracts - short position </w:t>
            </w:r>
            <w:r>
              <w:rPr>
                <w:rFonts w:ascii="Times New Roman" w:cs="Times New Roman" w:eastAsia="Times New Roman" w:hAnsi="Times New Roman"/>
                <w:sz w:val="17"/>
                <w:szCs w:val="17"/>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(37,493)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29,780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(9,213)</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0" w:type="dxa"/>
            <w:vAlign w:val="bottom"/>
          </w:tcPr>
          <w:p>
            <w:pPr>
              <w:spacing w:after="0"/>
              <w:rPr>
                <w:sz w:val="1"/>
                <w:szCs w:val="1"/>
                <w:color w:val="auto"/>
              </w:rPr>
            </w:pPr>
          </w:p>
        </w:tc>
      </w:tr>
      <w:tr>
        <w:trPr>
          <w:trHeight w:val="276"/>
        </w:trPr>
        <w:tc>
          <w:tcPr>
            <w:tcW w:w="4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5508625</wp:posOffset>
                </wp:positionH>
                <wp:positionV relativeFrom="paragraph">
                  <wp:posOffset>-6162675</wp:posOffset>
                </wp:positionV>
                <wp:extent cx="0" cy="193103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31035"/>
                        </a:xfrm>
                        <a:prstGeom prst="line">
                          <a:avLst/>
                        </a:prstGeom>
                        <a:solidFill>
                          <a:srgbClr val="FFFFFF"/>
                        </a:solidFill>
                        <a:ln w="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75pt,-485.2499pt" to="433.75pt,-333.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5508625</wp:posOffset>
                </wp:positionH>
                <wp:positionV relativeFrom="paragraph">
                  <wp:posOffset>-3880485</wp:posOffset>
                </wp:positionV>
                <wp:extent cx="0" cy="1755775"/>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5775"/>
                        </a:xfrm>
                        <a:prstGeom prst="line">
                          <a:avLst/>
                        </a:prstGeom>
                        <a:solidFill>
                          <a:srgbClr val="FFFFFF"/>
                        </a:solidFill>
                        <a:ln w="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75pt,-305.5499pt" to="433.75pt,-16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5508625</wp:posOffset>
                </wp:positionH>
                <wp:positionV relativeFrom="paragraph">
                  <wp:posOffset>-1773555</wp:posOffset>
                </wp:positionV>
                <wp:extent cx="0" cy="175514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5140"/>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75pt,-139.6499pt" to="433.75pt,-1.4499pt" o:allowincell="f" strokecolor="#000000" strokeweight="0pt"/>
            </w:pict>
          </mc:Fallback>
        </mc:AlternateContent>
        <w:drawing>
          <wp:anchor simplePos="0" relativeHeight="251657728" behindDoc="1" locked="0" layoutInCell="0" allowOverlap="1">
            <wp:simplePos x="0" y="0"/>
            <wp:positionH relativeFrom="column">
              <wp:posOffset>5542280</wp:posOffset>
            </wp:positionH>
            <wp:positionV relativeFrom="paragraph">
              <wp:posOffset>-4256405</wp:posOffset>
            </wp:positionV>
            <wp:extent cx="774065" cy="501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6">
                      <a:extLst>
                        <a:ext uri="{28A0092B-C50C-407E-A947-70E740481C1C}"/>
                      </a:extLst>
                    </a:blip>
                    <a:srcRect/>
                    <a:stretch>
                      <a:fillRect/>
                    </a:stretch>
                  </pic:blipFill>
                  <pic:spPr bwMode="auto">
                    <a:xfrm>
                      <a:off x="0" y="0"/>
                      <a:ext cx="774065" cy="50165"/>
                    </a:xfrm>
                    <a:prstGeom prst="rect">
                      <a:avLst/>
                    </a:prstGeom>
                    <a:noFill/>
                  </pic:spPr>
                </pic:pic>
              </a:graphicData>
            </a:graphic>
          </wp:anchor>
        </w:drawing>
        <w:drawing>
          <wp:anchor simplePos="0" relativeHeight="251657728" behindDoc="1" locked="0" layoutInCell="0" allowOverlap="1">
            <wp:simplePos x="0" y="0"/>
            <wp:positionH relativeFrom="column">
              <wp:posOffset>5542280</wp:posOffset>
            </wp:positionH>
            <wp:positionV relativeFrom="paragraph">
              <wp:posOffset>-2149475</wp:posOffset>
            </wp:positionV>
            <wp:extent cx="774065" cy="50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7">
                      <a:extLst>
                        <a:ext uri="{28A0092B-C50C-407E-A947-70E740481C1C}"/>
                      </a:extLst>
                    </a:blip>
                    <a:srcRect/>
                    <a:stretch>
                      <a:fillRect/>
                    </a:stretch>
                  </pic:blipFill>
                  <pic:spPr bwMode="auto">
                    <a:xfrm>
                      <a:off x="0" y="0"/>
                      <a:ext cx="774065" cy="50165"/>
                    </a:xfrm>
                    <a:prstGeom prst="rect">
                      <a:avLst/>
                    </a:prstGeom>
                    <a:noFill/>
                  </pic:spPr>
                </pic:pic>
              </a:graphicData>
            </a:graphic>
          </wp:anchor>
        </w:drawing>
        <w:drawing>
          <wp:anchor simplePos="0" relativeHeight="251657728" behindDoc="1" locked="0" layoutInCell="0" allowOverlap="1">
            <wp:simplePos x="0" y="0"/>
            <wp:positionH relativeFrom="column">
              <wp:posOffset>5542280</wp:posOffset>
            </wp:positionH>
            <wp:positionV relativeFrom="paragraph">
              <wp:posOffset>-43180</wp:posOffset>
            </wp:positionV>
            <wp:extent cx="774065" cy="50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8">
                      <a:extLst>
                        <a:ext uri="{28A0092B-C50C-407E-A947-70E740481C1C}"/>
                      </a:extLst>
                    </a:blip>
                    <a:srcRect/>
                    <a:stretch>
                      <a:fillRect/>
                    </a:stretch>
                  </pic:blipFill>
                  <pic:spPr bwMode="auto">
                    <a:xfrm>
                      <a:off x="0" y="0"/>
                      <a:ext cx="774065"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line="243" w:lineRule="auto"/>
        <w:tabs>
          <w:tab w:leader="none" w:pos="7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other miscellaneous gains and losses and other interest income (expense) recognized in gain (loss) on derivative instruments and other securities, net in our consolidated statements of comprehensive income.</w:t>
      </w:r>
    </w:p>
    <w:p>
      <w:pPr>
        <w:spacing w:after="0" w:line="157"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Additionally, as of December 31, 2024 and 2023, we held SOFR futures contracts with a long notional position of $1.2 billion and $0.9 billion, respectively, measured on a two-year swap equivalent basis. For fiscal years December 31, 2024 and 2023, we recognized a gain (loss) of $13 million and $(10) million, respectively, on our SOFR futures contracts in gain (loss) on derivative instruments and other securities, net in our consolidated statements of comprehensive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6. Pledged Assets</w:t>
      </w:r>
    </w:p>
    <w:p>
      <w:pPr>
        <w:spacing w:after="0" w:line="196"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Our funding agreements require us to fully collateralize our obligations under the agreements based upon our counterparties' collateral requirements and their determination of the fair value of the securities pledged as collateral, which</w:t>
      </w:r>
    </w:p>
    <w:p>
      <w:pPr>
        <w:sectPr>
          <w:pgSz w:w="11880" w:h="15480" w:orient="portrait"/>
          <w:cols w:equalWidth="0" w:num="1">
            <w:col w:w="9960"/>
          </w:cols>
          <w:pgMar w:left="960" w:top="777" w:right="96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880" w:h="15480" w:orient="portrait"/>
          <w:cols w:equalWidth="0" w:num="1">
            <w:col w:w="9960"/>
          </w:cols>
          <w:pgMar w:left="960" w:top="777" w:right="960" w:bottom="0" w:gutter="0" w:footer="0" w:header="0"/>
          <w:type w:val="continuous"/>
        </w:sectPr>
      </w:pPr>
    </w:p>
    <w:bookmarkStart w:id="80" w:name="page81"/>
    <w:bookmarkEnd w:id="80"/>
    <w:p>
      <w:pPr>
        <w:jc w:val="both"/>
        <w:spacing w:after="0" w:line="260" w:lineRule="auto"/>
        <w:rPr>
          <w:sz w:val="20"/>
          <w:szCs w:val="20"/>
          <w:color w:val="auto"/>
        </w:rPr>
      </w:pPr>
      <w:r>
        <w:rPr>
          <w:rFonts w:ascii="Times New Roman" w:cs="Times New Roman" w:eastAsia="Times New Roman" w:hAnsi="Times New Roman"/>
          <w:sz w:val="19"/>
          <w:szCs w:val="19"/>
          <w:color w:val="auto"/>
        </w:rPr>
        <w:t>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40"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9"/>
          <w:szCs w:val="19"/>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48"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As of December 31, 2024, our maximum amount at risk with any counterparty related to our repurchase agreements, excluding the Fixed Income Clearing Corporation, was less than 2% of our tangible stockholders' equity (or the excess/shortfall of the value of collateral pledged/received over our repurchase agreement liabilities/reverse repurchase agreement receivables). As of December 31, 2024, 9% of our tangible stockholder's equity was at risk with the Fixed Income Clearing Corporation.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Assets Pledged to Counterparties</w:t>
      </w:r>
    </w:p>
    <w:p>
      <w:pPr>
        <w:spacing w:after="0" w:line="196"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The following tables summarize our assets pledged as collateral under our funding, derivative and brokerage and clearing agreements by type, including securities pledged related to securities sold but not yet settled, as of December 31, 2024 and 2023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w w:val="93"/>
              </w:rPr>
              <w:t>Repurchase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5"/>
              </w:rPr>
              <w:t>Debt of</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020" w:type="dxa"/>
            <w:vAlign w:val="bottom"/>
            <w:vMerge w:val="restart"/>
          </w:tcPr>
          <w:p>
            <w:pPr>
              <w:jc w:val="right"/>
              <w:ind w:right="1602"/>
              <w:spacing w:after="0"/>
              <w:rPr>
                <w:sz w:val="20"/>
                <w:szCs w:val="20"/>
                <w:color w:val="auto"/>
              </w:rPr>
            </w:pPr>
            <w:r>
              <w:rPr>
                <w:rFonts w:ascii="Times New Roman" w:cs="Times New Roman" w:eastAsia="Times New Roman" w:hAnsi="Times New Roman"/>
                <w:sz w:val="16"/>
                <w:szCs w:val="16"/>
                <w:b w:val="1"/>
                <w:bCs w:val="1"/>
                <w:color w:val="auto"/>
                <w:w w:val="97"/>
              </w:rPr>
              <w:t xml:space="preserve">Assets Pledged to Counterparties </w:t>
            </w:r>
            <w:r>
              <w:rPr>
                <w:rFonts w:ascii="Times New Roman" w:cs="Times New Roman" w:eastAsia="Times New Roman" w:hAnsi="Times New Roman"/>
                <w:sz w:val="20"/>
                <w:szCs w:val="20"/>
                <w:b w:val="1"/>
                <w:bCs w:val="1"/>
                <w:color w:val="auto"/>
                <w:w w:val="97"/>
                <w:vertAlign w:val="superscript"/>
              </w:rPr>
              <w:t>1</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w w:val="79"/>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122"/>
              <w:spacing w:after="0" w:line="155"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82"/>
              <w:spacing w:after="0" w:line="155" w:lineRule="exact"/>
              <w:rPr>
                <w:sz w:val="20"/>
                <w:szCs w:val="20"/>
                <w:color w:val="auto"/>
              </w:rPr>
            </w:pPr>
            <w:r>
              <w:rPr>
                <w:rFonts w:ascii="Times New Roman" w:cs="Times New Roman" w:eastAsia="Times New Roman" w:hAnsi="Times New Roman"/>
                <w:sz w:val="16"/>
                <w:szCs w:val="16"/>
                <w:b w:val="1"/>
                <w:bCs w:val="1"/>
                <w:color w:val="auto"/>
                <w:w w:val="96"/>
              </w:rPr>
              <w:t>Agreements and</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0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Agreements</w:t>
            </w: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7"/>
              </w:rPr>
              <w:t>VIEs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Agency RMBS - fair value </w:t>
            </w:r>
            <w:r>
              <w:rPr>
                <w:rFonts w:ascii="Times New Roman" w:cs="Times New Roman" w:eastAsia="Times New Roman" w:hAnsi="Times New Roman"/>
                <w:sz w:val="16"/>
                <w:szCs w:val="16"/>
                <w:color w:val="B4B4B4"/>
                <w:w w:val="97"/>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59,958</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4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60,082</w:t>
            </w:r>
          </w:p>
        </w:tc>
        <w:tc>
          <w:tcPr>
            <w:tcW w:w="0" w:type="dxa"/>
            <w:vAlign w:val="bottom"/>
          </w:tcPr>
          <w:p>
            <w:pPr>
              <w:spacing w:after="0"/>
              <w:rPr>
                <w:sz w:val="1"/>
                <w:szCs w:val="1"/>
                <w:color w:val="auto"/>
              </w:rPr>
            </w:pPr>
          </w:p>
        </w:tc>
      </w:tr>
      <w:tr>
        <w:trPr>
          <w:trHeight w:val="276"/>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CRT - fair value </w:t>
            </w:r>
            <w:r>
              <w:rPr>
                <w:rFonts w:ascii="Times New Roman" w:cs="Times New Roman" w:eastAsia="Times New Roman" w:hAnsi="Times New Roman"/>
                <w:sz w:val="16"/>
                <w:szCs w:val="16"/>
                <w:color w:val="B4B4B4"/>
                <w:w w:val="97"/>
              </w:rPr>
              <w: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76"/>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Non-Agency - fair value </w:t>
            </w:r>
            <w:r>
              <w:rPr>
                <w:rFonts w:ascii="Times New Roman" w:cs="Times New Roman" w:eastAsia="Times New Roman" w:hAnsi="Times New Roman"/>
                <w:sz w:val="16"/>
                <w:szCs w:val="16"/>
                <w:color w:val="B4B4B4"/>
                <w:w w:val="97"/>
              </w:rPr>
              <w: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76"/>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U.S. Treasury securities - fair value </w:t>
            </w:r>
            <w:r>
              <w:rPr>
                <w:rFonts w:ascii="Times New Roman" w:cs="Times New Roman" w:eastAsia="Times New Roman" w:hAnsi="Times New Roman"/>
                <w:sz w:val="16"/>
                <w:szCs w:val="16"/>
                <w:color w:val="B4B4B4"/>
                <w:w w:val="97"/>
              </w:rPr>
              <w:t>...........................................</w:t>
            </w:r>
          </w:p>
        </w:tc>
        <w:tc>
          <w:tcPr>
            <w:tcW w:w="18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1,565</w:t>
            </w:r>
          </w:p>
        </w:tc>
        <w:tc>
          <w:tcPr>
            <w:tcW w:w="0" w:type="dxa"/>
            <w:vAlign w:val="bottom"/>
          </w:tcPr>
          <w:p>
            <w:pPr>
              <w:spacing w:after="0"/>
              <w:rPr>
                <w:sz w:val="1"/>
                <w:szCs w:val="1"/>
                <w:color w:val="auto"/>
              </w:rPr>
            </w:pPr>
          </w:p>
        </w:tc>
      </w:tr>
      <w:tr>
        <w:trPr>
          <w:trHeight w:val="276"/>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Accrued interest on pledged securities </w:t>
            </w:r>
            <w:r>
              <w:rPr>
                <w:rFonts w:ascii="Times New Roman" w:cs="Times New Roman" w:eastAsia="Times New Roman" w:hAnsi="Times New Roman"/>
                <w:sz w:val="16"/>
                <w:szCs w:val="16"/>
                <w:color w:val="B4B4B4"/>
                <w:w w:val="97"/>
              </w:rPr>
              <w: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83"/>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Restricted cash </w:t>
            </w:r>
            <w:r>
              <w:rPr>
                <w:rFonts w:ascii="Times New Roman" w:cs="Times New Roman" w:eastAsia="Times New Roman" w:hAnsi="Times New Roman"/>
                <w:sz w:val="16"/>
                <w:szCs w:val="16"/>
                <w:color w:val="B4B4B4"/>
                <w:w w:val="97"/>
              </w:rPr>
              <w: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386</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37"/>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62,833</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1,059</w:t>
            </w:r>
          </w:p>
        </w:tc>
        <w:tc>
          <w:tcPr>
            <w:tcW w:w="60" w:type="dxa"/>
            <w:vAlign w:val="bottom"/>
          </w:tcPr>
          <w:p>
            <w:pPr>
              <w:spacing w:after="0"/>
              <w:rPr>
                <w:sz w:val="20"/>
                <w:szCs w:val="20"/>
                <w:color w:val="auto"/>
              </w:rPr>
            </w:pPr>
          </w:p>
        </w:tc>
        <w:tc>
          <w:tcPr>
            <w:tcW w:w="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63,989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w w:val="93"/>
              </w:rPr>
              <w:t>Repurchase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5"/>
              </w:rPr>
              <w:t>Debt of</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020" w:type="dxa"/>
            <w:vAlign w:val="bottom"/>
            <w:vMerge w:val="restart"/>
          </w:tcPr>
          <w:p>
            <w:pPr>
              <w:jc w:val="right"/>
              <w:ind w:right="1602"/>
              <w:spacing w:after="0"/>
              <w:rPr>
                <w:sz w:val="20"/>
                <w:szCs w:val="20"/>
                <w:color w:val="auto"/>
              </w:rPr>
            </w:pPr>
            <w:r>
              <w:rPr>
                <w:rFonts w:ascii="Times New Roman" w:cs="Times New Roman" w:eastAsia="Times New Roman" w:hAnsi="Times New Roman"/>
                <w:sz w:val="16"/>
                <w:szCs w:val="16"/>
                <w:b w:val="1"/>
                <w:bCs w:val="1"/>
                <w:color w:val="auto"/>
                <w:w w:val="97"/>
              </w:rPr>
              <w:t xml:space="preserve">Assets Pledged to Counterparties </w:t>
            </w:r>
            <w:r>
              <w:rPr>
                <w:rFonts w:ascii="Times New Roman" w:cs="Times New Roman" w:eastAsia="Times New Roman" w:hAnsi="Times New Roman"/>
                <w:sz w:val="20"/>
                <w:szCs w:val="20"/>
                <w:b w:val="1"/>
                <w:bCs w:val="1"/>
                <w:color w:val="auto"/>
                <w:w w:val="97"/>
                <w:vertAlign w:val="superscript"/>
              </w:rPr>
              <w:t>1</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w w:val="79"/>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122"/>
              <w:spacing w:after="0" w:line="155"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82"/>
              <w:spacing w:after="0" w:line="155" w:lineRule="exact"/>
              <w:rPr>
                <w:sz w:val="20"/>
                <w:szCs w:val="20"/>
                <w:color w:val="auto"/>
              </w:rPr>
            </w:pPr>
            <w:r>
              <w:rPr>
                <w:rFonts w:ascii="Times New Roman" w:cs="Times New Roman" w:eastAsia="Times New Roman" w:hAnsi="Times New Roman"/>
                <w:sz w:val="16"/>
                <w:szCs w:val="16"/>
                <w:b w:val="1"/>
                <w:bCs w:val="1"/>
                <w:color w:val="auto"/>
                <w:w w:val="96"/>
              </w:rPr>
              <w:t>Agreements and</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0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Agreements</w:t>
            </w: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7"/>
              </w:rPr>
              <w:t>VIEs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Agency RMBS - fair value </w:t>
            </w:r>
            <w:r>
              <w:rPr>
                <w:rFonts w:ascii="Times New Roman" w:cs="Times New Roman" w:eastAsia="Times New Roman" w:hAnsi="Times New Roman"/>
                <w:sz w:val="16"/>
                <w:szCs w:val="16"/>
                <w:color w:val="B4B4B4"/>
                <w:w w:val="97"/>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49,602</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49,738</w:t>
            </w:r>
          </w:p>
        </w:tc>
        <w:tc>
          <w:tcPr>
            <w:tcW w:w="0" w:type="dxa"/>
            <w:vAlign w:val="bottom"/>
          </w:tcPr>
          <w:p>
            <w:pPr>
              <w:spacing w:after="0"/>
              <w:rPr>
                <w:sz w:val="1"/>
                <w:szCs w:val="1"/>
                <w:color w:val="auto"/>
              </w:rPr>
            </w:pPr>
          </w:p>
        </w:tc>
      </w:tr>
      <w:tr>
        <w:trPr>
          <w:trHeight w:val="276"/>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CRT - fair value </w:t>
            </w:r>
            <w:r>
              <w:rPr>
                <w:rFonts w:ascii="Times New Roman" w:cs="Times New Roman" w:eastAsia="Times New Roman" w:hAnsi="Times New Roman"/>
                <w:sz w:val="16"/>
                <w:szCs w:val="16"/>
                <w:color w:val="B4B4B4"/>
                <w:w w:val="97"/>
              </w:rPr>
              <w: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678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276"/>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Non-Agency - fair value </w:t>
            </w:r>
            <w:r>
              <w:rPr>
                <w:rFonts w:ascii="Times New Roman" w:cs="Times New Roman" w:eastAsia="Times New Roman" w:hAnsi="Times New Roman"/>
                <w:sz w:val="16"/>
                <w:szCs w:val="16"/>
                <w:color w:val="B4B4B4"/>
                <w:w w:val="97"/>
              </w:rPr>
              <w: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76"/>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U.S. Treasury securities - fair value </w:t>
            </w:r>
            <w:r>
              <w:rPr>
                <w:rFonts w:ascii="Times New Roman" w:cs="Times New Roman" w:eastAsia="Times New Roman" w:hAnsi="Times New Roman"/>
                <w:sz w:val="16"/>
                <w:szCs w:val="16"/>
                <w:color w:val="B4B4B4"/>
                <w:w w:val="97"/>
              </w:rPr>
              <w:t>...........................................</w:t>
            </w:r>
          </w:p>
        </w:tc>
        <w:tc>
          <w:tcPr>
            <w:tcW w:w="18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1,927</w:t>
            </w:r>
          </w:p>
        </w:tc>
        <w:tc>
          <w:tcPr>
            <w:tcW w:w="0" w:type="dxa"/>
            <w:vAlign w:val="bottom"/>
          </w:tcPr>
          <w:p>
            <w:pPr>
              <w:spacing w:after="0"/>
              <w:rPr>
                <w:sz w:val="1"/>
                <w:szCs w:val="1"/>
                <w:color w:val="auto"/>
              </w:rPr>
            </w:pPr>
          </w:p>
        </w:tc>
      </w:tr>
      <w:tr>
        <w:trPr>
          <w:trHeight w:val="276"/>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Accrued interest on pledged securities </w:t>
            </w:r>
            <w:r>
              <w:rPr>
                <w:rFonts w:ascii="Times New Roman" w:cs="Times New Roman" w:eastAsia="Times New Roman" w:hAnsi="Times New Roman"/>
                <w:sz w:val="16"/>
                <w:szCs w:val="16"/>
                <w:color w:val="B4B4B4"/>
                <w:w w:val="97"/>
              </w:rPr>
              <w: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83"/>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7"/>
              </w:rPr>
              <w:t xml:space="preserve">Restricted cash </w:t>
            </w:r>
            <w:r>
              <w:rPr>
                <w:rFonts w:ascii="Times New Roman" w:cs="Times New Roman" w:eastAsia="Times New Roman" w:hAnsi="Times New Roman"/>
                <w:sz w:val="16"/>
                <w:szCs w:val="16"/>
                <w:color w:val="B4B4B4"/>
                <w:w w:val="97"/>
              </w:rPr>
              <w: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37"/>
        </w:trPr>
        <w:tc>
          <w:tcPr>
            <w:tcW w:w="4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52,633</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1,321</w:t>
            </w:r>
          </w:p>
        </w:tc>
        <w:tc>
          <w:tcPr>
            <w:tcW w:w="4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54,075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-1937385</wp:posOffset>
            </wp:positionV>
            <wp:extent cx="3749040" cy="501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9">
                      <a:extLst>
                        <a:ext uri="{28A0092B-C50C-407E-A947-70E740481C1C}"/>
                      </a:extLst>
                    </a:blip>
                    <a:srcRect/>
                    <a:stretch>
                      <a:fillRect/>
                    </a:stretch>
                  </pic:blipFill>
                  <pic:spPr bwMode="auto">
                    <a:xfrm>
                      <a:off x="0" y="0"/>
                      <a:ext cx="3749040" cy="5016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-43180</wp:posOffset>
            </wp:positionV>
            <wp:extent cx="3749040" cy="501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0">
                      <a:extLst>
                        <a:ext uri="{28A0092B-C50C-407E-A947-70E740481C1C}"/>
                      </a:extLst>
                    </a:blip>
                    <a:srcRect/>
                    <a:stretch>
                      <a:fillRect/>
                    </a:stretch>
                  </pic:blipFill>
                  <pic:spPr bwMode="auto">
                    <a:xfrm>
                      <a:off x="0" y="0"/>
                      <a:ext cx="3749040" cy="50165"/>
                    </a:xfrm>
                    <a:prstGeom prst="rect">
                      <a:avLst/>
                    </a:prstGeom>
                    <a:noFill/>
                  </pic:spPr>
                </pic:pic>
              </a:graphicData>
            </a:graphic>
          </wp:anchor>
        </w:drawing>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880" w:h="15480" w:orient="portrait"/>
          <w:cols w:equalWidth="0" w:num="1">
            <w:col w:w="9960"/>
          </w:cols>
          <w:pgMar w:left="960" w:top="711" w:right="96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tabs>
          <w:tab w:leader="none" w:pos="7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repledged assets received as collateral from counterparties and securities sold but not yet settled.</w:t>
      </w:r>
    </w:p>
    <w:p>
      <w:pPr>
        <w:ind w:left="700" w:hanging="347"/>
        <w:spacing w:after="0" w:line="245" w:lineRule="auto"/>
        <w:tabs>
          <w:tab w:leader="none" w:pos="7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$33 million and $42 million of retained interests in our consolidated VIEs pledged as collateral under repurchase agreements as of December 31, 2024 and 2023, respectively.</w:t>
      </w:r>
    </w:p>
    <w:p>
      <w:pPr>
        <w:spacing w:after="0" w:line="144"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The following table summarizes our securities pledged as collateral under our repurchase agreements by the remaining maturity of our borrowings, including securities pledged related to sold but not yet settled securities, as of December 31, 2024 and 2023 (in millions). For the corresponding borrowings associated with the following amounts and the interest rates thereon, refer to Note 4</w:t>
      </w:r>
      <w:r>
        <w:rPr>
          <w:rFonts w:ascii="Times New Roman" w:cs="Times New Roman" w:eastAsia="Times New Roman" w:hAnsi="Times New Roman"/>
          <w:sz w:val="19"/>
          <w:szCs w:val="19"/>
          <w:b w:val="1"/>
          <w:bCs w:val="1"/>
          <w:i w:val="1"/>
          <w:iCs w:val="1"/>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w w:val="95"/>
              </w:rPr>
              <w:t>December 31, 2024</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40" w:type="dxa"/>
            <w:vAlign w:val="bottom"/>
          </w:tcPr>
          <w:p>
            <w:pPr>
              <w:spacing w:after="0"/>
              <w:rPr>
                <w:sz w:val="15"/>
                <w:szCs w:val="15"/>
                <w:color w:val="auto"/>
              </w:rPr>
            </w:pPr>
          </w:p>
        </w:tc>
        <w:tc>
          <w:tcPr>
            <w:tcW w:w="780" w:type="dxa"/>
            <w:vAlign w:val="bottom"/>
          </w:tcPr>
          <w:p>
            <w:pPr>
              <w:jc w:val="center"/>
              <w:ind w:right="62"/>
              <w:spacing w:after="0" w:line="175" w:lineRule="exact"/>
              <w:rPr>
                <w:sz w:val="20"/>
                <w:szCs w:val="20"/>
                <w:color w:val="auto"/>
              </w:rPr>
            </w:pPr>
            <w:r>
              <w:rPr>
                <w:rFonts w:ascii="Times New Roman" w:cs="Times New Roman" w:eastAsia="Times New Roman" w:hAnsi="Times New Roman"/>
                <w:sz w:val="16"/>
                <w:szCs w:val="16"/>
                <w:b w:val="1"/>
                <w:bCs w:val="1"/>
                <w:color w:val="auto"/>
                <w:w w:val="96"/>
              </w:rPr>
              <w:t>Accrued</w:t>
            </w:r>
          </w:p>
        </w:tc>
        <w:tc>
          <w:tcPr>
            <w:tcW w:w="80" w:type="dxa"/>
            <w:vAlign w:val="bottom"/>
          </w:tcPr>
          <w:p>
            <w:pPr>
              <w:spacing w:after="0"/>
              <w:rPr>
                <w:sz w:val="15"/>
                <w:szCs w:val="15"/>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w w:val="96"/>
              </w:rPr>
              <w:t>Amortized</w:t>
            </w:r>
          </w:p>
        </w:tc>
        <w:tc>
          <w:tcPr>
            <w:tcW w:w="120" w:type="dxa"/>
            <w:vAlign w:val="bottom"/>
          </w:tcPr>
          <w:p>
            <w:pPr>
              <w:spacing w:after="0"/>
              <w:rPr>
                <w:sz w:val="15"/>
                <w:szCs w:val="15"/>
                <w:color w:val="auto"/>
              </w:rPr>
            </w:pPr>
          </w:p>
        </w:tc>
        <w:tc>
          <w:tcPr>
            <w:tcW w:w="800" w:type="dxa"/>
            <w:vAlign w:val="bottom"/>
          </w:tcPr>
          <w:p>
            <w:pPr>
              <w:jc w:val="center"/>
              <w:ind w:right="42"/>
              <w:spacing w:after="0" w:line="175" w:lineRule="exact"/>
              <w:rPr>
                <w:sz w:val="20"/>
                <w:szCs w:val="20"/>
                <w:color w:val="auto"/>
              </w:rPr>
            </w:pPr>
            <w:r>
              <w:rPr>
                <w:rFonts w:ascii="Times New Roman" w:cs="Times New Roman" w:eastAsia="Times New Roman" w:hAnsi="Times New Roman"/>
                <w:sz w:val="16"/>
                <w:szCs w:val="16"/>
                <w:b w:val="1"/>
                <w:bCs w:val="1"/>
                <w:color w:val="auto"/>
                <w:w w:val="96"/>
              </w:rPr>
              <w:t>Accrued</w:t>
            </w:r>
          </w:p>
        </w:tc>
        <w:tc>
          <w:tcPr>
            <w:tcW w:w="0" w:type="dxa"/>
            <w:vAlign w:val="bottom"/>
          </w:tcPr>
          <w:p>
            <w:pPr>
              <w:spacing w:after="0"/>
              <w:rPr>
                <w:sz w:val="1"/>
                <w:szCs w:val="1"/>
                <w:color w:val="auto"/>
              </w:rPr>
            </w:pPr>
          </w:p>
        </w:tc>
      </w:tr>
      <w:tr>
        <w:trPr>
          <w:trHeight w:val="155"/>
        </w:trPr>
        <w:tc>
          <w:tcPr>
            <w:tcW w:w="3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Pledged by Remaining Maturity of</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Cost of</w:t>
            </w:r>
          </w:p>
        </w:tc>
        <w:tc>
          <w:tcPr>
            <w:tcW w:w="9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Interest on</w:t>
            </w: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4"/>
              </w:rPr>
              <w:t>Cost of</w:t>
            </w:r>
          </w:p>
        </w:tc>
        <w:tc>
          <w:tcPr>
            <w:tcW w:w="9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Interest on</w:t>
            </w:r>
          </w:p>
        </w:tc>
        <w:tc>
          <w:tcPr>
            <w:tcW w:w="0" w:type="dxa"/>
            <w:vAlign w:val="bottom"/>
          </w:tcPr>
          <w:p>
            <w:pPr>
              <w:spacing w:after="0"/>
              <w:rPr>
                <w:sz w:val="1"/>
                <w:szCs w:val="1"/>
                <w:color w:val="auto"/>
              </w:rPr>
            </w:pPr>
          </w:p>
        </w:tc>
      </w:tr>
      <w:tr>
        <w:trPr>
          <w:trHeight w:val="155"/>
        </w:trPr>
        <w:tc>
          <w:tcPr>
            <w:tcW w:w="3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82"/>
              <w:spacing w:after="0" w:line="155" w:lineRule="exact"/>
              <w:rPr>
                <w:sz w:val="20"/>
                <w:szCs w:val="20"/>
                <w:color w:val="auto"/>
              </w:rPr>
            </w:pPr>
            <w:r>
              <w:rPr>
                <w:rFonts w:ascii="Times New Roman" w:cs="Times New Roman" w:eastAsia="Times New Roman" w:hAnsi="Times New Roman"/>
                <w:sz w:val="16"/>
                <w:szCs w:val="16"/>
                <w:b w:val="1"/>
                <w:bCs w:val="1"/>
                <w:color w:val="auto"/>
                <w:w w:val="99"/>
              </w:rPr>
              <w:t>Pledged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5"/>
              </w:rPr>
              <w:t>Pledged</w:t>
            </w:r>
          </w:p>
        </w:tc>
        <w:tc>
          <w:tcPr>
            <w:tcW w:w="140" w:type="dxa"/>
            <w:vAlign w:val="bottom"/>
          </w:tcPr>
          <w:p>
            <w:pPr>
              <w:spacing w:after="0"/>
              <w:rPr>
                <w:sz w:val="13"/>
                <w:szCs w:val="13"/>
                <w:color w:val="auto"/>
              </w:rPr>
            </w:pPr>
          </w:p>
        </w:tc>
        <w:tc>
          <w:tcPr>
            <w:tcW w:w="78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6"/>
                <w:szCs w:val="16"/>
                <w:b w:val="1"/>
                <w:bCs w:val="1"/>
                <w:color w:val="auto"/>
                <w:w w:val="95"/>
              </w:rPr>
              <w:t>Pledged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02"/>
              <w:spacing w:after="0" w:line="155" w:lineRule="exact"/>
              <w:rPr>
                <w:sz w:val="20"/>
                <w:szCs w:val="20"/>
                <w:color w:val="auto"/>
              </w:rPr>
            </w:pPr>
            <w:r>
              <w:rPr>
                <w:rFonts w:ascii="Times New Roman" w:cs="Times New Roman" w:eastAsia="Times New Roman" w:hAnsi="Times New Roman"/>
                <w:sz w:val="16"/>
                <w:szCs w:val="16"/>
                <w:b w:val="1"/>
                <w:bCs w:val="1"/>
                <w:color w:val="auto"/>
                <w:w w:val="99"/>
              </w:rPr>
              <w:t>Pledged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Pledged</w:t>
            </w:r>
          </w:p>
        </w:tc>
        <w:tc>
          <w:tcPr>
            <w:tcW w:w="120" w:type="dxa"/>
            <w:vAlign w:val="bottom"/>
          </w:tcPr>
          <w:p>
            <w:pPr>
              <w:spacing w:after="0"/>
              <w:rPr>
                <w:sz w:val="13"/>
                <w:szCs w:val="13"/>
                <w:color w:val="auto"/>
              </w:rPr>
            </w:pPr>
          </w:p>
        </w:tc>
        <w:tc>
          <w:tcPr>
            <w:tcW w:w="800" w:type="dxa"/>
            <w:vAlign w:val="bottom"/>
          </w:tcPr>
          <w:p>
            <w:pPr>
              <w:jc w:val="center"/>
              <w:ind w:right="42"/>
              <w:spacing w:after="0" w:line="155" w:lineRule="exact"/>
              <w:rPr>
                <w:sz w:val="20"/>
                <w:szCs w:val="20"/>
                <w:color w:val="auto"/>
              </w:rPr>
            </w:pPr>
            <w:r>
              <w:rPr>
                <w:rFonts w:ascii="Times New Roman" w:cs="Times New Roman" w:eastAsia="Times New Roman" w:hAnsi="Times New Roman"/>
                <w:sz w:val="16"/>
                <w:szCs w:val="16"/>
                <w:b w:val="1"/>
                <w:bCs w:val="1"/>
                <w:color w:val="auto"/>
                <w:w w:val="95"/>
              </w:rPr>
              <w:t>Pledged</w:t>
            </w:r>
          </w:p>
        </w:tc>
        <w:tc>
          <w:tcPr>
            <w:tcW w:w="0" w:type="dxa"/>
            <w:vAlign w:val="bottom"/>
          </w:tcPr>
          <w:p>
            <w:pPr>
              <w:spacing w:after="0"/>
              <w:rPr>
                <w:sz w:val="1"/>
                <w:szCs w:val="1"/>
                <w:color w:val="auto"/>
              </w:rPr>
            </w:pPr>
          </w:p>
        </w:tc>
      </w:tr>
      <w:tr>
        <w:trPr>
          <w:trHeight w:val="208"/>
        </w:trPr>
        <w:tc>
          <w:tcPr>
            <w:tcW w:w="3520" w:type="dxa"/>
            <w:vAlign w:val="bottom"/>
            <w:tcBorders>
              <w:bottom w:val="single" w:sz="8" w:color="auto"/>
            </w:tcBorders>
          </w:tcPr>
          <w:p>
            <w:pPr>
              <w:ind w:left="60"/>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Repurchase Agreements </w:t>
            </w:r>
            <w:r>
              <w:rPr>
                <w:rFonts w:ascii="Times New Roman" w:cs="Times New Roman" w:eastAsia="Times New Roman" w:hAnsi="Times New Roman"/>
                <w:sz w:val="20"/>
                <w:szCs w:val="20"/>
                <w:b w:val="1"/>
                <w:bCs w:val="1"/>
                <w:color w:val="auto"/>
                <w:vertAlign w:val="superscript"/>
              </w:rPr>
              <w:t>1,2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0" w:type="dxa"/>
            <w:vAlign w:val="bottom"/>
          </w:tcPr>
          <w:p>
            <w:pPr>
              <w:spacing w:after="0"/>
              <w:rPr>
                <w:sz w:val="1"/>
                <w:szCs w:val="1"/>
                <w:color w:val="auto"/>
              </w:rPr>
            </w:pPr>
          </w:p>
        </w:tc>
      </w:tr>
      <w:tr>
        <w:trPr>
          <w:trHeight w:val="250"/>
        </w:trPr>
        <w:tc>
          <w:tcPr>
            <w:tcW w:w="3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 xml:space="preserve">≤ 1 month </w:t>
            </w:r>
            <w:r>
              <w:rPr>
                <w:rFonts w:ascii="Times New Roman" w:cs="Times New Roman" w:eastAsia="Times New Roman" w:hAnsi="Times New Roman"/>
                <w:sz w:val="16"/>
                <w:szCs w:val="16"/>
                <w:color w:val="B4B4B4"/>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58,180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60,506</w:t>
            </w: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76"/>
        </w:trPr>
        <w:tc>
          <w:tcPr>
            <w:tcW w:w="3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 xml:space="preserve">&gt; 1 and ≤ 2 months </w:t>
            </w:r>
            <w:r>
              <w:rPr>
                <w:rFonts w:ascii="Times New Roman" w:cs="Times New Roman" w:eastAsia="Times New Roman" w:hAnsi="Times New Roman"/>
                <w:sz w:val="16"/>
                <w:szCs w:val="16"/>
                <w:color w:val="B4B4B4"/>
                <w:w w:val="99"/>
              </w:rPr>
              <w:t>......................................................</w:t>
            </w:r>
          </w:p>
        </w:tc>
        <w:tc>
          <w:tcPr>
            <w:tcW w:w="16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3,842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4,227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83"/>
        </w:trPr>
        <w:tc>
          <w:tcPr>
            <w:tcW w:w="3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 xml:space="preserve">&gt; 2 and ≤ 3 months </w:t>
            </w:r>
            <w:r>
              <w:rPr>
                <w:rFonts w:ascii="Times New Roman" w:cs="Times New Roman" w:eastAsia="Times New Roman" w:hAnsi="Times New Roman"/>
                <w:sz w:val="16"/>
                <w:szCs w:val="16"/>
                <w:color w:val="B4B4B4"/>
                <w:w w:val="99"/>
              </w:rPr>
              <w:t>......................................................</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5,947</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3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62,168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64,882</w:t>
            </w: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-43180</wp:posOffset>
            </wp:positionV>
            <wp:extent cx="4044315" cy="501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1">
                      <a:extLst>
                        <a:ext uri="{28A0092B-C50C-407E-A947-70E740481C1C}"/>
                      </a:extLst>
                    </a:blip>
                    <a:srcRect/>
                    <a:stretch>
                      <a:fillRect/>
                    </a:stretch>
                  </pic:blipFill>
                  <pic:spPr bwMode="auto">
                    <a:xfrm>
                      <a:off x="0" y="0"/>
                      <a:ext cx="4044315"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right="600" w:hanging="347"/>
        <w:spacing w:after="0" w:line="241" w:lineRule="auto"/>
        <w:tabs>
          <w:tab w:leader="none" w:pos="7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$33 million and $42 million of retained interests in our consolidated VIEs pledged as collateral under repurchase agreements as of December 31, 2024 and 2023, respectively.</w:t>
      </w:r>
    </w:p>
    <w:p>
      <w:pPr>
        <w:spacing w:after="0" w:line="1"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$397 million of repledged U.S. Treasury securities received as collateral from counterparties as of December 31,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Assets Pledged from Counterparties</w:t>
      </w:r>
    </w:p>
    <w:p>
      <w:pPr>
        <w:spacing w:after="0" w:line="196"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As of December 31, 2024 and 2023, we had assets pledged to us from counterparties as collateral under our reverse repurchase and derivative agreements summarized in the tables below (in millions).</w:t>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Reverse</w:t>
            </w:r>
          </w:p>
        </w:tc>
        <w:tc>
          <w:tcPr>
            <w:tcW w:w="60" w:type="dxa"/>
            <w:vAlign w:val="bottom"/>
          </w:tcPr>
          <w:p>
            <w:pPr>
              <w:spacing w:after="0"/>
              <w:rPr>
                <w:sz w:val="16"/>
                <w:szCs w:val="16"/>
                <w:color w:val="auto"/>
              </w:rPr>
            </w:pPr>
          </w:p>
        </w:tc>
        <w:tc>
          <w:tcPr>
            <w:tcW w:w="92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6"/>
                <w:szCs w:val="16"/>
                <w:color w:val="auto"/>
              </w:rPr>
            </w:pPr>
          </w:p>
        </w:tc>
        <w:tc>
          <w:tcPr>
            <w:tcW w:w="94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Reverse</w:t>
            </w:r>
          </w:p>
        </w:tc>
        <w:tc>
          <w:tcPr>
            <w:tcW w:w="60" w:type="dxa"/>
            <w:vAlign w:val="bottom"/>
          </w:tcPr>
          <w:p>
            <w:pPr>
              <w:spacing w:after="0"/>
              <w:rPr>
                <w:sz w:val="16"/>
                <w:szCs w:val="16"/>
                <w:color w:val="auto"/>
              </w:rPr>
            </w:pPr>
          </w:p>
        </w:tc>
        <w:tc>
          <w:tcPr>
            <w:tcW w:w="92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 Pledged to AGNC</w:t>
            </w:r>
          </w:p>
        </w:tc>
        <w:tc>
          <w:tcPr>
            <w:tcW w:w="9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3"/>
                <w:szCs w:val="13"/>
                <w:color w:val="auto"/>
              </w:rPr>
            </w:pPr>
          </w:p>
        </w:tc>
        <w:tc>
          <w:tcPr>
            <w:tcW w:w="9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2040" w:type="dxa"/>
            <w:vAlign w:val="bottom"/>
            <w:vMerge w:val="continue"/>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80" w:type="dxa"/>
            <w:vAlign w:val="bottom"/>
          </w:tcPr>
          <w:p>
            <w:pPr>
              <w:spacing w:after="0"/>
              <w:rPr>
                <w:sz w:val="17"/>
                <w:szCs w:val="17"/>
                <w:color w:val="auto"/>
              </w:rPr>
            </w:pPr>
          </w:p>
        </w:tc>
        <w:tc>
          <w:tcPr>
            <w:tcW w:w="9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Agency securities - fair value </w:t>
            </w:r>
            <w:r>
              <w:rPr>
                <w:rFonts w:ascii="Times New Roman" w:cs="Times New Roman" w:eastAsia="Times New Roman" w:hAnsi="Times New Roman"/>
                <w:sz w:val="16"/>
                <w:szCs w:val="16"/>
                <w:color w:val="B4B4B4"/>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U.S. Treasury securities - fair</w:t>
            </w:r>
          </w:p>
        </w:tc>
        <w:tc>
          <w:tcPr>
            <w:tcW w:w="160" w:type="dxa"/>
            <w:vAlign w:val="bottom"/>
          </w:tcPr>
          <w:p>
            <w:pPr>
              <w:spacing w:after="0"/>
              <w:rPr>
                <w:sz w:val="17"/>
                <w:szCs w:val="17"/>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16,885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11,667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1"/>
              </w:rPr>
              <w:t>306</w:t>
            </w:r>
          </w:p>
        </w:tc>
        <w:tc>
          <w:tcPr>
            <w:tcW w:w="2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11,973</w:t>
            </w:r>
          </w:p>
        </w:tc>
        <w:tc>
          <w:tcPr>
            <w:tcW w:w="0" w:type="dxa"/>
            <w:vAlign w:val="bottom"/>
          </w:tcPr>
          <w:p>
            <w:pPr>
              <w:spacing w:after="0"/>
              <w:rPr>
                <w:sz w:val="1"/>
                <w:szCs w:val="1"/>
                <w:color w:val="auto"/>
              </w:rPr>
            </w:pPr>
          </w:p>
        </w:tc>
      </w:tr>
      <w:tr>
        <w:trPr>
          <w:trHeight w:val="202"/>
        </w:trPr>
        <w:tc>
          <w:tcPr>
            <w:tcW w:w="2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value </w:t>
            </w:r>
            <w:r>
              <w:rPr>
                <w:rFonts w:ascii="Times New Roman" w:cs="Times New Roman" w:eastAsia="Times New Roman" w:hAnsi="Times New Roman"/>
                <w:sz w:val="16"/>
                <w:szCs w:val="16"/>
                <w:color w:val="B4B4B4"/>
              </w:rPr>
              <w:t>...................................</w:t>
            </w: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Cash </w:t>
            </w:r>
            <w:r>
              <w:rPr>
                <w:rFonts w:ascii="Times New Roman" w:cs="Times New Roman" w:eastAsia="Times New Roman" w:hAnsi="Times New Roman"/>
                <w:sz w:val="16"/>
                <w:szCs w:val="16"/>
                <w:color w:val="B4B4B4"/>
              </w:rPr>
              <w:t>........................................</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7"/>
        </w:trPr>
        <w:tc>
          <w:tcPr>
            <w:tcW w:w="2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16,885</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720" w:type="dxa"/>
            <w:vAlign w:val="bottom"/>
            <w:gridSpan w:val="2"/>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11,667</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1"/>
              </w:rPr>
              <w:t>355</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-43180</wp:posOffset>
            </wp:positionV>
            <wp:extent cx="5005070" cy="501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2">
                      <a:extLst>
                        <a:ext uri="{28A0092B-C50C-407E-A947-70E740481C1C}"/>
                      </a:extLst>
                    </a:blip>
                    <a:srcRect/>
                    <a:stretch>
                      <a:fillRect/>
                    </a:stretch>
                  </pic:blipFill>
                  <pic:spPr bwMode="auto">
                    <a:xfrm>
                      <a:off x="0" y="0"/>
                      <a:ext cx="5005070" cy="5016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Offsetting Assets and Liabilities</w:t>
      </w:r>
    </w:p>
    <w:p>
      <w:pPr>
        <w:spacing w:after="0" w:line="196"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2024 and 2023 (in millions):</w:t>
      </w:r>
    </w:p>
    <w:p>
      <w:pPr>
        <w:sectPr>
          <w:pgSz w:w="11880" w:h="15480" w:orient="portrait"/>
          <w:cols w:equalWidth="0" w:num="1">
            <w:col w:w="9960"/>
          </w:cols>
          <w:pgMar w:left="960" w:top="73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1880" w:h="15480" w:orient="portrait"/>
          <w:cols w:equalWidth="0" w:num="1">
            <w:col w:w="9960"/>
          </w:cols>
          <w:pgMar w:left="960" w:top="736" w:right="960" w:bottom="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16"/>
          </w:tcPr>
          <w:p>
            <w:pPr>
              <w:ind w:left="500"/>
              <w:spacing w:after="0"/>
              <w:rPr>
                <w:sz w:val="20"/>
                <w:szCs w:val="20"/>
                <w:color w:val="auto"/>
              </w:rPr>
            </w:pPr>
            <w:r>
              <w:rPr>
                <w:rFonts w:ascii="Times New Roman" w:cs="Times New Roman" w:eastAsia="Times New Roman" w:hAnsi="Times New Roman"/>
                <w:sz w:val="16"/>
                <w:szCs w:val="16"/>
                <w:b w:val="1"/>
                <w:bCs w:val="1"/>
                <w:color w:val="auto"/>
              </w:rPr>
              <w:t>Offsetting of Financial and Derivative Assets</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60" w:type="dxa"/>
            <w:vAlign w:val="bottom"/>
          </w:tcPr>
          <w:p>
            <w:pPr>
              <w:spacing w:after="0"/>
              <w:rPr>
                <w:sz w:val="24"/>
                <w:szCs w:val="24"/>
                <w:color w:val="auto"/>
              </w:rPr>
            </w:pPr>
          </w:p>
        </w:tc>
        <w:tc>
          <w:tcPr>
            <w:tcW w:w="2100" w:type="dxa"/>
            <w:vAlign w:val="bottom"/>
            <w:gridSpan w:val="9"/>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Gross Amounts Not Offset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6"/>
              </w:rPr>
              <w:t>of Assets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8"/>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in the</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82"/>
              <w:spacing w:after="0" w:line="155" w:lineRule="exact"/>
              <w:rPr>
                <w:sz w:val="20"/>
                <w:szCs w:val="20"/>
                <w:color w:val="auto"/>
              </w:rPr>
            </w:pPr>
            <w:r>
              <w:rPr>
                <w:rFonts w:ascii="Times New Roman" w:cs="Times New Roman" w:eastAsia="Times New Roman" w:hAnsi="Times New Roman"/>
                <w:sz w:val="16"/>
                <w:szCs w:val="16"/>
                <w:b w:val="1"/>
                <w:bCs w:val="1"/>
                <w:color w:val="auto"/>
                <w:w w:val="96"/>
              </w:rPr>
              <w:t>Amounts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Presented in</w:t>
            </w:r>
          </w:p>
        </w:tc>
        <w:tc>
          <w:tcPr>
            <w:tcW w:w="60" w:type="dxa"/>
            <w:vAlign w:val="bottom"/>
          </w:tcPr>
          <w:p>
            <w:pPr>
              <w:spacing w:after="0"/>
              <w:rPr>
                <w:sz w:val="15"/>
                <w:szCs w:val="15"/>
                <w:color w:val="auto"/>
              </w:rPr>
            </w:pPr>
          </w:p>
        </w:tc>
        <w:tc>
          <w:tcPr>
            <w:tcW w:w="2100" w:type="dxa"/>
            <w:vAlign w:val="bottom"/>
            <w:gridSpan w:val="9"/>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Consolidated Balance Sheets</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0"/>
                <w:szCs w:val="10"/>
                <w:color w:val="auto"/>
              </w:rPr>
            </w:pPr>
          </w:p>
        </w:tc>
        <w:tc>
          <w:tcPr>
            <w:tcW w:w="100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the</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Amounts of</w:t>
            </w:r>
          </w:p>
        </w:tc>
        <w:tc>
          <w:tcPr>
            <w:tcW w:w="60" w:type="dxa"/>
            <w:vAlign w:val="bottom"/>
          </w:tcPr>
          <w:p>
            <w:pPr>
              <w:spacing w:after="0"/>
              <w:rPr>
                <w:sz w:val="13"/>
                <w:szCs w:val="13"/>
                <w:color w:val="auto"/>
              </w:rPr>
            </w:pPr>
          </w:p>
        </w:tc>
        <w:tc>
          <w:tcPr>
            <w:tcW w:w="100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60" w:type="dxa"/>
            <w:vAlign w:val="bottom"/>
          </w:tcPr>
          <w:p>
            <w:pPr>
              <w:spacing w:after="0"/>
              <w:rPr>
                <w:sz w:val="13"/>
                <w:szCs w:val="13"/>
                <w:color w:val="auto"/>
              </w:rPr>
            </w:pPr>
          </w:p>
        </w:tc>
        <w:tc>
          <w:tcPr>
            <w:tcW w:w="94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82"/>
              <w:spacing w:after="0" w:line="155" w:lineRule="exact"/>
              <w:rPr>
                <w:sz w:val="20"/>
                <w:szCs w:val="20"/>
                <w:color w:val="auto"/>
              </w:rPr>
            </w:pPr>
            <w:r>
              <w:rPr>
                <w:rFonts w:ascii="Times New Roman" w:cs="Times New Roman" w:eastAsia="Times New Roman" w:hAnsi="Times New Roman"/>
                <w:sz w:val="16"/>
                <w:szCs w:val="16"/>
                <w:b w:val="1"/>
                <w:bCs w:val="1"/>
                <w:color w:val="auto"/>
                <w:w w:val="95"/>
              </w:rPr>
              <w:t>Balance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6"/>
              </w:rPr>
              <w:t>Sheets</w:t>
            </w: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16"/>
                <w:szCs w:val="16"/>
                <w:b w:val="1"/>
                <w:bCs w:val="1"/>
                <w:color w:val="auto"/>
                <w:w w:val="94"/>
              </w:rPr>
              <w:t xml:space="preserve">Received </w:t>
            </w:r>
            <w:r>
              <w:rPr>
                <w:rFonts w:ascii="Times New Roman" w:cs="Times New Roman" w:eastAsia="Times New Roman" w:hAnsi="Times New Roman"/>
                <w:sz w:val="20"/>
                <w:szCs w:val="20"/>
                <w:b w:val="1"/>
                <w:bCs w:val="1"/>
                <w:color w:val="auto"/>
                <w:w w:val="94"/>
                <w:vertAlign w:val="superscript"/>
              </w:rPr>
              <w:t>2</w:t>
            </w:r>
          </w:p>
        </w:tc>
        <w:tc>
          <w:tcPr>
            <w:tcW w:w="8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6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Interest rate swap and swaption agreements, at fair</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7"/>
                <w:szCs w:val="17"/>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6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 xml:space="preserve">value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B4B4B4"/>
              </w:rPr>
              <w:t>............................................................................</w:t>
            </w:r>
          </w:p>
        </w:tc>
        <w:tc>
          <w:tcPr>
            <w:tcW w:w="1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80" w:type="dxa"/>
            <w:vAlign w:val="bottom"/>
            <w:gridSpan w:val="3"/>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w w:val="99"/>
              </w:rPr>
              <w:t xml:space="preserve">TBA securities, at fair value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Receivable under reverse repurchase agreements</w:t>
            </w:r>
            <w:r>
              <w:rPr>
                <w:rFonts w:ascii="Times New Roman" w:cs="Times New Roman" w:eastAsia="Times New Roman" w:hAnsi="Times New Roman"/>
                <w:sz w:val="16"/>
                <w:szCs w:val="16"/>
                <w:color w:val="B4B4B4"/>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17,137</w:t>
            </w: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2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17,259</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(11,741)</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0" w:type="dxa"/>
            <w:vAlign w:val="bottom"/>
          </w:tcPr>
          <w:p>
            <w:pPr>
              <w:spacing w:after="0"/>
              <w:rPr>
                <w:sz w:val="24"/>
                <w:szCs w:val="24"/>
                <w:color w:val="auto"/>
              </w:rPr>
            </w:pPr>
          </w:p>
        </w:tc>
        <w:tc>
          <w:tcPr>
            <w:tcW w:w="36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Interest rate swap and swaption agreements, at fair</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7"/>
                <w:szCs w:val="17"/>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104</w:t>
            </w:r>
          </w:p>
        </w:tc>
        <w:tc>
          <w:tcPr>
            <w:tcW w:w="6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w w:val="99"/>
              </w:rPr>
              <w:t xml:space="preserve">value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1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80" w:type="dxa"/>
            <w:vAlign w:val="bottom"/>
            <w:gridSpan w:val="3"/>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w w:val="99"/>
              </w:rPr>
              <w:t xml:space="preserve">TBA securities, at fair value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Receivable under reverse repurchase agreements</w:t>
            </w:r>
            <w:r>
              <w:rPr>
                <w:rFonts w:ascii="Times New Roman" w:cs="Times New Roman" w:eastAsia="Times New Roman" w:hAnsi="Times New Roman"/>
                <w:sz w:val="16"/>
                <w:szCs w:val="16"/>
                <w:color w:val="B4B4B4"/>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11,618</w:t>
            </w: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11,802</w:t>
            </w: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80" w:type="dxa"/>
            <w:vAlign w:val="bottom"/>
            <w:gridSpan w:val="2"/>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16"/>
          </w:tcPr>
          <w:p>
            <w:pPr>
              <w:ind w:left="400"/>
              <w:spacing w:after="0"/>
              <w:rPr>
                <w:sz w:val="20"/>
                <w:szCs w:val="20"/>
                <w:color w:val="auto"/>
              </w:rPr>
            </w:pPr>
            <w:r>
              <w:rPr>
                <w:rFonts w:ascii="Times New Roman" w:cs="Times New Roman" w:eastAsia="Times New Roman" w:hAnsi="Times New Roman"/>
                <w:sz w:val="16"/>
                <w:szCs w:val="16"/>
                <w:b w:val="1"/>
                <w:bCs w:val="1"/>
                <w:color w:val="auto"/>
              </w:rPr>
              <w:t>Offsetting of Financial and Derivative Liabilities</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Gross Amounts Not Offset</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of Liabilities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8"/>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in the</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9"/>
              </w:rPr>
              <w:t>Amounts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20"/>
              <w:spacing w:after="0" w:line="155" w:lineRule="exact"/>
              <w:rPr>
                <w:sz w:val="20"/>
                <w:szCs w:val="20"/>
                <w:color w:val="auto"/>
              </w:rPr>
            </w:pPr>
            <w:r>
              <w:rPr>
                <w:rFonts w:ascii="Times New Roman" w:cs="Times New Roman" w:eastAsia="Times New Roman" w:hAnsi="Times New Roman"/>
                <w:sz w:val="16"/>
                <w:szCs w:val="16"/>
                <w:b w:val="1"/>
                <w:bCs w:val="1"/>
                <w:color w:val="auto"/>
                <w:w w:val="96"/>
              </w:rPr>
              <w:t>Presented in</w:t>
            </w:r>
          </w:p>
        </w:tc>
        <w:tc>
          <w:tcPr>
            <w:tcW w:w="60" w:type="dxa"/>
            <w:vAlign w:val="bottom"/>
          </w:tcPr>
          <w:p>
            <w:pPr>
              <w:spacing w:after="0"/>
              <w:rPr>
                <w:sz w:val="13"/>
                <w:szCs w:val="13"/>
                <w:color w:val="auto"/>
              </w:rPr>
            </w:pPr>
          </w:p>
        </w:tc>
        <w:tc>
          <w:tcPr>
            <w:tcW w:w="2100" w:type="dxa"/>
            <w:vAlign w:val="bottom"/>
            <w:gridSpan w:val="9"/>
          </w:tcPr>
          <w:p>
            <w:pPr>
              <w:jc w:val="center"/>
              <w:ind w:right="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Consolidated Balance Sheets</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vMerge w:val="restart"/>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2"/>
                <w:szCs w:val="2"/>
                <w:color w:val="auto"/>
              </w:rPr>
            </w:pPr>
          </w:p>
        </w:tc>
        <w:tc>
          <w:tcPr>
            <w:tcW w:w="1000" w:type="dxa"/>
            <w:vAlign w:val="bottom"/>
            <w:gridSpan w:val="2"/>
            <w:vMerge w:val="restart"/>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Offset in the</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3"/>
              </w:rPr>
              <w:t>the</w:t>
            </w: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Amounts of</w:t>
            </w:r>
          </w:p>
        </w:tc>
        <w:tc>
          <w:tcPr>
            <w:tcW w:w="6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Consolidated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5"/>
              </w:rPr>
              <w:t>Balance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7"/>
              </w:rPr>
              <w:t>Net Amount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Sheets</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Sheets</w:t>
            </w:r>
          </w:p>
        </w:tc>
        <w:tc>
          <w:tcPr>
            <w:tcW w:w="6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0"/>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Pledged </w:t>
            </w:r>
            <w:r>
              <w:rPr>
                <w:rFonts w:ascii="Times New Roman" w:cs="Times New Roman" w:eastAsia="Times New Roman" w:hAnsi="Times New Roman"/>
                <w:sz w:val="20"/>
                <w:szCs w:val="20"/>
                <w:b w:val="1"/>
                <w:bCs w:val="1"/>
                <w:color w:val="auto"/>
                <w:vertAlign w:val="superscript"/>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6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TBA securities, at fair value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tcPr>
          <w:p>
            <w:pPr>
              <w:spacing w:after="0"/>
              <w:rPr>
                <w:sz w:val="24"/>
                <w:szCs w:val="24"/>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Repurchase agreements</w:t>
            </w:r>
            <w:r>
              <w:rPr>
                <w:rFonts w:ascii="Times New Roman" w:cs="Times New Roman" w:eastAsia="Times New Roman" w:hAnsi="Times New Roman"/>
                <w:sz w:val="16"/>
                <w:szCs w:val="16"/>
                <w:color w:val="B4B4B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60,798</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(49,118)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60,885</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(11,741)</w:t>
            </w:r>
          </w:p>
        </w:tc>
        <w:tc>
          <w:tcPr>
            <w:tcW w:w="20" w:type="dxa"/>
            <w:vAlign w:val="bottom"/>
            <w:tcBorders>
              <w:bottom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(49,144)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0" w:type="dxa"/>
            <w:vAlign w:val="bottom"/>
          </w:tcPr>
          <w:p>
            <w:pPr>
              <w:spacing w:after="0"/>
              <w:rPr>
                <w:sz w:val="24"/>
                <w:szCs w:val="24"/>
                <w:color w:val="auto"/>
              </w:rPr>
            </w:pPr>
          </w:p>
        </w:tc>
        <w:tc>
          <w:tcPr>
            <w:tcW w:w="36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TBA securities, at fair value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Repurchase agreements</w:t>
            </w:r>
            <w:r>
              <w:rPr>
                <w:rFonts w:ascii="Times New Roman" w:cs="Times New Roman" w:eastAsia="Times New Roman" w:hAnsi="Times New Roman"/>
                <w:sz w:val="16"/>
                <w:szCs w:val="16"/>
                <w:color w:val="B4B4B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(41,993)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50,441</w:t>
            </w:r>
          </w:p>
        </w:tc>
        <w:tc>
          <w:tcPr>
            <w:tcW w:w="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50,441</w:t>
            </w:r>
          </w:p>
        </w:tc>
        <w:tc>
          <w:tcPr>
            <w:tcW w:w="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(41,993)</w:t>
            </w:r>
          </w:p>
        </w:tc>
        <w:tc>
          <w:tcPr>
            <w:tcW w:w="4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-3562985</wp:posOffset>
            </wp:positionV>
            <wp:extent cx="3961130" cy="5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3">
                      <a:extLst>
                        <a:ext uri="{28A0092B-C50C-407E-A947-70E740481C1C}"/>
                      </a:extLst>
                    </a:blip>
                    <a:srcRect/>
                    <a:stretch>
                      <a:fillRect/>
                    </a:stretch>
                  </pic:blipFill>
                  <pic:spPr bwMode="auto">
                    <a:xfrm>
                      <a:off x="0" y="0"/>
                      <a:ext cx="3961130" cy="5016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-2519045</wp:posOffset>
            </wp:positionV>
            <wp:extent cx="3961130" cy="501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4">
                      <a:extLst>
                        <a:ext uri="{28A0092B-C50C-407E-A947-70E740481C1C}"/>
                      </a:extLst>
                    </a:blip>
                    <a:srcRect/>
                    <a:stretch>
                      <a:fillRect/>
                    </a:stretch>
                  </pic:blipFill>
                  <pic:spPr bwMode="auto">
                    <a:xfrm>
                      <a:off x="0" y="0"/>
                      <a:ext cx="3961130" cy="5016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-828675</wp:posOffset>
            </wp:positionV>
            <wp:extent cx="3989070" cy="501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05">
                      <a:extLst>
                        <a:ext uri="{28A0092B-C50C-407E-A947-70E740481C1C}"/>
                      </a:extLst>
                    </a:blip>
                    <a:srcRect/>
                    <a:stretch>
                      <a:fillRect/>
                    </a:stretch>
                  </pic:blipFill>
                  <pic:spPr bwMode="auto">
                    <a:xfrm>
                      <a:off x="0" y="0"/>
                      <a:ext cx="3989070" cy="5016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-43180</wp:posOffset>
            </wp:positionV>
            <wp:extent cx="3989070" cy="50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6">
                      <a:extLst>
                        <a:ext uri="{28A0092B-C50C-407E-A947-70E740481C1C}"/>
                      </a:extLst>
                    </a:blip>
                    <a:srcRect/>
                    <a:stretch>
                      <a:fillRect/>
                    </a:stretch>
                  </pic:blipFill>
                  <pic:spPr bwMode="auto">
                    <a:xfrm>
                      <a:off x="0" y="0"/>
                      <a:ext cx="3989070" cy="501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right="220" w:hanging="347"/>
        <w:spacing w:after="0" w:line="241" w:lineRule="auto"/>
        <w:tabs>
          <w:tab w:leader="none" w:pos="7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under derivative assets / liabilities, at fair value in the accompanying consolidated balance sheets. Refer to Note 5 for a reconciliation of derivative assets / liabilities, at fair value to their sub-components.</w:t>
      </w:r>
    </w:p>
    <w:p>
      <w:pPr>
        <w:spacing w:after="0" w:line="1" w:lineRule="exact"/>
        <w:rPr>
          <w:rFonts w:ascii="Times New Roman" w:cs="Times New Roman" w:eastAsia="Times New Roman" w:hAnsi="Times New Roman"/>
          <w:sz w:val="16"/>
          <w:szCs w:val="16"/>
          <w:color w:val="auto"/>
        </w:rPr>
      </w:pPr>
    </w:p>
    <w:p>
      <w:pPr>
        <w:ind w:left="700" w:right="200" w:hanging="347"/>
        <w:spacing w:after="0" w:line="245" w:lineRule="auto"/>
        <w:tabs>
          <w:tab w:leader="none" w:pos="7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7. Fair Value Measurements</w:t>
      </w:r>
    </w:p>
    <w:p>
      <w:pPr>
        <w:spacing w:after="0" w:line="196"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The following table provides a summary of our assets and liabilities that are measured at fair value on a recurring basis, as of December 31, 2024 and 2023, based on their categorization within the valuation hierarchy (in millions). There were no transfers between valuation hierarchy levels during the periods presented in our accompanying consolidated statements of comprehensive income.</w:t>
      </w:r>
    </w:p>
    <w:p>
      <w:pPr>
        <w:sectPr>
          <w:pgSz w:w="11880" w:h="15480" w:orient="portrait"/>
          <w:cols w:equalWidth="0" w:num="1">
            <w:col w:w="9960"/>
          </w:cols>
          <w:pgMar w:left="960" w:top="79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1880" w:h="15480" w:orient="portrait"/>
          <w:cols w:equalWidth="0" w:num="1">
            <w:col w:w="9960"/>
          </w:cols>
          <w:pgMar w:left="960" w:top="798" w:right="960" w:bottom="0" w:gutter="0" w:footer="0" w:header="0"/>
          <w:type w:val="continuous"/>
        </w:sectPr>
      </w:pPr>
    </w:p>
    <w:bookmarkStart w:id="83" w:name="page84"/>
    <w:bookmarkEnd w:id="83"/>
    <w:tbl>
      <w:tblPr>
        <w:tblLayout w:type="fixed"/>
        <w:tblInd w:w="60" w:type="dxa"/>
        <w:tblCellMar>
          <w:top w:w="0" w:type="dxa"/>
          <w:left w:w="0" w:type="dxa"/>
          <w:bottom w:w="0" w:type="dxa"/>
          <w:right w:w="0" w:type="dxa"/>
        </w:tblCellMar>
      </w:tblPr>
      <w:tr>
        <w:trPr>
          <w:trHeight w:val="211"/>
        </w:trPr>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7"/>
              </w:rPr>
              <w:t>Level 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21"/>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xml:space="preserve">Agency securities </w:t>
            </w:r>
            <w:r>
              <w:rPr>
                <w:rFonts w:ascii="Times New Roman" w:cs="Times New Roman" w:eastAsia="Times New Roman" w:hAnsi="Times New Roman"/>
                <w:sz w:val="16"/>
                <w:szCs w:val="16"/>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65,367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Agency securities transferred to consolidated VIEs</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Credit risk transfer securities</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xml:space="preserve">Non-Agency securities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xml:space="preserve">U.S. Treasury securities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2"/>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 xml:space="preserve">Interest rate swaps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xml:space="preserve">Swaptions </w:t>
            </w:r>
            <w:r>
              <w:rPr>
                <w:rFonts w:ascii="Times New Roman" w:cs="Times New Roman" w:eastAsia="Times New Roman" w:hAnsi="Times New Roman"/>
                <w:sz w:val="16"/>
                <w:szCs w:val="16"/>
                <w:color w:val="B4B4B4"/>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 xml:space="preserve">TBA securities </w:t>
            </w:r>
            <w:r>
              <w:rPr>
                <w:rFonts w:ascii="Times New Roman" w:cs="Times New Roman" w:eastAsia="Times New Roman" w:hAnsi="Times New Roman"/>
                <w:sz w:val="16"/>
                <w:szCs w:val="16"/>
                <w:color w:val="B4B4B4"/>
                <w:w w:val="99"/>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4"/>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xml:space="preserve">U.S. Treasury futures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5"/>
              </w:rPr>
              <w:t xml:space="preserve">Total </w:t>
            </w:r>
            <w:r>
              <w:rPr>
                <w:rFonts w:ascii="Times New Roman" w:cs="Times New Roman" w:eastAsia="Times New Roman" w:hAnsi="Times New Roman"/>
                <w:sz w:val="16"/>
                <w:szCs w:val="16"/>
                <w:color w:val="B4B4B4"/>
                <w:w w:val="95"/>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xml:space="preserve">Debt of consolidated VIEs </w:t>
            </w:r>
            <w:r>
              <w:rPr>
                <w:rFonts w:ascii="Times New Roman" w:cs="Times New Roman" w:eastAsia="Times New Roman" w:hAnsi="Times New Roman"/>
                <w:sz w:val="16"/>
                <w:szCs w:val="16"/>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1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Obligation to return U.S. Treasury securities borrowed under</w:t>
            </w: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 xml:space="preserve">reverse repurchase agreements </w:t>
            </w:r>
            <w:r>
              <w:rPr>
                <w:rFonts w:ascii="Times New Roman" w:cs="Times New Roman" w:eastAsia="Times New Roman" w:hAnsi="Times New Roman"/>
                <w:sz w:val="16"/>
                <w:szCs w:val="16"/>
                <w:color w:val="B4B4B4"/>
                <w:w w:val="99"/>
              </w:rPr>
              <w:t>..................................................</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 xml:space="preserve">Interest rate swaps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 xml:space="preserve">Credit default swaps </w:t>
            </w:r>
            <w:r>
              <w:rPr>
                <w:rFonts w:ascii="Times New Roman" w:cs="Times New Roman" w:eastAsia="Times New Roman" w:hAnsi="Times New Roman"/>
                <w:sz w:val="20"/>
                <w:szCs w:val="20"/>
                <w:color w:val="auto"/>
                <w:w w:val="99"/>
                <w:vertAlign w:val="superscript"/>
              </w:rPr>
              <w:t>1</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 xml:space="preserve">TBA securities </w:t>
            </w:r>
            <w:r>
              <w:rPr>
                <w:rFonts w:ascii="Times New Roman" w:cs="Times New Roman" w:eastAsia="Times New Roman" w:hAnsi="Times New Roman"/>
                <w:sz w:val="16"/>
                <w:szCs w:val="16"/>
                <w:color w:val="B4B4B4"/>
                <w:w w:val="99"/>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xml:space="preserve">U.S. Treasury futures </w:t>
            </w:r>
            <w:r>
              <w:rPr>
                <w:rFonts w:ascii="Times New Roman" w:cs="Times New Roman" w:eastAsia="Times New Roman" w:hAnsi="Times New Roman"/>
                <w:sz w:val="16"/>
                <w:szCs w:val="16"/>
                <w:color w:val="B4B4B4"/>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4"/>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 xml:space="preserve">SOFR Futures </w:t>
            </w:r>
            <w:r>
              <w:rPr>
                <w:rFonts w:ascii="Times New Roman" w:cs="Times New Roman" w:eastAsia="Times New Roman" w:hAnsi="Times New Roman"/>
                <w:sz w:val="16"/>
                <w:szCs w:val="16"/>
                <w:color w:val="B4B4B4"/>
                <w:w w:val="99"/>
              </w:rPr>
              <w:t>............................................................................</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5"/>
              </w:rPr>
              <w:t xml:space="preserve">Total </w:t>
            </w:r>
            <w:r>
              <w:rPr>
                <w:rFonts w:ascii="Times New Roman" w:cs="Times New Roman" w:eastAsia="Times New Roman" w:hAnsi="Times New Roman"/>
                <w:sz w:val="16"/>
                <w:szCs w:val="16"/>
                <w:color w:val="B4B4B4"/>
                <w:w w:val="95"/>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-1558290</wp:posOffset>
            </wp:positionV>
            <wp:extent cx="3647440" cy="501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7">
                      <a:extLst>
                        <a:ext uri="{28A0092B-C50C-407E-A947-70E740481C1C}"/>
                      </a:extLst>
                    </a:blip>
                    <a:srcRect/>
                    <a:stretch>
                      <a:fillRect/>
                    </a:stretch>
                  </pic:blipFill>
                  <pic:spPr bwMode="auto">
                    <a:xfrm>
                      <a:off x="0" y="0"/>
                      <a:ext cx="3647440" cy="5016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-43180</wp:posOffset>
            </wp:positionV>
            <wp:extent cx="3647440" cy="501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8">
                      <a:extLst>
                        <a:ext uri="{28A0092B-C50C-407E-A947-70E740481C1C}"/>
                      </a:extLst>
                    </a:blip>
                    <a:srcRect/>
                    <a:stretch>
                      <a:fillRect/>
                    </a:stretch>
                  </pic:blipFill>
                  <pic:spPr bwMode="auto">
                    <a:xfrm>
                      <a:off x="0" y="0"/>
                      <a:ext cx="3647440" cy="5016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2" w:lineRule="exact"/>
        <w:rPr>
          <w:sz w:val="20"/>
          <w:szCs w:val="20"/>
          <w:color w:val="auto"/>
        </w:rPr>
      </w:pPr>
    </w:p>
    <w:p>
      <w:pPr>
        <w:jc w:val="both"/>
        <w:ind w:left="700" w:hanging="347"/>
        <w:spacing w:after="0" w:line="248" w:lineRule="auto"/>
        <w:tabs>
          <w:tab w:leader="none" w:pos="7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and 2023, the net fair value of our interest rate swaps excluding the recognition of variation margin settlements as a direct reduction of carrying value was a net asset (liability) of $2.3 billion and $2.9 billion, respectively, based on "Level 2" inputs. As of December 31, 2024 and 2023, the net fair value of our credit default swaps excluding the recognition of variation margin settlements was a net asset (liability) of $0 million and $(6) million, respectively, based on "Level 2" inputs. See Notes 2 and 5 for additional details.</w:t>
      </w:r>
    </w:p>
    <w:p>
      <w:pPr>
        <w:spacing w:after="0" w:line="232"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9"/>
          <w:szCs w:val="19"/>
          <w:color w:val="auto"/>
        </w:rPr>
        <w:t>Excluded from the table above are financial instruments reported at cost and other mortgage credit investments reported under the equity method of accounting in our consolidated financial statements. As of December 31, 2024 and 2023, the fair value of our repurchase agreements approximated cost, given their short-term nature (less than one year) and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December 31, 2024 and 2023, the carrying value of other mortgage credit investments reported under the equity method of accounting was $64 million and $44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8. Net Income (Loss) Per Common Share</w:t>
      </w:r>
    </w:p>
    <w:p>
      <w:pPr>
        <w:spacing w:after="0" w:line="254"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("the Board"). Diluted net income (loss) per common share assumes the issuance of all potential common stock equivalents unless doing so would reduce a loss or increase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ectPr>
          <w:pgSz w:w="11880" w:h="15480" w:orient="portrait"/>
          <w:cols w:equalWidth="0" w:num="1">
            <w:col w:w="9960"/>
          </w:cols>
          <w:pgMar w:left="960" w:top="79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1880" w:h="15480" w:orient="portrait"/>
          <w:cols w:equalWidth="0" w:num="1">
            <w:col w:w="9960"/>
          </w:cols>
          <w:pgMar w:left="960" w:top="798" w:right="960" w:bottom="0" w:gutter="0" w:footer="0" w:header="0"/>
          <w:type w:val="continuous"/>
        </w:sectPr>
      </w:pPr>
    </w:p>
    <w:bookmarkStart w:id="84" w:name="page85"/>
    <w:bookmarkEnd w:id="84"/>
    <w:tbl>
      <w:tblPr>
        <w:tblLayout w:type="fixed"/>
        <w:tblInd w:w="48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1"/>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Weighted average number of common shares issued and outstanding</w:t>
            </w:r>
            <w:r>
              <w:rPr>
                <w:rFonts w:ascii="Times New Roman" w:cs="Times New Roman" w:eastAsia="Times New Roman" w:hAnsi="Times New Roman"/>
                <w:sz w:val="16"/>
                <w:szCs w:val="16"/>
                <w:color w:val="B4B4B4"/>
                <w:w w:val="98"/>
              </w:rPr>
              <w:t>.......................................................</w:t>
            </w:r>
          </w:p>
        </w:tc>
        <w:tc>
          <w:tcPr>
            <w:tcW w:w="18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781.2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0" w:type="dxa"/>
            <w:vAlign w:val="bottom"/>
          </w:tcPr>
          <w:p>
            <w:pPr>
              <w:spacing w:after="0"/>
              <w:rPr>
                <w:sz w:val="1"/>
                <w:szCs w:val="1"/>
                <w:color w:val="auto"/>
              </w:rPr>
            </w:pPr>
          </w:p>
        </w:tc>
      </w:tr>
      <w:tr>
        <w:trPr>
          <w:trHeight w:val="25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Weighted average number of fully vested restricted stock units outstanding </w:t>
            </w:r>
            <w:r>
              <w:rPr>
                <w:rFonts w:ascii="Times New Roman" w:cs="Times New Roman" w:eastAsia="Times New Roman" w:hAnsi="Times New Roman"/>
                <w:sz w:val="16"/>
                <w:szCs w:val="16"/>
                <w:color w:val="B4B4B4"/>
                <w:w w:val="98"/>
              </w:rPr>
              <w:t>............................................</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1"/>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Weighted average number of common shares outstanding - basic </w:t>
            </w:r>
            <w:r>
              <w:rPr>
                <w:rFonts w:ascii="Times New Roman" w:cs="Times New Roman" w:eastAsia="Times New Roman" w:hAnsi="Times New Roman"/>
                <w:sz w:val="16"/>
                <w:szCs w:val="16"/>
                <w:color w:val="B4B4B4"/>
                <w:w w:val="98"/>
              </w:rPr>
              <w:t>.............................................................</w:t>
            </w:r>
          </w:p>
        </w:tc>
        <w:tc>
          <w:tcPr>
            <w:tcW w:w="18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783.4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0" w:type="dxa"/>
            <w:vAlign w:val="bottom"/>
          </w:tcPr>
          <w:p>
            <w:pPr>
              <w:spacing w:after="0"/>
              <w:rPr>
                <w:sz w:val="1"/>
                <w:szCs w:val="1"/>
                <w:color w:val="auto"/>
              </w:rPr>
            </w:pPr>
          </w:p>
        </w:tc>
      </w:tr>
      <w:tr>
        <w:trPr>
          <w:trHeight w:val="25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Weighted average number of dilutive unvested restricted stock units outstanding </w:t>
            </w:r>
            <w:r>
              <w:rPr>
                <w:rFonts w:ascii="Times New Roman" w:cs="Times New Roman" w:eastAsia="Times New Roman" w:hAnsi="Times New Roman"/>
                <w:sz w:val="16"/>
                <w:szCs w:val="16"/>
                <w:color w:val="B4B4B4"/>
                <w:w w:val="98"/>
              </w:rPr>
              <w:t>....................................</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Weighted average number of common shares outstanding - diluted </w:t>
            </w:r>
            <w:r>
              <w:rPr>
                <w:rFonts w:ascii="Times New Roman" w:cs="Times New Roman" w:eastAsia="Times New Roman" w:hAnsi="Times New Roman"/>
                <w:sz w:val="16"/>
                <w:szCs w:val="16"/>
                <w:color w:val="B4B4B4"/>
                <w:w w:val="98"/>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786.0</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 available (attributable) to common stockholders</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20" w:type="dxa"/>
            <w:vAlign w:val="bottom"/>
            <w:vMerge w:val="continue"/>
          </w:tcPr>
          <w:p>
            <w:pPr>
              <w:jc w:val="right"/>
              <w:ind w:right="42"/>
              <w:spacing w:after="0" w:line="155" w:lineRule="exact"/>
              <w:rPr>
                <w:sz w:val="20"/>
                <w:szCs w:val="20"/>
                <w:color w:val="auto"/>
              </w:rPr>
            </w:pPr>
            <w:r>
              <w:rPr>
                <w:rFonts w:ascii="Times New Roman" w:cs="Times New Roman" w:eastAsia="Times New Roman" w:hAnsi="Times New Roman"/>
                <w:sz w:val="16"/>
                <w:szCs w:val="16"/>
                <w:color w:val="B4B4B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731</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20" w:type="dxa"/>
            <w:vAlign w:val="bottom"/>
            <w:vMerge w:val="continue"/>
          </w:tcPr>
          <w:p>
            <w:pPr>
              <w:jc w:val="right"/>
              <w:ind w:right="42"/>
              <w:spacing w:after="0" w:line="155" w:lineRule="exact"/>
              <w:rPr>
                <w:sz w:val="20"/>
                <w:szCs w:val="20"/>
                <w:color w:val="auto"/>
              </w:rPr>
            </w:pPr>
            <w:r>
              <w:rPr>
                <w:rFonts w:ascii="Times New Roman" w:cs="Times New Roman" w:eastAsia="Times New Roman" w:hAnsi="Times New Roman"/>
                <w:sz w:val="16"/>
                <w:szCs w:val="16"/>
                <w:color w:val="B4B4B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0.93</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20" w:type="dxa"/>
            <w:vAlign w:val="bottom"/>
            <w:vMerge w:val="continue"/>
          </w:tcPr>
          <w:p>
            <w:pPr>
              <w:jc w:val="right"/>
              <w:ind w:right="42"/>
              <w:spacing w:after="0" w:line="155" w:lineRule="exact"/>
              <w:rPr>
                <w:sz w:val="20"/>
                <w:szCs w:val="20"/>
                <w:color w:val="auto"/>
              </w:rPr>
            </w:pPr>
            <w:r>
              <w:rPr>
                <w:rFonts w:ascii="Times New Roman" w:cs="Times New Roman" w:eastAsia="Times New Roman" w:hAnsi="Times New Roman"/>
                <w:sz w:val="16"/>
                <w:szCs w:val="16"/>
                <w:color w:val="B4B4B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0.93</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-514350</wp:posOffset>
            </wp:positionV>
            <wp:extent cx="1633220" cy="501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9">
                      <a:extLst>
                        <a:ext uri="{28A0092B-C50C-407E-A947-70E740481C1C}"/>
                      </a:extLst>
                    </a:blip>
                    <a:srcRect/>
                    <a:stretch>
                      <a:fillRect/>
                    </a:stretch>
                  </pic:blipFill>
                  <pic:spPr bwMode="auto">
                    <a:xfrm>
                      <a:off x="0" y="0"/>
                      <a:ext cx="1633220" cy="5016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-356870</wp:posOffset>
            </wp:positionV>
            <wp:extent cx="1633220" cy="501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0">
                      <a:extLst>
                        <a:ext uri="{28A0092B-C50C-407E-A947-70E740481C1C}"/>
                      </a:extLst>
                    </a:blip>
                    <a:srcRect/>
                    <a:stretch>
                      <a:fillRect/>
                    </a:stretch>
                  </pic:blipFill>
                  <pic:spPr bwMode="auto">
                    <a:xfrm>
                      <a:off x="0" y="0"/>
                      <a:ext cx="1633220" cy="5016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-200025</wp:posOffset>
            </wp:positionV>
            <wp:extent cx="1633220" cy="501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1">
                      <a:extLst>
                        <a:ext uri="{28A0092B-C50C-407E-A947-70E740481C1C}"/>
                      </a:extLst>
                    </a:blip>
                    <a:srcRect/>
                    <a:stretch>
                      <a:fillRect/>
                    </a:stretch>
                  </pic:blipFill>
                  <pic:spPr bwMode="auto">
                    <a:xfrm>
                      <a:off x="0" y="0"/>
                      <a:ext cx="1633220" cy="5016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-43180</wp:posOffset>
            </wp:positionV>
            <wp:extent cx="1633220" cy="501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12">
                      <a:extLst>
                        <a:ext uri="{28A0092B-C50C-407E-A947-70E740481C1C}"/>
                      </a:extLst>
                    </a:blip>
                    <a:srcRect/>
                    <a:stretch>
                      <a:fillRect/>
                    </a:stretch>
                  </pic:blipFill>
                  <pic:spPr bwMode="auto">
                    <a:xfrm>
                      <a:off x="0" y="0"/>
                      <a:ext cx="1633220" cy="50165"/>
                    </a:xfrm>
                    <a:prstGeom prst="rect">
                      <a:avLst/>
                    </a:prstGeom>
                    <a:noFill/>
                  </pic:spPr>
                </pic:pic>
              </a:graphicData>
            </a:graphic>
          </wp:anchor>
        </w:drawing>
      </w:r>
    </w:p>
    <w:p>
      <w:pPr>
        <w:spacing w:after="0" w:line="65"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For the year ended December 31, 2022, 1.1 million of potentially dilutive unvested time- and performance-based RSUs outstanding were excluded from the computation of diluted net income (loss) per common share because including them would have been anti-dilutive for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Preferred Stock</w:t>
      </w:r>
    </w:p>
    <w:p>
      <w:pPr>
        <w:spacing w:after="0" w:line="196"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We are authorized to designate and issue up to 10.0 million shares of preferred stock in one or more classes or series. As of December 31, 2024 and 2023,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December 31, 2024 and 2023,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w:t>
      </w:r>
    </w:p>
    <w:p>
      <w:pPr>
        <w:spacing w:after="0" w:line="140"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35" w:lineRule="exact"/>
        <w:rPr>
          <w:sz w:val="20"/>
          <w:szCs w:val="20"/>
          <w:color w:val="auto"/>
        </w:rPr>
      </w:pPr>
    </w:p>
    <w:p>
      <w:pPr>
        <w:ind w:firstLine="436"/>
        <w:spacing w:after="0" w:line="293" w:lineRule="auto"/>
        <w:rPr>
          <w:sz w:val="20"/>
          <w:szCs w:val="20"/>
          <w:color w:val="auto"/>
        </w:rPr>
      </w:pPr>
      <w:r>
        <w:rPr>
          <w:rFonts w:ascii="Times New Roman" w:cs="Times New Roman" w:eastAsia="Times New Roman" w:hAnsi="Times New Roman"/>
          <w:sz w:val="19"/>
          <w:szCs w:val="19"/>
          <w:color w:val="auto"/>
        </w:rPr>
        <w:t>The following table includes a summary of preferred stock depositary shares issued and outstanding as of December 31, 2024 (dollars and shares in millions):</w:t>
      </w:r>
    </w:p>
    <w:p>
      <w:pPr>
        <w:spacing w:after="0" w:line="190"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Depositary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b w:val="1"/>
                <w:bCs w:val="1"/>
                <w:color w:val="auto"/>
              </w:rPr>
              <w:t>Cumulative</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1060" w:type="dxa"/>
            <w:vAlign w:val="bottom"/>
            <w:vMerge w:val="restart"/>
          </w:tcPr>
          <w:p>
            <w:pPr>
              <w:jc w:val="center"/>
              <w:ind w:left="25"/>
              <w:spacing w:after="0"/>
              <w:rPr>
                <w:sz w:val="20"/>
                <w:szCs w:val="20"/>
                <w:color w:val="auto"/>
              </w:rPr>
            </w:pPr>
            <w:r>
              <w:rPr>
                <w:rFonts w:ascii="Times New Roman" w:cs="Times New Roman" w:eastAsia="Times New Roman" w:hAnsi="Times New Roman"/>
                <w:sz w:val="15"/>
                <w:szCs w:val="15"/>
                <w:b w:val="1"/>
                <w:bCs w:val="1"/>
                <w:color w:val="auto"/>
              </w:rPr>
              <w:t>Per Annum</w:t>
            </w:r>
          </w:p>
        </w:tc>
        <w:tc>
          <w:tcPr>
            <w:tcW w:w="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First Optional</w:t>
            </w:r>
          </w:p>
        </w:tc>
        <w:tc>
          <w:tcPr>
            <w:tcW w:w="0" w:type="dxa"/>
            <w:vAlign w:val="bottom"/>
          </w:tcPr>
          <w:p>
            <w:pPr>
              <w:spacing w:after="0"/>
              <w:rPr>
                <w:sz w:val="1"/>
                <w:szCs w:val="1"/>
                <w:color w:val="auto"/>
              </w:rPr>
            </w:pPr>
          </w:p>
        </w:tc>
      </w:tr>
      <w:tr>
        <w:trPr>
          <w:trHeight w:val="150"/>
        </w:trPr>
        <w:tc>
          <w:tcPr>
            <w:tcW w:w="1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7"/>
              </w:rPr>
              <w:t>Issued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94"/>
              </w:rPr>
              <w:t>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64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b w:val="1"/>
                <w:bCs w:val="1"/>
                <w:color w:val="auto"/>
              </w:rPr>
              <w:t>Redeemable Preferred</w:t>
            </w:r>
          </w:p>
        </w:tc>
        <w:tc>
          <w:tcPr>
            <w:tcW w:w="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Issue Date</w:t>
            </w:r>
          </w:p>
        </w:tc>
        <w:tc>
          <w:tcPr>
            <w:tcW w:w="8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9"/>
              </w:rPr>
              <w:t>and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Liquidation</w:t>
            </w:r>
          </w:p>
        </w:tc>
        <w:tc>
          <w:tcPr>
            <w:tcW w:w="1060" w:type="dxa"/>
            <w:vAlign w:val="bottom"/>
          </w:tcPr>
          <w:p>
            <w:pPr>
              <w:jc w:val="center"/>
              <w:ind w:left="25"/>
              <w:spacing w:after="0" w:line="151" w:lineRule="exact"/>
              <w:rPr>
                <w:sz w:val="20"/>
                <w:szCs w:val="20"/>
                <w:color w:val="auto"/>
              </w:rPr>
            </w:pPr>
            <w:r>
              <w:rPr>
                <w:rFonts w:ascii="Times New Roman" w:cs="Times New Roman" w:eastAsia="Times New Roman" w:hAnsi="Times New Roman"/>
                <w:sz w:val="15"/>
                <w:szCs w:val="15"/>
                <w:b w:val="1"/>
                <w:bCs w:val="1"/>
                <w:color w:val="auto"/>
              </w:rPr>
              <w:t>Dividend</w:t>
            </w:r>
          </w:p>
        </w:tc>
        <w:tc>
          <w:tcPr>
            <w:tcW w:w="6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Redemption Date /</w:t>
            </w:r>
          </w:p>
        </w:tc>
        <w:tc>
          <w:tcPr>
            <w:tcW w:w="0" w:type="dxa"/>
            <w:vAlign w:val="bottom"/>
          </w:tcPr>
          <w:p>
            <w:pPr>
              <w:spacing w:after="0"/>
              <w:rPr>
                <w:sz w:val="1"/>
                <w:szCs w:val="1"/>
                <w:color w:val="auto"/>
              </w:rPr>
            </w:pPr>
          </w:p>
        </w:tc>
      </w:tr>
      <w:tr>
        <w:trPr>
          <w:trHeight w:val="202"/>
        </w:trPr>
        <w:tc>
          <w:tcPr>
            <w:tcW w:w="1640" w:type="dxa"/>
            <w:vAlign w:val="bottom"/>
            <w:tcBorders>
              <w:bottom w:val="single" w:sz="8" w:color="auto"/>
            </w:tcBorders>
          </w:tcPr>
          <w:p>
            <w:pPr>
              <w:ind w:left="600"/>
              <w:spacing w:after="0" w:line="202" w:lineRule="exact"/>
              <w:rPr>
                <w:sz w:val="20"/>
                <w:szCs w:val="20"/>
                <w:color w:val="auto"/>
              </w:rPr>
            </w:pPr>
            <w:r>
              <w:rPr>
                <w:rFonts w:ascii="Times New Roman" w:cs="Times New Roman" w:eastAsia="Times New Roman" w:hAnsi="Times New Roman"/>
                <w:sz w:val="15"/>
                <w:szCs w:val="15"/>
                <w:b w:val="1"/>
                <w:bCs w:val="1"/>
                <w:color w:val="auto"/>
              </w:rPr>
              <w:t xml:space="preserve">Stock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Outstanding</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Preference</w:t>
            </w:r>
          </w:p>
        </w:tc>
        <w:tc>
          <w:tcPr>
            <w:tcW w:w="1060" w:type="dxa"/>
            <w:vAlign w:val="bottom"/>
            <w:tcBorders>
              <w:bottom w:val="single" w:sz="8" w:color="auto"/>
            </w:tcBorders>
          </w:tcPr>
          <w:p>
            <w:pPr>
              <w:jc w:val="center"/>
              <w:ind w:left="5"/>
              <w:spacing w:after="0" w:line="202" w:lineRule="exact"/>
              <w:rPr>
                <w:sz w:val="20"/>
                <w:szCs w:val="20"/>
                <w:color w:val="auto"/>
              </w:rPr>
            </w:pPr>
            <w:r>
              <w:rPr>
                <w:rFonts w:ascii="Times New Roman" w:cs="Times New Roman" w:eastAsia="Times New Roman" w:hAnsi="Times New Roman"/>
                <w:sz w:val="15"/>
                <w:szCs w:val="15"/>
                <w:b w:val="1"/>
                <w:bCs w:val="1"/>
                <w:color w:val="auto"/>
                <w:w w:val="92"/>
              </w:rPr>
              <w:t xml:space="preserve">Rate </w:t>
            </w:r>
            <w:r>
              <w:rPr>
                <w:rFonts w:ascii="Times New Roman" w:cs="Times New Roman" w:eastAsia="Times New Roman" w:hAnsi="Times New Roman"/>
                <w:sz w:val="19"/>
                <w:szCs w:val="19"/>
                <w:b w:val="1"/>
                <w:bCs w:val="1"/>
                <w:color w:val="auto"/>
                <w:w w:val="92"/>
                <w:vertAlign w:val="superscript"/>
              </w:rPr>
              <w:t>2,3</w:t>
            </w:r>
          </w:p>
        </w:tc>
        <w:tc>
          <w:tcPr>
            <w:tcW w:w="60" w:type="dxa"/>
            <w:vAlign w:val="bottom"/>
          </w:tcPr>
          <w:p>
            <w:pPr>
              <w:spacing w:after="0"/>
              <w:rPr>
                <w:sz w:val="17"/>
                <w:szCs w:val="17"/>
                <w:color w:val="auto"/>
              </w:rPr>
            </w:pPr>
          </w:p>
        </w:tc>
        <w:tc>
          <w:tcPr>
            <w:tcW w:w="14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5"/>
                <w:szCs w:val="15"/>
                <w:b w:val="1"/>
                <w:bCs w:val="1"/>
                <w:color w:val="auto"/>
                <w:w w:val="96"/>
              </w:rPr>
              <w:t xml:space="preserve">Conversion Date </w:t>
            </w:r>
            <w:r>
              <w:rPr>
                <w:rFonts w:ascii="Times New Roman" w:cs="Times New Roman" w:eastAsia="Times New Roman" w:hAnsi="Times New Roman"/>
                <w:sz w:val="19"/>
                <w:szCs w:val="19"/>
                <w:b w:val="1"/>
                <w:bCs w:val="1"/>
                <w:color w:val="auto"/>
                <w:w w:val="96"/>
                <w:vertAlign w:val="superscript"/>
              </w:rPr>
              <w:t>3,4</w:t>
            </w:r>
          </w:p>
        </w:tc>
        <w:tc>
          <w:tcPr>
            <w:tcW w:w="0" w:type="dxa"/>
            <w:vAlign w:val="bottom"/>
          </w:tcPr>
          <w:p>
            <w:pPr>
              <w:spacing w:after="0"/>
              <w:rPr>
                <w:sz w:val="1"/>
                <w:szCs w:val="1"/>
                <w:color w:val="auto"/>
              </w:rPr>
            </w:pPr>
          </w:p>
        </w:tc>
      </w:tr>
      <w:tr>
        <w:trPr>
          <w:trHeight w:val="217"/>
        </w:trPr>
        <w:tc>
          <w:tcPr>
            <w:tcW w:w="16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Fixed-to-Floating Rate:</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 xml:space="preserve">Series C </w:t>
            </w:r>
            <w:r>
              <w:rPr>
                <w:rFonts w:ascii="Times New Roman" w:cs="Times New Roman" w:eastAsia="Times New Roman" w:hAnsi="Times New Roman"/>
                <w:sz w:val="15"/>
                <w:szCs w:val="15"/>
                <w:color w:val="B4B4B4"/>
              </w:rPr>
              <w:t>.....................</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August 22, 2017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060" w:type="dxa"/>
            <w:vAlign w:val="bottom"/>
          </w:tcPr>
          <w:p>
            <w:pPr>
              <w:jc w:val="center"/>
              <w:ind w:left="65"/>
              <w:spacing w:after="0"/>
              <w:rPr>
                <w:sz w:val="20"/>
                <w:szCs w:val="20"/>
                <w:color w:val="auto"/>
              </w:rPr>
            </w:pPr>
            <w:r>
              <w:rPr>
                <w:rFonts w:ascii="Times New Roman" w:cs="Times New Roman" w:eastAsia="Times New Roman" w:hAnsi="Times New Roman"/>
                <w:sz w:val="15"/>
                <w:szCs w:val="15"/>
                <w:color w:val="auto"/>
                <w:w w:val="98"/>
              </w:rPr>
              <w:t>10.01991%</w:t>
            </w:r>
          </w:p>
        </w:tc>
        <w:tc>
          <w:tcPr>
            <w:tcW w:w="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15, 2022</w:t>
            </w:r>
          </w:p>
        </w:tc>
        <w:tc>
          <w:tcPr>
            <w:tcW w:w="0" w:type="dxa"/>
            <w:vAlign w:val="bottom"/>
          </w:tcPr>
          <w:p>
            <w:pPr>
              <w:spacing w:after="0"/>
              <w:rPr>
                <w:sz w:val="1"/>
                <w:szCs w:val="1"/>
                <w:color w:val="auto"/>
              </w:rPr>
            </w:pPr>
          </w:p>
        </w:tc>
      </w:tr>
      <w:tr>
        <w:trPr>
          <w:trHeight w:val="247"/>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 xml:space="preserve">Series D </w:t>
            </w:r>
            <w:r>
              <w:rPr>
                <w:rFonts w:ascii="Times New Roman" w:cs="Times New Roman" w:eastAsia="Times New Roman" w:hAnsi="Times New Roman"/>
                <w:sz w:val="15"/>
                <w:szCs w:val="15"/>
                <w:color w:val="B4B4B4"/>
              </w:rPr>
              <w:t>.....................</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March 6, 2019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060" w:type="dxa"/>
            <w:vAlign w:val="bottom"/>
          </w:tcPr>
          <w:p>
            <w:pPr>
              <w:jc w:val="center"/>
              <w:ind w:left="65"/>
              <w:spacing w:after="0"/>
              <w:rPr>
                <w:sz w:val="20"/>
                <w:szCs w:val="20"/>
                <w:color w:val="auto"/>
              </w:rPr>
            </w:pPr>
            <w:r>
              <w:rPr>
                <w:rFonts w:ascii="Times New Roman" w:cs="Times New Roman" w:eastAsia="Times New Roman" w:hAnsi="Times New Roman"/>
                <w:sz w:val="15"/>
                <w:szCs w:val="15"/>
                <w:color w:val="auto"/>
                <w:w w:val="97"/>
              </w:rPr>
              <w:t>9.24091%</w:t>
            </w:r>
          </w:p>
        </w:tc>
        <w:tc>
          <w:tcPr>
            <w:tcW w:w="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April 15, 2024</w:t>
            </w:r>
          </w:p>
        </w:tc>
        <w:tc>
          <w:tcPr>
            <w:tcW w:w="0" w:type="dxa"/>
            <w:vAlign w:val="bottom"/>
          </w:tcPr>
          <w:p>
            <w:pPr>
              <w:spacing w:after="0"/>
              <w:rPr>
                <w:sz w:val="1"/>
                <w:szCs w:val="1"/>
                <w:color w:val="auto"/>
              </w:rPr>
            </w:pPr>
          </w:p>
        </w:tc>
      </w:tr>
      <w:tr>
        <w:trPr>
          <w:trHeight w:val="247"/>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Series E</w:t>
            </w:r>
            <w:r>
              <w:rPr>
                <w:rFonts w:ascii="Times New Roman" w:cs="Times New Roman" w:eastAsia="Times New Roman" w:hAnsi="Times New Roman"/>
                <w:sz w:val="15"/>
                <w:szCs w:val="15"/>
                <w:color w:val="B4B4B4"/>
              </w:rPr>
              <w:t>......................</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October 3, 2019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1060" w:type="dxa"/>
            <w:vAlign w:val="bottom"/>
          </w:tcPr>
          <w:p>
            <w:pPr>
              <w:jc w:val="center"/>
              <w:ind w:left="65"/>
              <w:spacing w:after="0"/>
              <w:rPr>
                <w:sz w:val="20"/>
                <w:szCs w:val="20"/>
                <w:color w:val="auto"/>
              </w:rPr>
            </w:pPr>
            <w:r>
              <w:rPr>
                <w:rFonts w:ascii="Times New Roman" w:cs="Times New Roman" w:eastAsia="Times New Roman" w:hAnsi="Times New Roman"/>
                <w:sz w:val="15"/>
                <w:szCs w:val="15"/>
                <w:color w:val="auto"/>
                <w:w w:val="97"/>
              </w:rPr>
              <w:t>9.90191%</w:t>
            </w:r>
          </w:p>
        </w:tc>
        <w:tc>
          <w:tcPr>
            <w:tcW w:w="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15, 2024</w:t>
            </w:r>
          </w:p>
        </w:tc>
        <w:tc>
          <w:tcPr>
            <w:tcW w:w="0" w:type="dxa"/>
            <w:vAlign w:val="bottom"/>
          </w:tcPr>
          <w:p>
            <w:pPr>
              <w:spacing w:after="0"/>
              <w:rPr>
                <w:sz w:val="1"/>
                <w:szCs w:val="1"/>
                <w:color w:val="auto"/>
              </w:rPr>
            </w:pPr>
          </w:p>
        </w:tc>
      </w:tr>
      <w:tr>
        <w:trPr>
          <w:trHeight w:val="247"/>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w w:val="99"/>
              </w:rPr>
              <w:t xml:space="preserve">Series F </w:t>
            </w:r>
            <w:r>
              <w:rPr>
                <w:rFonts w:ascii="Times New Roman" w:cs="Times New Roman" w:eastAsia="Times New Roman" w:hAnsi="Times New Roman"/>
                <w:sz w:val="15"/>
                <w:szCs w:val="15"/>
                <w:color w:val="B4B4B4"/>
                <w:w w:val="99"/>
              </w:rPr>
              <w:t>......................</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February 11, 2020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106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w w:val="99"/>
              </w:rPr>
              <w:t>6.125%</w:t>
            </w:r>
          </w:p>
        </w:tc>
        <w:tc>
          <w:tcPr>
            <w:tcW w:w="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April 15, 2025</w:t>
            </w:r>
          </w:p>
        </w:tc>
        <w:tc>
          <w:tcPr>
            <w:tcW w:w="0" w:type="dxa"/>
            <w:vAlign w:val="bottom"/>
          </w:tcPr>
          <w:p>
            <w:pPr>
              <w:spacing w:after="0"/>
              <w:rPr>
                <w:sz w:val="1"/>
                <w:szCs w:val="1"/>
                <w:color w:val="auto"/>
              </w:rPr>
            </w:pPr>
          </w:p>
        </w:tc>
      </w:tr>
      <w:tr>
        <w:trPr>
          <w:trHeight w:val="247"/>
        </w:trPr>
        <w:tc>
          <w:tcPr>
            <w:tcW w:w="16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Fixed-Rate Reset:</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 xml:space="preserve">Series G </w:t>
            </w:r>
            <w:r>
              <w:rPr>
                <w:rFonts w:ascii="Times New Roman" w:cs="Times New Roman" w:eastAsia="Times New Roman" w:hAnsi="Times New Roman"/>
                <w:sz w:val="15"/>
                <w:szCs w:val="15"/>
                <w:color w:val="B4B4B4"/>
              </w:rPr>
              <w:t>.....................</w:t>
            </w:r>
          </w:p>
        </w:tc>
        <w:tc>
          <w:tcPr>
            <w:tcW w:w="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14, 2022</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060" w:type="dxa"/>
            <w:vAlign w:val="bottom"/>
          </w:tcPr>
          <w:p>
            <w:pPr>
              <w:jc w:val="center"/>
              <w:ind w:left="45"/>
              <w:spacing w:after="0"/>
              <w:rPr>
                <w:sz w:val="20"/>
                <w:szCs w:val="20"/>
                <w:color w:val="auto"/>
              </w:rPr>
            </w:pPr>
            <w:r>
              <w:rPr>
                <w:rFonts w:ascii="Times New Roman" w:cs="Times New Roman" w:eastAsia="Times New Roman" w:hAnsi="Times New Roman"/>
                <w:sz w:val="15"/>
                <w:szCs w:val="15"/>
                <w:color w:val="auto"/>
                <w:w w:val="99"/>
              </w:rPr>
              <w:t>7.750%</w:t>
            </w:r>
          </w:p>
        </w:tc>
        <w:tc>
          <w:tcPr>
            <w:tcW w:w="6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15, 2027</w:t>
            </w:r>
          </w:p>
        </w:tc>
        <w:tc>
          <w:tcPr>
            <w:tcW w:w="0" w:type="dxa"/>
            <w:vAlign w:val="bottom"/>
          </w:tcPr>
          <w:p>
            <w:pPr>
              <w:spacing w:after="0"/>
              <w:rPr>
                <w:sz w:val="1"/>
                <w:szCs w:val="1"/>
                <w:color w:val="auto"/>
              </w:rPr>
            </w:pPr>
          </w:p>
        </w:tc>
      </w:tr>
      <w:tr>
        <w:trPr>
          <w:trHeight w:val="208"/>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 xml:space="preserve">Total </w:t>
            </w:r>
            <w:r>
              <w:rPr>
                <w:rFonts w:ascii="Times New Roman" w:cs="Times New Roman" w:eastAsia="Times New Roman" w:hAnsi="Times New Roman"/>
                <w:sz w:val="15"/>
                <w:szCs w:val="15"/>
                <w:color w:val="B4B4B4"/>
              </w:rPr>
              <w:t>..........................</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1,688</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-43180</wp:posOffset>
            </wp:positionV>
            <wp:extent cx="1845310" cy="501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13">
                      <a:extLst>
                        <a:ext uri="{28A0092B-C50C-407E-A947-70E740481C1C}"/>
                      </a:extLst>
                    </a:blip>
                    <a:srcRect/>
                    <a:stretch>
                      <a:fillRect/>
                    </a:stretch>
                  </pic:blipFill>
                  <pic:spPr bwMode="auto">
                    <a:xfrm>
                      <a:off x="0" y="0"/>
                      <a:ext cx="1845310" cy="5016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jc w:val="both"/>
        <w:ind w:left="700" w:hanging="347"/>
        <w:spacing w:after="0" w:line="242" w:lineRule="auto"/>
        <w:tabs>
          <w:tab w:leader="none" w:pos="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ind w:left="700" w:hanging="347"/>
        <w:spacing w:after="0"/>
        <w:tabs>
          <w:tab w:leader="none" w:pos="7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C, D and E per annum dividend rates represent the rates in effect as of December 31, 2024.</w:t>
      </w:r>
    </w:p>
    <w:p>
      <w:pPr>
        <w:spacing w:after="0" w:line="2" w:lineRule="exact"/>
        <w:rPr>
          <w:rFonts w:ascii="Times New Roman" w:cs="Times New Roman" w:eastAsia="Times New Roman" w:hAnsi="Times New Roman"/>
          <w:sz w:val="16"/>
          <w:szCs w:val="16"/>
          <w:color w:val="auto"/>
        </w:rPr>
      </w:pPr>
    </w:p>
    <w:p>
      <w:pPr>
        <w:jc w:val="both"/>
        <w:ind w:left="700" w:hanging="347"/>
        <w:spacing w:after="0" w:line="290" w:lineRule="auto"/>
        <w:tabs>
          <w:tab w:leader="none" w:pos="7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 and E dividends accrue at a rate equal to the 3-Month CME Term SOFR plus 0.26161%, plus spreads of 5.111%, 4.332% and 4.993%, respectively, per annum, resetting quarterly in accordance with the certificate of designations for such series and the Adjustable Interest Rate (LIBOR) Act of 2021 (the “LIBOR Act”). At the conclusion of the fixed rate period (the conversion date) for the Series F Preferred Stock, the dividend for such series will accrue at a rate equal to the 3-Month CME Term SOFR plus 0.26161%, plus a spread of 4.697% per annum, resetting</w:t>
      </w:r>
    </w:p>
    <w:p>
      <w:pPr>
        <w:sectPr>
          <w:pgSz w:w="11880" w:h="15480" w:orient="portrait"/>
          <w:cols w:equalWidth="0" w:num="1">
            <w:col w:w="9960"/>
          </w:cols>
          <w:pgMar w:left="960" w:top="798" w:right="960" w:bottom="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1880" w:h="15480" w:orient="portrait"/>
          <w:cols w:equalWidth="0" w:num="1">
            <w:col w:w="9960"/>
          </w:cols>
          <w:pgMar w:left="960" w:top="798" w:right="960" w:bottom="0" w:gutter="0" w:footer="0" w:header="0"/>
          <w:type w:val="continuous"/>
        </w:sectPr>
      </w:pPr>
    </w:p>
    <w:bookmarkStart w:id="85" w:name="page86"/>
    <w:bookmarkEnd w:id="85"/>
    <w:p>
      <w:pPr>
        <w:jc w:val="both"/>
        <w:ind w:left="700"/>
        <w:spacing w:after="0" w:line="249" w:lineRule="auto"/>
        <w:rPr>
          <w:sz w:val="20"/>
          <w:szCs w:val="20"/>
          <w:color w:val="auto"/>
        </w:rPr>
      </w:pPr>
      <w:r>
        <w:rPr>
          <w:rFonts w:ascii="Times New Roman" w:cs="Times New Roman" w:eastAsia="Times New Roman" w:hAnsi="Times New Roman"/>
          <w:sz w:val="16"/>
          <w:szCs w:val="16"/>
          <w:color w:val="auto"/>
        </w:rPr>
        <w:t>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spacing w:after="0" w:line="2" w:lineRule="exact"/>
        <w:rPr>
          <w:sz w:val="20"/>
          <w:szCs w:val="20"/>
          <w:color w:val="auto"/>
        </w:rPr>
      </w:pPr>
    </w:p>
    <w:p>
      <w:pPr>
        <w:ind w:left="700" w:hanging="347"/>
        <w:spacing w:after="0" w:line="245" w:lineRule="auto"/>
        <w:tabs>
          <w:tab w:leader="none" w:pos="7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may be redeemed prior to our optional redemption date under certain circumstances intended to preserve our qualification as a REIT for U.S federal income tax purposes.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At-the-Market Offering Program</w:t>
      </w:r>
    </w:p>
    <w:p>
      <w:pPr>
        <w:spacing w:after="0" w:line="196" w:lineRule="exact"/>
        <w:rPr>
          <w:sz w:val="20"/>
          <w:szCs w:val="20"/>
          <w:color w:val="auto"/>
        </w:rPr>
      </w:pPr>
    </w:p>
    <w:p>
      <w:pPr>
        <w:jc w:val="both"/>
        <w:ind w:firstLine="436"/>
        <w:spacing w:after="0" w:line="246" w:lineRule="auto"/>
        <w:rPr>
          <w:sz w:val="20"/>
          <w:szCs w:val="20"/>
          <w:color w:val="auto"/>
        </w:rPr>
      </w:pPr>
      <w:r>
        <w:rPr>
          <w:rFonts w:ascii="Times New Roman" w:cs="Times New Roman" w:eastAsia="Times New Roman" w:hAnsi="Times New Roman"/>
          <w:sz w:val="19"/>
          <w:szCs w:val="19"/>
          <w:color w:val="auto"/>
        </w:rPr>
        <w:t>We are authorized by our Board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sold under the sales agreements during fiscal years 2024, 2023 and 2022 (in millions, except for per share data). As of December 31, 2024, shares of our common stock with an aggregate offering price of $1.2 billion remained authorized for issuance under this program through December 31, 2025.</w:t>
      </w:r>
    </w:p>
    <w:p>
      <w:pPr>
        <w:spacing w:after="0" w:line="200" w:lineRule="exact"/>
        <w:rPr>
          <w:sz w:val="20"/>
          <w:szCs w:val="20"/>
          <w:color w:val="auto"/>
        </w:rPr>
      </w:pPr>
    </w:p>
    <w:p>
      <w:pPr>
        <w:spacing w:after="0" w:line="268"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ATM Offerings</w:t>
            </w:r>
          </w:p>
        </w:tc>
        <w:tc>
          <w:tcPr>
            <w:tcW w:w="8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Received Per</w:t>
            </w:r>
          </w:p>
        </w:tc>
        <w:tc>
          <w:tcPr>
            <w:tcW w:w="80" w:type="dxa"/>
            <w:vAlign w:val="bottom"/>
          </w:tcPr>
          <w:p>
            <w:pPr>
              <w:spacing w:after="0"/>
              <w:rPr>
                <w:sz w:val="13"/>
                <w:szCs w:val="13"/>
                <w:color w:val="auto"/>
              </w:rPr>
            </w:pPr>
          </w:p>
        </w:tc>
        <w:tc>
          <w:tcPr>
            <w:tcW w:w="1320" w:type="dxa"/>
            <w:vAlign w:val="bottom"/>
            <w:vMerge w:val="restart"/>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0" w:type="dxa"/>
            <w:vAlign w:val="bottom"/>
          </w:tcPr>
          <w:p>
            <w:pPr>
              <w:spacing w:after="0"/>
              <w:rPr>
                <w:sz w:val="1"/>
                <w:szCs w:val="1"/>
                <w:color w:val="auto"/>
              </w:rPr>
            </w:pPr>
          </w:p>
        </w:tc>
      </w:tr>
      <w:tr>
        <w:trPr>
          <w:trHeight w:val="208"/>
        </w:trPr>
        <w:tc>
          <w:tcPr>
            <w:tcW w:w="2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 Net</w:t>
            </w:r>
          </w:p>
        </w:tc>
        <w:tc>
          <w:tcPr>
            <w:tcW w:w="8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Fiscal Year 2024</w:t>
            </w:r>
          </w:p>
        </w:tc>
        <w:tc>
          <w:tcPr>
            <w:tcW w:w="142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4"/>
              </w:rPr>
              <w:t>$9.73</w:t>
            </w:r>
          </w:p>
        </w:tc>
        <w:tc>
          <w:tcPr>
            <w:tcW w:w="14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47"/>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Fiscal Year 2023</w:t>
            </w:r>
          </w:p>
        </w:tc>
        <w:tc>
          <w:tcPr>
            <w:tcW w:w="142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4"/>
              </w:rPr>
              <w:t>$9.14</w:t>
            </w:r>
          </w:p>
        </w:tc>
        <w:tc>
          <w:tcPr>
            <w:tcW w:w="14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118.8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47"/>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Fiscal Year 2022</w:t>
            </w:r>
          </w:p>
        </w:tc>
        <w:tc>
          <w:tcPr>
            <w:tcW w:w="142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4"/>
              </w:rPr>
              <w:t>$9.39</w:t>
            </w:r>
          </w:p>
        </w:tc>
        <w:tc>
          <w:tcPr>
            <w:tcW w:w="14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56.0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Common Stock Repurchase Program</w:t>
      </w:r>
    </w:p>
    <w:p>
      <w:pPr>
        <w:spacing w:after="0" w:line="196"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We are authorized by our Board to repurchase shares of our common stock in open market, through privately negotiated transactions, or pursuant to a trading plan that may be adopted in accordance with Rule 10b5-1 of the Securities Exchange Act of 1934, as amended. The following table includes a summary of shares of our common stock repurchased during fiscal year 2022 (in millions, except for per share data). During fiscal years 2023 and 2024, we did not repurchase shares under this program. As of December 31, 2024, shares of our common stock with an aggregate repurchase price of $1.0 billion remained authorized for repurchase through December 31, 2026.</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184"/>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 Repurchases</w:t>
            </w:r>
          </w:p>
        </w:tc>
        <w:tc>
          <w:tcPr>
            <w:tcW w:w="80" w:type="dxa"/>
            <w:vAlign w:val="bottom"/>
          </w:tcPr>
          <w:p>
            <w:pPr>
              <w:spacing w:after="0"/>
              <w:rPr>
                <w:sz w:val="16"/>
                <w:szCs w:val="16"/>
                <w:color w:val="auto"/>
              </w:rPr>
            </w:pPr>
          </w:p>
        </w:tc>
        <w:tc>
          <w:tcPr>
            <w:tcW w:w="114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5"/>
              </w:rPr>
              <w:t>Average Price</w:t>
            </w:r>
          </w:p>
        </w:tc>
        <w:tc>
          <w:tcPr>
            <w:tcW w:w="200" w:type="dxa"/>
            <w:vAlign w:val="bottom"/>
            <w:vMerge w:val="restart"/>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w w:val="79"/>
              </w:rPr>
              <w:t>1</w:t>
            </w:r>
          </w:p>
        </w:tc>
        <w:tc>
          <w:tcPr>
            <w:tcW w:w="60" w:type="dxa"/>
            <w:vAlign w:val="bottom"/>
          </w:tcPr>
          <w:p>
            <w:pPr>
              <w:spacing w:after="0"/>
              <w:rPr>
                <w:sz w:val="16"/>
                <w:szCs w:val="16"/>
                <w:color w:val="auto"/>
              </w:rPr>
            </w:pPr>
          </w:p>
        </w:tc>
        <w:tc>
          <w:tcPr>
            <w:tcW w:w="132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Net Cost</w:t>
            </w:r>
          </w:p>
        </w:tc>
        <w:tc>
          <w:tcPr>
            <w:tcW w:w="0" w:type="dxa"/>
            <w:vAlign w:val="bottom"/>
          </w:tcPr>
          <w:p>
            <w:pPr>
              <w:spacing w:after="0"/>
              <w:rPr>
                <w:sz w:val="1"/>
                <w:szCs w:val="1"/>
                <w:color w:val="auto"/>
              </w:rPr>
            </w:pPr>
          </w:p>
        </w:tc>
      </w:tr>
      <w:tr>
        <w:trPr>
          <w:trHeight w:val="208"/>
        </w:trPr>
        <w:tc>
          <w:tcPr>
            <w:tcW w:w="2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6"/>
              </w:rPr>
              <w:t>Paid Per Share</w:t>
            </w:r>
          </w:p>
        </w:tc>
        <w:tc>
          <w:tcPr>
            <w:tcW w:w="2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 xml:space="preserve">Fiscal Year 2022 </w:t>
            </w:r>
            <w:r>
              <w:rPr>
                <w:rFonts w:ascii="Times New Roman" w:cs="Times New Roman" w:eastAsia="Times New Roman" w:hAnsi="Times New Roman"/>
                <w:sz w:val="16"/>
                <w:szCs w:val="16"/>
                <w:color w:val="B4B4B4"/>
                <w:w w:val="97"/>
              </w:rPr>
              <w:t>.....................................</w:t>
            </w: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$10.78</w:t>
            </w:r>
          </w:p>
        </w:tc>
        <w:tc>
          <w:tcPr>
            <w:tcW w:w="2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60"/>
          </w:cols>
          <w:pgMar w:left="960" w:top="7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1880" w:h="15480" w:orient="portrait"/>
          <w:cols w:equalWidth="0" w:num="1">
            <w:col w:w="9960"/>
          </w:cols>
          <w:pgMar w:left="960" w:top="722" w:right="96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9"/>
          <w:szCs w:val="19"/>
          <w:b w:val="1"/>
          <w:bCs w:val="1"/>
          <w:i w:val="1"/>
          <w:iCs w:val="1"/>
          <w:color w:val="auto"/>
        </w:rPr>
        <w:t>Distributions to Stockholders</w:t>
      </w:r>
    </w:p>
    <w:p>
      <w:pPr>
        <w:spacing w:after="0" w:line="196" w:lineRule="exact"/>
        <w:rPr>
          <w:sz w:val="20"/>
          <w:szCs w:val="20"/>
          <w:color w:val="auto"/>
        </w:rPr>
      </w:pPr>
    </w:p>
    <w:p>
      <w:pPr>
        <w:ind w:firstLine="436"/>
        <w:spacing w:after="0" w:line="293" w:lineRule="auto"/>
        <w:rPr>
          <w:sz w:val="20"/>
          <w:szCs w:val="20"/>
          <w:color w:val="auto"/>
        </w:rPr>
      </w:pPr>
      <w:r>
        <w:rPr>
          <w:rFonts w:ascii="Times New Roman" w:cs="Times New Roman" w:eastAsia="Times New Roman" w:hAnsi="Times New Roman"/>
          <w:sz w:val="19"/>
          <w:szCs w:val="19"/>
          <w:color w:val="auto"/>
        </w:rPr>
        <w:t>The following table summarizes dividends declared during fiscal years 2024, 2023 and 2022 (in millions, except per share amounts):</w:t>
      </w:r>
    </w:p>
    <w:p>
      <w:pPr>
        <w:spacing w:after="0" w:line="65" w:lineRule="exact"/>
        <w:rPr>
          <w:sz w:val="20"/>
          <w:szCs w:val="20"/>
          <w:color w:val="auto"/>
        </w:rPr>
      </w:pPr>
    </w:p>
    <w:tbl>
      <w:tblPr>
        <w:tblLayout w:type="fixed"/>
        <w:tblInd w:w="1500" w:type="dxa"/>
        <w:tblCellMar>
          <w:top w:w="0" w:type="dxa"/>
          <w:left w:w="0" w:type="dxa"/>
          <w:bottom w:w="0" w:type="dxa"/>
          <w:right w:w="0" w:type="dxa"/>
        </w:tblCellMar>
      </w:tblPr>
      <w:tr>
        <w:trPr>
          <w:trHeight w:val="195"/>
        </w:trPr>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240" w:type="dxa"/>
            <w:vAlign w:val="bottom"/>
          </w:tcPr>
          <w:p>
            <w:pPr>
              <w:spacing w:after="0"/>
              <w:rPr>
                <w:sz w:val="17"/>
                <w:szCs w:val="17"/>
                <w:color w:val="auto"/>
              </w:rPr>
            </w:pPr>
          </w:p>
        </w:tc>
        <w:tc>
          <w:tcPr>
            <w:tcW w:w="124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93"/>
              <w:spacing w:after="0" w:line="175" w:lineRule="exact"/>
              <w:rPr>
                <w:sz w:val="20"/>
                <w:szCs w:val="20"/>
                <w:color w:val="auto"/>
              </w:rPr>
            </w:pPr>
            <w:r>
              <w:rPr>
                <w:rFonts w:ascii="Times New Roman" w:cs="Times New Roman" w:eastAsia="Times New Roman" w:hAnsi="Times New Roman"/>
                <w:sz w:val="17"/>
                <w:szCs w:val="17"/>
                <w:b w:val="1"/>
                <w:bCs w:val="1"/>
                <w:color w:val="auto"/>
              </w:rPr>
              <w:t>Declared Per</w:t>
            </w:r>
          </w:p>
        </w:tc>
        <w:tc>
          <w:tcPr>
            <w:tcW w:w="0" w:type="dxa"/>
            <w:vAlign w:val="bottom"/>
          </w:tcPr>
          <w:p>
            <w:pPr>
              <w:spacing w:after="0"/>
              <w:rPr>
                <w:sz w:val="1"/>
                <w:szCs w:val="1"/>
                <w:color w:val="auto"/>
              </w:rPr>
            </w:pPr>
          </w:p>
        </w:tc>
      </w:tr>
      <w:tr>
        <w:trPr>
          <w:trHeight w:val="231"/>
        </w:trPr>
        <w:tc>
          <w:tcPr>
            <w:tcW w:w="3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Declared</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3"/>
              <w:spacing w:after="0" w:line="231" w:lineRule="exact"/>
              <w:rPr>
                <w:sz w:val="20"/>
                <w:szCs w:val="20"/>
                <w:color w:val="auto"/>
              </w:rPr>
            </w:pPr>
            <w:r>
              <w:rPr>
                <w:rFonts w:ascii="Times New Roman" w:cs="Times New Roman" w:eastAsia="Times New Roman" w:hAnsi="Times New Roman"/>
                <w:sz w:val="17"/>
                <w:szCs w:val="17"/>
                <w:b w:val="1"/>
                <w:bCs w:val="1"/>
                <w:color w:val="auto"/>
                <w:w w:val="99"/>
              </w:rPr>
              <w:t xml:space="preserve">Share </w:t>
            </w:r>
            <w:r>
              <w:rPr>
                <w:rFonts w:ascii="Times New Roman" w:cs="Times New Roman" w:eastAsia="Times New Roman" w:hAnsi="Times New Roman"/>
                <w:sz w:val="22"/>
                <w:szCs w:val="22"/>
                <w:b w:val="1"/>
                <w:bCs w:val="1"/>
                <w:color w:val="auto"/>
                <w:w w:val="99"/>
                <w:vertAlign w:val="superscript"/>
              </w:rPr>
              <w:t>1</w:t>
            </w:r>
          </w:p>
        </w:tc>
        <w:tc>
          <w:tcPr>
            <w:tcW w:w="0" w:type="dxa"/>
            <w:vAlign w:val="bottom"/>
          </w:tcPr>
          <w:p>
            <w:pPr>
              <w:spacing w:after="0"/>
              <w:rPr>
                <w:sz w:val="1"/>
                <w:szCs w:val="1"/>
                <w:color w:val="auto"/>
              </w:rPr>
            </w:pPr>
          </w:p>
        </w:tc>
      </w:tr>
      <w:tr>
        <w:trPr>
          <w:trHeight w:val="252"/>
        </w:trPr>
        <w:tc>
          <w:tcPr>
            <w:tcW w:w="39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Series C Preferred Stock</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2.672820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34</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2.660390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1.886880</w:t>
            </w:r>
          </w:p>
        </w:tc>
        <w:tc>
          <w:tcPr>
            <w:tcW w:w="0" w:type="dxa"/>
            <w:vAlign w:val="bottom"/>
          </w:tcPr>
          <w:p>
            <w:pPr>
              <w:spacing w:after="0"/>
              <w:rPr>
                <w:sz w:val="1"/>
                <w:szCs w:val="1"/>
                <w:color w:val="auto"/>
              </w:rPr>
            </w:pPr>
          </w:p>
        </w:tc>
      </w:tr>
      <w:tr>
        <w:trPr>
          <w:trHeight w:val="276"/>
        </w:trPr>
        <w:tc>
          <w:tcPr>
            <w:tcW w:w="39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Series D Preferred Stock</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2.278248</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1.718750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1.718750</w:t>
            </w:r>
          </w:p>
        </w:tc>
        <w:tc>
          <w:tcPr>
            <w:tcW w:w="0" w:type="dxa"/>
            <w:vAlign w:val="bottom"/>
          </w:tcPr>
          <w:p>
            <w:pPr>
              <w:spacing w:after="0"/>
              <w:rPr>
                <w:sz w:val="1"/>
                <w:szCs w:val="1"/>
                <w:color w:val="auto"/>
              </w:rPr>
            </w:pPr>
          </w:p>
        </w:tc>
      </w:tr>
      <w:tr>
        <w:trPr>
          <w:trHeight w:val="276"/>
        </w:trPr>
        <w:tc>
          <w:tcPr>
            <w:tcW w:w="39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Series E Preferred Stock</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30</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1.851370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1.625000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1.625000</w:t>
            </w:r>
          </w:p>
        </w:tc>
        <w:tc>
          <w:tcPr>
            <w:tcW w:w="0" w:type="dxa"/>
            <w:vAlign w:val="bottom"/>
          </w:tcPr>
          <w:p>
            <w:pPr>
              <w:spacing w:after="0"/>
              <w:rPr>
                <w:sz w:val="1"/>
                <w:szCs w:val="1"/>
                <w:color w:val="auto"/>
              </w:rPr>
            </w:pPr>
          </w:p>
        </w:tc>
      </w:tr>
      <w:tr>
        <w:trPr>
          <w:trHeight w:val="276"/>
        </w:trPr>
        <w:tc>
          <w:tcPr>
            <w:tcW w:w="39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Series F Preferred Stock</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1.531250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1.531250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1.531250</w:t>
            </w:r>
          </w:p>
        </w:tc>
        <w:tc>
          <w:tcPr>
            <w:tcW w:w="0" w:type="dxa"/>
            <w:vAlign w:val="bottom"/>
          </w:tcPr>
          <w:p>
            <w:pPr>
              <w:spacing w:after="0"/>
              <w:rPr>
                <w:sz w:val="1"/>
                <w:szCs w:val="1"/>
                <w:color w:val="auto"/>
              </w:rPr>
            </w:pPr>
          </w:p>
        </w:tc>
      </w:tr>
      <w:tr>
        <w:trPr>
          <w:trHeight w:val="276"/>
        </w:trPr>
        <w:tc>
          <w:tcPr>
            <w:tcW w:w="39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Series G Preferred Stock</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1.937520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1.937520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0.651220</w:t>
            </w:r>
          </w:p>
        </w:tc>
        <w:tc>
          <w:tcPr>
            <w:tcW w:w="0" w:type="dxa"/>
            <w:vAlign w:val="bottom"/>
          </w:tcPr>
          <w:p>
            <w:pPr>
              <w:spacing w:after="0"/>
              <w:rPr>
                <w:sz w:val="1"/>
                <w:szCs w:val="1"/>
                <w:color w:val="auto"/>
              </w:rPr>
            </w:pPr>
          </w:p>
        </w:tc>
      </w:tr>
      <w:tr>
        <w:trPr>
          <w:trHeight w:val="276"/>
        </w:trPr>
        <w:tc>
          <w:tcPr>
            <w:tcW w:w="39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1,137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1.440000</w:t>
            </w:r>
          </w:p>
        </w:tc>
        <w:tc>
          <w:tcPr>
            <w:tcW w:w="0" w:type="dxa"/>
            <w:vAlign w:val="bottom"/>
          </w:tcPr>
          <w:p>
            <w:pPr>
              <w:spacing w:after="0"/>
              <w:rPr>
                <w:sz w:val="1"/>
                <w:szCs w:val="1"/>
                <w:color w:val="auto"/>
              </w:rPr>
            </w:pPr>
          </w:p>
        </w:tc>
      </w:tr>
      <w:tr>
        <w:trPr>
          <w:trHeight w:val="276"/>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896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1.440000</w:t>
            </w:r>
          </w:p>
        </w:tc>
        <w:tc>
          <w:tcPr>
            <w:tcW w:w="0" w:type="dxa"/>
            <w:vAlign w:val="bottom"/>
          </w:tcPr>
          <w:p>
            <w:pPr>
              <w:spacing w:after="0"/>
              <w:rPr>
                <w:sz w:val="1"/>
                <w:szCs w:val="1"/>
                <w:color w:val="auto"/>
              </w:rPr>
            </w:pPr>
          </w:p>
        </w:tc>
      </w:tr>
      <w:tr>
        <w:trPr>
          <w:trHeight w:val="291"/>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775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1.440000</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tabs>
          <w:tab w:leader="none" w:pos="7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per share amounts are per depositary share.</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880" w:h="15480" w:orient="portrait"/>
          <w:cols w:equalWidth="0" w:num="1">
            <w:col w:w="9960"/>
          </w:cols>
          <w:pgMar w:left="960" w:top="704" w:right="960" w:bottom="0" w:gutter="0" w:footer="0" w:header="0"/>
          <w:type w:val="continuous"/>
        </w:sectPr>
      </w:pPr>
    </w:p>
    <w:bookmarkStart w:id="87" w:name="page88"/>
    <w:bookmarkEnd w:id="87"/>
    <w:p>
      <w:pPr>
        <w:jc w:val="both"/>
        <w:ind w:firstLine="524"/>
        <w:spacing w:after="0" w:line="274" w:lineRule="auto"/>
        <w:rPr>
          <w:sz w:val="20"/>
          <w:szCs w:val="20"/>
          <w:color w:val="auto"/>
        </w:rPr>
      </w:pPr>
      <w:r>
        <w:rPr>
          <w:rFonts w:ascii="Times New Roman" w:cs="Times New Roman" w:eastAsia="Times New Roman" w:hAnsi="Times New Roman"/>
          <w:sz w:val="19"/>
          <w:szCs w:val="19"/>
          <w:color w:val="auto"/>
        </w:rPr>
        <w:t>The following table summarizes our tax characterization of distributions to stockholders for fiscal years 2024, 2023 and 2022. Distributions included in the table below are based on the fiscal tax year for which the distribution is attributed to for stockholders in accordance with rules promulgated under the Internal Revenue Code: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center"/>
              <w:ind w:right="882"/>
              <w:spacing w:after="0"/>
              <w:rPr>
                <w:sz w:val="20"/>
                <w:szCs w:val="20"/>
                <w:color w:val="auto"/>
              </w:rPr>
            </w:pPr>
            <w:r>
              <w:rPr>
                <w:rFonts w:ascii="Times New Roman" w:cs="Times New Roman" w:eastAsia="Times New Roman" w:hAnsi="Times New Roman"/>
                <w:sz w:val="16"/>
                <w:szCs w:val="16"/>
                <w:b w:val="1"/>
                <w:bCs w:val="1"/>
                <w:color w:val="auto"/>
                <w:w w:val="96"/>
              </w:rPr>
              <w:t xml:space="preserve">Tax Characterization </w:t>
            </w:r>
            <w:r>
              <w:rPr>
                <w:rFonts w:ascii="Times New Roman" w:cs="Times New Roman" w:eastAsia="Times New Roman" w:hAnsi="Times New Roman"/>
                <w:sz w:val="20"/>
                <w:szCs w:val="20"/>
                <w:b w:val="1"/>
                <w:bCs w:val="1"/>
                <w:color w:val="auto"/>
                <w:w w:val="96"/>
                <w:vertAlign w:val="superscript"/>
              </w:rPr>
              <w:t>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1720" w:type="dxa"/>
            <w:vAlign w:val="bottom"/>
            <w:vMerge w:val="restart"/>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5"/>
              </w:rPr>
              <w:t>Distribution</w:t>
            </w:r>
          </w:p>
        </w:tc>
        <w:tc>
          <w:tcPr>
            <w:tcW w:w="118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Ordinary</w:t>
            </w:r>
          </w:p>
        </w:tc>
        <w:tc>
          <w:tcPr>
            <w:tcW w:w="880" w:type="dxa"/>
            <w:vAlign w:val="bottom"/>
            <w:vMerge w:val="restart"/>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6"/>
              </w:rPr>
              <w:t>Qualified</w:t>
            </w:r>
          </w:p>
        </w:tc>
        <w:tc>
          <w:tcPr>
            <w:tcW w:w="1380" w:type="dxa"/>
            <w:vAlign w:val="bottom"/>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7"/>
              </w:rPr>
              <w:t>Capital Gain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Non-Dividend</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Section 199A</w:t>
            </w:r>
          </w:p>
        </w:tc>
        <w:tc>
          <w:tcPr>
            <w:tcW w:w="0" w:type="dxa"/>
            <w:vAlign w:val="bottom"/>
          </w:tcPr>
          <w:p>
            <w:pPr>
              <w:spacing w:after="0"/>
              <w:rPr>
                <w:sz w:val="1"/>
                <w:szCs w:val="1"/>
                <w:color w:val="auto"/>
              </w:rPr>
            </w:pPr>
          </w:p>
        </w:tc>
      </w:tr>
      <w:tr>
        <w:trPr>
          <w:trHeight w:val="155"/>
        </w:trPr>
        <w:tc>
          <w:tcPr>
            <w:tcW w:w="252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b w:val="1"/>
                <w:bCs w:val="1"/>
                <w:color w:val="auto"/>
              </w:rPr>
              <w:t>Tax Year</w:t>
            </w:r>
          </w:p>
        </w:tc>
        <w:tc>
          <w:tcPr>
            <w:tcW w:w="1720" w:type="dxa"/>
            <w:vAlign w:val="bottom"/>
            <w:vMerge w:val="continue"/>
          </w:tcPr>
          <w:p>
            <w:pPr>
              <w:spacing w:after="0"/>
              <w:rPr>
                <w:sz w:val="13"/>
                <w:szCs w:val="13"/>
                <w:color w:val="auto"/>
              </w:rPr>
            </w:pPr>
          </w:p>
        </w:tc>
        <w:tc>
          <w:tcPr>
            <w:tcW w:w="118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7"/>
              </w:rPr>
              <w:t>Dividend Per</w:t>
            </w:r>
          </w:p>
        </w:tc>
        <w:tc>
          <w:tcPr>
            <w:tcW w:w="880" w:type="dxa"/>
            <w:vAlign w:val="bottom"/>
            <w:vMerge w:val="continue"/>
          </w:tcPr>
          <w:p>
            <w:pPr>
              <w:spacing w:after="0"/>
              <w:rPr>
                <w:sz w:val="13"/>
                <w:szCs w:val="13"/>
                <w:color w:val="auto"/>
              </w:rPr>
            </w:pPr>
          </w:p>
        </w:tc>
        <w:tc>
          <w:tcPr>
            <w:tcW w:w="1380" w:type="dxa"/>
            <w:vAlign w:val="bottom"/>
          </w:tcPr>
          <w:p>
            <w:pPr>
              <w:jc w:val="center"/>
              <w:ind w:left="162"/>
              <w:spacing w:after="0" w:line="155" w:lineRule="exact"/>
              <w:rPr>
                <w:sz w:val="20"/>
                <w:szCs w:val="20"/>
                <w:color w:val="auto"/>
              </w:rPr>
            </w:pPr>
            <w:r>
              <w:rPr>
                <w:rFonts w:ascii="Times New Roman" w:cs="Times New Roman" w:eastAsia="Times New Roman" w:hAnsi="Times New Roman"/>
                <w:sz w:val="16"/>
                <w:szCs w:val="16"/>
                <w:b w:val="1"/>
                <w:bCs w:val="1"/>
                <w:color w:val="auto"/>
                <w:w w:val="95"/>
              </w:rPr>
              <w:t>Dividend Per</w:t>
            </w:r>
          </w:p>
        </w:tc>
        <w:tc>
          <w:tcPr>
            <w:tcW w:w="11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2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ind w:left="402"/>
              <w:spacing w:after="0" w:line="207"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11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6"/>
              </w:rPr>
              <w:t>Dividends</w:t>
            </w:r>
          </w:p>
        </w:tc>
        <w:tc>
          <w:tcPr>
            <w:tcW w:w="138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Distributions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Dividend</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Series C Preferred Stock</w:t>
      </w:r>
    </w:p>
    <w:p>
      <w:pPr>
        <w:sectPr>
          <w:pgSz w:w="11880" w:h="15480" w:orient="portrait"/>
          <w:cols w:equalWidth="0" w:num="1">
            <w:col w:w="9960"/>
          </w:cols>
          <w:pgMar w:left="960" w:top="711" w:right="960" w:bottom="0" w:gutter="0" w:footer="0" w:header="0"/>
        </w:sectPr>
      </w:pP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2.721090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2.546340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1.750000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Series D Preferred Stock</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2.721090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2.721090</w:t>
            </w:r>
          </w:p>
        </w:tc>
      </w:tr>
      <w:tr>
        <w:trPr>
          <w:trHeight w:val="335"/>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2.546340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2.546340</w:t>
            </w:r>
          </w:p>
        </w:tc>
      </w:tr>
      <w:tr>
        <w:trPr>
          <w:trHeight w:val="335"/>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1.750000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1.750000</w:t>
            </w:r>
          </w:p>
        </w:tc>
      </w:tr>
    </w:tbl>
    <w:p>
      <w:pPr>
        <w:spacing w:after="0" w:line="441" w:lineRule="exact"/>
        <w:rPr>
          <w:sz w:val="20"/>
          <w:szCs w:val="20"/>
          <w:color w:val="auto"/>
        </w:rPr>
      </w:pPr>
    </w:p>
    <w:p>
      <w:pPr>
        <w:sectPr>
          <w:pgSz w:w="11880" w:h="15480" w:orient="portrait"/>
          <w:cols w:equalWidth="0" w:num="2">
            <w:col w:w="4380" w:space="220"/>
            <w:col w:w="5360"/>
          </w:cols>
          <w:pgMar w:left="960" w:top="711" w:right="960" w:bottom="0" w:gutter="0" w:footer="0" w:header="0"/>
          <w:type w:val="continuous"/>
        </w:sectPr>
      </w:pPr>
    </w:p>
    <w:tbl>
      <w:tblPr>
        <w:tblLayout w:type="fixed"/>
        <w:tblInd w:w="22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2.117545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1.718750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1.718750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Series E Preferred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2.117545</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2.117545</w:t>
            </w:r>
          </w:p>
        </w:tc>
      </w:tr>
      <w:tr>
        <w:trPr>
          <w:trHeight w:val="335"/>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1.718750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1.718750</w:t>
            </w:r>
          </w:p>
        </w:tc>
      </w:tr>
      <w:tr>
        <w:trPr>
          <w:trHeight w:val="335"/>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1.718750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1.718750</w:t>
            </w:r>
          </w:p>
        </w:tc>
      </w:tr>
    </w:tbl>
    <w:p>
      <w:pPr>
        <w:spacing w:after="0" w:line="441" w:lineRule="exact"/>
        <w:rPr>
          <w:sz w:val="20"/>
          <w:szCs w:val="20"/>
          <w:color w:val="auto"/>
        </w:rPr>
      </w:pPr>
    </w:p>
    <w:p>
      <w:pPr>
        <w:sectPr>
          <w:pgSz w:w="11880" w:h="15480" w:orient="portrait"/>
          <w:cols w:equalWidth="0" w:num="2">
            <w:col w:w="4380" w:space="220"/>
            <w:col w:w="5360"/>
          </w:cols>
          <w:pgMar w:left="960" w:top="711" w:right="960" w:bottom="0" w:gutter="0" w:footer="0" w:header="0"/>
          <w:type w:val="continuous"/>
        </w:sectPr>
      </w:pPr>
    </w:p>
    <w:tbl>
      <w:tblPr>
        <w:tblLayout w:type="fixed"/>
        <w:tblInd w:w="22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1.625000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1.625000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1.625000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Series F Preferred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1.625000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1.625000</w:t>
            </w:r>
          </w:p>
        </w:tc>
      </w:tr>
      <w:tr>
        <w:trPr>
          <w:trHeight w:val="335"/>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1.625000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1.625000</w:t>
            </w:r>
          </w:p>
        </w:tc>
      </w:tr>
      <w:tr>
        <w:trPr>
          <w:trHeight w:val="335"/>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1.625000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1.625000</w:t>
            </w:r>
          </w:p>
        </w:tc>
      </w:tr>
    </w:tbl>
    <w:p>
      <w:pPr>
        <w:spacing w:after="0" w:line="441" w:lineRule="exact"/>
        <w:rPr>
          <w:sz w:val="20"/>
          <w:szCs w:val="20"/>
          <w:color w:val="auto"/>
        </w:rPr>
      </w:pPr>
    </w:p>
    <w:p>
      <w:pPr>
        <w:sectPr>
          <w:pgSz w:w="11880" w:h="15480" w:orient="portrait"/>
          <w:cols w:equalWidth="0" w:num="2">
            <w:col w:w="4380" w:space="220"/>
            <w:col w:w="5360"/>
          </w:cols>
          <w:pgMar w:left="960" w:top="711" w:right="960" w:bottom="0" w:gutter="0" w:footer="0" w:header="0"/>
          <w:type w:val="continuous"/>
        </w:sectPr>
      </w:pPr>
    </w:p>
    <w:tbl>
      <w:tblPr>
        <w:tblLayout w:type="fixed"/>
        <w:tblInd w:w="22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1.531250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1.531250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1.531250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Series G Preferred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1.531250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1.531250</w:t>
            </w:r>
          </w:p>
        </w:tc>
      </w:tr>
      <w:tr>
        <w:trPr>
          <w:trHeight w:val="335"/>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1.531250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1.531250</w:t>
            </w:r>
          </w:p>
        </w:tc>
      </w:tr>
      <w:tr>
        <w:trPr>
          <w:trHeight w:val="335"/>
        </w:trPr>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1.531250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1.531250</w:t>
            </w:r>
          </w:p>
        </w:tc>
      </w:tr>
    </w:tbl>
    <w:p>
      <w:pPr>
        <w:spacing w:after="0" w:line="441" w:lineRule="exact"/>
        <w:rPr>
          <w:sz w:val="20"/>
          <w:szCs w:val="20"/>
          <w:color w:val="auto"/>
        </w:rPr>
      </w:pPr>
    </w:p>
    <w:p>
      <w:pPr>
        <w:sectPr>
          <w:pgSz w:w="11880" w:h="15480" w:orient="portrait"/>
          <w:cols w:equalWidth="0" w:num="2">
            <w:col w:w="4380" w:space="220"/>
            <w:col w:w="5360"/>
          </w:cols>
          <w:pgMar w:left="960" w:top="711" w:right="960" w:bottom="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3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1.937520</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1.937520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1.937520</w:t>
            </w:r>
          </w:p>
        </w:tc>
      </w:tr>
      <w:tr>
        <w:trPr>
          <w:trHeight w:val="335"/>
        </w:trPr>
        <w:tc>
          <w:tcPr>
            <w:tcW w:w="3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2.104360</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2.104360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2.104360</w:t>
            </w:r>
          </w:p>
        </w:tc>
      </w:tr>
      <w:tr>
        <w:trPr>
          <w:trHeight w:val="335"/>
        </w:trPr>
        <w:tc>
          <w:tcPr>
            <w:tcW w:w="30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5"/>
        </w:trPr>
        <w:tc>
          <w:tcPr>
            <w:tcW w:w="3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2024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1.440000</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1.440000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1.440000</w:t>
            </w:r>
          </w:p>
        </w:tc>
      </w:tr>
      <w:tr>
        <w:trPr>
          <w:trHeight w:val="335"/>
        </w:trPr>
        <w:tc>
          <w:tcPr>
            <w:tcW w:w="3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2023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1.560000</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1.560000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1.560000</w:t>
            </w:r>
          </w:p>
        </w:tc>
      </w:tr>
      <w:tr>
        <w:trPr>
          <w:trHeight w:val="335"/>
        </w:trPr>
        <w:tc>
          <w:tcPr>
            <w:tcW w:w="3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Fiscal year 2022 </w:t>
            </w:r>
            <w:r>
              <w:rPr>
                <w:rFonts w:ascii="Times New Roman" w:cs="Times New Roman" w:eastAsia="Times New Roman" w:hAnsi="Times New Roman"/>
                <w:sz w:val="17"/>
                <w:szCs w:val="17"/>
                <w:color w:val="B4B4B4"/>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1.440000</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0.669420</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0.770580</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0.669420</w:t>
            </w:r>
          </w:p>
        </w:tc>
      </w:t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ind w:left="700" w:hanging="347"/>
        <w:spacing w:after="0"/>
        <w:tabs>
          <w:tab w:leader="none" w:pos="7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per share amounts are per depositary share.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Accumulated Other Comprehensive Income (Loss)</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changes to accumulated OCI for fiscal years 2024, 2023 and 2022 (in millions):</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211"/>
        </w:trPr>
        <w:tc>
          <w:tcPr>
            <w:tcW w:w="6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380" w:type="dxa"/>
            <w:vAlign w:val="bottom"/>
            <w:tcBorders>
              <w:bottom w:val="single" w:sz="8" w:color="auto"/>
            </w:tcBorders>
          </w:tcPr>
          <w:p>
            <w:pPr>
              <w:jc w:val="right"/>
              <w:ind w:right="2902"/>
              <w:spacing w:after="0"/>
              <w:rPr>
                <w:sz w:val="20"/>
                <w:szCs w:val="20"/>
                <w:color w:val="auto"/>
              </w:rPr>
            </w:pPr>
            <w:r>
              <w:rPr>
                <w:rFonts w:ascii="Times New Roman" w:cs="Times New Roman" w:eastAsia="Times New Roman" w:hAnsi="Times New Roman"/>
                <w:sz w:val="16"/>
                <w:szCs w:val="16"/>
                <w:b w:val="1"/>
                <w:bCs w:val="1"/>
                <w:color w:val="auto"/>
                <w:w w:val="97"/>
              </w:rPr>
              <w:t>Accumulated Other Comprehensive Income (Loss)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1"/>
        </w:trPr>
        <w:tc>
          <w:tcPr>
            <w:tcW w:w="6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 xml:space="preserve">Beginning Balance </w:t>
            </w:r>
            <w:r>
              <w:rPr>
                <w:rFonts w:ascii="Times New Roman" w:cs="Times New Roman" w:eastAsia="Times New Roman" w:hAnsi="Times New Roman"/>
                <w:sz w:val="16"/>
                <w:szCs w:val="16"/>
                <w:b w:val="1"/>
                <w:bCs w:val="1"/>
                <w:color w:val="B4B4B4"/>
                <w:w w:val="97"/>
              </w:rPr>
              <w:t>.................................................................................................................................</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60" w:type="dxa"/>
            <w:vAlign w:val="bottom"/>
          </w:tcPr>
          <w:p>
            <w:pPr>
              <w:spacing w:after="0"/>
              <w:rPr>
                <w:sz w:val="19"/>
                <w:szCs w:val="19"/>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47"/>
        </w:trPr>
        <w:tc>
          <w:tcPr>
            <w:tcW w:w="6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 xml:space="preserve">OCI before reclassifications </w:t>
            </w:r>
            <w:r>
              <w:rPr>
                <w:rFonts w:ascii="Times New Roman" w:cs="Times New Roman" w:eastAsia="Times New Roman" w:hAnsi="Times New Roman"/>
                <w:sz w:val="16"/>
                <w:szCs w:val="16"/>
                <w:color w:val="B4B4B4"/>
                <w:w w:val="99"/>
              </w:rPr>
              <w:t>................................................................................................................</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06"/>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loss amounts for available-for-sale securities reclassified from accumulated OCI to realized</w:t>
            </w:r>
          </w:p>
        </w:tc>
        <w:tc>
          <w:tcPr>
            <w:tcW w:w="2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8"/>
        </w:trPr>
        <w:tc>
          <w:tcPr>
            <w:tcW w:w="6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 xml:space="preserve">gain (loss) on sale of investment securities, net </w:t>
            </w:r>
            <w:r>
              <w:rPr>
                <w:rFonts w:ascii="Times New Roman" w:cs="Times New Roman" w:eastAsia="Times New Roman" w:hAnsi="Times New Roman"/>
                <w:sz w:val="16"/>
                <w:szCs w:val="16"/>
                <w:color w:val="B4B4B4"/>
                <w:w w:val="99"/>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Ending Balance</w:t>
            </w:r>
            <w:r>
              <w:rPr>
                <w:rFonts w:ascii="Times New Roman" w:cs="Times New Roman" w:eastAsia="Times New Roman" w:hAnsi="Times New Roman"/>
                <w:sz w:val="16"/>
                <w:szCs w:val="16"/>
                <w:b w:val="1"/>
                <w:bCs w:val="1"/>
                <w:color w:val="B4B4B4"/>
                <w:w w:val="97"/>
              </w:rPr>
              <w:t>.......................................................................................................................................</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60" w:type="dxa"/>
            <w:vAlign w:val="bottom"/>
          </w:tcPr>
          <w:p>
            <w:pPr>
              <w:spacing w:after="0"/>
              <w:rPr>
                <w:sz w:val="18"/>
                <w:szCs w:val="18"/>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-43180</wp:posOffset>
            </wp:positionV>
            <wp:extent cx="1781175" cy="501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4">
                      <a:extLst>
                        <a:ext uri="{28A0092B-C50C-407E-A947-70E740481C1C}"/>
                      </a:extLst>
                    </a:blip>
                    <a:srcRect/>
                    <a:stretch>
                      <a:fillRect/>
                    </a:stretch>
                  </pic:blipFill>
                  <pic:spPr bwMode="auto">
                    <a:xfrm>
                      <a:off x="0" y="0"/>
                      <a:ext cx="1781175" cy="5016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10. Segment Reporting</w:t>
      </w:r>
    </w:p>
    <w:p>
      <w:pPr>
        <w:spacing w:after="0" w:line="196"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Our investment portfolio consists primarily of Agency RMBS, and we fund our investments primarily through collateralized borrowings structured as repurchase agreements. As part of our operations, we are exposed to market risks, including interest rate, prepayment, extension, spread, and credit risks.</w:t>
      </w:r>
    </w:p>
    <w:p>
      <w:pPr>
        <w:sectPr>
          <w:pgSz w:w="11880" w:h="15480" w:orient="portrait"/>
          <w:cols w:equalWidth="0" w:num="1">
            <w:col w:w="9960"/>
          </w:cols>
          <w:pgMar w:left="960" w:top="711" w:right="960" w:bottom="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880" w:h="15480" w:orient="portrait"/>
          <w:cols w:equalWidth="0" w:num="1">
            <w:col w:w="9960"/>
          </w:cols>
          <w:pgMar w:left="960" w:top="711" w:right="960" w:bottom="0" w:gutter="0" w:footer="0" w:header="0"/>
          <w:type w:val="continuous"/>
        </w:sectPr>
      </w:pPr>
    </w:p>
    <w:bookmarkStart w:id="88" w:name="page89"/>
    <w:bookmarkEnd w:id="88"/>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 xml:space="preserve">Our portfolio is managed as a whole, with investment and hedging decisions assessed collectively by the Chief Operating Decision Maker (CODM). The CODM, represented by our Chief Executive Officer with the support of our Executive Management Committee, allocates resources and evaluates financial performance by considering the market risks identified above. The CODM also considers factors such as total assets and repurchase agreements outstanding, as reported on the consolidated balance sheet; our TBA position, as disclosed in Note 5. </w:t>
      </w:r>
      <w:r>
        <w:rPr>
          <w:rFonts w:ascii="Times New Roman" w:cs="Times New Roman" w:eastAsia="Times New Roman" w:hAnsi="Times New Roman"/>
          <w:sz w:val="19"/>
          <w:szCs w:val="19"/>
          <w:b w:val="1"/>
          <w:bCs w:val="1"/>
          <w:i w:val="1"/>
          <w:iCs w:val="1"/>
          <w:color w:val="auto"/>
        </w:rPr>
        <w:t>Derivative and Other Hedging Instruments</w:t>
      </w:r>
      <w:r>
        <w:rPr>
          <w:rFonts w:ascii="Times New Roman" w:cs="Times New Roman" w:eastAsia="Times New Roman" w:hAnsi="Times New Roman"/>
          <w:sz w:val="19"/>
          <w:szCs w:val="19"/>
          <w:color w:val="auto"/>
        </w:rPr>
        <w:t>; our ability to hedge certain risks; and our intention to qualify as a REIT. Consequently, the Company operates as a single reportable segment, as reflected in the accompanying consolidated financial statements and notes.</w:t>
      </w:r>
    </w:p>
    <w:p>
      <w:pPr>
        <w:spacing w:after="0" w:line="135"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9"/>
          <w:szCs w:val="19"/>
          <w:color w:val="auto"/>
        </w:rPr>
        <w:t>The CODM assesses performance using comprehensive income (loss), as reported on the consolidated statement of comprehensive income (loss). Comprehensive income (loss) is a key determinant of the Company’s economic return, calculated as the change in tangible stockholders’ equity attributable to common stockholders plus common stock dividends declared, divided by the prior period’s tangible stockholders’ equity attributable to common stockholders. This measure is used to monitor actual results, benchmark performance against peers, and inform management’s compensation. Additionally, the CODM also evaluates consolidated expense information, including interest expense, compensation and benefits, and other operating expenses, as significant metrics in decision-making.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11. Stock-Based Compensation</w:t>
      </w:r>
    </w:p>
    <w:p>
      <w:pPr>
        <w:spacing w:after="0" w:line="19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During fiscal years 2024, 2023 and 2022, we granted RSU awards to employees with a grant date fair value of $10 million, $11 million and $8 million, respectively, which generally vest annually over a three-year period, and we granted RSU awards to independent directors of $1.2 million, $1.2 million and $1.0 million, respectively, which vest at the end of a one-year period from grant date. We also granted PSU awards to employees which generally vest at the end of a three-year period provided that specified performance criteria are met. The performance criteria are based on a formula tied to our achievement of long-term economic returns consisting of the change in tangible net book value and dividends paid per common share on an absolute basis and relative to a select group of our peers. The fair value of the PSU awards granted during fiscal years 2024, 2023 and 2022 as of the grant date was $10 million, $10 million and $11 million, respectively, assuming the target levels of performance are achieved. The actual value of the awards will vary within a range of 0% to 200% of the target based on the actual performance achieved relative to the targets.</w:t>
      </w:r>
    </w:p>
    <w:p>
      <w:pPr>
        <w:spacing w:after="0" w:line="145"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Our 2016 Equity Plan, as amended, authorizes a total of 40 million shares of our common stock that may be used to satisfy awards granted under the Plan, subject to the share counting rules set forth within the Plan. As of December 31, 2024, 26.0 million shares remained available for awards under the 2016 Equity Plan. For purposes of determining the total number of shares available for awards under the 2016 Equity Plan, available shares are reduced by (i) shares issued for vested awards, net of units withheld to cover minimum statutory tax withholding requirements paid by us in cash on behalf of the employee, (ii) outstanding unvested awards, (iii) outstanding previously vested awards, if distribution of such awards has been deferred beyond the vesting date ("deferred awards"), and (iv) accrued dividend equivalent units on outstanding awards through December 31, 2024. Unvested PSU awards assume the maximum potential payout under the terms of the award. As of December 31, 2024, 2.0 million of deferred awards, including accrued dividend equivalents, were outstanding.</w:t>
      </w:r>
    </w:p>
    <w:p>
      <w:pPr>
        <w:spacing w:after="0" w:line="140"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9"/>
          <w:szCs w:val="19"/>
          <w:color w:val="auto"/>
        </w:rPr>
        <w:t>During fiscal years 2024, 2023 and 2022, we recognized total compensation expense of $23.5 million, $15.0 million and $11.6 million, respectively, for stock-based awards to employees, and we recognized other operating expense of $1.2 million, $1.1 million and $1.0 million, respectively, for stock-based awards to independent directors. Compensation expense for PSU awards is based on our estimate of the probability that the performance criteria for PSU awards will be achieved and, if applicable, includes a cumulative effect adjustment for changes in our estimate from the prior year period. As of December 31, 2024, we estimate that 75.5% of target for PSU awards granted in fiscal year 2022 will vest based on actual performance achieved through the end of the performance measurement period and that 115% and 100% of target will vest for PSU awards granted in fiscal years 2023 and 2024, respectively, based on our estimate of the probability that the performance criteria for these awards will be achieved. As of December 31, 2024, we had $18 million of unrecognized expense related to stock-based awards that we expect to recognize over a weighted average period of 1.4 years.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following tables summarizes awards under our 2016 Equity Plan for fiscal years 2024, 2023 and 2022:</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880" w:h="15480" w:orient="portrait"/>
          <w:cols w:equalWidth="0" w:num="1">
            <w:col w:w="9960"/>
          </w:cols>
          <w:pgMar w:left="960" w:top="711" w:right="960"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5"/>
        </w:trPr>
        <w:tc>
          <w:tcPr>
            <w:tcW w:w="6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7"/>
                <w:szCs w:val="17"/>
                <w:b w:val="1"/>
                <w:bCs w:val="1"/>
                <w:color w:val="auto"/>
              </w:rPr>
              <w:t>Average Grant</w:t>
            </w:r>
          </w:p>
        </w:tc>
        <w:tc>
          <w:tcPr>
            <w:tcW w:w="80" w:type="dxa"/>
            <w:vAlign w:val="bottom"/>
          </w:tcPr>
          <w:p>
            <w:pPr>
              <w:spacing w:after="0"/>
              <w:rPr>
                <w:sz w:val="15"/>
                <w:szCs w:val="15"/>
                <w:color w:val="auto"/>
              </w:rPr>
            </w:pPr>
          </w:p>
        </w:tc>
        <w:tc>
          <w:tcPr>
            <w:tcW w:w="114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Average Vest</w:t>
            </w:r>
          </w:p>
        </w:tc>
        <w:tc>
          <w:tcPr>
            <w:tcW w:w="0" w:type="dxa"/>
            <w:vAlign w:val="bottom"/>
          </w:tcPr>
          <w:p>
            <w:pPr>
              <w:spacing w:after="0"/>
              <w:rPr>
                <w:sz w:val="1"/>
                <w:szCs w:val="1"/>
                <w:color w:val="auto"/>
              </w:rPr>
            </w:pPr>
          </w:p>
        </w:tc>
      </w:tr>
      <w:tr>
        <w:trPr>
          <w:trHeight w:val="175"/>
        </w:trPr>
        <w:tc>
          <w:tcPr>
            <w:tcW w:w="6120" w:type="dxa"/>
            <w:vAlign w:val="bottom"/>
            <w:vMerge w:val="restart"/>
          </w:tcPr>
          <w:p>
            <w:pPr>
              <w:jc w:val="right"/>
              <w:ind w:right="5013"/>
              <w:spacing w:after="0"/>
              <w:rPr>
                <w:sz w:val="20"/>
                <w:szCs w:val="20"/>
                <w:color w:val="auto"/>
              </w:rPr>
            </w:pPr>
            <w:r>
              <w:rPr>
                <w:rFonts w:ascii="Times New Roman" w:cs="Times New Roman" w:eastAsia="Times New Roman" w:hAnsi="Times New Roman"/>
                <w:sz w:val="17"/>
                <w:szCs w:val="17"/>
                <w:b w:val="1"/>
                <w:bCs w:val="1"/>
                <w:color w:val="auto"/>
              </w:rPr>
              <w:t>RSU Awards</w:t>
            </w:r>
          </w:p>
        </w:tc>
        <w:tc>
          <w:tcPr>
            <w:tcW w:w="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RSU Awards </w:t>
            </w:r>
            <w:r>
              <w:rPr>
                <w:rFonts w:ascii="Times New Roman" w:cs="Times New Roman" w:eastAsia="Times New Roman" w:hAnsi="Times New Roman"/>
                <w:sz w:val="22"/>
                <w:szCs w:val="22"/>
                <w:b w:val="1"/>
                <w:bCs w:val="1"/>
                <w:color w:val="auto"/>
                <w:vertAlign w:val="superscript"/>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7"/>
                <w:szCs w:val="17"/>
                <w:b w:val="1"/>
                <w:bCs w:val="1"/>
                <w:color w:val="auto"/>
              </w:rPr>
              <w:t>Date Fair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3"/>
              <w:spacing w:after="0" w:line="175" w:lineRule="exact"/>
              <w:rPr>
                <w:sz w:val="20"/>
                <w:szCs w:val="20"/>
                <w:color w:val="auto"/>
              </w:rPr>
            </w:pPr>
            <w:r>
              <w:rPr>
                <w:rFonts w:ascii="Times New Roman" w:cs="Times New Roman" w:eastAsia="Times New Roman" w:hAnsi="Times New Roman"/>
                <w:sz w:val="17"/>
                <w:szCs w:val="17"/>
                <w:b w:val="1"/>
                <w:bCs w:val="1"/>
                <w:color w:val="auto"/>
              </w:rPr>
              <w:t>Date Fair</w:t>
            </w:r>
          </w:p>
        </w:tc>
        <w:tc>
          <w:tcPr>
            <w:tcW w:w="0" w:type="dxa"/>
            <w:vAlign w:val="bottom"/>
          </w:tcPr>
          <w:p>
            <w:pPr>
              <w:spacing w:after="0"/>
              <w:rPr>
                <w:sz w:val="1"/>
                <w:szCs w:val="1"/>
                <w:color w:val="auto"/>
              </w:rPr>
            </w:pPr>
          </w:p>
        </w:tc>
      </w:tr>
      <w:tr>
        <w:trPr>
          <w:trHeight w:val="231"/>
        </w:trPr>
        <w:tc>
          <w:tcPr>
            <w:tcW w:w="61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3"/>
              <w:spacing w:after="0" w:line="231" w:lineRule="exact"/>
              <w:rPr>
                <w:sz w:val="20"/>
                <w:szCs w:val="20"/>
                <w:color w:val="auto"/>
              </w:rPr>
            </w:pPr>
            <w:r>
              <w:rPr>
                <w:rFonts w:ascii="Times New Roman" w:cs="Times New Roman" w:eastAsia="Times New Roman" w:hAnsi="Times New Roman"/>
                <w:sz w:val="17"/>
                <w:szCs w:val="17"/>
                <w:b w:val="1"/>
                <w:bCs w:val="1"/>
                <w:color w:val="auto"/>
                <w:w w:val="96"/>
              </w:rPr>
              <w:t xml:space="preserve">Value </w:t>
            </w:r>
            <w:r>
              <w:rPr>
                <w:rFonts w:ascii="Times New Roman" w:cs="Times New Roman" w:eastAsia="Times New Roman" w:hAnsi="Times New Roman"/>
                <w:sz w:val="22"/>
                <w:szCs w:val="22"/>
                <w:b w:val="1"/>
                <w:bCs w:val="1"/>
                <w:color w:val="auto"/>
                <w:w w:val="96"/>
                <w:vertAlign w:val="superscript"/>
              </w:rPr>
              <w:t>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52"/>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Unvested balance as of December 31, 2021 </w:t>
            </w:r>
            <w:r>
              <w:rPr>
                <w:rFonts w:ascii="Times New Roman" w:cs="Times New Roman" w:eastAsia="Times New Roman" w:hAnsi="Times New Roman"/>
                <w:sz w:val="17"/>
                <w:szCs w:val="17"/>
                <w:b w:val="1"/>
                <w:bCs w:val="1"/>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1,050,027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17"/>
                <w:szCs w:val="17"/>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687,733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Accrued RSU dividend equivalents </w:t>
            </w:r>
            <w:r>
              <w:rPr>
                <w:rFonts w:ascii="Times New Roman" w:cs="Times New Roman" w:eastAsia="Times New Roman" w:hAnsi="Times New Roman"/>
                <w:sz w:val="17"/>
                <w:szCs w:val="17"/>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159,039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17"/>
                <w:szCs w:val="17"/>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(558,796)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0" w:type="dxa"/>
            <w:vAlign w:val="bottom"/>
          </w:tcPr>
          <w:p>
            <w:pPr>
              <w:spacing w:after="0"/>
              <w:rPr>
                <w:sz w:val="1"/>
                <w:szCs w:val="1"/>
                <w:color w:val="auto"/>
              </w:rPr>
            </w:pPr>
          </w:p>
        </w:tc>
      </w:tr>
      <w:tr>
        <w:trPr>
          <w:trHeight w:val="281"/>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Forfeitures</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(4,312)</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Unvested balance as of December 31, 2022 </w:t>
            </w:r>
            <w:r>
              <w:rPr>
                <w:rFonts w:ascii="Times New Roman" w:cs="Times New Roman" w:eastAsia="Times New Roman" w:hAnsi="Times New Roman"/>
                <w:sz w:val="17"/>
                <w:szCs w:val="17"/>
                <w:b w:val="1"/>
                <w:bCs w:val="1"/>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1,333,691</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17"/>
                <w:szCs w:val="17"/>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1,140,758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Accrued RSU dividend equivalents </w:t>
            </w:r>
            <w:r>
              <w:rPr>
                <w:rFonts w:ascii="Times New Roman" w:cs="Times New Roman" w:eastAsia="Times New Roman" w:hAnsi="Times New Roman"/>
                <w:sz w:val="17"/>
                <w:szCs w:val="17"/>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273,189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1"/>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(703,557)</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0" w:type="dxa"/>
            <w:vAlign w:val="bottom"/>
          </w:tcPr>
          <w:p>
            <w:pPr>
              <w:spacing w:after="0"/>
              <w:rPr>
                <w:sz w:val="1"/>
                <w:szCs w:val="1"/>
                <w:color w:val="auto"/>
              </w:rPr>
            </w:pPr>
          </w:p>
        </w:tc>
      </w:tr>
      <w:tr>
        <w:trPr>
          <w:trHeight w:val="252"/>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Unvested balance as of December 31, 2023 </w:t>
            </w:r>
            <w:r>
              <w:rPr>
                <w:rFonts w:ascii="Times New Roman" w:cs="Times New Roman" w:eastAsia="Times New Roman" w:hAnsi="Times New Roman"/>
                <w:sz w:val="17"/>
                <w:szCs w:val="17"/>
                <w:b w:val="1"/>
                <w:bCs w:val="1"/>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2,044,081</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17"/>
                <w:szCs w:val="17"/>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1,154,343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Accrued RSU dividend equivalents </w:t>
            </w:r>
            <w:r>
              <w:rPr>
                <w:rFonts w:ascii="Times New Roman" w:cs="Times New Roman" w:eastAsia="Times New Roman" w:hAnsi="Times New Roman"/>
                <w:sz w:val="17"/>
                <w:szCs w:val="17"/>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337,739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1"/>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17"/>
                <w:szCs w:val="17"/>
                <w:color w:val="B4B4B4"/>
              </w:rPr>
              <w:t>..........................................................................................................................</w:t>
            </w:r>
          </w:p>
        </w:tc>
        <w:tc>
          <w:tcPr>
            <w:tcW w:w="6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(1,062,526)</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r>
        <w:trPr>
          <w:trHeight w:val="237"/>
        </w:trPr>
        <w:tc>
          <w:tcPr>
            <w:tcW w:w="6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Unvested balance as of December 31, 2024 </w:t>
            </w:r>
            <w:r>
              <w:rPr>
                <w:rFonts w:ascii="Times New Roman" w:cs="Times New Roman" w:eastAsia="Times New Roman" w:hAnsi="Times New Roman"/>
                <w:sz w:val="17"/>
                <w:szCs w:val="17"/>
                <w:b w:val="1"/>
                <w:bCs w:val="1"/>
                <w:color w:val="B4B4B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2,473,637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-43180</wp:posOffset>
            </wp:positionV>
            <wp:extent cx="2409190" cy="501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15">
                      <a:extLst>
                        <a:ext uri="{28A0092B-C50C-407E-A947-70E740481C1C}"/>
                      </a:extLst>
                    </a:blip>
                    <a:srcRect/>
                    <a:stretch>
                      <a:fillRect/>
                    </a:stretch>
                  </pic:blipFill>
                  <pic:spPr bwMode="auto">
                    <a:xfrm>
                      <a:off x="0" y="0"/>
                      <a:ext cx="2409190" cy="5016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6" w:lineRule="exact"/>
        <w:rPr>
          <w:sz w:val="20"/>
          <w:szCs w:val="20"/>
          <w:color w:val="auto"/>
        </w:rPr>
      </w:pPr>
    </w:p>
    <w:p>
      <w:pPr>
        <w:ind w:left="700" w:hanging="347"/>
        <w:spacing w:after="0"/>
        <w:tabs>
          <w:tab w:leader="none" w:pos="7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forfeitures of awards during the fiscal years 2023 and 2024.</w:t>
      </w:r>
    </w:p>
    <w:p>
      <w:pPr>
        <w:ind w:left="700" w:hanging="347"/>
        <w:spacing w:after="0"/>
        <w:tabs>
          <w:tab w:leader="none" w:pos="7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RSU award dividend equivalents have a weighted average grant date fair value of $0.</w:t>
      </w:r>
    </w:p>
    <w:p>
      <w:pPr>
        <w:spacing w:after="0" w:line="394"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PSUs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at Target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3"/>
              <w:spacing w:after="0" w:line="175" w:lineRule="exact"/>
              <w:rPr>
                <w:sz w:val="20"/>
                <w:szCs w:val="20"/>
                <w:color w:val="auto"/>
              </w:rPr>
            </w:pPr>
            <w:r>
              <w:rPr>
                <w:rFonts w:ascii="Times New Roman" w:cs="Times New Roman" w:eastAsia="Times New Roman" w:hAnsi="Times New Roman"/>
                <w:sz w:val="17"/>
                <w:szCs w:val="17"/>
                <w:b w:val="1"/>
                <w:bCs w:val="1"/>
                <w:color w:val="auto"/>
              </w:rPr>
              <w:t>Average</w:t>
            </w:r>
          </w:p>
        </w:tc>
        <w:tc>
          <w:tcPr>
            <w:tcW w:w="60" w:type="dxa"/>
            <w:vAlign w:val="bottom"/>
          </w:tcPr>
          <w:p>
            <w:pPr>
              <w:spacing w:after="0"/>
              <w:rPr>
                <w:sz w:val="15"/>
                <w:szCs w:val="15"/>
                <w:color w:val="auto"/>
              </w:rPr>
            </w:pPr>
          </w:p>
        </w:tc>
        <w:tc>
          <w:tcPr>
            <w:tcW w:w="116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Average Vest</w:t>
            </w:r>
          </w:p>
        </w:tc>
        <w:tc>
          <w:tcPr>
            <w:tcW w:w="0" w:type="dxa"/>
            <w:vAlign w:val="bottom"/>
          </w:tcPr>
          <w:p>
            <w:pPr>
              <w:spacing w:after="0"/>
              <w:rPr>
                <w:sz w:val="1"/>
                <w:szCs w:val="1"/>
                <w:color w:val="auto"/>
              </w:rPr>
            </w:pPr>
          </w:p>
        </w:tc>
      </w:tr>
      <w:tr>
        <w:trPr>
          <w:trHeight w:val="175"/>
        </w:trPr>
        <w:tc>
          <w:tcPr>
            <w:tcW w:w="6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PSU Awards</w:t>
            </w:r>
          </w:p>
        </w:tc>
        <w:tc>
          <w:tcPr>
            <w:tcW w:w="80" w:type="dxa"/>
            <w:vAlign w:val="bottom"/>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Performance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3"/>
              <w:spacing w:after="0" w:line="175" w:lineRule="exact"/>
              <w:rPr>
                <w:sz w:val="20"/>
                <w:szCs w:val="20"/>
                <w:color w:val="auto"/>
              </w:rPr>
            </w:pPr>
            <w:r>
              <w:rPr>
                <w:rFonts w:ascii="Times New Roman" w:cs="Times New Roman" w:eastAsia="Times New Roman" w:hAnsi="Times New Roman"/>
                <w:sz w:val="17"/>
                <w:szCs w:val="17"/>
                <w:b w:val="1"/>
                <w:bCs w:val="1"/>
                <w:color w:val="auto"/>
              </w:rPr>
              <w:t>Grant Date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3"/>
              <w:spacing w:after="0" w:line="175" w:lineRule="exact"/>
              <w:rPr>
                <w:sz w:val="20"/>
                <w:szCs w:val="20"/>
                <w:color w:val="auto"/>
              </w:rPr>
            </w:pPr>
            <w:r>
              <w:rPr>
                <w:rFonts w:ascii="Times New Roman" w:cs="Times New Roman" w:eastAsia="Times New Roman" w:hAnsi="Times New Roman"/>
                <w:sz w:val="17"/>
                <w:szCs w:val="17"/>
                <w:b w:val="1"/>
                <w:bCs w:val="1"/>
                <w:color w:val="auto"/>
              </w:rPr>
              <w:t>Date Fair</w:t>
            </w:r>
          </w:p>
        </w:tc>
        <w:tc>
          <w:tcPr>
            <w:tcW w:w="0" w:type="dxa"/>
            <w:vAlign w:val="bottom"/>
          </w:tcPr>
          <w:p>
            <w:pPr>
              <w:spacing w:after="0"/>
              <w:rPr>
                <w:sz w:val="1"/>
                <w:szCs w:val="1"/>
                <w:color w:val="auto"/>
              </w:rPr>
            </w:pPr>
          </w:p>
        </w:tc>
      </w:tr>
      <w:tr>
        <w:trPr>
          <w:trHeight w:val="231"/>
        </w:trPr>
        <w:tc>
          <w:tcPr>
            <w:tcW w:w="6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center"/>
              <w:spacing w:after="0" w:line="231" w:lineRule="exact"/>
              <w:rPr>
                <w:sz w:val="20"/>
                <w:szCs w:val="20"/>
                <w:color w:val="auto"/>
              </w:rPr>
            </w:pPr>
            <w:r>
              <w:rPr>
                <w:rFonts w:ascii="Times New Roman" w:cs="Times New Roman" w:eastAsia="Times New Roman" w:hAnsi="Times New Roman"/>
                <w:sz w:val="17"/>
                <w:szCs w:val="17"/>
                <w:b w:val="1"/>
                <w:bCs w:val="1"/>
                <w:color w:val="auto"/>
                <w:w w:val="97"/>
              </w:rPr>
              <w:t xml:space="preserve">Level </w:t>
            </w:r>
            <w:r>
              <w:rPr>
                <w:rFonts w:ascii="Times New Roman" w:cs="Times New Roman" w:eastAsia="Times New Roman" w:hAnsi="Times New Roman"/>
                <w:sz w:val="22"/>
                <w:szCs w:val="22"/>
                <w:b w:val="1"/>
                <w:bCs w:val="1"/>
                <w:color w:val="auto"/>
                <w:w w:val="97"/>
                <w:vertAlign w:val="superscript"/>
              </w:rPr>
              <w:t>1</w:t>
            </w: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line="231" w:lineRule="exact"/>
              <w:rPr>
                <w:sz w:val="20"/>
                <w:szCs w:val="20"/>
                <w:color w:val="auto"/>
              </w:rPr>
            </w:pPr>
            <w:r>
              <w:rPr>
                <w:rFonts w:ascii="Times New Roman" w:cs="Times New Roman" w:eastAsia="Times New Roman" w:hAnsi="Times New Roman"/>
                <w:sz w:val="17"/>
                <w:szCs w:val="17"/>
                <w:b w:val="1"/>
                <w:bCs w:val="1"/>
                <w:color w:val="auto"/>
              </w:rPr>
              <w:t xml:space="preserve">Fair Value </w:t>
            </w:r>
            <w:r>
              <w:rPr>
                <w:rFonts w:ascii="Times New Roman" w:cs="Times New Roman" w:eastAsia="Times New Roman" w:hAnsi="Times New Roman"/>
                <w:sz w:val="22"/>
                <w:szCs w:val="22"/>
                <w:b w:val="1"/>
                <w:bCs w:val="1"/>
                <w:color w:val="auto"/>
                <w:vertAlign w:val="superscript"/>
              </w:rPr>
              <w:t>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52"/>
        </w:trPr>
        <w:tc>
          <w:tcPr>
            <w:tcW w:w="60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Unvested balance as of December 31, 2021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2,212,660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826,971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Accrued PSU dividend equivalents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279,484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1"/>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17"/>
                <w:szCs w:val="17"/>
                <w:color w:val="B4B4B4"/>
              </w:rPr>
              <w:t>........................................................................................................................</w:t>
            </w:r>
          </w:p>
        </w:tc>
        <w:tc>
          <w:tcPr>
            <w:tcW w:w="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(938,540)</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0" w:type="dxa"/>
            <w:vAlign w:val="bottom"/>
          </w:tcPr>
          <w:p>
            <w:pPr>
              <w:spacing w:after="0"/>
              <w:rPr>
                <w:sz w:val="1"/>
                <w:szCs w:val="1"/>
                <w:color w:val="auto"/>
              </w:rPr>
            </w:pPr>
          </w:p>
        </w:tc>
      </w:tr>
      <w:tr>
        <w:trPr>
          <w:trHeight w:val="301"/>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Unvested balance as of December 31, 2022 </w:t>
            </w:r>
            <w:r>
              <w:rPr>
                <w:rFonts w:ascii="Times New Roman" w:cs="Times New Roman" w:eastAsia="Times New Roman" w:hAnsi="Times New Roman"/>
                <w:sz w:val="22"/>
                <w:szCs w:val="22"/>
                <w:b w:val="1"/>
                <w:bCs w:val="1"/>
                <w:color w:val="auto"/>
                <w:vertAlign w:val="superscript"/>
              </w:rPr>
              <w:t>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2,380,575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950,840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Accrued PSU dividend equivalents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402,368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Performance adjustment - March 2021 base grant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(210,425)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25"/>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Performance adjustment - accrued PSU dividend equivalents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(87,375)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17"/>
                <w:szCs w:val="17"/>
                <w:color w:val="B4B4B4"/>
              </w:rPr>
              <w:t>........................................................................................................................</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(699,128)</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0" w:type="dxa"/>
            <w:vAlign w:val="bottom"/>
          </w:tcPr>
          <w:p>
            <w:pPr>
              <w:spacing w:after="0"/>
              <w:rPr>
                <w:sz w:val="1"/>
                <w:szCs w:val="1"/>
                <w:color w:val="auto"/>
              </w:rPr>
            </w:pPr>
          </w:p>
        </w:tc>
      </w:tr>
      <w:tr>
        <w:trPr>
          <w:trHeight w:val="252"/>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Unvested balance as of December 31, 2023 </w:t>
            </w:r>
            <w:r>
              <w:rPr>
                <w:rFonts w:ascii="Times New Roman" w:cs="Times New Roman" w:eastAsia="Times New Roman" w:hAnsi="Times New Roman"/>
                <w:sz w:val="17"/>
                <w:szCs w:val="17"/>
                <w:b w:val="1"/>
                <w:bCs w:val="1"/>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2,736,855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1,058,466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6"/>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Accrued PSU dividend equivalents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489,216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0"/>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Performance adjustment - March 2022 base grant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(142,273)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2"/>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Performance adjustment - accrued PSU dividend equivalents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(74,832)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17"/>
                <w:szCs w:val="17"/>
                <w:color w:val="B4B4B4"/>
              </w:rPr>
              <w:t>........................................................................................................................</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(595,992)</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r>
        <w:trPr>
          <w:trHeight w:val="237"/>
        </w:trPr>
        <w:tc>
          <w:tcPr>
            <w:tcW w:w="6020" w:type="dxa"/>
            <w:vAlign w:val="bottom"/>
          </w:tcPr>
          <w:p>
            <w:pPr>
              <w:jc w:val="right"/>
              <w:spacing w:after="0" w:line="237" w:lineRule="exact"/>
              <w:rPr>
                <w:sz w:val="20"/>
                <w:szCs w:val="20"/>
                <w:color w:val="auto"/>
              </w:rPr>
            </w:pPr>
            <w:r>
              <w:rPr>
                <w:rFonts w:ascii="Times New Roman" w:cs="Times New Roman" w:eastAsia="Times New Roman" w:hAnsi="Times New Roman"/>
                <w:sz w:val="17"/>
                <w:szCs w:val="17"/>
                <w:b w:val="1"/>
                <w:bCs w:val="1"/>
                <w:color w:val="auto"/>
              </w:rPr>
              <w:t xml:space="preserve">Unvested balance as of December 31, 2024 </w:t>
            </w:r>
            <w:r>
              <w:rPr>
                <w:rFonts w:ascii="Times New Roman" w:cs="Times New Roman" w:eastAsia="Times New Roman" w:hAnsi="Times New Roman"/>
                <w:sz w:val="22"/>
                <w:szCs w:val="22"/>
                <w:b w:val="1"/>
                <w:bCs w:val="1"/>
                <w:color w:val="auto"/>
                <w:vertAlign w:val="superscript"/>
              </w:rPr>
              <w:t>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color w:val="B4B4B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3,471,440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-43180</wp:posOffset>
            </wp:positionV>
            <wp:extent cx="2298065" cy="50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6">
                      <a:extLst>
                        <a:ext uri="{28A0092B-C50C-407E-A947-70E740481C1C}"/>
                      </a:extLst>
                    </a:blip>
                    <a:srcRect/>
                    <a:stretch>
                      <a:fillRect/>
                    </a:stretch>
                  </pic:blipFill>
                  <pic:spPr bwMode="auto">
                    <a:xfrm>
                      <a:off x="0" y="0"/>
                      <a:ext cx="2298065" cy="5016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2" w:lineRule="exact"/>
        <w:rPr>
          <w:sz w:val="20"/>
          <w:szCs w:val="20"/>
          <w:color w:val="auto"/>
        </w:rPr>
      </w:pPr>
    </w:p>
    <w:p>
      <w:pPr>
        <w:ind w:left="700" w:hanging="347"/>
        <w:spacing w:after="0"/>
        <w:tabs>
          <w:tab w:leader="none" w:pos="7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forfeitures of awards during the periods presented.</w:t>
      </w:r>
    </w:p>
    <w:p>
      <w:pPr>
        <w:ind w:left="700" w:hanging="347"/>
        <w:spacing w:after="0"/>
        <w:tabs>
          <w:tab w:leader="none" w:pos="7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PSU award dividend equivalents have a weighted average grant date fair value of $0.</w:t>
      </w:r>
    </w:p>
    <w:p>
      <w:pPr>
        <w:spacing w:after="0" w:line="2" w:lineRule="exact"/>
        <w:rPr>
          <w:rFonts w:ascii="Times New Roman" w:cs="Times New Roman" w:eastAsia="Times New Roman" w:hAnsi="Times New Roman"/>
          <w:sz w:val="16"/>
          <w:szCs w:val="16"/>
          <w:color w:val="auto"/>
        </w:rPr>
      </w:pPr>
    </w:p>
    <w:p>
      <w:pPr>
        <w:ind w:left="700" w:hanging="347"/>
        <w:spacing w:after="0"/>
        <w:tabs>
          <w:tab w:leader="none" w:pos="7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adjustments reflect adjustments for actual performance achieved relative to target, measured at the end of the performance period.</w:t>
      </w:r>
    </w:p>
    <w:p>
      <w:pPr>
        <w:spacing w:after="0" w:line="2" w:lineRule="exact"/>
        <w:rPr>
          <w:rFonts w:ascii="Times New Roman" w:cs="Times New Roman" w:eastAsia="Times New Roman" w:hAnsi="Times New Roman"/>
          <w:sz w:val="16"/>
          <w:szCs w:val="16"/>
          <w:color w:val="auto"/>
        </w:rPr>
      </w:pPr>
    </w:p>
    <w:p>
      <w:pPr>
        <w:jc w:val="both"/>
        <w:ind w:left="700" w:hanging="347"/>
        <w:spacing w:after="0" w:line="287" w:lineRule="auto"/>
        <w:tabs>
          <w:tab w:leader="none" w:pos="7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unvested balance as of December 31, 2024 assumes actual performance achievement of 75.5% of target for PSU awards granted in fiscal year 2022 that are scheduled to vest in fiscal year 2024 and target levels of performance (100%) for PSU awards granted in fiscal years 2023 and 2024. The actual number of PSUs that will vest for the 2023 and 2024 PSU awards will vary within a range of 0% to 200% of the target based on the actual performance achieved relative to the targets. As of December 31, 2024, we estimate that 115.0% and 100.0% of the 2023 and 2024 PSU awards, respectively, will vest based on our estimate of the probability that the performance criteria for the awards will be achieved.</w:t>
      </w:r>
    </w:p>
    <w:p>
      <w:pPr>
        <w:sectPr>
          <w:pgSz w:w="11880" w:h="15480" w:orient="portrait"/>
          <w:cols w:equalWidth="0" w:num="1">
            <w:col w:w="9960"/>
          </w:cols>
          <w:pgMar w:left="960" w:top="69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880" w:h="15480" w:orient="portrait"/>
          <w:cols w:equalWidth="0" w:num="1">
            <w:col w:w="9960"/>
          </w:cols>
          <w:pgMar w:left="960" w:top="698" w:right="96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9"/>
          <w:szCs w:val="19"/>
          <w:b w:val="1"/>
          <w:bCs w:val="1"/>
          <w:color w:val="auto"/>
        </w:rPr>
        <w:t>Note 12. Income Taxes</w:t>
      </w:r>
    </w:p>
    <w:p>
      <w:pPr>
        <w:spacing w:after="0" w:line="196"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We did not incur an income tax liability for the years ended December 31, 2023 and 2022 and we do not expect to incur an income tax liability for the year ended December 31, 2024.</w:t>
      </w:r>
    </w:p>
    <w:p>
      <w:pPr>
        <w:spacing w:after="0" w:line="107" w:lineRule="exact"/>
        <w:rPr>
          <w:sz w:val="20"/>
          <w:szCs w:val="20"/>
          <w:color w:val="auto"/>
        </w:rPr>
      </w:pPr>
    </w:p>
    <w:p>
      <w:pPr>
        <w:jc w:val="both"/>
        <w:ind w:firstLine="480"/>
        <w:spacing w:after="0"/>
        <w:rPr>
          <w:sz w:val="20"/>
          <w:szCs w:val="20"/>
          <w:color w:val="auto"/>
        </w:rPr>
      </w:pPr>
      <w:r>
        <w:rPr>
          <w:rFonts w:ascii="Times New Roman" w:cs="Times New Roman" w:eastAsia="Times New Roman" w:hAnsi="Times New Roman"/>
          <w:sz w:val="19"/>
          <w:szCs w:val="19"/>
          <w:color w:val="auto"/>
        </w:rPr>
        <w:t>Based on our analysis of any potential uncertain income tax positions, we concluded that we do not have any uncertain tax positions that meet the recognition or measurement criteria of ASC Topic 740, Income Taxes, as of December 31, 2024 or prior periods. Our tax returns for tax years 2021 and forward are open to examination by the IRS. If we incur income tax related interest and penalties, our policy is to classify them as a component of provision for income taxes.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9. </w:t>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None.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9A. </w:t>
      </w:r>
      <w:r>
        <w:rPr>
          <w:rFonts w:ascii="Times New Roman" w:cs="Times New Roman" w:eastAsia="Times New Roman" w:hAnsi="Times New Roman"/>
          <w:sz w:val="19"/>
          <w:szCs w:val="19"/>
          <w:b w:val="1"/>
          <w:bCs w:val="1"/>
          <w:i w:val="1"/>
          <w:iCs w:val="1"/>
          <w:color w:val="auto"/>
        </w:rPr>
        <w:t>Controls and Procedures</w:t>
      </w:r>
    </w:p>
    <w:p>
      <w:pPr>
        <w:spacing w:after="0" w:line="138" w:lineRule="exact"/>
        <w:rPr>
          <w:sz w:val="20"/>
          <w:szCs w:val="20"/>
          <w:color w:val="auto"/>
        </w:rPr>
      </w:pPr>
    </w:p>
    <w:p>
      <w:pPr>
        <w:jc w:val="both"/>
        <w:ind w:firstLine="480"/>
        <w:spacing w:after="0" w:line="260" w:lineRule="auto"/>
        <w:rPr>
          <w:sz w:val="20"/>
          <w:szCs w:val="20"/>
          <w:color w:val="auto"/>
        </w:rPr>
      </w:pPr>
      <w:r>
        <w:rPr>
          <w:rFonts w:ascii="Times New Roman" w:cs="Times New Roman" w:eastAsia="Times New Roman" w:hAnsi="Times New Roman"/>
          <w:sz w:val="19"/>
          <w:szCs w:val="19"/>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1"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We, including our Chief Executive Officer and Chief Financial Officer, evaluated the effectiveness of the design and operation of our disclosure controls and procedures as of December 31, 2024. Based on the foregoing, our Chief Executive Officer and Chief Financial Officer concluded that our disclosure controls and procedures were effective.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Management's Report on Internal Control over Financial Reporting</w:t>
      </w:r>
    </w:p>
    <w:p>
      <w:pPr>
        <w:spacing w:after="0" w:line="138"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Management Report on Internal Control over Financial Reporting is included in "Item 8. Financial Statements and Supplementary Data."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Attestation Report of Registered Public Accounting Firm</w:t>
      </w:r>
    </w:p>
    <w:p>
      <w:pPr>
        <w:spacing w:after="0" w:line="138"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The attestation report of our registered public accounting firm is included in "Item 8. Financial Statements and Supplementary Data."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Internal Control over Financial Reporting</w:t>
      </w:r>
    </w:p>
    <w:p>
      <w:pPr>
        <w:spacing w:after="0" w:line="138"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9B. </w:t>
      </w:r>
      <w:r>
        <w:rPr>
          <w:rFonts w:ascii="Times New Roman" w:cs="Times New Roman" w:eastAsia="Times New Roman" w:hAnsi="Times New Roman"/>
          <w:sz w:val="19"/>
          <w:szCs w:val="19"/>
          <w:b w:val="1"/>
          <w:bCs w:val="1"/>
          <w:i w:val="1"/>
          <w:iCs w:val="1"/>
          <w:color w:val="auto"/>
        </w:rPr>
        <w:t>Other Information</w:t>
      </w:r>
    </w:p>
    <w:p>
      <w:pPr>
        <w:spacing w:after="0" w:line="138" w:lineRule="exact"/>
        <w:rPr>
          <w:sz w:val="20"/>
          <w:szCs w:val="20"/>
          <w:color w:val="auto"/>
        </w:rPr>
      </w:pPr>
    </w:p>
    <w:p>
      <w:pPr>
        <w:jc w:val="both"/>
        <w:ind w:firstLine="480"/>
        <w:spacing w:after="0" w:line="274" w:lineRule="auto"/>
        <w:rPr>
          <w:sz w:val="20"/>
          <w:szCs w:val="20"/>
          <w:color w:val="auto"/>
        </w:rPr>
      </w:pPr>
      <w:r>
        <w:rPr>
          <w:rFonts w:ascii="Times New Roman" w:cs="Times New Roman" w:eastAsia="Times New Roman" w:hAnsi="Times New Roman"/>
          <w:sz w:val="19"/>
          <w:szCs w:val="19"/>
          <w:color w:val="auto"/>
        </w:rPr>
        <w:t>During the fiscal quarter ended December 31, 2024, none of our directors or officers (as defined in Rule 16a-1(f) under the Exchange Act) informed us of the adoption or termination of a “Rule 10b5-1 trading arrangement” or “non-Rule 10b5-1 trading arrangement” (as each term is defined in Regulation S-K, Item 408).</w:t>
      </w:r>
    </w:p>
    <w:p>
      <w:pPr>
        <w:spacing w:after="0" w:line="200" w:lineRule="exact"/>
        <w:rPr>
          <w:sz w:val="20"/>
          <w:szCs w:val="20"/>
          <w:color w:val="auto"/>
        </w:rPr>
      </w:pPr>
    </w:p>
    <w:p>
      <w:pPr>
        <w:spacing w:after="0" w:line="20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10. </w:t>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138" w:lineRule="exact"/>
        <w:rPr>
          <w:sz w:val="20"/>
          <w:szCs w:val="20"/>
          <w:color w:val="auto"/>
        </w:rPr>
      </w:pPr>
    </w:p>
    <w:p>
      <w:pPr>
        <w:jc w:val="both"/>
        <w:ind w:firstLine="436"/>
        <w:spacing w:after="0" w:line="271" w:lineRule="auto"/>
        <w:rPr>
          <w:sz w:val="20"/>
          <w:szCs w:val="20"/>
          <w:color w:val="auto"/>
        </w:rPr>
      </w:pPr>
      <w:r>
        <w:rPr>
          <w:rFonts w:ascii="Times New Roman" w:cs="Times New Roman" w:eastAsia="Times New Roman" w:hAnsi="Times New Roman"/>
          <w:sz w:val="19"/>
          <w:szCs w:val="19"/>
          <w:color w:val="auto"/>
        </w:rPr>
        <w:t>Information in response to this Item is incorporated herein by reference to the information provided in our Proxy Statement for our 2025 Annual Meeting of Stockholders (the "2025 Proxy Statement") under the headings "PROPOSAL 1: ELECTION OF DIRECTORS", "EXECUTIVE OFFICERS OF REGISTRANT", and "BOARD AND GOVERNANCE MATTERS."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Insider Trading Policy</w:t>
      </w:r>
    </w:p>
    <w:p>
      <w:pPr>
        <w:spacing w:after="0" w:line="133"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The Company has adopted the AGNC Investment Corp. Policy on Insider Trading that applies to our directors, officers, employees, independent contractors, and certain of their respective family members. We believe the policy is reasonably designed to promote compliance with insider trading laws, rules and regulations, and any applicable listing standards. A copy of our policy is filed as Exhibit 19 to this Annual Report on Form 10-K.</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1880" w:h="15480" w:orient="portrait"/>
          <w:cols w:equalWidth="0" w:num="1">
            <w:col w:w="9960"/>
          </w:cols>
          <w:pgMar w:left="960" w:top="704" w:right="96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9"/>
          <w:szCs w:val="19"/>
          <w:b w:val="1"/>
          <w:bCs w:val="1"/>
          <w:color w:val="auto"/>
        </w:rPr>
        <w:t xml:space="preserve">Item 11. </w:t>
      </w:r>
      <w:r>
        <w:rPr>
          <w:rFonts w:ascii="Times New Roman" w:cs="Times New Roman" w:eastAsia="Times New Roman" w:hAnsi="Times New Roman"/>
          <w:sz w:val="19"/>
          <w:szCs w:val="19"/>
          <w:b w:val="1"/>
          <w:bCs w:val="1"/>
          <w:i w:val="1"/>
          <w:iCs w:val="1"/>
          <w:color w:val="auto"/>
        </w:rPr>
        <w:t>Executive Compensation</w:t>
      </w:r>
    </w:p>
    <w:p>
      <w:pPr>
        <w:spacing w:after="0" w:line="138" w:lineRule="exact"/>
        <w:rPr>
          <w:sz w:val="20"/>
          <w:szCs w:val="20"/>
          <w:color w:val="auto"/>
        </w:rPr>
      </w:pPr>
    </w:p>
    <w:p>
      <w:pPr>
        <w:jc w:val="both"/>
        <w:ind w:firstLine="436"/>
        <w:spacing w:after="0" w:line="266" w:lineRule="auto"/>
        <w:rPr>
          <w:sz w:val="20"/>
          <w:szCs w:val="20"/>
          <w:color w:val="auto"/>
        </w:rPr>
      </w:pPr>
      <w:r>
        <w:rPr>
          <w:rFonts w:ascii="Times New Roman" w:cs="Times New Roman" w:eastAsia="Times New Roman" w:hAnsi="Times New Roman"/>
          <w:sz w:val="19"/>
          <w:szCs w:val="19"/>
          <w:color w:val="auto"/>
        </w:rPr>
        <w:t>Information in response to this Item is incorporated herein by reference to the information provided in the 2025 Proxy Statement under the headings "PROPOSAL 1: ELECTION OF DIRECTORS", "EXECUTIVE COMPENSATION", "COMPENSATION DISCUSSION AND ANALYSIS", "REPORT OF THE COMPENSATION AND CORPORATE GOVERNANCE COMMITTEE", and "COMPENSATION COMMITTEE INTERLOCKS AND INSIDER PARTICIPATION."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12. </w:t>
      </w:r>
      <w:r>
        <w:rPr>
          <w:rFonts w:ascii="Times New Roman" w:cs="Times New Roman" w:eastAsia="Times New Roman" w:hAnsi="Times New Roman"/>
          <w:sz w:val="19"/>
          <w:szCs w:val="19"/>
          <w:b w:val="1"/>
          <w:bCs w:val="1"/>
          <w:i w:val="1"/>
          <w:iCs w:val="1"/>
          <w:color w:val="auto"/>
        </w:rPr>
        <w:t>Security Ownership of Certain Beneficial Owners and Management and Related Stockholder Matters</w:t>
      </w:r>
    </w:p>
    <w:p>
      <w:pPr>
        <w:spacing w:after="0" w:line="138" w:lineRule="exact"/>
        <w:rPr>
          <w:sz w:val="20"/>
          <w:szCs w:val="20"/>
          <w:color w:val="auto"/>
        </w:rPr>
      </w:pPr>
    </w:p>
    <w:p>
      <w:pPr>
        <w:jc w:val="both"/>
        <w:ind w:firstLine="436"/>
        <w:spacing w:after="0" w:line="293" w:lineRule="auto"/>
        <w:rPr>
          <w:sz w:val="20"/>
          <w:szCs w:val="20"/>
          <w:color w:val="auto"/>
        </w:rPr>
      </w:pPr>
      <w:r>
        <w:rPr>
          <w:rFonts w:ascii="Times New Roman" w:cs="Times New Roman" w:eastAsia="Times New Roman" w:hAnsi="Times New Roman"/>
          <w:sz w:val="19"/>
          <w:szCs w:val="19"/>
          <w:color w:val="auto"/>
        </w:rPr>
        <w:t>Information in response to this Item is incorporated herein by reference to the information provided in the 2025 Proxy Statement under the heading "SECURITY OWNERSHIP OF MANAGEMENT AND CERTAIN BENEFICIAL OWNERS."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13. </w:t>
      </w:r>
      <w:r>
        <w:rPr>
          <w:rFonts w:ascii="Times New Roman" w:cs="Times New Roman" w:eastAsia="Times New Roman" w:hAnsi="Times New Roman"/>
          <w:sz w:val="19"/>
          <w:szCs w:val="19"/>
          <w:b w:val="1"/>
          <w:bCs w:val="1"/>
          <w:i w:val="1"/>
          <w:iCs w:val="1"/>
          <w:color w:val="auto"/>
        </w:rPr>
        <w:t>Certain Relationships and Related Transactions, and Director Independence</w:t>
      </w:r>
    </w:p>
    <w:p>
      <w:pPr>
        <w:spacing w:after="0" w:line="138"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Information in response to this Item is incorporated herein by reference to the information provided in the 2025 Proxy Statement under the headings "CERTAIN TRANSACTIONS WITH RELATED PERSONS" and "PROPOSAL 1: ELECTION OF DIRECTORS."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14. </w:t>
      </w:r>
      <w:r>
        <w:rPr>
          <w:rFonts w:ascii="Times New Roman" w:cs="Times New Roman" w:eastAsia="Times New Roman" w:hAnsi="Times New Roman"/>
          <w:sz w:val="19"/>
          <w:szCs w:val="19"/>
          <w:b w:val="1"/>
          <w:bCs w:val="1"/>
          <w:i w:val="1"/>
          <w:iCs w:val="1"/>
          <w:color w:val="auto"/>
        </w:rPr>
        <w:t>Principal Accounting Fees and Services</w:t>
      </w:r>
    </w:p>
    <w:p>
      <w:pPr>
        <w:spacing w:after="0" w:line="138"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Information in response to this Item is incorporated herein by reference to the information provided in the 2025 Proxy Statement under the heading "PROPOSAL 4: RATIFICATION OF APPOINTMENT OF INDEPENDENT PUBLIC ACCOUNTANT."</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880" w:h="15480" w:orient="portrait"/>
          <w:cols w:equalWidth="0" w:num="1">
            <w:col w:w="9960"/>
          </w:cols>
          <w:pgMar w:left="960" w:top="704" w:right="96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15. </w:t>
      </w:r>
      <w:r>
        <w:rPr>
          <w:rFonts w:ascii="Times New Roman" w:cs="Times New Roman" w:eastAsia="Times New Roman" w:hAnsi="Times New Roman"/>
          <w:sz w:val="19"/>
          <w:szCs w:val="19"/>
          <w:b w:val="1"/>
          <w:bCs w:val="1"/>
          <w:i w:val="1"/>
          <w:iCs w:val="1"/>
          <w:color w:val="auto"/>
        </w:rPr>
        <w:t>Exhibits and Financial Statement Schedules</w:t>
      </w:r>
    </w:p>
    <w:p>
      <w:pPr>
        <w:spacing w:after="0" w:line="196" w:lineRule="exact"/>
        <w:rPr>
          <w:sz w:val="20"/>
          <w:szCs w:val="20"/>
          <w:color w:val="auto"/>
        </w:rPr>
      </w:pPr>
    </w:p>
    <w:p>
      <w:pPr>
        <w:ind w:left="260" w:hanging="256"/>
        <w:spacing w:after="0"/>
        <w:tabs>
          <w:tab w:leader="none" w:pos="26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List of documents filed as part of this report:</w:t>
      </w:r>
    </w:p>
    <w:p>
      <w:pPr>
        <w:spacing w:after="0" w:line="177" w:lineRule="exact"/>
        <w:rPr>
          <w:rFonts w:ascii="Times New Roman" w:cs="Times New Roman" w:eastAsia="Times New Roman" w:hAnsi="Times New Roman"/>
          <w:sz w:val="19"/>
          <w:szCs w:val="19"/>
          <w:color w:val="auto"/>
        </w:rPr>
      </w:pPr>
    </w:p>
    <w:p>
      <w:pPr>
        <w:ind w:left="1540" w:hanging="445"/>
        <w:spacing w:after="0"/>
        <w:tabs>
          <w:tab w:leader="none" w:pos="154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financial statements are filed herewith:</w:t>
      </w:r>
    </w:p>
    <w:p>
      <w:pPr>
        <w:spacing w:after="0" w:line="17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Consolidated Balance Sheets as of December 31, 2024 and 2023</w:t>
      </w:r>
    </w:p>
    <w:p>
      <w:pPr>
        <w:spacing w:after="0" w:line="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Consolidated Statements of Comprehensive Income for fiscal years 2024, 2023 and 2022</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Consolidated Statements of Stockholders' Equity for fiscal years 2024, 2023 and 2022</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Consolidated Statements of Cash Flows for fiscal years 2024,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4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(2)  The following exhibits are filed herewith or incorporated herein by reference</w:t>
            </w:r>
          </w:p>
        </w:tc>
      </w:tr>
      <w:tr>
        <w:trPr>
          <w:trHeight w:val="333"/>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395"/>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AGNC Investment Corp. Amended and Restated Certificate of Incorporation, as amended, incorporated by</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reference from Exhibit 3.1 of Form 10-K for the year ended December 31, 2021 (File No. 001-34057), filed</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February 23, 2022.</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AGNC Investment Corp. Amended and Restated Bylaws, as amended, incorporated herein by reference to</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Exhibit 3.1 of Form 8-K (File No. 001-34057), filed July 21, 2023.</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*3.3</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7.00% Series C Fixed-to-Floating Rate Cumulative Redeemable Preferred</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 incorporated herein by reference to Exhibit 3.5 of Form 8-A (File No. 001-34057), filed August 18,</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2017.</w:t>
            </w:r>
          </w:p>
        </w:tc>
        <w:tc>
          <w:tcPr>
            <w:tcW w:w="7800" w:type="dxa"/>
            <w:vAlign w:val="bottom"/>
          </w:tcPr>
          <w:p>
            <w:pPr>
              <w:spacing w:after="0"/>
              <w:rPr>
                <w:sz w:val="21"/>
                <w:szCs w:val="21"/>
                <w:color w:val="auto"/>
              </w:rPr>
            </w:pP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Elimination of 8.000% Series A Cumulative Redeemable Preferred Stock, incorporated herein</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by reference to Exhibit 3.1 of Form 8-K (File No 001-34057), filed October 26, 2017.</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*3.5</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6.875% Series D Fixed-to-Floating Rate Cumulative Redeemable Preferred</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 incorporated herein by reference to Exhibit 3.5 of Form 8-A (File No 001-34057), filed March 6, 2019.</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*3.6</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6.50% Series E Fixed-to-Floating Rate Cumulative Redeemable Preferred</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 incorporated herein by reference to Exhibit 3.6 of Form 8-A (File No 001-34057), filed October 3,</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2019.</w:t>
            </w:r>
          </w:p>
        </w:tc>
        <w:tc>
          <w:tcPr>
            <w:tcW w:w="7800" w:type="dxa"/>
            <w:vAlign w:val="bottom"/>
          </w:tcPr>
          <w:p>
            <w:pPr>
              <w:spacing w:after="0"/>
              <w:rPr>
                <w:sz w:val="21"/>
                <w:szCs w:val="21"/>
                <w:color w:val="auto"/>
              </w:rPr>
            </w:pP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*3.7</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Elimination of 7.750% Series B Cumulative Redeemable Preferred Stock, incorporated herein</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by reference to Exhibit 3.1 of Form 8-K (File No 001-34057), filed December 13, 2019.</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*3.8</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6.125% Series F Fixed-to-Floating Rate Cumulative Redeemable Preferred</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 incorporated herein by reference to Exhibit 3.6 of Form 8-A (File No 001-34057), filed February 11,</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2020.</w:t>
            </w:r>
          </w:p>
        </w:tc>
        <w:tc>
          <w:tcPr>
            <w:tcW w:w="7800" w:type="dxa"/>
            <w:vAlign w:val="bottom"/>
          </w:tcPr>
          <w:p>
            <w:pPr>
              <w:spacing w:after="0"/>
              <w:rPr>
                <w:sz w:val="21"/>
                <w:szCs w:val="21"/>
                <w:color w:val="auto"/>
              </w:rPr>
            </w:pP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*3.9</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7.75% Series G Fixed-Rate Reset Cumulative Redeemable Preferred Stock,</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incorporated herein by reference to Exhibit 3.7 of Form 8-A (File No 001-34057), filed September 14, 2022.</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Instruments defining the rights of holders of securities: See Article IV of our Amended and Restated</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Incorporation, as amended, incorporated herein by reference to Exhibit 3.1 of Form 10-K for the</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year ended December 31, 2021 (File No. 001-34057), filed February 23, 2022.</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Instruments defining the rights of holders of securities: See Article VI of our Amended and Restated Bylaws,</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as amended, incorporated herein by reference to Exhibit 3.1 of Form 8-K, filed July 21, 2023.</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*4.3</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Form of Certificate for Common Stock, incorporated herein by reference to Exhibit 4.3 of Form 10-Q for the</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quarter ended September 30, 2022 (File No. 001-34057), filed November 7, 2022.</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Specimen 7.00% Series C Fixed-to-Floating Rate Cumulative Redeemable Preferred Stock Certificate,</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August 18, 2017.</w:t>
            </w:r>
          </w:p>
        </w:tc>
      </w:tr>
      <w:tr>
        <w:trPr>
          <w:trHeight w:val="38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*4.5</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Specimen 6.875% Series D Fixed-to-Floating Rate Cumulative Redeemable Preferred Stock Certificate,</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March 6, 2019.</w:t>
            </w:r>
          </w:p>
        </w:tc>
      </w:tr>
    </w:tbl>
    <w:p>
      <w:pPr>
        <w:spacing w:after="0" w:line="200" w:lineRule="exact"/>
        <w:rPr>
          <w:sz w:val="20"/>
          <w:szCs w:val="20"/>
          <w:color w:val="auto"/>
        </w:rPr>
      </w:pP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880" w:h="15480" w:orient="portrait"/>
          <w:cols w:equalWidth="0" w:num="1">
            <w:col w:w="9960"/>
          </w:cols>
          <w:pgMar w:left="960" w:top="704" w:right="96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*4.6</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Specimen 6.50% Series E Fixed-to-Floating Rate Cumulative Redeemable Preferred Stock Certificate,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October 3, 2019.</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*4.7</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Specimen 6.125% Series F Fixed-to-Floating Rate Cumulative Redeemable Preferred Stock Certificate,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February 11, 2020.</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*4.8</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Specimen  7.75%  Series  G  Fixed-Rate  Reset  Cumulative  Redeemable  Preferred  Stock  Certificate,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September 14, 2022.</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*4.9</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7.00% Series C Fixed-to-Floating Rate Cumulative Redeemable Preferred</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 dated August 22, 2017, among AGNC Investment Corp., Computershare Inc. and Computershare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Trust Company, N.A., jointly as depositary, incorporated herein by reference to Exhibit 4.2 of Form 8-K (File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No. 001-34057) filed August 22, 2017.</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*4.10</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7.00% Series C Fixed-to-Floating Rate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4.9), incorporated herein by reference to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Exhibit A of Exhibit 4.2 of Form 8-K (File No. 001-34057) filed August 22, 2017.</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*4.11</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6.875% Series D Fixed-to-Floating Rate Cumulative Redeemable Preferred</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 dated March 6, 2019, among AGNC Investment Corp., Computershare Inc. and Computershare Trust</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N.A., jointly as depositary, incorporated herein by reference to Exhibit 4.2 of Form 8-K (File No.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001-34057) filed March 6, 2019.</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*4.12</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6.875% Series D Fixed-to-Floating Rate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4.11), incorporated herein by reference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 Exhibit A of Exhibit 4.2 of Form 8-K (File No. 001-34057) filed March 6, 2019.</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*4.13</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6.50% Series E Fixed-to-Floating Rate Cumulative Redeemable Preferred</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 dated October 3, 2019, among AGNC Investment Corp., Computershare Inc. and Computershare Trust</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N.A., jointly as depositary, incorporated herein by reference to Exhibit 4.2 of Form 8-K (File No.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001-34057) filed October 3, 2019.</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*4.14</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6.50% Series E Fixed-to-Floating Rate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4.13), incorporated herein by reference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 Exhibit A of Exhibit 4.2 of Form 8-K (File No. 001-34057) filed October 3, 2019.</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*4.15</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6.125% Series F Fixed-to-Floating Rate Cumulative Redeemable Preferred</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 dated February 11, 2020, among AGNC Investment Corp., Computershare Inc. and Computershare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Trust Company, N.A., jointly as depositary, incorporated herein by reference to Exhibit 4.1 of Form 8-K (File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No. 001-34057) filed February 11, 2020.</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*4.16</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6.125% Series F Fixed-to-Floating Rate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4.15), incorporated herein by reference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 Exhibit A of Exhibit 4.1 of Form 8-K (File No. 001-34057) filed February 11, 2020.</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*4.17</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7.75% Series G Fixed-Rate Reset Cumulative Redeemable Preferred Stock,</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dated September 14, 2022, among AGNC Investment Corp., Computershare Inc. and Computershare Trust</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N.A., jointly as depositary, incorporated herein by reference to Exhibit 4.2 of Form 8-K (File No.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001-34057) filed September 14, 2022.</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*4.18</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7.75% Series G Fixed-Rate Reset</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4.17), incorporated herein by reference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 Exhibit A of Exhibit 4.2 of Form 8-K (File No. 001-34057) filed September 14, 2022.</w:t>
            </w:r>
          </w:p>
        </w:tc>
      </w:tr>
      <w:tr>
        <w:trPr>
          <w:trHeight w:val="40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4.19</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Description of the Registrant’s Securities, filed herewith.</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 10.1</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Indemnification Agreement, incorporated herein by reference to Exhibit 10.1 of Form 8-K (File No.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001-34057) filed October 25, 2021.</w:t>
            </w:r>
          </w:p>
        </w:tc>
      </w:tr>
      <w:tr>
        <w:trPr>
          <w:trHeight w:val="387"/>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 10.2</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Sixth Amended and Restated Employment Agreement dated July18, 2024, between AGNC Mortgage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Management, LLC and Gary Kain, incorporated herein by reference to Exhibit 10.1 of Form 8-K (File No.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001-34057), filed July 19, 2024.</w:t>
            </w:r>
          </w:p>
        </w:tc>
      </w:tr>
    </w:tbl>
    <w:p>
      <w:pPr>
        <w:spacing w:after="0" w:line="200" w:lineRule="exact"/>
        <w:rPr>
          <w:sz w:val="20"/>
          <w:szCs w:val="20"/>
          <w:color w:val="auto"/>
        </w:rPr>
      </w:pPr>
    </w:p>
    <w:p>
      <w:pPr>
        <w:sectPr>
          <w:pgSz w:w="11880" w:h="15480" w:orient="portrait"/>
          <w:cols w:equalWidth="0" w:num="1">
            <w:col w:w="9960"/>
          </w:cols>
          <w:pgMar w:left="960" w:top="711" w:right="960" w:bottom="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1880" w:h="15480" w:orient="portrait"/>
          <w:cols w:equalWidth="0" w:num="1">
            <w:col w:w="9960"/>
          </w:cols>
          <w:pgMar w:left="960" w:top="711" w:right="96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10.3</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Second Amended and Restated Employment Agreement, dated December 10, 2020, by and between AGNC</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Mortgage Management, LLC and Peter Federico, incorporated herein by reference to Exhibit 10.2 of Form 8-</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K (File No. 001-34057), filed December 10, 2020.</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10.4</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First Amendment to Second Amended and Restated Employment Agreement dated January 31, 2023 between</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Mortgage Management, LLC and Peter Federico, incorporated herein by reference to Exhibit 10.4 of</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10-K (File No. 001-34057), filed February 27, 2023.</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10.5</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Second Amended and Restated Employment Agreement, dated December 10, 2020, by and between AGNC</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Mortgage Management, LLC and Christopher Kuehl, incorporated herein by reference to Exhibit 10.3 of</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8-K (File No. 001-34057), filed December 10, 2020.</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10.6</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First Amendment to Second Amended and Restated Employment Agreement dated January 31, 2023 between</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Mortgage Management, LLC and Christopher Kuehl, incorporated herein by reference to Exhibit 10.6</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of Form 10-K (File No. 001-34057), filed February 27, 2023.</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10.7</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Amended and Restated Employment Agreement, dated January 22, 2021, by and between AGNC Mortgage</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Management, LLC and Bernice Bell, incorporated herein by reference to Exhibit 10.1 of Form 8-K (File No.</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001-34057), filed January 22, 2021.</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10.8</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First Amendment to Amended and Restated Employment Agreement dated January 21, 2022 between AGNC</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Mortgage Management, LLC and Bernice Bell, incorporated herein by reference to Exhibit 10.1 of Form 8-K</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(File No. 001-34057), filed January 21, 2022.</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10.9</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Second Amendment to Amended and Restated Employment Agreement dated January 31, 2023 between</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Mortgage Management, LLC and Bernice Bell, incorporated by reference to Exhibit 10.3 of Form 8-K</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(File No. 001-34057), filed February 3, 2023.</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10.10</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Amended and Restated Employment Agreement, dated January 22, 2021, by and between AGNC Mortgage</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Management, LLC and Kenneth Pollack, incorporated herein by reference to Exhibit 10.15 of Form 10-K</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(File No. 001-34057), filed February 26, 2021.</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10.11</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First Amendment to Amended and Restated Employment Agreement dated January 21, 2022 between AGNC</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Mortgage Management, LLC and Kenneth Pollack, incorporated herein by reference to Exhibit 10.2 of Form</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8-K (File No. 001-34057), filed January 21, 2022.</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10.12</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Second Amendment to Amended and Restated Employment Agreement dated January 31, 2023 between</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Mortgage Management, LLC and Kenneth Pollack, incorporated by reference to Exhibit 10.4 of Form</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8-K (File No. 001-34057), filed February 3, 2023.</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10.13</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Amended and Restated Employment Agreement dated January 31, 2023 between AGNC Mortgage</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Management, LLC and Sean Reid, incorporated by reference to Exhibit 10 of Form 10-Q (File No.</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001-34057), filed May 7, 2024.</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10.14</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Amended and Restated AGNC Investment Corp. 2016 Equity and Incentive Compensation Plan, incorporated</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herein by reference to Exhibit 10.11 of Form 10-K (File No, 001-34057), filed February 23, 2022.</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10.15</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Restricted Stock Unit</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Agreement for Non-Employee Directors, incorporated herein by reference to Exhibit 10.14 of Form 10-K</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(File No. 001-34057), filed February 26, 2018.</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10.16</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Deferred Stock Unit</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Agreement incorporated herein by reference to Exhibit 10 of Form 10-Q for the quarter ended September 30,</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2018 (File No. 001-34057), filed November 5, 2018.</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10.17</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Restricted Stock Unit</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Agreement for Section 16 Officers with Retirement Provisions, incorporated herein by reference to Exhibit</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10.26 of Form 10-K (File No. 001-34057), filed February 26, 2021.</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10.18</w:t>
            </w: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Performance-Based</w:t>
            </w:r>
          </w:p>
        </w:tc>
      </w:tr>
      <w:tr>
        <w:trPr>
          <w:trHeight w:val="233"/>
        </w:trPr>
        <w:tc>
          <w:tcPr>
            <w:tcW w:w="104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Restricted Stock Unit Agreement for Section 16 Officers with Retirement Provisions, incorporated herein by</w:t>
            </w:r>
          </w:p>
        </w:tc>
      </w:tr>
      <w:tr>
        <w:trPr>
          <w:trHeight w:val="253"/>
        </w:trPr>
        <w:tc>
          <w:tcPr>
            <w:tcW w:w="1040" w:type="dxa"/>
            <w:vAlign w:val="bottom"/>
          </w:tcPr>
          <w:p>
            <w:pPr>
              <w:spacing w:after="0"/>
              <w:rPr>
                <w:sz w:val="21"/>
                <w:szCs w:val="21"/>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reference to Exhibit 10.27 of Form 10-K (File No. 001-34057), filed February 26, 2021.</w:t>
            </w:r>
          </w:p>
        </w:tc>
      </w:tr>
    </w:tbl>
    <w:p>
      <w:pPr>
        <w:spacing w:after="0" w:line="200" w:lineRule="exact"/>
        <w:rPr>
          <w:sz w:val="20"/>
          <w:szCs w:val="20"/>
          <w:color w:val="auto"/>
        </w:rPr>
      </w:pPr>
    </w:p>
    <w:p>
      <w:pPr>
        <w:sectPr>
          <w:pgSz w:w="11880" w:h="15480" w:orient="portrait"/>
          <w:cols w:equalWidth="0" w:num="1">
            <w:col w:w="9940"/>
          </w:cols>
          <w:pgMar w:left="960" w:top="711" w:right="980" w:bottom="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83</w:t>
      </w:r>
    </w:p>
    <w:p>
      <w:pPr>
        <w:sectPr>
          <w:pgSz w:w="11880" w:h="15480" w:orient="portrait"/>
          <w:cols w:equalWidth="0" w:num="1">
            <w:col w:w="9940"/>
          </w:cols>
          <w:pgMar w:left="960" w:top="711" w:right="980"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10.19</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Restricted Stock Unit</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Agreement for Section 16 Officers with Employment Contracts, incorporated herein by reference to Exhibit</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10.28 of Form 10-K (File No. 001-34057), filed February 26, 2021.</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10.20</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Performance-Based</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Restricted Stock Unit Agreement for Section 16 Officers with Employment Contracts, incorporated herein by</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reference to Exhibit 10.29 of Form 10-K (File No. 001-34057), filed February 26, 2021.</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10.21</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Restricted Stock Unit</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Agreement for Section 16 Officers with Retirement Plan Language, incorporated herein by reference to</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Exhibit 10.20 of Form 10-K (File No. 001-34057), filed February 22, 2024.</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10.22</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Performance-Based</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Restricted Stock Unit Agreement for Section 16 Officers with Retirement Plan Language, incorporated herein</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by reference to Exhibit 10.21 of Form 10-K (File No. 001-34057), filed February 22, 2024.</w:t>
            </w:r>
          </w:p>
        </w:tc>
      </w:tr>
      <w:tr>
        <w:trPr>
          <w:trHeight w:val="38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*14</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Investment Corp. Code of Ethics and Conduct, adopted July 18, 2024, incorporated herein by</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reference to Exhibit 14 of Form 10-Q (File No. 001-34057) filed August 5, 2024.</w:t>
            </w:r>
          </w:p>
        </w:tc>
      </w:tr>
      <w:tr>
        <w:trPr>
          <w:trHeight w:val="407"/>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19</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Investment Corp. Policy on Insider Trading, adopted July 18, 2024, filed herewith.</w:t>
            </w:r>
          </w:p>
        </w:tc>
      </w:tr>
    </w:tbl>
    <w:p>
      <w:pPr>
        <w:spacing w:after="0" w:line="155" w:lineRule="exact"/>
        <w:rPr>
          <w:sz w:val="20"/>
          <w:szCs w:val="20"/>
          <w:color w:val="auto"/>
        </w:rPr>
      </w:pPr>
    </w:p>
    <w:p>
      <w:pPr>
        <w:ind w:left="1400" w:hanging="1396"/>
        <w:spacing w:after="0"/>
        <w:tabs>
          <w:tab w:leader="none" w:pos="140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Subsidiaries of the Company and jurisdiction of incorporation:</w:t>
      </w:r>
    </w:p>
    <w:p>
      <w:pPr>
        <w:spacing w:after="0" w:line="188" w:lineRule="exact"/>
        <w:rPr>
          <w:rFonts w:ascii="Times New Roman" w:cs="Times New Roman" w:eastAsia="Times New Roman" w:hAnsi="Times New Roman"/>
          <w:sz w:val="19"/>
          <w:szCs w:val="19"/>
          <w:color w:val="auto"/>
        </w:rPr>
      </w:pPr>
    </w:p>
    <w:p>
      <w:pPr>
        <w:ind w:left="1660" w:hanging="259"/>
        <w:spacing w:after="0"/>
        <w:tabs>
          <w:tab w:leader="none" w:pos="166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AGNC TRS, LLC, a Delaware limited liability company</w:t>
      </w:r>
    </w:p>
    <w:p>
      <w:pPr>
        <w:spacing w:after="0" w:line="188" w:lineRule="exact"/>
        <w:rPr>
          <w:rFonts w:ascii="Times New Roman" w:cs="Times New Roman" w:eastAsia="Times New Roman" w:hAnsi="Times New Roman"/>
          <w:sz w:val="19"/>
          <w:szCs w:val="19"/>
          <w:color w:val="auto"/>
        </w:rPr>
      </w:pPr>
    </w:p>
    <w:p>
      <w:pPr>
        <w:ind w:left="1660" w:hanging="259"/>
        <w:spacing w:after="0"/>
        <w:tabs>
          <w:tab w:leader="none" w:pos="166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Bethesda Securities, LLC, a Delaware limited liability company</w:t>
      </w:r>
    </w:p>
    <w:p>
      <w:pPr>
        <w:spacing w:after="0" w:line="188" w:lineRule="exact"/>
        <w:rPr>
          <w:rFonts w:ascii="Times New Roman" w:cs="Times New Roman" w:eastAsia="Times New Roman" w:hAnsi="Times New Roman"/>
          <w:sz w:val="19"/>
          <w:szCs w:val="19"/>
          <w:color w:val="auto"/>
        </w:rPr>
      </w:pPr>
    </w:p>
    <w:p>
      <w:pPr>
        <w:ind w:left="1660" w:hanging="259"/>
        <w:spacing w:after="0"/>
        <w:tabs>
          <w:tab w:leader="none" w:pos="166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AGNC Mortgage Management, LLC, a Delaware limited liability company</w:t>
      </w:r>
    </w:p>
    <w:p>
      <w:pPr>
        <w:spacing w:after="0" w:line="189" w:lineRule="exact"/>
        <w:rPr>
          <w:sz w:val="20"/>
          <w:szCs w:val="20"/>
          <w:color w:val="auto"/>
        </w:rPr>
      </w:pPr>
    </w:p>
    <w:p>
      <w:pPr>
        <w:ind w:left="1400" w:hanging="1396"/>
        <w:spacing w:after="0"/>
        <w:tabs>
          <w:tab w:leader="none" w:pos="14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of Ernst &amp; Young LLP, filed herewith.</w:t>
      </w:r>
    </w:p>
    <w:p>
      <w:pPr>
        <w:spacing w:after="0" w:line="188" w:lineRule="exact"/>
        <w:rPr>
          <w:rFonts w:ascii="Times New Roman" w:cs="Times New Roman" w:eastAsia="Times New Roman" w:hAnsi="Times New Roman"/>
          <w:sz w:val="19"/>
          <w:szCs w:val="19"/>
          <w:color w:val="auto"/>
        </w:rPr>
      </w:pPr>
    </w:p>
    <w:p>
      <w:pPr>
        <w:ind w:left="1400" w:hanging="1396"/>
        <w:spacing w:after="0"/>
        <w:tabs>
          <w:tab w:leader="none" w:pos="14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Powers of Attorney of directors, filed herewith.</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31.1</w:t>
      </w:r>
      <w:r>
        <w:rPr>
          <w:sz w:val="20"/>
          <w:szCs w:val="20"/>
          <w:color w:val="auto"/>
        </w:rPr>
        <w:tab/>
      </w:r>
      <w:r>
        <w:rPr>
          <w:rFonts w:ascii="Times New Roman" w:cs="Times New Roman" w:eastAsia="Times New Roman" w:hAnsi="Times New Roman"/>
          <w:sz w:val="19"/>
          <w:szCs w:val="19"/>
          <w:color w:val="auto"/>
        </w:rPr>
        <w:t>Certification of CEO Pursuant to Section 302(a) of the Sarbanes-Oxley Act of 2002.</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31.2</w:t>
      </w:r>
      <w:r>
        <w:rPr>
          <w:sz w:val="20"/>
          <w:szCs w:val="20"/>
          <w:color w:val="auto"/>
        </w:rPr>
        <w:tab/>
      </w:r>
      <w:r>
        <w:rPr>
          <w:rFonts w:ascii="Times New Roman" w:cs="Times New Roman" w:eastAsia="Times New Roman" w:hAnsi="Times New Roman"/>
          <w:sz w:val="19"/>
          <w:szCs w:val="19"/>
          <w:color w:val="auto"/>
        </w:rPr>
        <w:t>Certification of CFO Pursuant to Section 302(a) of the Sarbanes-Oxley Act of 2002.</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9"/>
          <w:szCs w:val="19"/>
          <w:color w:val="auto"/>
        </w:rPr>
        <w:t>Certification of CEO and CFO Pursuant to Section 906 of the Sarbanes-Oxley Act of 2002.</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*97.1</w:t>
      </w:r>
      <w:r>
        <w:rPr>
          <w:sz w:val="20"/>
          <w:szCs w:val="20"/>
          <w:color w:val="auto"/>
        </w:rPr>
        <w:tab/>
      </w:r>
      <w:r>
        <w:rPr>
          <w:rFonts w:ascii="Times New Roman" w:cs="Times New Roman" w:eastAsia="Times New Roman" w:hAnsi="Times New Roman"/>
          <w:sz w:val="19"/>
          <w:szCs w:val="19"/>
          <w:color w:val="auto"/>
        </w:rPr>
        <w:t>AGNC Investment Corp. Compensation Clawback Policy, incorporated herein by reference to Exhibit 97.1 of</w:t>
      </w:r>
    </w:p>
    <w:p>
      <w:pPr>
        <w:spacing w:after="0" w:line="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color w:val="auto"/>
        </w:rPr>
        <w:t>Form 10-K (File No. 001-34057), filed Februrary 22, 2024.</w:t>
      </w:r>
    </w:p>
    <w:p>
      <w:pPr>
        <w:spacing w:after="0" w:line="16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101.INS**</w:t>
      </w:r>
      <w:r>
        <w:rPr>
          <w:sz w:val="20"/>
          <w:szCs w:val="20"/>
          <w:color w:val="auto"/>
        </w:rPr>
        <w:tab/>
      </w:r>
      <w:r>
        <w:rPr>
          <w:rFonts w:ascii="Times New Roman" w:cs="Times New Roman" w:eastAsia="Times New Roman" w:hAnsi="Times New Roman"/>
          <w:sz w:val="19"/>
          <w:szCs w:val="19"/>
          <w:color w:val="auto"/>
        </w:rPr>
        <w:t>The instance document does not appear in the interactive data file because its XBRL tags are embedded</w:t>
      </w:r>
    </w:p>
    <w:p>
      <w:pPr>
        <w:spacing w:after="0" w:line="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color w:val="auto"/>
        </w:rPr>
        <w:t>within the inline XBRL document</w:t>
      </w:r>
    </w:p>
    <w:p>
      <w:pPr>
        <w:spacing w:after="0" w:line="16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101.SCH**</w:t>
      </w:r>
      <w:r>
        <w:rPr>
          <w:sz w:val="20"/>
          <w:szCs w:val="20"/>
          <w:color w:val="auto"/>
        </w:rPr>
        <w:tab/>
      </w:r>
      <w:r>
        <w:rPr>
          <w:rFonts w:ascii="Times New Roman" w:cs="Times New Roman" w:eastAsia="Times New Roman" w:hAnsi="Times New Roman"/>
          <w:sz w:val="19"/>
          <w:szCs w:val="19"/>
          <w:color w:val="auto"/>
        </w:rPr>
        <w:t>XBRL Taxonomy Extension Schema Document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101.CAL**</w:t>
      </w:r>
      <w:r>
        <w:rPr>
          <w:sz w:val="20"/>
          <w:szCs w:val="20"/>
          <w:color w:val="auto"/>
        </w:rPr>
        <w:tab/>
      </w:r>
      <w:r>
        <w:rPr>
          <w:rFonts w:ascii="Times New Roman" w:cs="Times New Roman" w:eastAsia="Times New Roman" w:hAnsi="Times New Roman"/>
          <w:sz w:val="19"/>
          <w:szCs w:val="19"/>
          <w:color w:val="auto"/>
        </w:rPr>
        <w:t>XBRL Taxonomy Extension Calculation Linkbase Document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101.LAB**</w:t>
      </w:r>
      <w:r>
        <w:rPr>
          <w:sz w:val="20"/>
          <w:szCs w:val="20"/>
          <w:color w:val="auto"/>
        </w:rPr>
        <w:tab/>
      </w:r>
      <w:r>
        <w:rPr>
          <w:rFonts w:ascii="Times New Roman" w:cs="Times New Roman" w:eastAsia="Times New Roman" w:hAnsi="Times New Roman"/>
          <w:sz w:val="19"/>
          <w:szCs w:val="19"/>
          <w:color w:val="auto"/>
        </w:rPr>
        <w:t>XBRL Taxonomy Extension Labels Linkbase Document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101.PRE**</w:t>
      </w:r>
      <w:r>
        <w:rPr>
          <w:sz w:val="20"/>
          <w:szCs w:val="20"/>
          <w:color w:val="auto"/>
        </w:rPr>
        <w:tab/>
      </w:r>
      <w:r>
        <w:rPr>
          <w:rFonts w:ascii="Times New Roman" w:cs="Times New Roman" w:eastAsia="Times New Roman" w:hAnsi="Times New Roman"/>
          <w:sz w:val="19"/>
          <w:szCs w:val="19"/>
          <w:color w:val="auto"/>
        </w:rPr>
        <w:t>XBRL Taxonomy Extension Presentation Linkbase Document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101.DEF**</w:t>
      </w:r>
      <w:r>
        <w:rPr>
          <w:sz w:val="20"/>
          <w:szCs w:val="20"/>
          <w:color w:val="auto"/>
        </w:rPr>
        <w:tab/>
      </w:r>
      <w:r>
        <w:rPr>
          <w:rFonts w:ascii="Times New Roman" w:cs="Times New Roman" w:eastAsia="Times New Roman" w:hAnsi="Times New Roman"/>
          <w:sz w:val="19"/>
          <w:szCs w:val="19"/>
          <w:color w:val="auto"/>
        </w:rPr>
        <w:t>XBRL Taxonomy Extension Definition Linkbase Document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ind w:left="700" w:hanging="696"/>
        <w:spacing w:after="0"/>
        <w:tabs>
          <w:tab w:leader="none" w:pos="7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Previously filed</w:t>
      </w:r>
    </w:p>
    <w:p>
      <w:pPr>
        <w:spacing w:after="0" w:line="12" w:lineRule="exact"/>
        <w:rPr>
          <w:sz w:val="20"/>
          <w:szCs w:val="20"/>
          <w:color w:val="auto"/>
        </w:rPr>
      </w:pPr>
    </w:p>
    <w:p>
      <w:pPr>
        <w:ind w:left="700" w:hanging="696"/>
        <w:spacing w:after="0"/>
        <w:tabs>
          <w:tab w:leader="none" w:pos="70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exhibit is being furnished rather than filed, and shall not be deemed incorporated by reference into any filing, in</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accordance with Item 601 of Regulation S-K</w:t>
      </w:r>
    </w:p>
    <w:p>
      <w:pPr>
        <w:spacing w:after="0" w:line="14" w:lineRule="exact"/>
        <w:rPr>
          <w:sz w:val="20"/>
          <w:szCs w:val="20"/>
          <w:color w:val="auto"/>
        </w:rPr>
      </w:pPr>
    </w:p>
    <w:p>
      <w:pPr>
        <w:ind w:left="700" w:hanging="696"/>
        <w:spacing w:after="0"/>
        <w:tabs>
          <w:tab w:leader="none" w:pos="7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contract or compensatory plan or arrangement</w:t>
      </w:r>
    </w:p>
    <w:p>
      <w:pPr>
        <w:spacing w:after="0" w:line="110" w:lineRule="exact"/>
        <w:rPr>
          <w:rFonts w:ascii="Times New Roman" w:cs="Times New Roman" w:eastAsia="Times New Roman" w:hAnsi="Times New Roman"/>
          <w:sz w:val="19"/>
          <w:szCs w:val="19"/>
          <w:color w:val="auto"/>
        </w:rPr>
      </w:pPr>
    </w:p>
    <w:p>
      <w:pPr>
        <w:ind w:left="920" w:hanging="436"/>
        <w:spacing w:after="0"/>
        <w:tabs>
          <w:tab w:leader="none" w:pos="92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w:t>
      </w:r>
    </w:p>
    <w:p>
      <w:pPr>
        <w:spacing w:after="0" w:line="34" w:lineRule="exact"/>
        <w:rPr>
          <w:rFonts w:ascii="Times New Roman" w:cs="Times New Roman" w:eastAsia="Times New Roman" w:hAnsi="Times New Roman"/>
          <w:sz w:val="19"/>
          <w:szCs w:val="19"/>
          <w:color w:val="auto"/>
        </w:rPr>
      </w:pPr>
    </w:p>
    <w:p>
      <w:pPr>
        <w:ind w:left="9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 the exhibits filed herewith.</w:t>
      </w:r>
    </w:p>
    <w:p>
      <w:pPr>
        <w:spacing w:after="0" w:line="110" w:lineRule="exact"/>
        <w:rPr>
          <w:rFonts w:ascii="Times New Roman" w:cs="Times New Roman" w:eastAsia="Times New Roman" w:hAnsi="Times New Roman"/>
          <w:sz w:val="19"/>
          <w:szCs w:val="19"/>
          <w:color w:val="auto"/>
        </w:rPr>
      </w:pPr>
    </w:p>
    <w:p>
      <w:pPr>
        <w:ind w:left="920" w:right="5900" w:hanging="436"/>
        <w:spacing w:after="0" w:line="293" w:lineRule="auto"/>
        <w:tabs>
          <w:tab w:leader="none" w:pos="92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financial statement schedules None.</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1880" w:h="15480" w:orient="portrait"/>
          <w:cols w:equalWidth="0" w:num="1">
            <w:col w:w="9960"/>
          </w:cols>
          <w:pgMar w:left="960" w:top="711" w:right="96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96" w:lineRule="exact"/>
        <w:rPr>
          <w:sz w:val="20"/>
          <w:szCs w:val="20"/>
          <w:color w:val="auto"/>
        </w:rPr>
      </w:pPr>
    </w:p>
    <w:p>
      <w:pPr>
        <w:ind w:right="560" w:firstLine="480"/>
        <w:spacing w:after="0" w:line="293"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Company has duly caused this report to be signed on its behalf by the undersigned, thereunto duly authorized.</w:t>
      </w: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AGNC I</w:t>
      </w:r>
      <w:r>
        <w:rPr>
          <w:rFonts w:ascii="Times New Roman" w:cs="Times New Roman" w:eastAsia="Times New Roman" w:hAnsi="Times New Roman"/>
          <w:sz w:val="15"/>
          <w:szCs w:val="15"/>
          <w:color w:val="auto"/>
        </w:rPr>
        <w:t>NVESTMENT</w:t>
      </w:r>
      <w:r>
        <w:rPr>
          <w:rFonts w:ascii="Times New Roman" w:cs="Times New Roman" w:eastAsia="Times New Roman" w:hAnsi="Times New Roman"/>
          <w:sz w:val="19"/>
          <w:szCs w:val="19"/>
          <w:color w:val="auto"/>
        </w:rPr>
        <w:t xml:space="preserve"> C</w:t>
      </w:r>
      <w:r>
        <w:rPr>
          <w:rFonts w:ascii="Times New Roman" w:cs="Times New Roman" w:eastAsia="Times New Roman" w:hAnsi="Times New Roman"/>
          <w:sz w:val="15"/>
          <w:szCs w:val="15"/>
          <w:color w:val="auto"/>
        </w:rPr>
        <w:t>ORP</w:t>
      </w:r>
      <w:r>
        <w:rPr>
          <w:rFonts w:ascii="Times New Roman" w:cs="Times New Roman" w:eastAsia="Times New Roman" w:hAnsi="Times New Roman"/>
          <w:sz w:val="19"/>
          <w:szCs w:val="19"/>
          <w:color w:val="auto"/>
        </w:rPr>
        <w:t>.</w:t>
      </w:r>
    </w:p>
    <w:p>
      <w:pPr>
        <w:spacing w:after="0" w:line="132" w:lineRule="exact"/>
        <w:rPr>
          <w:sz w:val="20"/>
          <w:szCs w:val="20"/>
          <w:color w:val="auto"/>
        </w:rPr>
      </w:pPr>
    </w:p>
    <w:tbl>
      <w:tblPr>
        <w:tblLayout w:type="fixed"/>
        <w:tblInd w:w="496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/s/  P</w:t>
            </w:r>
            <w:r>
              <w:rPr>
                <w:rFonts w:ascii="Times New Roman" w:cs="Times New Roman" w:eastAsia="Times New Roman" w:hAnsi="Times New Roman"/>
                <w:sz w:val="15"/>
                <w:szCs w:val="15"/>
                <w:color w:val="auto"/>
              </w:rPr>
              <w:t>ETER</w:t>
            </w:r>
            <w:r>
              <w:rPr>
                <w:rFonts w:ascii="Times New Roman" w:cs="Times New Roman" w:eastAsia="Times New Roman" w:hAnsi="Times New Roman"/>
                <w:sz w:val="19"/>
                <w:szCs w:val="19"/>
                <w:color w:val="auto"/>
              </w:rPr>
              <w:t xml:space="preserve"> J. F</w:t>
            </w:r>
            <w:r>
              <w:rPr>
                <w:rFonts w:ascii="Times New Roman" w:cs="Times New Roman" w:eastAsia="Times New Roman" w:hAnsi="Times New Roman"/>
                <w:sz w:val="15"/>
                <w:szCs w:val="15"/>
                <w:color w:val="auto"/>
              </w:rPr>
              <w:t>EDERICO</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5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Peter J. Federico</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45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President and</w:t>
            </w: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Chief Executive Officer (Principal Executive Officer)</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Date: February 21, 2025</w:t>
      </w:r>
    </w:p>
    <w:p>
      <w:pPr>
        <w:spacing w:after="0" w:line="213" w:lineRule="exact"/>
        <w:rPr>
          <w:sz w:val="20"/>
          <w:szCs w:val="20"/>
          <w:color w:val="auto"/>
        </w:rPr>
      </w:pPr>
    </w:p>
    <w:p>
      <w:pPr>
        <w:jc w:val="both"/>
        <w:ind w:firstLine="478"/>
        <w:spacing w:after="0" w:line="293"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35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Director, President and Chief</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900" w:type="dxa"/>
            <w:vAlign w:val="bottom"/>
            <w:vMerge w:val="restart"/>
          </w:tcPr>
          <w:p>
            <w:pPr>
              <w:ind w:left="520"/>
              <w:spacing w:after="0"/>
              <w:rPr>
                <w:sz w:val="20"/>
                <w:szCs w:val="20"/>
                <w:color w:val="auto"/>
              </w:rPr>
            </w:pPr>
            <w:r>
              <w:rPr>
                <w:rFonts w:ascii="Times New Roman" w:cs="Times New Roman" w:eastAsia="Times New Roman" w:hAnsi="Times New Roman"/>
                <w:sz w:val="19"/>
                <w:szCs w:val="19"/>
                <w:color w:val="auto"/>
              </w:rPr>
              <w:t>/s/</w:t>
            </w:r>
          </w:p>
        </w:tc>
        <w:tc>
          <w:tcPr>
            <w:tcW w:w="202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9"/>
                <w:szCs w:val="19"/>
                <w:color w:val="auto"/>
              </w:rPr>
              <w:t>P</w:t>
            </w:r>
            <w:r>
              <w:rPr>
                <w:rFonts w:ascii="Times New Roman" w:cs="Times New Roman" w:eastAsia="Times New Roman" w:hAnsi="Times New Roman"/>
                <w:sz w:val="15"/>
                <w:szCs w:val="15"/>
                <w:color w:val="auto"/>
              </w:rPr>
              <w:t>ETER</w:t>
            </w:r>
            <w:r>
              <w:rPr>
                <w:rFonts w:ascii="Times New Roman" w:cs="Times New Roman" w:eastAsia="Times New Roman" w:hAnsi="Times New Roman"/>
                <w:sz w:val="19"/>
                <w:szCs w:val="19"/>
                <w:color w:val="auto"/>
              </w:rPr>
              <w:t xml:space="preserve"> J. F</w:t>
            </w:r>
            <w:r>
              <w:rPr>
                <w:rFonts w:ascii="Times New Roman" w:cs="Times New Roman" w:eastAsia="Times New Roman" w:hAnsi="Times New Roman"/>
                <w:sz w:val="15"/>
                <w:szCs w:val="15"/>
                <w:color w:val="auto"/>
              </w:rPr>
              <w:t>EDERICO</w:t>
            </w:r>
          </w:p>
        </w:tc>
        <w:tc>
          <w:tcPr>
            <w:tcW w:w="27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9"/>
                <w:szCs w:val="19"/>
                <w:color w:val="auto"/>
              </w:rPr>
              <w:t>Executive Officer (Principal</w:t>
            </w: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55"/>
        </w:trPr>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020" w:type="dxa"/>
            <w:vAlign w:val="bottom"/>
            <w:tcBorders>
              <w:bottom w:val="single" w:sz="8" w:color="auto"/>
            </w:tcBorders>
            <w:gridSpan w:val="3"/>
            <w:vMerge w:val="continue"/>
          </w:tcPr>
          <w:p>
            <w:pPr>
              <w:spacing w:after="0"/>
              <w:rPr>
                <w:sz w:val="22"/>
                <w:szCs w:val="22"/>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Executive Officer)</w:t>
            </w:r>
          </w:p>
        </w:tc>
        <w:tc>
          <w:tcPr>
            <w:tcW w:w="152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6"/>
              </w:rPr>
              <w:t>Peter J. Federico</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1"/>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Executive Vice President and</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7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9"/>
                <w:szCs w:val="19"/>
                <w:color w:val="auto"/>
              </w:rPr>
              <w:t>Chief Financial Officer (Principal</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5"/>
                <w:szCs w:val="15"/>
                <w:color w:val="auto"/>
              </w:rPr>
              <w:t>ERNICE</w:t>
            </w:r>
            <w:r>
              <w:rPr>
                <w:rFonts w:ascii="Times New Roman" w:cs="Times New Roman" w:eastAsia="Times New Roman" w:hAnsi="Times New Roman"/>
                <w:sz w:val="19"/>
                <w:szCs w:val="19"/>
                <w:color w:val="auto"/>
              </w:rPr>
              <w:t xml:space="preserve"> E. B</w:t>
            </w:r>
            <w:r>
              <w:rPr>
                <w:rFonts w:ascii="Times New Roman" w:cs="Times New Roman" w:eastAsia="Times New Roman" w:hAnsi="Times New Roman"/>
                <w:sz w:val="15"/>
                <w:szCs w:val="15"/>
                <w:color w:val="auto"/>
              </w:rPr>
              <w:t>ELL</w:t>
            </w:r>
          </w:p>
        </w:tc>
        <w:tc>
          <w:tcPr>
            <w:tcW w:w="27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9"/>
                <w:szCs w:val="19"/>
                <w:color w:val="auto"/>
              </w:rPr>
              <w:t>Financial Officer and Principal</w:t>
            </w: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55"/>
        </w:trPr>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/s/</w:t>
            </w:r>
          </w:p>
        </w:tc>
        <w:tc>
          <w:tcPr>
            <w:tcW w:w="2020" w:type="dxa"/>
            <w:vAlign w:val="bottom"/>
            <w:tcBorders>
              <w:bottom w:val="single" w:sz="8" w:color="auto"/>
            </w:tcBorders>
            <w:gridSpan w:val="3"/>
            <w:vMerge w:val="continue"/>
          </w:tcPr>
          <w:p>
            <w:pPr>
              <w:spacing w:after="0"/>
              <w:rPr>
                <w:sz w:val="22"/>
                <w:szCs w:val="22"/>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Accounting Officer)</w:t>
            </w:r>
          </w:p>
        </w:tc>
        <w:tc>
          <w:tcPr>
            <w:tcW w:w="152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6"/>
              </w:rPr>
              <w:t>Bernice E. Bell</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9"/>
                <w:szCs w:val="19"/>
                <w:color w:val="auto"/>
                <w:w w:val="99"/>
              </w:rPr>
              <w:t>/s/</w:t>
            </w:r>
          </w:p>
        </w:tc>
        <w:tc>
          <w:tcPr>
            <w:tcW w:w="202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5"/>
                <w:szCs w:val="15"/>
                <w:color w:val="auto"/>
              </w:rPr>
              <w:t>ARY</w:t>
            </w:r>
            <w:r>
              <w:rPr>
                <w:rFonts w:ascii="Times New Roman" w:cs="Times New Roman" w:eastAsia="Times New Roman" w:hAnsi="Times New Roman"/>
                <w:sz w:val="19"/>
                <w:szCs w:val="19"/>
                <w:color w:val="auto"/>
              </w:rPr>
              <w:t xml:space="preserve"> D. K</w:t>
            </w:r>
            <w:r>
              <w:rPr>
                <w:rFonts w:ascii="Times New Roman" w:cs="Times New Roman" w:eastAsia="Times New Roman" w:hAnsi="Times New Roman"/>
                <w:sz w:val="15"/>
                <w:szCs w:val="15"/>
                <w:color w:val="auto"/>
              </w:rPr>
              <w:t>AIN</w:t>
            </w: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Director, Executive Chair</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63"/>
        </w:trPr>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2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8"/>
              </w:rPr>
              <w:t>Gary D. Kain</w:t>
            </w: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left="318"/>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spacing w:after="0"/>
              <w:rPr>
                <w:sz w:val="24"/>
                <w:szCs w:val="24"/>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6"/>
              </w:rPr>
              <w:t>Donna J. Blank</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left="318"/>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spacing w:after="0"/>
              <w:rPr>
                <w:sz w:val="24"/>
                <w:szCs w:val="24"/>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5"/>
              </w:rPr>
              <w:t>Morris A. Davis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left="318"/>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spacing w:after="0"/>
              <w:rPr>
                <w:sz w:val="24"/>
                <w:szCs w:val="24"/>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7"/>
              </w:rPr>
              <w:t>John D. Fisk</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left="318"/>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spacing w:after="0"/>
              <w:rPr>
                <w:sz w:val="24"/>
                <w:szCs w:val="24"/>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63"/>
        </w:trPr>
        <w:tc>
          <w:tcPr>
            <w:tcW w:w="460" w:type="dxa"/>
            <w:vAlign w:val="bottom"/>
          </w:tcPr>
          <w:p>
            <w:pPr>
              <w:spacing w:after="0"/>
              <w:rPr>
                <w:sz w:val="22"/>
                <w:szCs w:val="22"/>
                <w:color w:val="auto"/>
              </w:rPr>
            </w:pP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Andrew A. Johnson, Jr.</w:t>
            </w: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left="318"/>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spacing w:after="0"/>
              <w:rPr>
                <w:sz w:val="24"/>
                <w:szCs w:val="24"/>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6"/>
              </w:rPr>
              <w:t>Prue B. Larocca</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4"/>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left="318"/>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spacing w:after="0"/>
              <w:rPr>
                <w:sz w:val="24"/>
                <w:szCs w:val="24"/>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5"/>
              </w:rPr>
              <w:t>Paul E. Mullings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4"/>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left="318"/>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spacing w:after="0"/>
              <w:rPr>
                <w:sz w:val="24"/>
                <w:szCs w:val="24"/>
                <w:color w:val="auto"/>
              </w:rPr>
            </w:pPr>
          </w:p>
        </w:tc>
        <w:tc>
          <w:tcPr>
            <w:tcW w:w="27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February 21, 2025</w:t>
            </w: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7"/>
              </w:rPr>
              <w:t>Frances R. Spark</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w:t>
            </w:r>
          </w:p>
        </w:tc>
        <w:tc>
          <w:tcPr>
            <w:tcW w:w="2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9"/>
                <w:szCs w:val="19"/>
                <w:color w:val="auto"/>
              </w:rPr>
              <w:t>K</w:t>
            </w:r>
            <w:r>
              <w:rPr>
                <w:rFonts w:ascii="Times New Roman" w:cs="Times New Roman" w:eastAsia="Times New Roman" w:hAnsi="Times New Roman"/>
                <w:sz w:val="15"/>
                <w:szCs w:val="15"/>
                <w:color w:val="auto"/>
              </w:rPr>
              <w:t>ENNETH</w:t>
            </w:r>
            <w:r>
              <w:rPr>
                <w:rFonts w:ascii="Times New Roman" w:cs="Times New Roman" w:eastAsia="Times New Roman" w:hAnsi="Times New Roman"/>
                <w:sz w:val="17"/>
                <w:szCs w:val="17"/>
                <w:color w:val="auto"/>
              </w:rPr>
              <w:t xml:space="preserve"> L. </w:t>
            </w:r>
            <w:r>
              <w:rPr>
                <w:rFonts w:ascii="Times New Roman" w:cs="Times New Roman" w:eastAsia="Times New Roman" w:hAnsi="Times New Roman"/>
                <w:sz w:val="19"/>
                <w:szCs w:val="19"/>
                <w:color w:val="auto"/>
              </w:rPr>
              <w:t>P</w:t>
            </w:r>
            <w:r>
              <w:rPr>
                <w:rFonts w:ascii="Times New Roman" w:cs="Times New Roman" w:eastAsia="Times New Roman" w:hAnsi="Times New Roman"/>
                <w:sz w:val="15"/>
                <w:szCs w:val="15"/>
                <w:color w:val="auto"/>
              </w:rPr>
              <w:t>OLLACK</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6"/>
              </w:rPr>
              <w:t>Kenneth L. Pollack</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i w:val="1"/>
                <w:iCs w:val="1"/>
                <w:color w:val="auto"/>
                <w:w w:val="95"/>
              </w:rPr>
              <w:t>Attorney-in-fact</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60"/>
          </w:cols>
          <w:pgMar w:left="960" w:top="704" w:right="960" w:bottom="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1880" w:h="15480" w:orient="portrait"/>
          <w:cols w:equalWidth="0" w:num="1">
            <w:col w:w="9960"/>
          </w:cols>
          <w:pgMar w:left="960" w:top="704" w:right="960" w:bottom="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98" w:name="page99"/>
    <w:bookmarkEnd w:id="98"/>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Board of Directors</w:t>
      </w:r>
    </w:p>
    <w:p>
      <w:pPr>
        <w:sectPr>
          <w:pgSz w:w="11880" w:h="15480" w:orient="portrait"/>
          <w:cols w:equalWidth="0" w:num="1">
            <w:col w:w="10360"/>
          </w:cols>
          <w:pgMar w:left="720" w:top="577" w:right="800" w:bottom="272"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Gary D. Kain</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John D. Fisk</w:t>
      </w:r>
    </w:p>
    <w:p>
      <w:pPr>
        <w:spacing w:after="0" w:line="157" w:lineRule="exact"/>
        <w:rPr>
          <w:sz w:val="20"/>
          <w:szCs w:val="20"/>
          <w:color w:val="auto"/>
        </w:rPr>
      </w:pPr>
    </w:p>
    <w:p>
      <w:pPr>
        <w:sectPr>
          <w:pgSz w:w="11880" w:h="15480" w:orient="portrait"/>
          <w:cols w:equalWidth="0" w:num="2">
            <w:col w:w="4680" w:space="720"/>
            <w:col w:w="4960"/>
          </w:cols>
          <w:pgMar w:left="720" w:top="577" w:right="800" w:bottom="272" w:gutter="0" w:footer="0" w:header="0"/>
          <w:type w:val="continuous"/>
        </w:sectPr>
      </w:pPr>
    </w:p>
    <w:p>
      <w:pPr>
        <w:spacing w:after="0"/>
        <w:rPr>
          <w:sz w:val="20"/>
          <w:szCs w:val="20"/>
          <w:color w:val="auto"/>
        </w:rPr>
      </w:pPr>
      <w:r>
        <w:rPr>
          <w:rFonts w:ascii="Arial" w:cs="Arial" w:eastAsia="Arial" w:hAnsi="Arial"/>
          <w:sz w:val="16"/>
          <w:szCs w:val="16"/>
          <w:color w:val="FFFFFF"/>
        </w:rPr>
        <w:t>Executive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Independent Director</w:t>
      </w:r>
    </w:p>
    <w:p>
      <w:pPr>
        <w:spacing w:after="0" w:line="195" w:lineRule="exact"/>
        <w:rPr>
          <w:sz w:val="20"/>
          <w:szCs w:val="20"/>
          <w:color w:val="auto"/>
        </w:rPr>
      </w:pPr>
    </w:p>
    <w:p>
      <w:pPr>
        <w:sectPr>
          <w:pgSz w:w="11880" w:h="15480" w:orient="portrait"/>
          <w:cols w:equalWidth="0" w:num="2">
            <w:col w:w="4680" w:space="720"/>
            <w:col w:w="4960"/>
          </w:cols>
          <w:pgMar w:left="720" w:top="577" w:right="800" w:bottom="272" w:gutter="0" w:footer="0" w:header="0"/>
          <w:type w:val="continuous"/>
        </w:sectPr>
      </w:pPr>
    </w:p>
    <w:p>
      <w:pPr>
        <w:spacing w:after="0"/>
        <w:rPr>
          <w:sz w:val="20"/>
          <w:szCs w:val="20"/>
          <w:color w:val="auto"/>
        </w:rPr>
      </w:pPr>
      <w:r>
        <w:rPr>
          <w:rFonts w:ascii="Arial" w:cs="Arial" w:eastAsia="Arial" w:hAnsi="Arial"/>
          <w:sz w:val="16"/>
          <w:szCs w:val="16"/>
          <w:b w:val="1"/>
          <w:bCs w:val="1"/>
          <w:color w:val="FFFFFF"/>
        </w:rPr>
        <w:t>Prue B. Larocca</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FFFFFF"/>
        </w:rPr>
        <w:t>Vice Chair and Lead 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Andrew A. Johnson, Jr.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FFFFFF"/>
        </w:rPr>
        <w:t>Independent Director</w:t>
      </w:r>
    </w:p>
    <w:p>
      <w:pPr>
        <w:spacing w:after="0" w:line="200" w:lineRule="exact"/>
        <w:rPr>
          <w:sz w:val="20"/>
          <w:szCs w:val="20"/>
          <w:color w:val="auto"/>
        </w:rPr>
      </w:pPr>
    </w:p>
    <w:p>
      <w:pPr>
        <w:sectPr>
          <w:pgSz w:w="11880" w:h="15480" w:orient="portrait"/>
          <w:cols w:equalWidth="0" w:num="2">
            <w:col w:w="4680" w:space="720"/>
            <w:col w:w="4960"/>
          </w:cols>
          <w:pgMar w:left="720" w:top="577" w:right="800" w:bottom="272"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Donna J. Blank</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Paul E. Mullings</w:t>
      </w:r>
    </w:p>
    <w:p>
      <w:pPr>
        <w:spacing w:after="0" w:line="157" w:lineRule="exact"/>
        <w:rPr>
          <w:sz w:val="20"/>
          <w:szCs w:val="20"/>
          <w:color w:val="auto"/>
        </w:rPr>
      </w:pPr>
    </w:p>
    <w:p>
      <w:pPr>
        <w:sectPr>
          <w:pgSz w:w="11880" w:h="15480" w:orient="portrait"/>
          <w:cols w:equalWidth="0" w:num="2">
            <w:col w:w="4680" w:space="720"/>
            <w:col w:w="4960"/>
          </w:cols>
          <w:pgMar w:left="720" w:top="577" w:right="800" w:bottom="272" w:gutter="0" w:footer="0" w:header="0"/>
          <w:type w:val="continuous"/>
        </w:sectPr>
      </w:pPr>
    </w:p>
    <w:p>
      <w:pPr>
        <w:spacing w:after="0"/>
        <w:rPr>
          <w:sz w:val="20"/>
          <w:szCs w:val="20"/>
          <w:color w:val="auto"/>
        </w:rPr>
      </w:pPr>
      <w:r>
        <w:rPr>
          <w:rFonts w:ascii="Arial" w:cs="Arial" w:eastAsia="Arial" w:hAnsi="Arial"/>
          <w:sz w:val="16"/>
          <w:szCs w:val="16"/>
          <w:color w:val="FFFFFF"/>
        </w:rPr>
        <w:t>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Independent Director</w:t>
      </w:r>
    </w:p>
    <w:p>
      <w:pPr>
        <w:spacing w:after="0" w:line="195" w:lineRule="exact"/>
        <w:rPr>
          <w:sz w:val="20"/>
          <w:szCs w:val="20"/>
          <w:color w:val="auto"/>
        </w:rPr>
      </w:pPr>
    </w:p>
    <w:p>
      <w:pPr>
        <w:sectPr>
          <w:pgSz w:w="11880" w:h="15480" w:orient="portrait"/>
          <w:cols w:equalWidth="0" w:num="2">
            <w:col w:w="4680" w:space="720"/>
            <w:col w:w="4960"/>
          </w:cols>
          <w:pgMar w:left="720" w:top="577" w:right="800" w:bottom="272" w:gutter="0" w:footer="0" w:header="0"/>
          <w:type w:val="continuous"/>
        </w:sectPr>
      </w:pPr>
    </w:p>
    <w:p>
      <w:pPr>
        <w:spacing w:after="0"/>
        <w:rPr>
          <w:sz w:val="20"/>
          <w:szCs w:val="20"/>
          <w:color w:val="auto"/>
        </w:rPr>
      </w:pPr>
      <w:r>
        <w:rPr>
          <w:rFonts w:ascii="Arial" w:cs="Arial" w:eastAsia="Arial" w:hAnsi="Arial"/>
          <w:sz w:val="16"/>
          <w:szCs w:val="16"/>
          <w:b w:val="1"/>
          <w:bCs w:val="1"/>
          <w:color w:val="FFFFFF"/>
        </w:rPr>
        <w:t>Morris A. Davis, Ph.D.</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6"/>
          <w:szCs w:val="16"/>
          <w:b w:val="1"/>
          <w:bCs w:val="1"/>
          <w:color w:val="FFFFFF"/>
        </w:rPr>
        <w:t>Frances R. Spark</w:t>
      </w:r>
    </w:p>
    <w:p>
      <w:pPr>
        <w:spacing w:after="0" w:line="157" w:lineRule="exact"/>
        <w:rPr>
          <w:sz w:val="20"/>
          <w:szCs w:val="20"/>
          <w:color w:val="auto"/>
        </w:rPr>
      </w:pPr>
    </w:p>
    <w:p>
      <w:pPr>
        <w:sectPr>
          <w:pgSz w:w="11880" w:h="15480" w:orient="portrait"/>
          <w:cols w:equalWidth="0" w:num="2">
            <w:col w:w="4680" w:space="720"/>
            <w:col w:w="4960"/>
          </w:cols>
          <w:pgMar w:left="720" w:top="577" w:right="800" w:bottom="272" w:gutter="0" w:footer="0" w:header="0"/>
          <w:type w:val="continuous"/>
        </w:sectPr>
      </w:pPr>
    </w:p>
    <w:p>
      <w:pPr>
        <w:spacing w:after="0"/>
        <w:rPr>
          <w:sz w:val="20"/>
          <w:szCs w:val="20"/>
          <w:color w:val="auto"/>
        </w:rPr>
      </w:pPr>
      <w:r>
        <w:rPr>
          <w:rFonts w:ascii="Arial" w:cs="Arial" w:eastAsia="Arial" w:hAnsi="Arial"/>
          <w:sz w:val="16"/>
          <w:szCs w:val="16"/>
          <w:color w:val="FFFFFF"/>
        </w:rPr>
        <w:t>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FFFF"/>
        </w:rPr>
        <w:t>Independent Director</w:t>
      </w:r>
    </w:p>
    <w:p>
      <w:pPr>
        <w:spacing w:after="0" w:line="195" w:lineRule="exact"/>
        <w:rPr>
          <w:sz w:val="20"/>
          <w:szCs w:val="20"/>
          <w:color w:val="auto"/>
        </w:rPr>
      </w:pPr>
    </w:p>
    <w:p>
      <w:pPr>
        <w:sectPr>
          <w:pgSz w:w="11880" w:h="15480" w:orient="portrait"/>
          <w:cols w:equalWidth="0" w:num="2">
            <w:col w:w="4680" w:space="720"/>
            <w:col w:w="4960"/>
          </w:cols>
          <w:pgMar w:left="720" w:top="577" w:right="800" w:bottom="272" w:gutter="0" w:footer="0" w:header="0"/>
          <w:type w:val="continuous"/>
        </w:sectPr>
      </w:pPr>
    </w:p>
    <w:p>
      <w:pPr>
        <w:spacing w:after="0"/>
        <w:rPr>
          <w:sz w:val="20"/>
          <w:szCs w:val="20"/>
          <w:color w:val="auto"/>
        </w:rPr>
      </w:pPr>
      <w:r>
        <w:rPr>
          <w:rFonts w:ascii="Arial" w:cs="Arial" w:eastAsia="Arial" w:hAnsi="Arial"/>
          <w:sz w:val="16"/>
          <w:szCs w:val="16"/>
          <w:b w:val="1"/>
          <w:bCs w:val="1"/>
          <w:color w:val="FFFFFF"/>
        </w:rPr>
        <w:t>Peter J. Federico</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FFFFFF"/>
        </w:rPr>
        <w:t>President and Chief Executive Officer</w:t>
      </w:r>
    </w:p>
    <w:p>
      <w:pPr>
        <w:sectPr>
          <w:pgSz w:w="11880" w:h="15480" w:orient="portrait"/>
          <w:cols w:equalWidth="0" w:num="1">
            <w:col w:w="10360"/>
          </w:cols>
          <w:pgMar w:left="720" w:top="577" w:right="800" w:bottom="27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4"/>
          <w:szCs w:val="24"/>
          <w:color w:val="FFFFFF"/>
        </w:rPr>
        <w:t>Executive Officers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60" w:type="dxa"/>
            <w:vAlign w:val="bottom"/>
          </w:tcPr>
          <w:p>
            <w:pPr>
              <w:spacing w:after="0"/>
              <w:rPr>
                <w:sz w:val="20"/>
                <w:szCs w:val="20"/>
                <w:color w:val="auto"/>
              </w:rPr>
            </w:pPr>
            <w:r>
              <w:rPr>
                <w:rFonts w:ascii="Arial" w:cs="Arial" w:eastAsia="Arial" w:hAnsi="Arial"/>
                <w:sz w:val="16"/>
                <w:szCs w:val="16"/>
                <w:b w:val="1"/>
                <w:bCs w:val="1"/>
                <w:color w:val="FFFFFF"/>
              </w:rPr>
              <w:t>Peter J. Federico</w:t>
            </w:r>
          </w:p>
        </w:tc>
        <w:tc>
          <w:tcPr>
            <w:tcW w:w="5160" w:type="dxa"/>
            <w:vAlign w:val="bottom"/>
          </w:tcPr>
          <w:p>
            <w:pPr>
              <w:ind w:left="440"/>
              <w:spacing w:after="0"/>
              <w:rPr>
                <w:sz w:val="20"/>
                <w:szCs w:val="20"/>
                <w:color w:val="auto"/>
              </w:rPr>
            </w:pPr>
            <w:r>
              <w:rPr>
                <w:rFonts w:ascii="Arial" w:cs="Arial" w:eastAsia="Arial" w:hAnsi="Arial"/>
                <w:sz w:val="16"/>
                <w:szCs w:val="16"/>
                <w:b w:val="1"/>
                <w:bCs w:val="1"/>
                <w:color w:val="FFFFFF"/>
              </w:rPr>
              <w:t>Christopher J. Kuehl</w:t>
            </w:r>
          </w:p>
        </w:tc>
        <w:tc>
          <w:tcPr>
            <w:tcW w:w="0" w:type="dxa"/>
            <w:vAlign w:val="bottom"/>
          </w:tcPr>
          <w:p>
            <w:pPr>
              <w:spacing w:after="0"/>
              <w:rPr>
                <w:sz w:val="1"/>
                <w:szCs w:val="1"/>
                <w:color w:val="auto"/>
              </w:rPr>
            </w:pPr>
          </w:p>
        </w:tc>
      </w:tr>
      <w:tr>
        <w:trPr>
          <w:trHeight w:val="341"/>
        </w:trPr>
        <w:tc>
          <w:tcPr>
            <w:tcW w:w="4960" w:type="dxa"/>
            <w:vAlign w:val="bottom"/>
          </w:tcPr>
          <w:p>
            <w:pPr>
              <w:spacing w:after="0"/>
              <w:rPr>
                <w:sz w:val="20"/>
                <w:szCs w:val="20"/>
                <w:color w:val="auto"/>
              </w:rPr>
            </w:pPr>
            <w:r>
              <w:rPr>
                <w:rFonts w:ascii="Arial" w:cs="Arial" w:eastAsia="Arial" w:hAnsi="Arial"/>
                <w:sz w:val="16"/>
                <w:szCs w:val="16"/>
                <w:color w:val="FFFFFF"/>
              </w:rPr>
              <w:t>President and Chief Executive Officer</w:t>
            </w:r>
          </w:p>
        </w:tc>
        <w:tc>
          <w:tcPr>
            <w:tcW w:w="5160" w:type="dxa"/>
            <w:vAlign w:val="bottom"/>
          </w:tcPr>
          <w:p>
            <w:pPr>
              <w:ind w:left="440"/>
              <w:spacing w:after="0"/>
              <w:rPr>
                <w:sz w:val="20"/>
                <w:szCs w:val="20"/>
                <w:color w:val="auto"/>
              </w:rPr>
            </w:pPr>
            <w:r>
              <w:rPr>
                <w:rFonts w:ascii="Arial" w:cs="Arial" w:eastAsia="Arial" w:hAnsi="Arial"/>
                <w:sz w:val="16"/>
                <w:szCs w:val="16"/>
                <w:color w:val="FFFFFF"/>
              </w:rPr>
              <w:t>Executive Vice President and Chief Investment Officer</w:t>
            </w:r>
          </w:p>
        </w:tc>
        <w:tc>
          <w:tcPr>
            <w:tcW w:w="0" w:type="dxa"/>
            <w:vAlign w:val="bottom"/>
          </w:tcPr>
          <w:p>
            <w:pPr>
              <w:spacing w:after="0"/>
              <w:rPr>
                <w:sz w:val="1"/>
                <w:szCs w:val="1"/>
                <w:color w:val="auto"/>
              </w:rPr>
            </w:pPr>
          </w:p>
        </w:tc>
      </w:tr>
      <w:tr>
        <w:trPr>
          <w:trHeight w:val="379"/>
        </w:trPr>
        <w:tc>
          <w:tcPr>
            <w:tcW w:w="4960" w:type="dxa"/>
            <w:vAlign w:val="bottom"/>
          </w:tcPr>
          <w:p>
            <w:pPr>
              <w:spacing w:after="0"/>
              <w:rPr>
                <w:sz w:val="20"/>
                <w:szCs w:val="20"/>
                <w:color w:val="auto"/>
              </w:rPr>
            </w:pPr>
            <w:r>
              <w:rPr>
                <w:rFonts w:ascii="Arial" w:cs="Arial" w:eastAsia="Arial" w:hAnsi="Arial"/>
                <w:sz w:val="16"/>
                <w:szCs w:val="16"/>
                <w:b w:val="1"/>
                <w:bCs w:val="1"/>
                <w:color w:val="FFFFFF"/>
              </w:rPr>
              <w:t>Bernice E. Bell</w:t>
            </w:r>
          </w:p>
        </w:tc>
        <w:tc>
          <w:tcPr>
            <w:tcW w:w="5160" w:type="dxa"/>
            <w:vAlign w:val="bottom"/>
          </w:tcPr>
          <w:p>
            <w:pPr>
              <w:ind w:left="440"/>
              <w:spacing w:after="0"/>
              <w:rPr>
                <w:sz w:val="20"/>
                <w:szCs w:val="20"/>
                <w:color w:val="auto"/>
              </w:rPr>
            </w:pPr>
            <w:r>
              <w:rPr>
                <w:rFonts w:ascii="Arial" w:cs="Arial" w:eastAsia="Arial" w:hAnsi="Arial"/>
                <w:sz w:val="16"/>
                <w:szCs w:val="16"/>
                <w:b w:val="1"/>
                <w:bCs w:val="1"/>
                <w:color w:val="FFFFFF"/>
              </w:rPr>
              <w:t>Kenneth L. Pollack</w:t>
            </w:r>
          </w:p>
        </w:tc>
        <w:tc>
          <w:tcPr>
            <w:tcW w:w="0" w:type="dxa"/>
            <w:vAlign w:val="bottom"/>
          </w:tcPr>
          <w:p>
            <w:pPr>
              <w:spacing w:after="0"/>
              <w:rPr>
                <w:sz w:val="1"/>
                <w:szCs w:val="1"/>
                <w:color w:val="auto"/>
              </w:rPr>
            </w:pPr>
          </w:p>
        </w:tc>
      </w:tr>
      <w:tr>
        <w:trPr>
          <w:trHeight w:val="240"/>
        </w:trPr>
        <w:tc>
          <w:tcPr>
            <w:tcW w:w="4960" w:type="dxa"/>
            <w:vAlign w:val="bottom"/>
          </w:tcPr>
          <w:p>
            <w:pPr>
              <w:spacing w:after="0"/>
              <w:rPr>
                <w:sz w:val="20"/>
                <w:szCs w:val="20"/>
                <w:color w:val="auto"/>
              </w:rPr>
            </w:pPr>
            <w:r>
              <w:rPr>
                <w:rFonts w:ascii="Arial" w:cs="Arial" w:eastAsia="Arial" w:hAnsi="Arial"/>
                <w:sz w:val="16"/>
                <w:szCs w:val="16"/>
                <w:color w:val="FFFFFF"/>
              </w:rPr>
              <w:t>Executive Vice President and Chief Financial Officer</w:t>
            </w:r>
          </w:p>
        </w:tc>
        <w:tc>
          <w:tcPr>
            <w:tcW w:w="5160" w:type="dxa"/>
            <w:vAlign w:val="bottom"/>
          </w:tcPr>
          <w:p>
            <w:pPr>
              <w:ind w:left="440"/>
              <w:spacing w:after="0"/>
              <w:rPr>
                <w:sz w:val="20"/>
                <w:szCs w:val="20"/>
                <w:color w:val="auto"/>
              </w:rPr>
            </w:pPr>
            <w:r>
              <w:rPr>
                <w:rFonts w:ascii="Arial" w:cs="Arial" w:eastAsia="Arial" w:hAnsi="Arial"/>
                <w:sz w:val="16"/>
                <w:szCs w:val="16"/>
                <w:color w:val="FFFFFF"/>
              </w:rPr>
              <w:t>Executive Vice President, General Counsel, Chief</w:t>
            </w:r>
          </w:p>
        </w:tc>
        <w:tc>
          <w:tcPr>
            <w:tcW w:w="0" w:type="dxa"/>
            <w:vAlign w:val="bottom"/>
          </w:tcPr>
          <w:p>
            <w:pPr>
              <w:spacing w:after="0"/>
              <w:rPr>
                <w:sz w:val="1"/>
                <w:szCs w:val="1"/>
                <w:color w:val="auto"/>
              </w:rPr>
            </w:pPr>
          </w:p>
        </w:tc>
      </w:tr>
      <w:tr>
        <w:trPr>
          <w:trHeight w:val="341"/>
        </w:trPr>
        <w:tc>
          <w:tcPr>
            <w:tcW w:w="4960" w:type="dxa"/>
            <w:vAlign w:val="bottom"/>
            <w:vMerge w:val="restart"/>
          </w:tcPr>
          <w:p>
            <w:pPr>
              <w:spacing w:after="0"/>
              <w:rPr>
                <w:sz w:val="20"/>
                <w:szCs w:val="20"/>
                <w:color w:val="auto"/>
              </w:rPr>
            </w:pPr>
            <w:r>
              <w:rPr>
                <w:rFonts w:ascii="Arial" w:cs="Arial" w:eastAsia="Arial" w:hAnsi="Arial"/>
                <w:sz w:val="16"/>
                <w:szCs w:val="16"/>
                <w:b w:val="1"/>
                <w:bCs w:val="1"/>
                <w:color w:val="FFFFFF"/>
              </w:rPr>
              <w:t>Gary D. Kain</w:t>
            </w:r>
          </w:p>
        </w:tc>
        <w:tc>
          <w:tcPr>
            <w:tcW w:w="5160" w:type="dxa"/>
            <w:vAlign w:val="bottom"/>
          </w:tcPr>
          <w:p>
            <w:pPr>
              <w:ind w:left="440"/>
              <w:spacing w:after="0"/>
              <w:rPr>
                <w:sz w:val="20"/>
                <w:szCs w:val="20"/>
                <w:color w:val="auto"/>
              </w:rPr>
            </w:pPr>
            <w:r>
              <w:rPr>
                <w:rFonts w:ascii="Arial" w:cs="Arial" w:eastAsia="Arial" w:hAnsi="Arial"/>
                <w:sz w:val="16"/>
                <w:szCs w:val="16"/>
                <w:color w:val="FFFFFF"/>
              </w:rPr>
              <w:t>Compliance Officer and Secretary</w:t>
            </w:r>
          </w:p>
        </w:tc>
        <w:tc>
          <w:tcPr>
            <w:tcW w:w="0" w:type="dxa"/>
            <w:vAlign w:val="bottom"/>
          </w:tcPr>
          <w:p>
            <w:pPr>
              <w:spacing w:after="0"/>
              <w:rPr>
                <w:sz w:val="1"/>
                <w:szCs w:val="1"/>
                <w:color w:val="auto"/>
              </w:rPr>
            </w:pPr>
          </w:p>
        </w:tc>
      </w:tr>
      <w:tr>
        <w:trPr>
          <w:trHeight w:val="139"/>
        </w:trPr>
        <w:tc>
          <w:tcPr>
            <w:tcW w:w="4960" w:type="dxa"/>
            <w:vAlign w:val="bottom"/>
            <w:vMerge w:val="continue"/>
          </w:tcPr>
          <w:p>
            <w:pPr>
              <w:spacing w:after="0"/>
              <w:rPr>
                <w:sz w:val="12"/>
                <w:szCs w:val="12"/>
                <w:color w:val="auto"/>
              </w:rPr>
            </w:pPr>
          </w:p>
        </w:tc>
        <w:tc>
          <w:tcPr>
            <w:tcW w:w="5160" w:type="dxa"/>
            <w:vAlign w:val="bottom"/>
            <w:vMerge w:val="restart"/>
          </w:tcPr>
          <w:p>
            <w:pPr>
              <w:ind w:left="440"/>
              <w:spacing w:after="0"/>
              <w:rPr>
                <w:sz w:val="20"/>
                <w:szCs w:val="20"/>
                <w:color w:val="auto"/>
              </w:rPr>
            </w:pPr>
            <w:r>
              <w:rPr>
                <w:rFonts w:ascii="Arial" w:cs="Arial" w:eastAsia="Arial" w:hAnsi="Arial"/>
                <w:sz w:val="16"/>
                <w:szCs w:val="16"/>
                <w:b w:val="1"/>
                <w:bCs w:val="1"/>
                <w:color w:val="FFFFFF"/>
              </w:rPr>
              <w:t>Sean P. Reid</w:t>
            </w:r>
          </w:p>
        </w:tc>
        <w:tc>
          <w:tcPr>
            <w:tcW w:w="0" w:type="dxa"/>
            <w:vAlign w:val="bottom"/>
          </w:tcPr>
          <w:p>
            <w:pPr>
              <w:spacing w:after="0"/>
              <w:rPr>
                <w:sz w:val="1"/>
                <w:szCs w:val="1"/>
                <w:color w:val="auto"/>
              </w:rPr>
            </w:pPr>
          </w:p>
        </w:tc>
      </w:tr>
      <w:tr>
        <w:trPr>
          <w:trHeight w:val="240"/>
        </w:trPr>
        <w:tc>
          <w:tcPr>
            <w:tcW w:w="4960" w:type="dxa"/>
            <w:vAlign w:val="bottom"/>
          </w:tcPr>
          <w:p>
            <w:pPr>
              <w:spacing w:after="0"/>
              <w:rPr>
                <w:sz w:val="20"/>
                <w:szCs w:val="20"/>
                <w:color w:val="auto"/>
              </w:rPr>
            </w:pPr>
            <w:r>
              <w:rPr>
                <w:rFonts w:ascii="Arial" w:cs="Arial" w:eastAsia="Arial" w:hAnsi="Arial"/>
                <w:sz w:val="16"/>
                <w:szCs w:val="16"/>
                <w:color w:val="FFFFFF"/>
              </w:rPr>
              <w:t>Executive Chair</w:t>
            </w:r>
          </w:p>
        </w:tc>
        <w:tc>
          <w:tcPr>
            <w:tcW w:w="5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60" w:type="dxa"/>
            <w:vAlign w:val="bottom"/>
          </w:tcPr>
          <w:p>
            <w:pPr>
              <w:spacing w:after="0"/>
              <w:rPr>
                <w:sz w:val="20"/>
                <w:szCs w:val="20"/>
                <w:color w:val="auto"/>
              </w:rPr>
            </w:pPr>
          </w:p>
        </w:tc>
        <w:tc>
          <w:tcPr>
            <w:tcW w:w="5160" w:type="dxa"/>
            <w:vAlign w:val="bottom"/>
          </w:tcPr>
          <w:p>
            <w:pPr>
              <w:ind w:left="440"/>
              <w:spacing w:after="0"/>
              <w:rPr>
                <w:sz w:val="20"/>
                <w:szCs w:val="20"/>
                <w:color w:val="auto"/>
              </w:rPr>
            </w:pPr>
            <w:r>
              <w:rPr>
                <w:rFonts w:ascii="Arial" w:cs="Arial" w:eastAsia="Arial" w:hAnsi="Arial"/>
                <w:sz w:val="16"/>
                <w:szCs w:val="16"/>
                <w:color w:val="FFFFFF"/>
              </w:rPr>
              <w:t>Executive Vice President, Strategy and Corporate</w:t>
            </w:r>
          </w:p>
        </w:tc>
        <w:tc>
          <w:tcPr>
            <w:tcW w:w="0" w:type="dxa"/>
            <w:vAlign w:val="bottom"/>
          </w:tcPr>
          <w:p>
            <w:pPr>
              <w:spacing w:after="0"/>
              <w:rPr>
                <w:sz w:val="1"/>
                <w:szCs w:val="1"/>
                <w:color w:val="auto"/>
              </w:rPr>
            </w:pPr>
          </w:p>
        </w:tc>
      </w:tr>
      <w:tr>
        <w:trPr>
          <w:trHeight w:val="341"/>
        </w:trPr>
        <w:tc>
          <w:tcPr>
            <w:tcW w:w="4960" w:type="dxa"/>
            <w:vAlign w:val="bottom"/>
          </w:tcPr>
          <w:p>
            <w:pPr>
              <w:spacing w:after="0"/>
              <w:rPr>
                <w:sz w:val="24"/>
                <w:szCs w:val="24"/>
                <w:color w:val="auto"/>
              </w:rPr>
            </w:pPr>
          </w:p>
        </w:tc>
        <w:tc>
          <w:tcPr>
            <w:tcW w:w="5160" w:type="dxa"/>
            <w:vAlign w:val="bottom"/>
          </w:tcPr>
          <w:p>
            <w:pPr>
              <w:ind w:left="440"/>
              <w:spacing w:after="0"/>
              <w:rPr>
                <w:sz w:val="20"/>
                <w:szCs w:val="20"/>
                <w:color w:val="auto"/>
              </w:rPr>
            </w:pPr>
            <w:r>
              <w:rPr>
                <w:rFonts w:ascii="Arial" w:cs="Arial" w:eastAsia="Arial" w:hAnsi="Arial"/>
                <w:sz w:val="16"/>
                <w:szCs w:val="16"/>
                <w:color w:val="FFFFFF"/>
              </w:rPr>
              <w:t>Development</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24"/>
          <w:szCs w:val="24"/>
          <w:color w:val="FFFFFF"/>
        </w:rPr>
        <w:t>Corporate Information</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560" w:type="dxa"/>
            <w:vAlign w:val="bottom"/>
          </w:tcPr>
          <w:p>
            <w:pPr>
              <w:spacing w:after="0"/>
              <w:rPr>
                <w:sz w:val="20"/>
                <w:szCs w:val="20"/>
                <w:color w:val="auto"/>
              </w:rPr>
            </w:pPr>
            <w:r>
              <w:rPr>
                <w:rFonts w:ascii="Arial" w:cs="Arial" w:eastAsia="Arial" w:hAnsi="Arial"/>
                <w:sz w:val="16"/>
                <w:szCs w:val="16"/>
                <w:b w:val="1"/>
                <w:bCs w:val="1"/>
                <w:color w:val="FFFFFF"/>
              </w:rPr>
              <w:t>Auditors</w:t>
            </w:r>
          </w:p>
        </w:tc>
        <w:tc>
          <w:tcPr>
            <w:tcW w:w="5800" w:type="dxa"/>
            <w:vAlign w:val="bottom"/>
          </w:tcPr>
          <w:p>
            <w:pPr>
              <w:ind w:left="840"/>
              <w:spacing w:after="0"/>
              <w:rPr>
                <w:sz w:val="20"/>
                <w:szCs w:val="20"/>
                <w:color w:val="auto"/>
              </w:rPr>
            </w:pPr>
            <w:r>
              <w:rPr>
                <w:rFonts w:ascii="Arial" w:cs="Arial" w:eastAsia="Arial" w:hAnsi="Arial"/>
                <w:sz w:val="16"/>
                <w:szCs w:val="16"/>
                <w:b w:val="1"/>
                <w:bCs w:val="1"/>
                <w:color w:val="FFFFFF"/>
              </w:rPr>
              <w:t>Financial Publications</w:t>
            </w:r>
          </w:p>
        </w:tc>
        <w:tc>
          <w:tcPr>
            <w:tcW w:w="0" w:type="dxa"/>
            <w:vAlign w:val="bottom"/>
          </w:tcPr>
          <w:p>
            <w:pPr>
              <w:spacing w:after="0"/>
              <w:rPr>
                <w:sz w:val="1"/>
                <w:szCs w:val="1"/>
                <w:color w:val="auto"/>
              </w:rPr>
            </w:pPr>
          </w:p>
        </w:tc>
      </w:tr>
      <w:tr>
        <w:trPr>
          <w:trHeight w:val="240"/>
        </w:trPr>
        <w:tc>
          <w:tcPr>
            <w:tcW w:w="4560" w:type="dxa"/>
            <w:vAlign w:val="bottom"/>
          </w:tcPr>
          <w:p>
            <w:pPr>
              <w:spacing w:after="0"/>
              <w:rPr>
                <w:sz w:val="20"/>
                <w:szCs w:val="20"/>
                <w:color w:val="auto"/>
              </w:rPr>
            </w:pPr>
            <w:r>
              <w:rPr>
                <w:rFonts w:ascii="Arial" w:cs="Arial" w:eastAsia="Arial" w:hAnsi="Arial"/>
                <w:sz w:val="16"/>
                <w:szCs w:val="16"/>
                <w:color w:val="FFFFFF"/>
              </w:rPr>
              <w:t>Ernst &amp; Young LLP</w:t>
            </w:r>
          </w:p>
        </w:tc>
        <w:tc>
          <w:tcPr>
            <w:tcW w:w="5800" w:type="dxa"/>
            <w:vAlign w:val="bottom"/>
          </w:tcPr>
          <w:p>
            <w:pPr>
              <w:ind w:left="840"/>
              <w:spacing w:after="0"/>
              <w:rPr>
                <w:sz w:val="20"/>
                <w:szCs w:val="20"/>
                <w:color w:val="auto"/>
              </w:rPr>
            </w:pPr>
            <w:r>
              <w:rPr>
                <w:rFonts w:ascii="Arial" w:cs="Arial" w:eastAsia="Arial" w:hAnsi="Arial"/>
                <w:sz w:val="16"/>
                <w:szCs w:val="16"/>
                <w:color w:val="FFFFFF"/>
              </w:rPr>
              <w:t>Stockholders may receive a copy of our 2024 Annual</w:t>
            </w:r>
          </w:p>
        </w:tc>
        <w:tc>
          <w:tcPr>
            <w:tcW w:w="0" w:type="dxa"/>
            <w:vAlign w:val="bottom"/>
          </w:tcPr>
          <w:p>
            <w:pPr>
              <w:spacing w:after="0"/>
              <w:rPr>
                <w:sz w:val="1"/>
                <w:szCs w:val="1"/>
                <w:color w:val="auto"/>
              </w:rPr>
            </w:pPr>
          </w:p>
        </w:tc>
      </w:tr>
      <w:tr>
        <w:trPr>
          <w:trHeight w:val="240"/>
        </w:trPr>
        <w:tc>
          <w:tcPr>
            <w:tcW w:w="4560" w:type="dxa"/>
            <w:vAlign w:val="bottom"/>
          </w:tcPr>
          <w:p>
            <w:pPr>
              <w:spacing w:after="0"/>
              <w:rPr>
                <w:sz w:val="20"/>
                <w:szCs w:val="20"/>
                <w:color w:val="auto"/>
              </w:rPr>
            </w:pPr>
            <w:r>
              <w:rPr>
                <w:rFonts w:ascii="Arial" w:cs="Arial" w:eastAsia="Arial" w:hAnsi="Arial"/>
                <w:sz w:val="16"/>
                <w:szCs w:val="16"/>
                <w:color w:val="FFFFFF"/>
              </w:rPr>
              <w:t>Tysons, VA</w:t>
            </w:r>
          </w:p>
        </w:tc>
        <w:tc>
          <w:tcPr>
            <w:tcW w:w="5800" w:type="dxa"/>
            <w:vAlign w:val="bottom"/>
          </w:tcPr>
          <w:p>
            <w:pPr>
              <w:ind w:left="840"/>
              <w:spacing w:after="0"/>
              <w:rPr>
                <w:sz w:val="20"/>
                <w:szCs w:val="20"/>
                <w:color w:val="auto"/>
              </w:rPr>
            </w:pPr>
            <w:r>
              <w:rPr>
                <w:rFonts w:ascii="Arial" w:cs="Arial" w:eastAsia="Arial" w:hAnsi="Arial"/>
                <w:sz w:val="16"/>
                <w:szCs w:val="16"/>
                <w:color w:val="FFFFFF"/>
              </w:rPr>
              <w:t>Report on Form 10-K and our quarterly reports on Form</w:t>
            </w:r>
          </w:p>
        </w:tc>
        <w:tc>
          <w:tcPr>
            <w:tcW w:w="0" w:type="dxa"/>
            <w:vAlign w:val="bottom"/>
          </w:tcPr>
          <w:p>
            <w:pPr>
              <w:spacing w:after="0"/>
              <w:rPr>
                <w:sz w:val="1"/>
                <w:szCs w:val="1"/>
                <w:color w:val="auto"/>
              </w:rPr>
            </w:pPr>
          </w:p>
        </w:tc>
      </w:tr>
      <w:tr>
        <w:trPr>
          <w:trHeight w:val="240"/>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FFFFFF"/>
              </w:rPr>
              <w:t>Legal Counsel</w:t>
            </w:r>
          </w:p>
        </w:tc>
        <w:tc>
          <w:tcPr>
            <w:tcW w:w="5800" w:type="dxa"/>
            <w:vAlign w:val="bottom"/>
          </w:tcPr>
          <w:p>
            <w:pPr>
              <w:ind w:left="840"/>
              <w:spacing w:after="0"/>
              <w:rPr>
                <w:sz w:val="20"/>
                <w:szCs w:val="20"/>
                <w:color w:val="auto"/>
              </w:rPr>
            </w:pPr>
            <w:r>
              <w:rPr>
                <w:rFonts w:ascii="Arial" w:cs="Arial" w:eastAsia="Arial" w:hAnsi="Arial"/>
                <w:sz w:val="16"/>
                <w:szCs w:val="16"/>
                <w:color w:val="FFFFFF"/>
              </w:rPr>
              <w:t>10-Q filed with the Securities and Exchange Commission</w:t>
            </w:r>
          </w:p>
        </w:tc>
        <w:tc>
          <w:tcPr>
            <w:tcW w:w="0" w:type="dxa"/>
            <w:vAlign w:val="bottom"/>
          </w:tcPr>
          <w:p>
            <w:pPr>
              <w:spacing w:after="0"/>
              <w:rPr>
                <w:sz w:val="1"/>
                <w:szCs w:val="1"/>
                <w:color w:val="auto"/>
              </w:rPr>
            </w:pPr>
          </w:p>
        </w:tc>
      </w:tr>
      <w:tr>
        <w:trPr>
          <w:trHeight w:val="240"/>
        </w:trPr>
        <w:tc>
          <w:tcPr>
            <w:tcW w:w="4560" w:type="dxa"/>
            <w:vAlign w:val="bottom"/>
            <w:vMerge w:val="continue"/>
          </w:tcPr>
          <w:p>
            <w:pPr>
              <w:spacing w:after="0"/>
              <w:rPr>
                <w:sz w:val="20"/>
                <w:szCs w:val="20"/>
                <w:color w:val="auto"/>
              </w:rPr>
            </w:pPr>
          </w:p>
        </w:tc>
        <w:tc>
          <w:tcPr>
            <w:tcW w:w="5800" w:type="dxa"/>
            <w:vAlign w:val="bottom"/>
          </w:tcPr>
          <w:p>
            <w:pPr>
              <w:ind w:left="840"/>
              <w:spacing w:after="0"/>
              <w:rPr>
                <w:sz w:val="20"/>
                <w:szCs w:val="20"/>
                <w:color w:val="auto"/>
              </w:rPr>
            </w:pPr>
            <w:r>
              <w:rPr>
                <w:rFonts w:ascii="Arial" w:cs="Arial" w:eastAsia="Arial" w:hAnsi="Arial"/>
                <w:sz w:val="16"/>
                <w:szCs w:val="16"/>
                <w:color w:val="FFFFFF"/>
              </w:rPr>
              <w:t>on our website at www.agnc.com or by writing to:</w:t>
            </w:r>
          </w:p>
        </w:tc>
        <w:tc>
          <w:tcPr>
            <w:tcW w:w="0" w:type="dxa"/>
            <w:vAlign w:val="bottom"/>
          </w:tcPr>
          <w:p>
            <w:pPr>
              <w:spacing w:after="0"/>
              <w:rPr>
                <w:sz w:val="1"/>
                <w:szCs w:val="1"/>
                <w:color w:val="auto"/>
              </w:rPr>
            </w:pPr>
          </w:p>
        </w:tc>
      </w:tr>
      <w:tr>
        <w:trPr>
          <w:trHeight w:val="240"/>
        </w:trPr>
        <w:tc>
          <w:tcPr>
            <w:tcW w:w="4560" w:type="dxa"/>
            <w:vAlign w:val="bottom"/>
          </w:tcPr>
          <w:p>
            <w:pPr>
              <w:spacing w:after="0"/>
              <w:rPr>
                <w:sz w:val="20"/>
                <w:szCs w:val="20"/>
                <w:color w:val="auto"/>
              </w:rPr>
            </w:pPr>
            <w:r>
              <w:rPr>
                <w:rFonts w:ascii="Arial" w:cs="Arial" w:eastAsia="Arial" w:hAnsi="Arial"/>
                <w:sz w:val="16"/>
                <w:szCs w:val="16"/>
                <w:color w:val="FFFFFF"/>
              </w:rPr>
              <w:t>Skadden, Arps, Slate, Meagher &amp; Flom LLP</w:t>
            </w:r>
          </w:p>
        </w:tc>
        <w:tc>
          <w:tcPr>
            <w:tcW w:w="5800" w:type="dxa"/>
            <w:vAlign w:val="bottom"/>
            <w:vMerge w:val="restart"/>
          </w:tcPr>
          <w:p>
            <w:pPr>
              <w:ind w:left="840"/>
              <w:spacing w:after="0"/>
              <w:rPr>
                <w:sz w:val="20"/>
                <w:szCs w:val="20"/>
                <w:color w:val="auto"/>
              </w:rPr>
            </w:pPr>
            <w:r>
              <w:rPr>
                <w:rFonts w:ascii="Arial" w:cs="Arial" w:eastAsia="Arial" w:hAnsi="Arial"/>
                <w:sz w:val="16"/>
                <w:szCs w:val="16"/>
                <w:color w:val="FFFFFF"/>
              </w:rPr>
              <w:t>AGNC Investment Corp.</w:t>
            </w:r>
          </w:p>
        </w:tc>
        <w:tc>
          <w:tcPr>
            <w:tcW w:w="0" w:type="dxa"/>
            <w:vAlign w:val="bottom"/>
          </w:tcPr>
          <w:p>
            <w:pPr>
              <w:spacing w:after="0"/>
              <w:rPr>
                <w:sz w:val="1"/>
                <w:szCs w:val="1"/>
                <w:color w:val="auto"/>
              </w:rPr>
            </w:pPr>
          </w:p>
        </w:tc>
      </w:tr>
      <w:tr>
        <w:trPr>
          <w:trHeight w:val="240"/>
        </w:trPr>
        <w:tc>
          <w:tcPr>
            <w:tcW w:w="4560" w:type="dxa"/>
            <w:vAlign w:val="bottom"/>
          </w:tcPr>
          <w:p>
            <w:pPr>
              <w:spacing w:after="0"/>
              <w:rPr>
                <w:sz w:val="20"/>
                <w:szCs w:val="20"/>
                <w:color w:val="auto"/>
              </w:rPr>
            </w:pPr>
            <w:r>
              <w:rPr>
                <w:rFonts w:ascii="Arial" w:cs="Arial" w:eastAsia="Arial" w:hAnsi="Arial"/>
                <w:sz w:val="16"/>
                <w:szCs w:val="16"/>
                <w:color w:val="FFFFFF"/>
              </w:rPr>
              <w:t>New York, NY</w:t>
            </w: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FFFFFF"/>
              </w:rPr>
              <w:t>Equity Securities</w:t>
            </w:r>
          </w:p>
        </w:tc>
        <w:tc>
          <w:tcPr>
            <w:tcW w:w="5800" w:type="dxa"/>
            <w:vAlign w:val="bottom"/>
          </w:tcPr>
          <w:p>
            <w:pPr>
              <w:ind w:left="840"/>
              <w:spacing w:after="0"/>
              <w:rPr>
                <w:sz w:val="20"/>
                <w:szCs w:val="20"/>
                <w:color w:val="auto"/>
              </w:rPr>
            </w:pPr>
            <w:r>
              <w:rPr>
                <w:rFonts w:ascii="Arial" w:cs="Arial" w:eastAsia="Arial" w:hAnsi="Arial"/>
                <w:sz w:val="16"/>
                <w:szCs w:val="16"/>
                <w:color w:val="FFFFFF"/>
              </w:rPr>
              <w:t>Investor Relations</w:t>
            </w:r>
          </w:p>
        </w:tc>
        <w:tc>
          <w:tcPr>
            <w:tcW w:w="0" w:type="dxa"/>
            <w:vAlign w:val="bottom"/>
          </w:tcPr>
          <w:p>
            <w:pPr>
              <w:spacing w:after="0"/>
              <w:rPr>
                <w:sz w:val="1"/>
                <w:szCs w:val="1"/>
                <w:color w:val="auto"/>
              </w:rPr>
            </w:pPr>
          </w:p>
        </w:tc>
      </w:tr>
      <w:tr>
        <w:trPr>
          <w:trHeight w:val="240"/>
        </w:trPr>
        <w:tc>
          <w:tcPr>
            <w:tcW w:w="4560" w:type="dxa"/>
            <w:vAlign w:val="bottom"/>
            <w:vMerge w:val="continue"/>
          </w:tcPr>
          <w:p>
            <w:pPr>
              <w:spacing w:after="0"/>
              <w:rPr>
                <w:sz w:val="20"/>
                <w:szCs w:val="20"/>
                <w:color w:val="auto"/>
              </w:rPr>
            </w:pPr>
          </w:p>
        </w:tc>
        <w:tc>
          <w:tcPr>
            <w:tcW w:w="5800" w:type="dxa"/>
            <w:vAlign w:val="bottom"/>
          </w:tcPr>
          <w:p>
            <w:pPr>
              <w:ind w:left="840"/>
              <w:spacing w:after="0"/>
              <w:rPr>
                <w:sz w:val="20"/>
                <w:szCs w:val="20"/>
                <w:color w:val="auto"/>
              </w:rPr>
            </w:pPr>
            <w:r>
              <w:rPr>
                <w:rFonts w:ascii="Arial" w:cs="Arial" w:eastAsia="Arial" w:hAnsi="Arial"/>
                <w:sz w:val="16"/>
                <w:szCs w:val="16"/>
                <w:color w:val="FFFFFF"/>
              </w:rPr>
              <w:t>7373 Wisconsin Avenue</w:t>
            </w:r>
          </w:p>
        </w:tc>
        <w:tc>
          <w:tcPr>
            <w:tcW w:w="0" w:type="dxa"/>
            <w:vAlign w:val="bottom"/>
          </w:tcPr>
          <w:p>
            <w:pPr>
              <w:spacing w:after="0"/>
              <w:rPr>
                <w:sz w:val="1"/>
                <w:szCs w:val="1"/>
                <w:color w:val="auto"/>
              </w:rPr>
            </w:pPr>
          </w:p>
        </w:tc>
      </w:tr>
      <w:tr>
        <w:trPr>
          <w:trHeight w:val="240"/>
        </w:trPr>
        <w:tc>
          <w:tcPr>
            <w:tcW w:w="4560" w:type="dxa"/>
            <w:vAlign w:val="bottom"/>
          </w:tcPr>
          <w:p>
            <w:pPr>
              <w:spacing w:after="0"/>
              <w:rPr>
                <w:sz w:val="20"/>
                <w:szCs w:val="20"/>
                <w:color w:val="auto"/>
              </w:rPr>
            </w:pPr>
            <w:r>
              <w:rPr>
                <w:rFonts w:ascii="Arial" w:cs="Arial" w:eastAsia="Arial" w:hAnsi="Arial"/>
                <w:sz w:val="16"/>
                <w:szCs w:val="16"/>
                <w:color w:val="FFFFFF"/>
              </w:rPr>
              <w:t>Common Stock</w:t>
            </w:r>
          </w:p>
        </w:tc>
        <w:tc>
          <w:tcPr>
            <w:tcW w:w="5800" w:type="dxa"/>
            <w:vAlign w:val="bottom"/>
          </w:tcPr>
          <w:p>
            <w:pPr>
              <w:ind w:left="840"/>
              <w:spacing w:after="0"/>
              <w:rPr>
                <w:sz w:val="20"/>
                <w:szCs w:val="20"/>
                <w:color w:val="auto"/>
              </w:rPr>
            </w:pPr>
            <w:r>
              <w:rPr>
                <w:rFonts w:ascii="Arial" w:cs="Arial" w:eastAsia="Arial" w:hAnsi="Arial"/>
                <w:sz w:val="16"/>
                <w:szCs w:val="16"/>
                <w:color w:val="FFFFFF"/>
              </w:rPr>
              <w:t>22nd Floor</w:t>
            </w:r>
          </w:p>
        </w:tc>
        <w:tc>
          <w:tcPr>
            <w:tcW w:w="0" w:type="dxa"/>
            <w:vAlign w:val="bottom"/>
          </w:tcPr>
          <w:p>
            <w:pPr>
              <w:spacing w:after="0"/>
              <w:rPr>
                <w:sz w:val="1"/>
                <w:szCs w:val="1"/>
                <w:color w:val="auto"/>
              </w:rPr>
            </w:pPr>
          </w:p>
        </w:tc>
      </w:tr>
      <w:tr>
        <w:trPr>
          <w:trHeight w:val="341"/>
        </w:trPr>
        <w:tc>
          <w:tcPr>
            <w:tcW w:w="4560" w:type="dxa"/>
            <w:vAlign w:val="bottom"/>
          </w:tcPr>
          <w:p>
            <w:pPr>
              <w:spacing w:after="0"/>
              <w:rPr>
                <w:sz w:val="20"/>
                <w:szCs w:val="20"/>
                <w:color w:val="auto"/>
              </w:rPr>
            </w:pPr>
            <w:r>
              <w:rPr>
                <w:rFonts w:ascii="Arial" w:cs="Arial" w:eastAsia="Arial" w:hAnsi="Arial"/>
                <w:sz w:val="16"/>
                <w:szCs w:val="16"/>
                <w:color w:val="FFFFFF"/>
              </w:rPr>
              <w:t>Nasdaq: AGNC</w:t>
            </w:r>
          </w:p>
        </w:tc>
        <w:tc>
          <w:tcPr>
            <w:tcW w:w="5800" w:type="dxa"/>
            <w:vAlign w:val="bottom"/>
          </w:tcPr>
          <w:p>
            <w:pPr>
              <w:ind w:left="840"/>
              <w:spacing w:after="0"/>
              <w:rPr>
                <w:sz w:val="20"/>
                <w:szCs w:val="20"/>
                <w:color w:val="auto"/>
              </w:rPr>
            </w:pPr>
            <w:r>
              <w:rPr>
                <w:rFonts w:ascii="Arial" w:cs="Arial" w:eastAsia="Arial" w:hAnsi="Arial"/>
                <w:sz w:val="16"/>
                <w:szCs w:val="16"/>
                <w:color w:val="FFFFFF"/>
              </w:rPr>
              <w:t>Bethesda, MD 20814</w:t>
            </w:r>
          </w:p>
        </w:tc>
        <w:tc>
          <w:tcPr>
            <w:tcW w:w="0" w:type="dxa"/>
            <w:vAlign w:val="bottom"/>
          </w:tcPr>
          <w:p>
            <w:pPr>
              <w:spacing w:after="0"/>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20" w:type="dxa"/>
            <w:vAlign w:val="bottom"/>
          </w:tcPr>
          <w:p>
            <w:pPr>
              <w:spacing w:after="0"/>
              <w:rPr>
                <w:sz w:val="20"/>
                <w:szCs w:val="20"/>
                <w:color w:val="auto"/>
              </w:rPr>
            </w:pPr>
            <w:r>
              <w:rPr>
                <w:rFonts w:ascii="Arial" w:cs="Arial" w:eastAsia="Arial" w:hAnsi="Arial"/>
                <w:sz w:val="16"/>
                <w:szCs w:val="16"/>
                <w:color w:val="FFFFFF"/>
              </w:rPr>
              <w:t>Preferred Stock</w:t>
            </w:r>
          </w:p>
        </w:tc>
        <w:tc>
          <w:tcPr>
            <w:tcW w:w="5140" w:type="dxa"/>
            <w:vAlign w:val="bottom"/>
          </w:tcPr>
          <w:p>
            <w:pPr>
              <w:ind w:left="480"/>
              <w:spacing w:after="0"/>
              <w:rPr>
                <w:sz w:val="20"/>
                <w:szCs w:val="20"/>
                <w:color w:val="auto"/>
              </w:rPr>
            </w:pPr>
            <w:r>
              <w:rPr>
                <w:rFonts w:ascii="Arial" w:cs="Arial" w:eastAsia="Arial" w:hAnsi="Arial"/>
                <w:sz w:val="16"/>
                <w:szCs w:val="16"/>
                <w:b w:val="1"/>
                <w:bCs w:val="1"/>
                <w:color w:val="FFFFFF"/>
              </w:rPr>
              <w:t>Investor Inquiries</w:t>
            </w: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r>
              <w:rPr>
                <w:rFonts w:ascii="Arial" w:cs="Arial" w:eastAsia="Arial" w:hAnsi="Arial"/>
                <w:sz w:val="16"/>
                <w:szCs w:val="16"/>
                <w:color w:val="FFFFFF"/>
              </w:rPr>
              <w:t>Nasdaq: AGNCN, AGNCM, AGNCO, AGNCP, AGNCL</w:t>
            </w:r>
          </w:p>
        </w:tc>
        <w:tc>
          <w:tcPr>
            <w:tcW w:w="5140" w:type="dxa"/>
            <w:vAlign w:val="bottom"/>
          </w:tcPr>
          <w:p>
            <w:pPr>
              <w:ind w:left="480"/>
              <w:spacing w:after="0"/>
              <w:rPr>
                <w:sz w:val="20"/>
                <w:szCs w:val="20"/>
                <w:color w:val="auto"/>
              </w:rPr>
            </w:pPr>
            <w:r>
              <w:rPr>
                <w:rFonts w:ascii="Arial" w:cs="Arial" w:eastAsia="Arial" w:hAnsi="Arial"/>
                <w:sz w:val="16"/>
                <w:szCs w:val="16"/>
                <w:color w:val="FFFFFF"/>
              </w:rPr>
              <w:t>Stockholders, securities analysts, portfolio managers</w:t>
            </w:r>
          </w:p>
        </w:tc>
        <w:tc>
          <w:tcPr>
            <w:tcW w:w="0" w:type="dxa"/>
            <w:vAlign w:val="bottom"/>
          </w:tcPr>
          <w:p>
            <w:pPr>
              <w:spacing w:after="0"/>
              <w:rPr>
                <w:sz w:val="1"/>
                <w:szCs w:val="1"/>
                <w:color w:val="auto"/>
              </w:rPr>
            </w:pPr>
          </w:p>
        </w:tc>
      </w:tr>
      <w:tr>
        <w:trPr>
          <w:trHeight w:val="240"/>
        </w:trPr>
        <w:tc>
          <w:tcPr>
            <w:tcW w:w="4920" w:type="dxa"/>
            <w:vAlign w:val="bottom"/>
            <w:vMerge w:val="restart"/>
          </w:tcPr>
          <w:p>
            <w:pPr>
              <w:spacing w:after="0"/>
              <w:rPr>
                <w:sz w:val="20"/>
                <w:szCs w:val="20"/>
                <w:color w:val="auto"/>
              </w:rPr>
            </w:pPr>
            <w:r>
              <w:rPr>
                <w:rFonts w:ascii="Arial" w:cs="Arial" w:eastAsia="Arial" w:hAnsi="Arial"/>
                <w:sz w:val="16"/>
                <w:szCs w:val="16"/>
                <w:b w:val="1"/>
                <w:bCs w:val="1"/>
                <w:color w:val="FFFFFF"/>
              </w:rPr>
              <w:t>Transfer Agent and Registrar</w:t>
            </w:r>
          </w:p>
        </w:tc>
        <w:tc>
          <w:tcPr>
            <w:tcW w:w="5140" w:type="dxa"/>
            <w:vAlign w:val="bottom"/>
          </w:tcPr>
          <w:p>
            <w:pPr>
              <w:ind w:left="480"/>
              <w:spacing w:after="0"/>
              <w:rPr>
                <w:sz w:val="20"/>
                <w:szCs w:val="20"/>
                <w:color w:val="auto"/>
              </w:rPr>
            </w:pPr>
            <w:r>
              <w:rPr>
                <w:rFonts w:ascii="Arial" w:cs="Arial" w:eastAsia="Arial" w:hAnsi="Arial"/>
                <w:sz w:val="16"/>
                <w:szCs w:val="16"/>
                <w:color w:val="FFFFFF"/>
              </w:rPr>
              <w:t>and others seeking information about our business</w:t>
            </w:r>
          </w:p>
        </w:tc>
        <w:tc>
          <w:tcPr>
            <w:tcW w:w="0" w:type="dxa"/>
            <w:vAlign w:val="bottom"/>
          </w:tcPr>
          <w:p>
            <w:pPr>
              <w:spacing w:after="0"/>
              <w:rPr>
                <w:sz w:val="1"/>
                <w:szCs w:val="1"/>
                <w:color w:val="auto"/>
              </w:rPr>
            </w:pPr>
          </w:p>
        </w:tc>
      </w:tr>
      <w:tr>
        <w:trPr>
          <w:trHeight w:val="240"/>
        </w:trPr>
        <w:tc>
          <w:tcPr>
            <w:tcW w:w="4920" w:type="dxa"/>
            <w:vAlign w:val="bottom"/>
            <w:vMerge w:val="continue"/>
          </w:tcPr>
          <w:p>
            <w:pPr>
              <w:spacing w:after="0"/>
              <w:rPr>
                <w:sz w:val="20"/>
                <w:szCs w:val="20"/>
                <w:color w:val="auto"/>
              </w:rPr>
            </w:pPr>
          </w:p>
        </w:tc>
        <w:tc>
          <w:tcPr>
            <w:tcW w:w="5140" w:type="dxa"/>
            <w:vAlign w:val="bottom"/>
          </w:tcPr>
          <w:p>
            <w:pPr>
              <w:ind w:left="480"/>
              <w:spacing w:after="0"/>
              <w:rPr>
                <w:sz w:val="20"/>
                <w:szCs w:val="20"/>
                <w:color w:val="auto"/>
              </w:rPr>
            </w:pPr>
            <w:r>
              <w:rPr>
                <w:rFonts w:ascii="Arial" w:cs="Arial" w:eastAsia="Arial" w:hAnsi="Arial"/>
                <w:sz w:val="16"/>
                <w:szCs w:val="16"/>
                <w:color w:val="FFFFFF"/>
              </w:rPr>
              <w:t>operations and financial performance are invited to</w:t>
            </w: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r>
              <w:rPr>
                <w:rFonts w:ascii="Arial" w:cs="Arial" w:eastAsia="Arial" w:hAnsi="Arial"/>
                <w:sz w:val="16"/>
                <w:szCs w:val="16"/>
                <w:color w:val="FFFFFF"/>
              </w:rPr>
              <w:t>Computershare Trust Company, N.A.</w:t>
            </w:r>
          </w:p>
        </w:tc>
        <w:tc>
          <w:tcPr>
            <w:tcW w:w="5140" w:type="dxa"/>
            <w:vAlign w:val="bottom"/>
          </w:tcPr>
          <w:p>
            <w:pPr>
              <w:ind w:left="480"/>
              <w:spacing w:after="0"/>
              <w:rPr>
                <w:sz w:val="20"/>
                <w:szCs w:val="20"/>
                <w:color w:val="auto"/>
              </w:rPr>
            </w:pPr>
            <w:r>
              <w:rPr>
                <w:rFonts w:ascii="Arial" w:cs="Arial" w:eastAsia="Arial" w:hAnsi="Arial"/>
                <w:sz w:val="16"/>
                <w:szCs w:val="16"/>
                <w:color w:val="FFFFFF"/>
              </w:rPr>
              <w:t>contact Investor Relations at: (301) 968-9300 or</w:t>
            </w: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r>
              <w:rPr>
                <w:rFonts w:ascii="Arial" w:cs="Arial" w:eastAsia="Arial" w:hAnsi="Arial"/>
                <w:sz w:val="16"/>
                <w:szCs w:val="16"/>
                <w:color w:val="FFFFFF"/>
              </w:rPr>
              <w:t>Investor Services</w:t>
            </w:r>
          </w:p>
        </w:tc>
        <w:tc>
          <w:tcPr>
            <w:tcW w:w="5140" w:type="dxa"/>
            <w:vAlign w:val="bottom"/>
          </w:tcPr>
          <w:p>
            <w:pPr>
              <w:ind w:left="480"/>
              <w:spacing w:after="0"/>
              <w:rPr>
                <w:sz w:val="20"/>
                <w:szCs w:val="20"/>
                <w:color w:val="auto"/>
              </w:rPr>
            </w:pPr>
            <w:r>
              <w:rPr>
                <w:rFonts w:ascii="Arial" w:cs="Arial" w:eastAsia="Arial" w:hAnsi="Arial"/>
                <w:sz w:val="16"/>
                <w:szCs w:val="16"/>
                <w:color w:val="FFFFFF"/>
              </w:rPr>
              <w:t>IR@AGNC.com.</w:t>
            </w: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r>
              <w:rPr>
                <w:rFonts w:ascii="Arial" w:cs="Arial" w:eastAsia="Arial" w:hAnsi="Arial"/>
                <w:sz w:val="16"/>
                <w:szCs w:val="16"/>
                <w:color w:val="FFFFFF"/>
              </w:rPr>
              <w:t>P.O. Box 43006</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r>
              <w:rPr>
                <w:rFonts w:ascii="Arial" w:cs="Arial" w:eastAsia="Arial" w:hAnsi="Arial"/>
                <w:sz w:val="16"/>
                <w:szCs w:val="16"/>
                <w:color w:val="FFFFFF"/>
              </w:rPr>
              <w:t>Providence, RI 02940-3006</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r>
              <w:rPr>
                <w:rFonts w:ascii="Arial" w:cs="Arial" w:eastAsia="Arial" w:hAnsi="Arial"/>
                <w:sz w:val="16"/>
                <w:szCs w:val="16"/>
                <w:color w:val="FFFFFF"/>
              </w:rPr>
              <w:t>(800) 733-5001</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4920" w:type="dxa"/>
            <w:vAlign w:val="bottom"/>
          </w:tcPr>
          <w:p>
            <w:pPr>
              <w:spacing w:after="0"/>
              <w:rPr>
                <w:sz w:val="20"/>
                <w:szCs w:val="20"/>
                <w:color w:val="auto"/>
              </w:rPr>
            </w:pPr>
            <w:r>
              <w:rPr>
                <w:rFonts w:ascii="Arial" w:cs="Arial" w:eastAsia="Arial" w:hAnsi="Arial"/>
                <w:sz w:val="16"/>
                <w:szCs w:val="16"/>
                <w:color w:val="FFFFFF"/>
              </w:rPr>
              <w:t>www.computershare.com/investor</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10360"/>
          </w:cols>
          <w:pgMar w:left="720" w:top="577" w:right="800" w:bottom="272"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FFFFFF"/>
        </w:rPr>
        <w:t>7373 Wisconsin Avenue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22nd Floor</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FFFFFF"/>
        </w:rPr>
        <w:t>Bethesda, MD 20814</w:t>
      </w:r>
    </w:p>
    <w:p>
      <w:pPr>
        <w:spacing w:after="0" w:line="200" w:lineRule="exact"/>
        <w:rPr>
          <w:sz w:val="20"/>
          <w:szCs w:val="20"/>
          <w:color w:val="auto"/>
        </w:rPr>
      </w:pPr>
    </w:p>
    <w:p>
      <w:pPr>
        <w:spacing w:after="0" w:line="270" w:lineRule="exact"/>
        <w:rPr>
          <w:sz w:val="20"/>
          <w:szCs w:val="20"/>
          <w:color w:val="auto"/>
        </w:rPr>
      </w:pPr>
    </w:p>
    <w:p>
      <w:pPr>
        <w:spacing w:after="0"/>
        <w:tabs>
          <w:tab w:leader="none" w:pos="2860" w:val="left"/>
        </w:tabs>
        <w:rPr>
          <w:sz w:val="20"/>
          <w:szCs w:val="20"/>
          <w:color w:val="auto"/>
        </w:rPr>
      </w:pPr>
      <w:r>
        <w:rPr>
          <w:rFonts w:ascii="Arial" w:cs="Arial" w:eastAsia="Arial" w:hAnsi="Arial"/>
          <w:sz w:val="20"/>
          <w:szCs w:val="20"/>
          <w:color w:val="FFFFFF"/>
        </w:rPr>
        <w:t>(301) 968-9315</w:t>
      </w:r>
      <w:r>
        <w:rPr>
          <w:sz w:val="20"/>
          <w:szCs w:val="20"/>
          <w:color w:val="auto"/>
        </w:rPr>
        <w:tab/>
      </w:r>
      <w:r>
        <w:rPr>
          <w:rFonts w:ascii="Arial" w:cs="Arial" w:eastAsia="Arial" w:hAnsi="Arial"/>
          <w:sz w:val="20"/>
          <w:szCs w:val="20"/>
          <w:color w:val="FFFFFF"/>
        </w:rPr>
        <w:t>www.AGNC.com</w:t>
      </w:r>
    </w:p>
    <w:p>
      <w:pPr>
        <w:spacing w:after="0" w:line="50" w:lineRule="exact"/>
        <w:rPr>
          <w:sz w:val="20"/>
          <w:szCs w:val="20"/>
          <w:color w:val="auto"/>
        </w:rPr>
      </w:pPr>
    </w:p>
    <w:p>
      <w:pPr>
        <w:spacing w:after="0"/>
        <w:tabs>
          <w:tab w:leader="none" w:pos="2860" w:val="left"/>
        </w:tabs>
        <w:rPr>
          <w:sz w:val="20"/>
          <w:szCs w:val="20"/>
          <w:color w:val="auto"/>
        </w:rPr>
      </w:pPr>
      <w:r>
        <w:rPr>
          <w:rFonts w:ascii="Arial" w:cs="Arial" w:eastAsia="Arial" w:hAnsi="Arial"/>
          <w:sz w:val="20"/>
          <w:szCs w:val="20"/>
          <w:color w:val="FFFFFF"/>
        </w:rPr>
        <w:t>IR@AGNC.com</w:t>
      </w:r>
      <w:r>
        <w:rPr>
          <w:sz w:val="20"/>
          <w:szCs w:val="20"/>
          <w:color w:val="auto"/>
        </w:rPr>
        <w:tab/>
      </w:r>
      <w:r>
        <w:rPr>
          <w:rFonts w:ascii="Arial" w:cs="Arial" w:eastAsia="Arial" w:hAnsi="Arial"/>
          <w:sz w:val="20"/>
          <w:szCs w:val="20"/>
          <w:color w:val="FFFFFF"/>
        </w:rPr>
        <w:t>Nasdaq: AGNC</w:t>
      </w:r>
    </w:p>
    <w:p>
      <w:pPr>
        <w:sectPr>
          <w:pgSz w:w="11880" w:h="15480" w:orient="portrait"/>
          <w:cols w:equalWidth="0" w:num="1">
            <w:col w:w="9700"/>
          </w:cols>
          <w:pgMar w:left="740" w:top="1440" w:right="1440" w:bottom="2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FFFFF"/>
        </w:rPr>
        <w:t>002CSNF6A2</w:t>
      </w:r>
    </w:p>
    <w:sectPr>
      <w:pgSz w:w="11880" w:h="15480" w:orient="portrait"/>
      <w:cols w:equalWidth="0" w:num="1">
        <w:col w:w="9700"/>
      </w:cols>
      <w:pgMar w:left="740" w:top="1440" w:right="1440" w:bottom="2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50"/>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lowerRoman"/>
      <w:start w:val="3"/>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3"/>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decimal"/>
      <w:start w:val="4"/>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lowerLetter"/>
      <w:start w:val="1"/>
    </w:lvl>
    <w:lvl w:ilvl="1">
      <w:lvlJc w:val="left"/>
      <w:lvlText w:val="(%2)"/>
      <w:numFmt w:val="decimal"/>
      <w:start w:val="1"/>
    </w:lvl>
  </w:abstractNum>
  <w:abstractNum w:abstractNumId="62">
    <w:nsid w:val="2F305DEF"/>
    <w:multiLevelType w:val="hybridMultilevel"/>
    <w:lvl w:ilvl="0">
      <w:lvlJc w:val="left"/>
      <w:lvlText w:val="%1"/>
      <w:numFmt w:val="decimal"/>
      <w:start w:val="21"/>
    </w:lvl>
    <w:lvl w:ilvl="1">
      <w:lvlJc w:val="left"/>
      <w:lvlText w:val="%2)"/>
      <w:numFmt w:val="decimal"/>
      <w:start w:val="1"/>
    </w:lvl>
  </w:abstractNum>
  <w:abstractNum w:abstractNumId="63">
    <w:nsid w:val="25A70BF7"/>
    <w:multiLevelType w:val="hybridMultilevel"/>
    <w:lvl w:ilvl="0">
      <w:lvlJc w:val="left"/>
      <w:lvlText w:val="%1"/>
      <w:numFmt w:val="decimal"/>
      <w:start w:val="23"/>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2025-03-13T20:14:51Z</dcterms:created>
  <dcterms:modified xsi:type="dcterms:W3CDTF">2025-03-13T20:14:51Z</dcterms:modified>
</cp:coreProperties>
</file>