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517525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647700</wp:posOffset>
            </wp:positionH>
            <wp:positionV relativeFrom="paragraph">
              <wp:posOffset>-199390</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358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14" w:lineRule="exact"/>
        <w:rPr>
          <w:sz w:val="24"/>
          <w:szCs w:val="24"/>
          <w:color w:val="auto"/>
        </w:rPr>
      </w:pPr>
    </w:p>
    <w:p>
      <w:pPr>
        <w:ind w:left="3620"/>
        <w:spacing w:after="0"/>
        <w:rPr>
          <w:sz w:val="20"/>
          <w:szCs w:val="20"/>
          <w:color w:val="auto"/>
        </w:rPr>
      </w:pPr>
      <w:r>
        <w:rPr>
          <w:rFonts w:ascii="Arial" w:cs="Arial" w:eastAsia="Arial" w:hAnsi="Arial"/>
          <w:sz w:val="16"/>
          <w:szCs w:val="16"/>
          <w:color w:val="auto"/>
        </w:rPr>
        <w:t>__________________________________________________</w:t>
      </w:r>
    </w:p>
    <w:p>
      <w:pPr>
        <w:spacing w:after="0" w:line="4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CURRENT REPORT</w:t>
      </w:r>
    </w:p>
    <w:p>
      <w:pPr>
        <w:spacing w:after="0" w:line="208"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67"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Date of Report (Date of earliest event reported): March 31, 2020</w:t>
      </w:r>
    </w:p>
    <w:p>
      <w:pPr>
        <w:spacing w:after="0" w:line="23"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AGNC INVESTMENT CORP.</w:t>
      </w:r>
    </w:p>
    <w:p>
      <w:pPr>
        <w:sectPr>
          <w:pgSz w:w="11900" w:h="16838" w:orient="portrait"/>
          <w:cols w:equalWidth="0" w:num="1">
            <w:col w:w="11240"/>
          </w:cols>
          <w:pgMar w:left="320" w:top="931" w:right="339" w:bottom="1440" w:gutter="0" w:footer="0" w:header="0"/>
        </w:sectPr>
      </w:pPr>
    </w:p>
    <w:p>
      <w:pPr>
        <w:spacing w:after="0" w:line="200" w:lineRule="exact"/>
        <w:rPr>
          <w:sz w:val="24"/>
          <w:szCs w:val="24"/>
          <w:color w:val="auto"/>
        </w:rPr>
      </w:pPr>
    </w:p>
    <w:p>
      <w:pPr>
        <w:spacing w:after="0" w:line="369" w:lineRule="exact"/>
        <w:rPr>
          <w:sz w:val="24"/>
          <w:szCs w:val="24"/>
          <w:color w:val="auto"/>
        </w:rPr>
      </w:pPr>
    </w:p>
    <w:p>
      <w:pPr>
        <w:jc w:val="center"/>
        <w:ind w:left="1720"/>
        <w:spacing w:after="0"/>
        <w:rPr>
          <w:sz w:val="20"/>
          <w:szCs w:val="20"/>
          <w:color w:val="auto"/>
        </w:rPr>
      </w:pPr>
      <w:r>
        <w:rPr>
          <w:rFonts w:ascii="Arial" w:cs="Arial" w:eastAsia="Arial" w:hAnsi="Arial"/>
          <w:sz w:val="16"/>
          <w:szCs w:val="16"/>
          <w:b w:val="1"/>
          <w:bCs w:val="1"/>
          <w:color w:val="auto"/>
        </w:rPr>
        <w:t>Delaware</w:t>
      </w:r>
    </w:p>
    <w:p>
      <w:pPr>
        <w:spacing w:after="0" w:line="68" w:lineRule="exact"/>
        <w:rPr>
          <w:sz w:val="24"/>
          <w:szCs w:val="24"/>
          <w:color w:val="auto"/>
        </w:rPr>
      </w:pPr>
    </w:p>
    <w:p>
      <w:pPr>
        <w:ind w:left="1740"/>
        <w:spacing w:after="0"/>
        <w:rPr>
          <w:sz w:val="20"/>
          <w:szCs w:val="20"/>
          <w:color w:val="auto"/>
        </w:rPr>
      </w:pPr>
      <w:r>
        <w:rPr>
          <w:rFonts w:ascii="Arial" w:cs="Arial" w:eastAsia="Arial" w:hAnsi="Arial"/>
          <w:sz w:val="10"/>
          <w:szCs w:val="10"/>
          <w:b w:val="1"/>
          <w:bCs w:val="1"/>
          <w:color w:val="auto"/>
        </w:rPr>
        <w:t>(State or Other Jurisdiction of</w:t>
      </w:r>
    </w:p>
    <w:p>
      <w:pPr>
        <w:spacing w:after="0" w:line="34" w:lineRule="exact"/>
        <w:rPr>
          <w:sz w:val="24"/>
          <w:szCs w:val="24"/>
          <w:color w:val="auto"/>
        </w:rPr>
      </w:pPr>
    </w:p>
    <w:p>
      <w:pPr>
        <w:ind w:left="1720"/>
        <w:spacing w:after="0"/>
        <w:rPr>
          <w:sz w:val="20"/>
          <w:szCs w:val="20"/>
          <w:color w:val="auto"/>
        </w:rPr>
      </w:pPr>
      <w:r>
        <w:rPr>
          <w:rFonts w:ascii="Arial" w:cs="Arial" w:eastAsia="Arial" w:hAnsi="Arial"/>
          <w:sz w:val="10"/>
          <w:szCs w:val="10"/>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7" w:lineRule="exact"/>
        <w:rPr>
          <w:sz w:val="24"/>
          <w:szCs w:val="24"/>
          <w:color w:val="auto"/>
        </w:rPr>
      </w:pPr>
    </w:p>
    <w:p>
      <w:pPr>
        <w:jc w:val="center"/>
        <w:ind w:right="3600"/>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spacing w:after="0"/>
        <w:rPr>
          <w:sz w:val="20"/>
          <w:szCs w:val="20"/>
          <w:color w:val="auto"/>
        </w:rPr>
      </w:pPr>
      <w:r>
        <w:rPr>
          <w:rFonts w:ascii="Arial" w:cs="Arial" w:eastAsia="Arial" w:hAnsi="Arial"/>
          <w:sz w:val="16"/>
          <w:szCs w:val="16"/>
          <w:color w:val="auto"/>
        </w:rPr>
        <w:t>__________________________________________________</w:t>
      </w:r>
    </w:p>
    <w:p>
      <w:pPr>
        <w:spacing w:after="0" w:line="149" w:lineRule="exact"/>
        <w:rPr>
          <w:sz w:val="24"/>
          <w:szCs w:val="24"/>
          <w:color w:val="auto"/>
        </w:rPr>
      </w:pPr>
    </w:p>
    <w:tbl>
      <w:tblPr>
        <w:tblLayout w:type="fixed"/>
        <w:tblInd w:w="1300" w:type="dxa"/>
        <w:tblCellMar>
          <w:top w:w="0" w:type="dxa"/>
          <w:left w:w="0" w:type="dxa"/>
          <w:bottom w:w="0" w:type="dxa"/>
          <w:right w:w="0" w:type="dxa"/>
        </w:tblCellMar>
      </w:tblPr>
      <w:tr>
        <w:trPr>
          <w:trHeight w:val="210"/>
        </w:trPr>
        <w:tc>
          <w:tcPr>
            <w:tcW w:w="2380" w:type="dxa"/>
            <w:vAlign w:val="bottom"/>
          </w:tcPr>
          <w:p>
            <w:pPr>
              <w:jc w:val="right"/>
              <w:ind w:right="1228"/>
              <w:spacing w:after="0"/>
              <w:rPr>
                <w:sz w:val="20"/>
                <w:szCs w:val="20"/>
                <w:color w:val="auto"/>
              </w:rPr>
            </w:pPr>
            <w:r>
              <w:rPr>
                <w:rFonts w:ascii="Arial" w:cs="Arial" w:eastAsia="Arial" w:hAnsi="Arial"/>
                <w:sz w:val="16"/>
                <w:szCs w:val="16"/>
                <w:b w:val="1"/>
                <w:bCs w:val="1"/>
                <w:color w:val="auto"/>
              </w:rPr>
              <w:t>001-34057</w:t>
            </w:r>
          </w:p>
        </w:tc>
        <w:tc>
          <w:tcPr>
            <w:tcW w:w="1900" w:type="dxa"/>
            <w:vAlign w:val="bottom"/>
          </w:tcPr>
          <w:p>
            <w:pPr>
              <w:jc w:val="center"/>
              <w:ind w:left="851"/>
              <w:spacing w:after="0"/>
              <w:rPr>
                <w:sz w:val="20"/>
                <w:szCs w:val="20"/>
                <w:color w:val="auto"/>
              </w:rPr>
            </w:pPr>
            <w:r>
              <w:rPr>
                <w:rFonts w:ascii="Arial" w:cs="Arial" w:eastAsia="Arial" w:hAnsi="Arial"/>
                <w:sz w:val="16"/>
                <w:szCs w:val="16"/>
                <w:b w:val="1"/>
                <w:bCs w:val="1"/>
                <w:color w:val="auto"/>
                <w:w w:val="91"/>
              </w:rPr>
              <w:t>26-1701984</w:t>
            </w:r>
          </w:p>
        </w:tc>
      </w:tr>
      <w:tr>
        <w:trPr>
          <w:trHeight w:val="177"/>
        </w:trPr>
        <w:tc>
          <w:tcPr>
            <w:tcW w:w="2380" w:type="dxa"/>
            <w:vAlign w:val="bottom"/>
          </w:tcPr>
          <w:p>
            <w:pPr>
              <w:spacing w:after="0"/>
              <w:rPr>
                <w:sz w:val="15"/>
                <w:szCs w:val="15"/>
                <w:color w:val="auto"/>
              </w:rPr>
            </w:pPr>
          </w:p>
        </w:tc>
        <w:tc>
          <w:tcPr>
            <w:tcW w:w="1900" w:type="dxa"/>
            <w:vAlign w:val="bottom"/>
          </w:tcPr>
          <w:p>
            <w:pPr>
              <w:jc w:val="center"/>
              <w:ind w:left="851"/>
              <w:spacing w:after="0"/>
              <w:rPr>
                <w:sz w:val="20"/>
                <w:szCs w:val="20"/>
                <w:color w:val="auto"/>
              </w:rPr>
            </w:pPr>
            <w:r>
              <w:rPr>
                <w:rFonts w:ascii="Arial" w:cs="Arial" w:eastAsia="Arial" w:hAnsi="Arial"/>
                <w:sz w:val="13"/>
                <w:szCs w:val="13"/>
                <w:b w:val="1"/>
                <w:bCs w:val="1"/>
                <w:color w:val="auto"/>
                <w:w w:val="90"/>
              </w:rPr>
              <w:t>(I.R.S. Employer</w:t>
            </w:r>
          </w:p>
        </w:tc>
      </w:tr>
      <w:tr>
        <w:trPr>
          <w:trHeight w:val="178"/>
        </w:trPr>
        <w:tc>
          <w:tcPr>
            <w:tcW w:w="2380" w:type="dxa"/>
            <w:vAlign w:val="bottom"/>
          </w:tcPr>
          <w:p>
            <w:pPr>
              <w:jc w:val="center"/>
              <w:ind w:right="848"/>
              <w:spacing w:after="0"/>
              <w:rPr>
                <w:sz w:val="20"/>
                <w:szCs w:val="20"/>
                <w:color w:val="auto"/>
              </w:rPr>
            </w:pPr>
            <w:r>
              <w:rPr>
                <w:rFonts w:ascii="Arial" w:cs="Arial" w:eastAsia="Arial" w:hAnsi="Arial"/>
                <w:sz w:val="13"/>
                <w:szCs w:val="13"/>
                <w:b w:val="1"/>
                <w:bCs w:val="1"/>
                <w:color w:val="auto"/>
                <w:w w:val="88"/>
              </w:rPr>
              <w:t>(Commission File Number)</w:t>
            </w:r>
          </w:p>
        </w:tc>
        <w:tc>
          <w:tcPr>
            <w:tcW w:w="1900" w:type="dxa"/>
            <w:vAlign w:val="bottom"/>
          </w:tcPr>
          <w:p>
            <w:pPr>
              <w:jc w:val="center"/>
              <w:ind w:left="851"/>
              <w:spacing w:after="0"/>
              <w:rPr>
                <w:sz w:val="20"/>
                <w:szCs w:val="20"/>
                <w:color w:val="auto"/>
              </w:rPr>
            </w:pPr>
            <w:r>
              <w:rPr>
                <w:rFonts w:ascii="Arial" w:cs="Arial" w:eastAsia="Arial" w:hAnsi="Arial"/>
                <w:sz w:val="13"/>
                <w:szCs w:val="13"/>
                <w:b w:val="1"/>
                <w:bCs w:val="1"/>
                <w:color w:val="auto"/>
                <w:w w:val="89"/>
              </w:rPr>
              <w:t>Identification No.)</w:t>
            </w:r>
          </w:p>
        </w:tc>
      </w:tr>
    </w:tbl>
    <w:p>
      <w:pPr>
        <w:spacing w:after="0" w:line="56" w:lineRule="exact"/>
        <w:rPr>
          <w:sz w:val="24"/>
          <w:szCs w:val="24"/>
          <w:color w:val="auto"/>
        </w:rPr>
      </w:pPr>
    </w:p>
    <w:p>
      <w:pPr>
        <w:sectPr>
          <w:pgSz w:w="11900" w:h="16838" w:orient="portrait"/>
          <w:cols w:equalWidth="0" w:num="2">
            <w:col w:w="3400" w:space="200"/>
            <w:col w:w="7640"/>
          </w:cols>
          <w:pgMar w:left="320" w:top="931" w:right="339" w:bottom="1440" w:gutter="0" w:footer="0" w:header="0"/>
          <w:type w:val="continuous"/>
        </w:sectPr>
      </w:pPr>
    </w:p>
    <w:p>
      <w:pPr>
        <w:jc w:val="center"/>
        <w:spacing w:after="0"/>
        <w:rPr>
          <w:sz w:val="20"/>
          <w:szCs w:val="20"/>
          <w:color w:val="auto"/>
        </w:rPr>
      </w:pPr>
      <w:r>
        <w:rPr>
          <w:rFonts w:ascii="Arial" w:cs="Arial" w:eastAsia="Arial" w:hAnsi="Arial"/>
          <w:sz w:val="16"/>
          <w:szCs w:val="16"/>
          <w:b w:val="1"/>
          <w:bCs w:val="1"/>
          <w:color w:val="auto"/>
        </w:rPr>
        <w:t>2 Bethesda Metro Center, 12th Floor</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Bethesda, Maryland 20814</w:t>
      </w:r>
    </w:p>
    <w:p>
      <w:pPr>
        <w:jc w:val="center"/>
        <w:spacing w:after="0"/>
        <w:rPr>
          <w:sz w:val="20"/>
          <w:szCs w:val="20"/>
          <w:color w:val="auto"/>
        </w:rPr>
      </w:pPr>
      <w:r>
        <w:rPr>
          <w:rFonts w:ascii="Arial" w:cs="Arial" w:eastAsia="Arial" w:hAnsi="Arial"/>
          <w:sz w:val="13"/>
          <w:szCs w:val="13"/>
          <w:b w:val="1"/>
          <w:bCs w:val="1"/>
          <w:color w:val="auto"/>
        </w:rPr>
        <w:t>(Address of principal executive offices)</w:t>
      </w:r>
    </w:p>
    <w:p>
      <w:pPr>
        <w:spacing w:after="0" w:line="201"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Registrant’s telephone number, including area code:</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(301) 968-9300</w:t>
      </w:r>
    </w:p>
    <w:p>
      <w:pPr>
        <w:spacing w:after="0" w:line="210" w:lineRule="exact"/>
        <w:rPr>
          <w:sz w:val="24"/>
          <w:szCs w:val="24"/>
          <w:color w:val="auto"/>
        </w:rPr>
      </w:pPr>
    </w:p>
    <w:p>
      <w:pPr>
        <w:jc w:val="center"/>
        <w:spacing w:after="0"/>
        <w:rPr>
          <w:sz w:val="20"/>
          <w:szCs w:val="20"/>
          <w:color w:val="auto"/>
        </w:rPr>
      </w:pPr>
      <w:r>
        <w:rPr>
          <w:rFonts w:ascii="Arial" w:cs="Arial" w:eastAsia="Arial" w:hAnsi="Arial"/>
          <w:sz w:val="16"/>
          <w:szCs w:val="16"/>
          <w:b w:val="1"/>
          <w:bCs w:val="1"/>
          <w:color w:val="auto"/>
        </w:rPr>
        <w:t>N/A</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Arial" w:cs="Arial" w:eastAsia="Arial" w:hAnsi="Arial"/>
          <w:sz w:val="18"/>
          <w:szCs w:val="18"/>
          <w:color w:val="auto"/>
        </w:rPr>
        <w:t>__________________________________________________</w:t>
      </w:r>
    </w:p>
    <w:p>
      <w:pPr>
        <w:spacing w:after="0" w:line="173" w:lineRule="exact"/>
        <w:rPr>
          <w:sz w:val="24"/>
          <w:szCs w:val="24"/>
          <w:color w:val="auto"/>
        </w:rPr>
      </w:pPr>
    </w:p>
    <w:p>
      <w:pPr>
        <w:spacing w:after="0"/>
        <w:rPr>
          <w:sz w:val="20"/>
          <w:szCs w:val="20"/>
          <w:color w:val="auto"/>
        </w:rPr>
      </w:pPr>
      <w:r>
        <w:rPr>
          <w:rFonts w:ascii="Arial" w:cs="Arial" w:eastAsia="Arial" w:hAnsi="Arial"/>
          <w:sz w:val="10"/>
          <w:szCs w:val="10"/>
          <w:color w:val="auto"/>
        </w:rPr>
        <w:t>Check the appropriate box below if the Form 8-K filing is intended to simultaneously satisfy the filing obligation of the registrant under any of the following provisions:</w:t>
      </w:r>
    </w:p>
    <w:p>
      <w:pPr>
        <w:spacing w:after="0" w:line="265" w:lineRule="exact"/>
        <w:rPr>
          <w:sz w:val="24"/>
          <w:szCs w:val="24"/>
          <w:color w:val="auto"/>
        </w:rPr>
      </w:pPr>
    </w:p>
    <w:p>
      <w:pPr>
        <w:ind w:left="120"/>
        <w:spacing w:after="0"/>
        <w:tabs>
          <w:tab w:leader="none" w:pos="22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Written communications pursuant to Rule 425 under the Securities Act (17 CFR 230.425)</w:t>
      </w:r>
    </w:p>
    <w:p>
      <w:pPr>
        <w:spacing w:after="0" w:line="242" w:lineRule="exact"/>
        <w:rPr>
          <w:sz w:val="24"/>
          <w:szCs w:val="24"/>
          <w:color w:val="auto"/>
        </w:rPr>
      </w:pPr>
    </w:p>
    <w:p>
      <w:pPr>
        <w:ind w:left="120"/>
        <w:spacing w:after="0"/>
        <w:tabs>
          <w:tab w:leader="none" w:pos="220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Arial" w:cs="Arial" w:eastAsia="Arial" w:hAnsi="Arial"/>
          <w:sz w:val="13"/>
          <w:szCs w:val="13"/>
          <w:color w:val="auto"/>
        </w:rPr>
        <w:t>Soliciting material pursuant to Rule 14a-12 under the Exchange Act (17 CFR 240.14a-12)</w:t>
      </w:r>
    </w:p>
    <w:p>
      <w:pPr>
        <w:spacing w:after="0" w:line="242" w:lineRule="exact"/>
        <w:rPr>
          <w:sz w:val="24"/>
          <w:szCs w:val="24"/>
          <w:color w:val="auto"/>
        </w:rPr>
      </w:pPr>
    </w:p>
    <w:p>
      <w:pPr>
        <w:ind w:left="120"/>
        <w:spacing w:after="0"/>
        <w:tabs>
          <w:tab w:leader="none" w:pos="2200" w:val="left"/>
        </w:tabs>
        <w:rPr>
          <w:sz w:val="20"/>
          <w:szCs w:val="20"/>
          <w:color w:val="auto"/>
        </w:rPr>
      </w:pPr>
      <w:r>
        <w:rPr>
          <w:rFonts w:ascii="MS PGothic" w:cs="MS PGothic" w:eastAsia="MS PGothic" w:hAnsi="MS PGothic"/>
          <w:sz w:val="12"/>
          <w:szCs w:val="12"/>
          <w:color w:val="auto"/>
        </w:rPr>
        <w:t>☐</w:t>
      </w:r>
      <w:r>
        <w:rPr>
          <w:sz w:val="20"/>
          <w:szCs w:val="20"/>
          <w:color w:val="auto"/>
        </w:rPr>
        <w:tab/>
      </w:r>
      <w:r>
        <w:rPr>
          <w:rFonts w:ascii="Arial" w:cs="Arial" w:eastAsia="Arial" w:hAnsi="Arial"/>
          <w:sz w:val="12"/>
          <w:szCs w:val="12"/>
          <w:color w:val="auto"/>
        </w:rPr>
        <w:t xml:space="preserve">Pre-commencement communications pursuant to Rule 14d-2(b) under the Exchange Act </w:t>
      </w:r>
      <w:r>
        <w:rPr>
          <w:rFonts w:ascii="Arial" w:cs="Arial" w:eastAsia="Arial" w:hAnsi="Arial"/>
          <w:sz w:val="12"/>
          <w:szCs w:val="12"/>
          <w:i w:val="1"/>
          <w:iCs w:val="1"/>
          <w:color w:val="auto"/>
        </w:rPr>
        <w:t>(</w:t>
      </w:r>
      <w:r>
        <w:rPr>
          <w:rFonts w:ascii="Arial" w:cs="Arial" w:eastAsia="Arial" w:hAnsi="Arial"/>
          <w:sz w:val="12"/>
          <w:szCs w:val="12"/>
          <w:color w:val="auto"/>
        </w:rPr>
        <w:t>17 CFR 240.14d-2(b))</w:t>
      </w:r>
    </w:p>
    <w:p>
      <w:pPr>
        <w:spacing w:after="0" w:line="254" w:lineRule="exact"/>
        <w:rPr>
          <w:sz w:val="24"/>
          <w:szCs w:val="24"/>
          <w:color w:val="auto"/>
        </w:rPr>
      </w:pPr>
    </w:p>
    <w:p>
      <w:pPr>
        <w:ind w:left="120"/>
        <w:spacing w:after="0"/>
        <w:tabs>
          <w:tab w:leader="none" w:pos="2200" w:val="left"/>
        </w:tabs>
        <w:rPr>
          <w:sz w:val="20"/>
          <w:szCs w:val="20"/>
          <w:color w:val="auto"/>
        </w:rPr>
      </w:pPr>
      <w:r>
        <w:rPr>
          <w:rFonts w:ascii="MS PGothic" w:cs="MS PGothic" w:eastAsia="MS PGothic" w:hAnsi="MS PGothic"/>
          <w:sz w:val="12"/>
          <w:szCs w:val="12"/>
          <w:color w:val="auto"/>
        </w:rPr>
        <w:t>☐</w:t>
      </w:r>
      <w:r>
        <w:rPr>
          <w:sz w:val="20"/>
          <w:szCs w:val="20"/>
          <w:color w:val="auto"/>
        </w:rPr>
        <w:tab/>
      </w:r>
      <w:r>
        <w:rPr>
          <w:rFonts w:ascii="Arial" w:cs="Arial" w:eastAsia="Arial" w:hAnsi="Arial"/>
          <w:sz w:val="12"/>
          <w:szCs w:val="12"/>
          <w:color w:val="auto"/>
        </w:rPr>
        <w:t>Pre-commencement communications pursuant to Rule 13e-4(c) under the Exchange Act (17 CFR 240.13e-4(c))</w:t>
      </w:r>
    </w:p>
    <w:p>
      <w:pPr>
        <w:sectPr>
          <w:pgSz w:w="11900" w:h="16838" w:orient="portrait"/>
          <w:cols w:equalWidth="0" w:num="1">
            <w:col w:w="11240"/>
          </w:cols>
          <w:pgMar w:left="320" w:top="931" w:right="339" w:bottom="1440" w:gutter="0" w:footer="0" w:header="0"/>
          <w:type w:val="continuous"/>
        </w:sectPr>
      </w:pPr>
    </w:p>
    <w:p>
      <w:pPr>
        <w:spacing w:after="0" w:line="184" w:lineRule="exact"/>
        <w:rPr>
          <w:sz w:val="24"/>
          <w:szCs w:val="24"/>
          <w:color w:val="auto"/>
        </w:rPr>
      </w:pPr>
    </w:p>
    <w:p>
      <w:pPr>
        <w:spacing w:after="0"/>
        <w:rPr>
          <w:sz w:val="20"/>
          <w:szCs w:val="20"/>
          <w:color w:val="auto"/>
        </w:rPr>
      </w:pPr>
      <w:r>
        <w:rPr>
          <w:rFonts w:ascii="Arial" w:cs="Arial" w:eastAsia="Arial" w:hAnsi="Arial"/>
          <w:sz w:val="13"/>
          <w:szCs w:val="13"/>
          <w:color w:val="auto"/>
        </w:rPr>
        <w:t>Securities registered pursuant to Section 12(b) of the Act:</w:t>
      </w:r>
    </w:p>
    <w:p>
      <w:pPr>
        <w:spacing w:after="0" w:line="238" w:lineRule="exact"/>
        <w:rPr>
          <w:sz w:val="24"/>
          <w:szCs w:val="24"/>
          <w:color w:val="auto"/>
        </w:rPr>
      </w:pPr>
    </w:p>
    <w:p>
      <w:pPr>
        <w:ind w:left="2080"/>
        <w:spacing w:after="0"/>
        <w:rPr>
          <w:sz w:val="20"/>
          <w:szCs w:val="20"/>
          <w:color w:val="auto"/>
        </w:rPr>
      </w:pPr>
      <w:r>
        <w:rPr>
          <w:rFonts w:ascii="Arial" w:cs="Arial" w:eastAsia="Arial" w:hAnsi="Arial"/>
          <w:sz w:val="13"/>
          <w:szCs w:val="13"/>
          <w:b w:val="1"/>
          <w:bCs w:val="1"/>
          <w:color w:val="auto"/>
        </w:rPr>
        <w:t>Title of Each Class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32829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82950" cy="8890"/>
                    </a:xfrm>
                    <a:prstGeom prst="rect">
                      <a:avLst/>
                    </a:prstGeom>
                    <a:noFill/>
                  </pic:spPr>
                </pic:pic>
              </a:graphicData>
            </a:graphic>
          </wp:anchor>
        </w:drawing>
      </w:r>
    </w:p>
    <w:p>
      <w:pPr>
        <w:spacing w:after="0" w:line="64" w:lineRule="exact"/>
        <w:rPr>
          <w:sz w:val="24"/>
          <w:szCs w:val="24"/>
          <w:color w:val="auto"/>
        </w:rPr>
      </w:pPr>
    </w:p>
    <w:p>
      <w:pPr>
        <w:ind w:left="1540"/>
        <w:spacing w:after="0"/>
        <w:rPr>
          <w:sz w:val="20"/>
          <w:szCs w:val="20"/>
          <w:color w:val="auto"/>
        </w:rPr>
      </w:pPr>
      <w:r>
        <w:rPr>
          <w:rFonts w:ascii="Arial" w:cs="Arial" w:eastAsia="Arial" w:hAnsi="Arial"/>
          <w:sz w:val="13"/>
          <w:szCs w:val="13"/>
          <w:color w:val="auto"/>
        </w:rPr>
        <w:t>Common Stock, par value $0.01 per share</w:t>
      </w:r>
    </w:p>
    <w:p>
      <w:pPr>
        <w:spacing w:after="0" w:line="80" w:lineRule="exact"/>
        <w:rPr>
          <w:sz w:val="24"/>
          <w:szCs w:val="24"/>
          <w:color w:val="auto"/>
        </w:rPr>
      </w:pPr>
    </w:p>
    <w:p>
      <w:pPr>
        <w:ind w:left="160"/>
        <w:spacing w:after="0"/>
        <w:rPr>
          <w:sz w:val="20"/>
          <w:szCs w:val="20"/>
          <w:color w:val="auto"/>
        </w:rPr>
      </w:pPr>
      <w:r>
        <w:rPr>
          <w:rFonts w:ascii="Arial" w:cs="Arial" w:eastAsia="Arial" w:hAnsi="Arial"/>
          <w:sz w:val="10"/>
          <w:szCs w:val="10"/>
          <w:color w:val="auto"/>
        </w:rPr>
        <w:t>Depositary shares of 7.000% Series C Fixed-to-Floating Rate Cumulative Redeemable Preferred</w:t>
      </w:r>
    </w:p>
    <w:p>
      <w:pPr>
        <w:spacing w:after="0" w:line="30" w:lineRule="exact"/>
        <w:rPr>
          <w:sz w:val="24"/>
          <w:szCs w:val="24"/>
          <w:color w:val="auto"/>
        </w:rPr>
      </w:pPr>
    </w:p>
    <w:p>
      <w:pPr>
        <w:ind w:left="2440"/>
        <w:spacing w:after="0"/>
        <w:rPr>
          <w:sz w:val="20"/>
          <w:szCs w:val="20"/>
          <w:color w:val="auto"/>
        </w:rPr>
      </w:pPr>
      <w:r>
        <w:rPr>
          <w:rFonts w:ascii="Arial" w:cs="Arial" w:eastAsia="Arial" w:hAnsi="Arial"/>
          <w:sz w:val="13"/>
          <w:szCs w:val="13"/>
          <w:color w:val="auto"/>
        </w:rPr>
        <w:t>Stock</w:t>
      </w:r>
    </w:p>
    <w:p>
      <w:pPr>
        <w:spacing w:after="0" w:line="30" w:lineRule="exact"/>
        <w:rPr>
          <w:sz w:val="24"/>
          <w:szCs w:val="24"/>
          <w:color w:val="auto"/>
        </w:rPr>
      </w:pPr>
    </w:p>
    <w:p>
      <w:pPr>
        <w:ind w:left="160"/>
        <w:spacing w:after="0"/>
        <w:rPr>
          <w:sz w:val="20"/>
          <w:szCs w:val="20"/>
          <w:color w:val="auto"/>
        </w:rPr>
      </w:pPr>
      <w:r>
        <w:rPr>
          <w:rFonts w:ascii="Arial" w:cs="Arial" w:eastAsia="Arial" w:hAnsi="Arial"/>
          <w:sz w:val="10"/>
          <w:szCs w:val="10"/>
          <w:color w:val="auto"/>
        </w:rPr>
        <w:t>Depositary shares of 6.875% Series D Fixed-to-Floating Rate Cumulative Redeemable Preferred</w:t>
      </w:r>
    </w:p>
    <w:p>
      <w:pPr>
        <w:spacing w:after="0" w:line="30" w:lineRule="exact"/>
        <w:rPr>
          <w:sz w:val="24"/>
          <w:szCs w:val="24"/>
          <w:color w:val="auto"/>
        </w:rPr>
      </w:pPr>
    </w:p>
    <w:p>
      <w:pPr>
        <w:ind w:left="2440"/>
        <w:spacing w:after="0"/>
        <w:rPr>
          <w:sz w:val="20"/>
          <w:szCs w:val="20"/>
          <w:color w:val="auto"/>
        </w:rPr>
      </w:pPr>
      <w:r>
        <w:rPr>
          <w:rFonts w:ascii="Arial" w:cs="Arial" w:eastAsia="Arial" w:hAnsi="Arial"/>
          <w:sz w:val="13"/>
          <w:szCs w:val="13"/>
          <w:color w:val="auto"/>
        </w:rPr>
        <w:t>Stock</w:t>
      </w:r>
    </w:p>
    <w:p>
      <w:pPr>
        <w:spacing w:after="0" w:line="70" w:lineRule="exact"/>
        <w:rPr>
          <w:sz w:val="24"/>
          <w:szCs w:val="24"/>
          <w:color w:val="auto"/>
        </w:rPr>
      </w:pPr>
    </w:p>
    <w:p>
      <w:pPr>
        <w:ind w:left="40"/>
        <w:spacing w:after="0"/>
        <w:rPr>
          <w:sz w:val="20"/>
          <w:szCs w:val="20"/>
          <w:color w:val="auto"/>
        </w:rPr>
      </w:pPr>
      <w:r>
        <w:rPr>
          <w:rFonts w:ascii="Arial" w:cs="Arial" w:eastAsia="Arial" w:hAnsi="Arial"/>
          <w:sz w:val="10"/>
          <w:szCs w:val="10"/>
          <w:color w:val="auto"/>
        </w:rPr>
        <w:t>Depositary shares of 6.50% Series E Fixed-to-Floating Rate Cumulative Redeemable Preferred Stock</w:t>
      </w:r>
    </w:p>
    <w:p>
      <w:pPr>
        <w:spacing w:after="0" w:line="115" w:lineRule="exact"/>
        <w:rPr>
          <w:sz w:val="24"/>
          <w:szCs w:val="24"/>
          <w:color w:val="auto"/>
        </w:rPr>
      </w:pPr>
    </w:p>
    <w:p>
      <w:pPr>
        <w:ind w:left="160"/>
        <w:spacing w:after="0"/>
        <w:rPr>
          <w:sz w:val="20"/>
          <w:szCs w:val="20"/>
          <w:color w:val="auto"/>
        </w:rPr>
      </w:pPr>
      <w:r>
        <w:rPr>
          <w:rFonts w:ascii="Arial" w:cs="Arial" w:eastAsia="Arial" w:hAnsi="Arial"/>
          <w:sz w:val="10"/>
          <w:szCs w:val="10"/>
          <w:color w:val="auto"/>
        </w:rPr>
        <w:t>Depositary shares of 6.125% Series F Fixed-to-Floating Rate Cumulative Redeemable Preferred</w:t>
      </w:r>
    </w:p>
    <w:p>
      <w:pPr>
        <w:spacing w:after="0" w:line="30" w:lineRule="exact"/>
        <w:rPr>
          <w:sz w:val="24"/>
          <w:szCs w:val="24"/>
          <w:color w:val="auto"/>
        </w:rPr>
      </w:pPr>
    </w:p>
    <w:p>
      <w:pPr>
        <w:jc w:val="center"/>
        <w:ind w:left="40"/>
        <w:spacing w:after="0"/>
        <w:rPr>
          <w:sz w:val="20"/>
          <w:szCs w:val="20"/>
          <w:color w:val="auto"/>
        </w:rPr>
      </w:pPr>
      <w:r>
        <w:rPr>
          <w:rFonts w:ascii="Arial" w:cs="Arial" w:eastAsia="Arial" w:hAnsi="Arial"/>
          <w:sz w:val="13"/>
          <w:szCs w:val="13"/>
          <w:color w:val="auto"/>
        </w:rPr>
        <w:t>Stock</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51"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74"/>
        </w:trPr>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Trading Symbol(s)</w:t>
            </w:r>
          </w:p>
        </w:tc>
        <w:tc>
          <w:tcPr>
            <w:tcW w:w="120" w:type="dxa"/>
            <w:vAlign w:val="bottom"/>
          </w:tcPr>
          <w:p>
            <w:pPr>
              <w:spacing w:after="0"/>
              <w:rPr>
                <w:sz w:val="15"/>
                <w:szCs w:val="15"/>
                <w:color w:val="auto"/>
              </w:rPr>
            </w:pPr>
          </w:p>
        </w:tc>
        <w:tc>
          <w:tcPr>
            <w:tcW w:w="426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r>
      <w:tr>
        <w:trPr>
          <w:trHeight w:val="200"/>
        </w:trPr>
        <w:tc>
          <w:tcPr>
            <w:tcW w:w="1680" w:type="dxa"/>
            <w:vAlign w:val="bottom"/>
            <w:gridSpan w:val="2"/>
          </w:tcPr>
          <w:p>
            <w:pPr>
              <w:jc w:val="center"/>
              <w:ind w:right="120"/>
              <w:spacing w:after="0"/>
              <w:rPr>
                <w:sz w:val="20"/>
                <w:szCs w:val="20"/>
                <w:color w:val="auto"/>
              </w:rPr>
            </w:pPr>
            <w:r>
              <w:rPr>
                <w:rFonts w:ascii="Arial" w:cs="Arial" w:eastAsia="Arial" w:hAnsi="Arial"/>
                <w:sz w:val="13"/>
                <w:szCs w:val="13"/>
                <w:color w:val="auto"/>
                <w:w w:val="95"/>
              </w:rPr>
              <w:t>AGNC</w:t>
            </w:r>
          </w:p>
        </w:tc>
        <w:tc>
          <w:tcPr>
            <w:tcW w:w="426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97"/>
        </w:trPr>
        <w:tc>
          <w:tcPr>
            <w:tcW w:w="1680" w:type="dxa"/>
            <w:vAlign w:val="bottom"/>
            <w:gridSpan w:val="2"/>
          </w:tcPr>
          <w:p>
            <w:pPr>
              <w:jc w:val="center"/>
              <w:ind w:right="120"/>
              <w:spacing w:after="0"/>
              <w:rPr>
                <w:sz w:val="20"/>
                <w:szCs w:val="20"/>
                <w:color w:val="auto"/>
              </w:rPr>
            </w:pPr>
            <w:r>
              <w:rPr>
                <w:rFonts w:ascii="Arial" w:cs="Arial" w:eastAsia="Arial" w:hAnsi="Arial"/>
                <w:sz w:val="13"/>
                <w:szCs w:val="13"/>
                <w:color w:val="auto"/>
                <w:w w:val="93"/>
              </w:rPr>
              <w:t>AGNCN</w:t>
            </w:r>
          </w:p>
        </w:tc>
        <w:tc>
          <w:tcPr>
            <w:tcW w:w="426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324"/>
        </w:trPr>
        <w:tc>
          <w:tcPr>
            <w:tcW w:w="1680" w:type="dxa"/>
            <w:vAlign w:val="bottom"/>
            <w:gridSpan w:val="2"/>
          </w:tcPr>
          <w:p>
            <w:pPr>
              <w:jc w:val="center"/>
              <w:ind w:right="120"/>
              <w:spacing w:after="0"/>
              <w:rPr>
                <w:sz w:val="20"/>
                <w:szCs w:val="20"/>
                <w:color w:val="auto"/>
              </w:rPr>
            </w:pPr>
            <w:r>
              <w:rPr>
                <w:rFonts w:ascii="Arial" w:cs="Arial" w:eastAsia="Arial" w:hAnsi="Arial"/>
                <w:sz w:val="13"/>
                <w:szCs w:val="13"/>
                <w:color w:val="auto"/>
                <w:w w:val="99"/>
              </w:rPr>
              <w:t>AGNCM</w:t>
            </w:r>
          </w:p>
        </w:tc>
        <w:tc>
          <w:tcPr>
            <w:tcW w:w="426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97"/>
        </w:trPr>
        <w:tc>
          <w:tcPr>
            <w:tcW w:w="1680" w:type="dxa"/>
            <w:vAlign w:val="bottom"/>
            <w:gridSpan w:val="2"/>
          </w:tcPr>
          <w:p>
            <w:pPr>
              <w:jc w:val="center"/>
              <w:ind w:right="120"/>
              <w:spacing w:after="0"/>
              <w:rPr>
                <w:sz w:val="20"/>
                <w:szCs w:val="20"/>
                <w:color w:val="auto"/>
              </w:rPr>
            </w:pPr>
            <w:r>
              <w:rPr>
                <w:rFonts w:ascii="Arial" w:cs="Arial" w:eastAsia="Arial" w:hAnsi="Arial"/>
                <w:sz w:val="13"/>
                <w:szCs w:val="13"/>
                <w:color w:val="auto"/>
                <w:w w:val="92"/>
              </w:rPr>
              <w:t>AGNCO</w:t>
            </w:r>
          </w:p>
        </w:tc>
        <w:tc>
          <w:tcPr>
            <w:tcW w:w="426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r>
        <w:trPr>
          <w:trHeight w:val="297"/>
        </w:trPr>
        <w:tc>
          <w:tcPr>
            <w:tcW w:w="1680" w:type="dxa"/>
            <w:vAlign w:val="bottom"/>
            <w:gridSpan w:val="2"/>
          </w:tcPr>
          <w:p>
            <w:pPr>
              <w:jc w:val="center"/>
              <w:ind w:right="120"/>
              <w:spacing w:after="0"/>
              <w:rPr>
                <w:sz w:val="20"/>
                <w:szCs w:val="20"/>
                <w:color w:val="auto"/>
              </w:rPr>
            </w:pPr>
            <w:r>
              <w:rPr>
                <w:rFonts w:ascii="Arial" w:cs="Arial" w:eastAsia="Arial" w:hAnsi="Arial"/>
                <w:sz w:val="13"/>
                <w:szCs w:val="13"/>
                <w:color w:val="auto"/>
                <w:w w:val="95"/>
              </w:rPr>
              <w:t>AGNCP</w:t>
            </w:r>
          </w:p>
        </w:tc>
        <w:tc>
          <w:tcPr>
            <w:tcW w:w="4260" w:type="dxa"/>
            <w:vAlign w:val="bottom"/>
          </w:tcPr>
          <w:p>
            <w:pPr>
              <w:jc w:val="center"/>
              <w:spacing w:after="0"/>
              <w:rPr>
                <w:sz w:val="20"/>
                <w:szCs w:val="20"/>
                <w:color w:val="auto"/>
              </w:rPr>
            </w:pPr>
            <w:r>
              <w:rPr>
                <w:rFonts w:ascii="Arial" w:cs="Arial" w:eastAsia="Arial" w:hAnsi="Arial"/>
                <w:sz w:val="13"/>
                <w:szCs w:val="13"/>
                <w:color w:val="auto"/>
                <w:w w:val="87"/>
              </w:rPr>
              <w:t>The Nasdaq Global Select Market</w:t>
            </w:r>
          </w:p>
        </w:tc>
      </w:tr>
    </w:tbl>
    <w:p>
      <w:pPr>
        <w:spacing w:after="0" w:line="231" w:lineRule="exact"/>
        <w:rPr>
          <w:sz w:val="24"/>
          <w:szCs w:val="24"/>
          <w:color w:val="auto"/>
        </w:rPr>
      </w:pPr>
    </w:p>
    <w:p>
      <w:pPr>
        <w:sectPr>
          <w:pgSz w:w="11900" w:h="16838" w:orient="portrait"/>
          <w:cols w:equalWidth="0" w:num="2">
            <w:col w:w="5140" w:space="160"/>
            <w:col w:w="5940"/>
          </w:cols>
          <w:pgMar w:left="320" w:top="931" w:right="339" w:bottom="1440" w:gutter="0" w:footer="0" w:header="0"/>
          <w:type w:val="continuous"/>
        </w:sectPr>
      </w:pPr>
    </w:p>
    <w:p>
      <w:pPr>
        <w:ind w:left="40" w:right="2200"/>
        <w:spacing w:after="0" w:line="236" w:lineRule="auto"/>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7" w:lineRule="exact"/>
        <w:rPr>
          <w:sz w:val="24"/>
          <w:szCs w:val="24"/>
          <w:color w:val="auto"/>
        </w:rPr>
      </w:pPr>
    </w:p>
    <w:p>
      <w:pPr>
        <w:ind w:left="40"/>
        <w:spacing w:after="0" w:line="150" w:lineRule="exact"/>
        <w:tabs>
          <w:tab w:leader="none" w:pos="2220" w:val="left"/>
        </w:tabs>
        <w:rPr>
          <w:sz w:val="20"/>
          <w:szCs w:val="20"/>
          <w:color w:val="auto"/>
        </w:rPr>
      </w:pPr>
      <w:r>
        <w:rPr>
          <w:rFonts w:ascii="Arial" w:cs="Arial" w:eastAsia="Arial" w:hAnsi="Arial"/>
          <w:sz w:val="13"/>
          <w:szCs w:val="13"/>
          <w:color w:val="auto"/>
        </w:rPr>
        <w:t>Emerging Growth Company</w:t>
      </w:r>
      <w:r>
        <w:rPr>
          <w:sz w:val="20"/>
          <w:szCs w:val="20"/>
          <w:color w:val="auto"/>
        </w:rPr>
        <w:tab/>
      </w:r>
      <w:r>
        <w:rPr>
          <w:rFonts w:ascii="MS PGothic" w:cs="MS PGothic" w:eastAsia="MS PGothic" w:hAnsi="MS PGothic"/>
          <w:sz w:val="10"/>
          <w:szCs w:val="10"/>
          <w:color w:val="auto"/>
        </w:rPr>
        <w:t>☐</w:t>
      </w:r>
    </w:p>
    <w:p>
      <w:pPr>
        <w:spacing w:after="0" w:line="47" w:lineRule="exact"/>
        <w:rPr>
          <w:sz w:val="24"/>
          <w:szCs w:val="24"/>
          <w:color w:val="auto"/>
        </w:rPr>
      </w:pPr>
    </w:p>
    <w:p>
      <w:pPr>
        <w:ind w:right="320"/>
        <w:spacing w:after="0" w:line="239"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647700</wp:posOffset>
            </wp:positionH>
            <wp:positionV relativeFrom="paragraph">
              <wp:posOffset>241935</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647700</wp:posOffset>
            </wp:positionH>
            <wp:positionV relativeFrom="paragraph">
              <wp:posOffset>156210</wp:posOffset>
            </wp:positionV>
            <wp:extent cx="5854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ectPr>
          <w:pgSz w:w="11900" w:h="16838" w:orient="portrait"/>
          <w:cols w:equalWidth="0" w:num="1">
            <w:col w:w="11240"/>
          </w:cols>
          <w:pgMar w:left="320" w:top="931"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7.01. Regulation FD Disclosure.</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On March 31, 2020, AGNC Investment Corp. (the “Company”) issued a press release providing an estimated range of tangible net book value per share and additional information regarding the Company's business (including portfolio information) as of March 27, 2020.</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 copy of the press release is attached hereto as Exhibit 99.1.</w:t>
      </w:r>
    </w:p>
    <w:p>
      <w:pPr>
        <w:spacing w:after="0" w:line="225" w:lineRule="exact"/>
        <w:rPr>
          <w:sz w:val="20"/>
          <w:szCs w:val="20"/>
          <w:color w:val="auto"/>
        </w:rPr>
      </w:pPr>
    </w:p>
    <w:p>
      <w:pPr>
        <w:ind w:right="180" w:firstLine="648"/>
        <w:spacing w:after="0" w:line="263" w:lineRule="auto"/>
        <w:rPr>
          <w:sz w:val="20"/>
          <w:szCs w:val="20"/>
          <w:color w:val="auto"/>
        </w:rPr>
      </w:pPr>
      <w:r>
        <w:rPr>
          <w:rFonts w:ascii="Arial" w:cs="Arial" w:eastAsia="Arial" w:hAnsi="Arial"/>
          <w:sz w:val="18"/>
          <w:szCs w:val="18"/>
          <w:color w:val="auto"/>
        </w:rPr>
        <w:t>The information contained in this Item 7.01 and Exhibit 99.1 hereto shall not be deemed “filed” for purposes of Section 18 of the Securities Exchange Act of 1934, as amended (the “Exchange Act”), or incorporated by reference in any filing under the Securities Act of 1933, as amended or the Exchange Act, except as shall be expressly set forth by reference in such a filing.</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356" w:lineRule="exact"/>
        <w:rPr>
          <w:sz w:val="20"/>
          <w:szCs w:val="20"/>
          <w:color w:val="auto"/>
        </w:rPr>
      </w:pPr>
    </w:p>
    <w:tbl>
      <w:tblPr>
        <w:tblLayout w:type="fixed"/>
        <w:tblInd w:w="180" w:type="dxa"/>
        <w:tblCellMar>
          <w:top w:w="0" w:type="dxa"/>
          <w:left w:w="0" w:type="dxa"/>
          <w:bottom w:w="0" w:type="dxa"/>
          <w:right w:w="0" w:type="dxa"/>
        </w:tblCellMar>
      </w:tblPr>
      <w:tr>
        <w:trPr>
          <w:trHeight w:val="207"/>
        </w:trPr>
        <w:tc>
          <w:tcPr>
            <w:tcW w:w="132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528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8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r>
      <w:tr>
        <w:trPr>
          <w:trHeight w:val="520"/>
        </w:trPr>
        <w:tc>
          <w:tcPr>
            <w:tcW w:w="880" w:type="dxa"/>
            <w:vAlign w:val="bottom"/>
          </w:tcPr>
          <w:p>
            <w:pPr>
              <w:spacing w:after="0"/>
              <w:rPr>
                <w:sz w:val="20"/>
                <w:szCs w:val="20"/>
                <w:color w:val="auto"/>
              </w:rPr>
            </w:pPr>
            <w:r>
              <w:rPr>
                <w:rFonts w:ascii="Arial" w:cs="Arial" w:eastAsia="Arial" w:hAnsi="Arial"/>
                <w:sz w:val="18"/>
                <w:szCs w:val="18"/>
                <w:color w:val="auto"/>
              </w:rPr>
              <w:t>99.1</w:t>
            </w:r>
          </w:p>
        </w:tc>
        <w:tc>
          <w:tcPr>
            <w:tcW w:w="440" w:type="dxa"/>
            <w:vAlign w:val="bottom"/>
          </w:tcPr>
          <w:p>
            <w:pPr>
              <w:spacing w:after="0"/>
              <w:rPr>
                <w:sz w:val="24"/>
                <w:szCs w:val="24"/>
                <w:color w:val="auto"/>
              </w:rPr>
            </w:pPr>
          </w:p>
        </w:tc>
        <w:tc>
          <w:tcPr>
            <w:tcW w:w="5280" w:type="dxa"/>
            <w:vAlign w:val="bottom"/>
            <w:tcBorders>
              <w:bottom w:val="single" w:sz="8" w:color="0000FF"/>
            </w:tcBorders>
            <w:gridSpan w:val="2"/>
          </w:tcPr>
          <w:p>
            <w:pPr>
              <w:spacing w:after="0"/>
              <w:rPr>
                <w:rFonts w:ascii="Arial" w:cs="Arial" w:eastAsia="Arial" w:hAnsi="Arial"/>
                <w:sz w:val="18"/>
                <w:szCs w:val="18"/>
                <w:color w:val="0000FF"/>
                <w:w w:val="89"/>
              </w:rPr>
            </w:pPr>
            <w:hyperlink w:anchor="page4">
              <w:r>
                <w:rPr>
                  <w:rFonts w:ascii="Arial" w:cs="Arial" w:eastAsia="Arial" w:hAnsi="Arial"/>
                  <w:sz w:val="18"/>
                  <w:szCs w:val="18"/>
                  <w:color w:val="0000FF"/>
                  <w:w w:val="89"/>
                </w:rPr>
                <w:t>Press Release, dated March 31, 2020, issued by AGNC Investment Corp.</w:t>
              </w:r>
            </w:hyperlink>
          </w:p>
        </w:tc>
      </w:tr>
    </w:tbl>
    <w:p>
      <w:pPr>
        <w:sectPr>
          <w:pgSz w:w="11900" w:h="16838" w:orient="portrait"/>
          <w:cols w:equalWidth="0" w:num="1">
            <w:col w:w="11160"/>
          </w:cols>
          <w:pgMar w:left="320" w:top="553" w:right="419" w:bottom="1440" w:gutter="0" w:footer="0" w:header="0"/>
        </w:sectPr>
      </w:pPr>
    </w:p>
    <w:bookmarkStart w:id="2" w:name="page3"/>
    <w:bookmarkEnd w:id="2"/>
    <w:p>
      <w:pPr>
        <w:jc w:val="center"/>
        <w:ind w:right="-4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40"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8" w:lineRule="exact"/>
        <w:rPr>
          <w:sz w:val="20"/>
          <w:szCs w:val="20"/>
          <w:color w:val="auto"/>
        </w:rPr>
      </w:pPr>
    </w:p>
    <w:p>
      <w:pPr>
        <w:ind w:left="4980"/>
        <w:spacing w:after="0"/>
        <w:rPr>
          <w:sz w:val="20"/>
          <w:szCs w:val="20"/>
          <w:color w:val="auto"/>
        </w:rPr>
      </w:pPr>
      <w:r>
        <w:rPr>
          <w:rFonts w:ascii="Arial" w:cs="Arial" w:eastAsia="Arial" w:hAnsi="Arial"/>
          <w:sz w:val="18"/>
          <w:szCs w:val="18"/>
          <w:b w:val="1"/>
          <w:bCs w:val="1"/>
          <w:color w:val="auto"/>
        </w:rPr>
        <w:t>AGNC INVESTMENT CORP.</w:t>
      </w:r>
    </w:p>
    <w:p>
      <w:pPr>
        <w:spacing w:after="0" w:line="189" w:lineRule="exact"/>
        <w:rPr>
          <w:sz w:val="20"/>
          <w:szCs w:val="20"/>
          <w:color w:val="auto"/>
        </w:rPr>
      </w:pPr>
    </w:p>
    <w:p>
      <w:pPr>
        <w:ind w:left="40"/>
        <w:spacing w:after="0"/>
        <w:tabs>
          <w:tab w:leader="none" w:pos="4400" w:val="left"/>
          <w:tab w:leader="none" w:pos="4960" w:val="left"/>
        </w:tabs>
        <w:rPr>
          <w:sz w:val="20"/>
          <w:szCs w:val="20"/>
          <w:color w:val="auto"/>
        </w:rPr>
      </w:pPr>
      <w:r>
        <w:rPr>
          <w:rFonts w:ascii="Arial" w:cs="Arial" w:eastAsia="Arial" w:hAnsi="Arial"/>
          <w:sz w:val="18"/>
          <w:szCs w:val="18"/>
          <w:color w:val="auto"/>
        </w:rPr>
        <w:t>Dated: March 31,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Kenneth L. Pollack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3150870</wp:posOffset>
            </wp:positionH>
            <wp:positionV relativeFrom="paragraph">
              <wp:posOffset>31750</wp:posOffset>
            </wp:positionV>
            <wp:extent cx="3985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985895" cy="8890"/>
                    </a:xfrm>
                    <a:prstGeom prst="rect">
                      <a:avLst/>
                    </a:prstGeom>
                    <a:noFill/>
                  </pic:spPr>
                </pic:pic>
              </a:graphicData>
            </a:graphic>
          </wp:anchor>
        </w:drawing>
      </w:r>
    </w:p>
    <w:p>
      <w:pPr>
        <w:spacing w:after="0" w:line="57" w:lineRule="exact"/>
        <w:rPr>
          <w:sz w:val="20"/>
          <w:szCs w:val="20"/>
          <w:color w:val="auto"/>
        </w:rPr>
      </w:pPr>
    </w:p>
    <w:p>
      <w:pPr>
        <w:ind w:left="4980"/>
        <w:spacing w:after="0"/>
        <w:rPr>
          <w:sz w:val="20"/>
          <w:szCs w:val="20"/>
          <w:color w:val="auto"/>
        </w:rPr>
      </w:pPr>
      <w:r>
        <w:rPr>
          <w:rFonts w:ascii="Arial" w:cs="Arial" w:eastAsia="Arial" w:hAnsi="Arial"/>
          <w:sz w:val="18"/>
          <w:szCs w:val="18"/>
          <w:color w:val="auto"/>
        </w:rPr>
        <w:t>Kenneth L. Pollack</w:t>
      </w:r>
    </w:p>
    <w:p>
      <w:pPr>
        <w:spacing w:after="0" w:line="63" w:lineRule="exact"/>
        <w:rPr>
          <w:sz w:val="20"/>
          <w:szCs w:val="20"/>
          <w:color w:val="auto"/>
        </w:rPr>
      </w:pPr>
    </w:p>
    <w:p>
      <w:pPr>
        <w:ind w:left="4980"/>
        <w:spacing w:after="0"/>
        <w:rPr>
          <w:sz w:val="20"/>
          <w:szCs w:val="20"/>
          <w:color w:val="auto"/>
        </w:rPr>
      </w:pPr>
      <w:r>
        <w:rPr>
          <w:rFonts w:ascii="Arial" w:cs="Arial" w:eastAsia="Arial" w:hAnsi="Arial"/>
          <w:sz w:val="16"/>
          <w:szCs w:val="16"/>
          <w:color w:val="auto"/>
        </w:rPr>
        <w:t>Senior Vice President, Chief Compliance Officer, General Counsel and Secretary</w:t>
      </w:r>
    </w:p>
    <w:p>
      <w:pPr>
        <w:sectPr>
          <w:pgSz w:w="11900" w:h="16838" w:orient="portrait"/>
          <w:cols w:equalWidth="0" w:num="1">
            <w:col w:w="10820"/>
          </w:cols>
          <w:pgMar w:left="320" w:top="553" w:right="7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108585</wp:posOffset>
            </wp:positionV>
            <wp:extent cx="2305685" cy="7372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305685"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 IMMEDIATE RELEASE</w:t>
      </w:r>
    </w:p>
    <w:p>
      <w:pPr>
        <w:spacing w:after="0" w:line="3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March 31, 2020</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CONTACT:</w:t>
      </w:r>
    </w:p>
    <w:p>
      <w:pPr>
        <w:spacing w:after="0" w:line="30"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 - (301) 968-9300</w:t>
      </w:r>
    </w:p>
    <w:p>
      <w:pPr>
        <w:spacing w:after="0" w:line="248"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AGNC Investment Corp. Provides Company Update</w:t>
      </w:r>
    </w:p>
    <w:p>
      <w:pPr>
        <w:spacing w:after="0" w:line="192" w:lineRule="exact"/>
        <w:rPr>
          <w:sz w:val="20"/>
          <w:szCs w:val="20"/>
          <w:color w:val="auto"/>
        </w:rPr>
      </w:pPr>
    </w:p>
    <w:p>
      <w:pPr>
        <w:ind w:right="560"/>
        <w:spacing w:after="0" w:line="262" w:lineRule="auto"/>
        <w:rPr>
          <w:sz w:val="20"/>
          <w:szCs w:val="20"/>
          <w:color w:val="auto"/>
        </w:rPr>
      </w:pPr>
      <w:r>
        <w:rPr>
          <w:rFonts w:ascii="Arial" w:cs="Arial" w:eastAsia="Arial" w:hAnsi="Arial"/>
          <w:sz w:val="22"/>
          <w:szCs w:val="22"/>
          <w:color w:val="auto"/>
        </w:rPr>
        <w:t>Bethesda, MD – March 31, 2020 – AGNC Investment Corp. (Nasdaq: AGNC) (“AGNC” or the “Company”) today announced the following updates with respect to its business operations and portfolio management.</w:t>
      </w:r>
    </w:p>
    <w:p>
      <w:pPr>
        <w:spacing w:after="0" w:line="123" w:lineRule="exact"/>
        <w:rPr>
          <w:sz w:val="20"/>
          <w:szCs w:val="20"/>
          <w:color w:val="auto"/>
        </w:rPr>
      </w:pPr>
    </w:p>
    <w:p>
      <w:pPr>
        <w:ind w:right="180"/>
        <w:spacing w:after="0" w:line="270" w:lineRule="auto"/>
        <w:rPr>
          <w:sz w:val="20"/>
          <w:szCs w:val="20"/>
          <w:color w:val="auto"/>
        </w:rPr>
      </w:pPr>
      <w:r>
        <w:rPr>
          <w:rFonts w:ascii="Arial" w:cs="Arial" w:eastAsia="Arial" w:hAnsi="Arial"/>
          <w:sz w:val="21"/>
          <w:szCs w:val="21"/>
          <w:color w:val="auto"/>
        </w:rPr>
        <w:t>“The market disruption and dislocations arising out of the global COVID-19 pandemic have been unprecedented, significantly reducing liquidity in virtually every asset class,” said Gary Kain, the Company’s Chief Executive Officer and Chief Investment Officer. “Specifically, the volatility and lack of liquidity we experienced in mid-March in Agency mortgage-backed securities (“Agency MBS”) reached levels I had never witnessed over the span of my 30-year career. Starting in late February and throughout March, the Company took aggressive actions to counter these extremely challenging market conditions in an effort to strengthen our liquidity position and mitigate risk. Importantly, the unprecedented actions by the Federal Reserve over the last several weeks, in particular its substantial acquisitions of Agency MBS, have significantly improved valuations and stabilized the broader mortgage market.</w:t>
      </w:r>
    </w:p>
    <w:p>
      <w:pPr>
        <w:spacing w:after="0" w:line="122" w:lineRule="exact"/>
        <w:rPr>
          <w:sz w:val="20"/>
          <w:szCs w:val="20"/>
          <w:color w:val="auto"/>
        </w:rPr>
      </w:pPr>
    </w:p>
    <w:p>
      <w:pPr>
        <w:ind w:right="240"/>
        <w:spacing w:after="0" w:line="258" w:lineRule="auto"/>
        <w:rPr>
          <w:sz w:val="20"/>
          <w:szCs w:val="20"/>
          <w:color w:val="auto"/>
        </w:rPr>
      </w:pPr>
      <w:r>
        <w:rPr>
          <w:rFonts w:ascii="Arial" w:cs="Arial" w:eastAsia="Arial" w:hAnsi="Arial"/>
          <w:sz w:val="22"/>
          <w:szCs w:val="22"/>
          <w:color w:val="auto"/>
        </w:rPr>
        <w:t>“As a result of the improvement in Agency MBS valuations and our actions, AGNC’s leverage and liquidity levels have returned to recent norms. As such, we believe that the worst is behind us for our Agency MBS portfolio, which allows us to focus on positioning the portfolio to benefit from the opportunities presented by the current market environment.”</w:t>
      </w:r>
    </w:p>
    <w:p>
      <w:pPr>
        <w:spacing w:after="0" w:line="127" w:lineRule="exact"/>
        <w:rPr>
          <w:sz w:val="20"/>
          <w:szCs w:val="20"/>
          <w:color w:val="auto"/>
        </w:rPr>
      </w:pPr>
    </w:p>
    <w:p>
      <w:pPr>
        <w:spacing w:after="0"/>
        <w:rPr>
          <w:sz w:val="20"/>
          <w:szCs w:val="20"/>
          <w:color w:val="auto"/>
        </w:rPr>
      </w:pPr>
      <w:r>
        <w:rPr>
          <w:rFonts w:ascii="Arial" w:cs="Arial" w:eastAsia="Arial" w:hAnsi="Arial"/>
          <w:sz w:val="22"/>
          <w:szCs w:val="22"/>
          <w:color w:val="auto"/>
        </w:rPr>
        <w:t>AGNC today announced the following updates as of close of business on March 27, 2020:</w:t>
      </w:r>
    </w:p>
    <w:p>
      <w:pPr>
        <w:spacing w:after="0" w:line="152" w:lineRule="exact"/>
        <w:rPr>
          <w:sz w:val="20"/>
          <w:szCs w:val="20"/>
          <w:color w:val="auto"/>
        </w:rPr>
      </w:pPr>
    </w:p>
    <w:p>
      <w:pPr>
        <w:ind w:left="660" w:right="20" w:hanging="328"/>
        <w:spacing w:after="0" w:line="259" w:lineRule="auto"/>
        <w:tabs>
          <w:tab w:leader="none" w:pos="660" w:val="left"/>
        </w:tabs>
        <w:numPr>
          <w:ilvl w:val="0"/>
          <w:numId w:val="1"/>
        </w:numPr>
        <w:rPr>
          <w:rFonts w:ascii="Arial" w:cs="Arial" w:eastAsia="Arial" w:hAnsi="Arial"/>
          <w:sz w:val="22"/>
          <w:szCs w:val="22"/>
          <w:color w:val="auto"/>
        </w:rPr>
      </w:pPr>
      <w:r>
        <w:rPr>
          <w:rFonts w:ascii="Arial" w:cs="Arial" w:eastAsia="Arial" w:hAnsi="Arial"/>
          <w:sz w:val="22"/>
          <w:szCs w:val="22"/>
          <w:color w:val="auto"/>
        </w:rPr>
        <w:t>Tangible net book value per common share is estimated to be between $12.35 and $13.25, after deductions for common and preferred dividends declared through March 31, 2020, a year-to-date decline of approximately 25 - 30%.</w:t>
      </w:r>
    </w:p>
    <w:p>
      <w:pPr>
        <w:sectPr>
          <w:pgSz w:w="11900" w:h="16838" w:orient="portrait"/>
          <w:cols w:equalWidth="0" w:num="1">
            <w:col w:w="11240"/>
          </w:cols>
          <w:pgMar w:left="320" w:top="337" w:right="339" w:bottom="1440" w:gutter="0" w:footer="0" w:header="0"/>
        </w:sectPr>
      </w:pPr>
    </w:p>
    <w:bookmarkStart w:id="4" w:name="page5"/>
    <w:bookmarkEnd w:id="4"/>
    <w:p>
      <w:pPr>
        <w:ind w:left="660" w:right="360" w:hanging="328"/>
        <w:spacing w:after="0" w:line="262"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AGNC has had access to Agency MBS repurchase agreement (“repo”) funding without interruption and has timely met all margin calls received.</w:t>
      </w:r>
    </w:p>
    <w:p>
      <w:pPr>
        <w:spacing w:after="0" w:line="257" w:lineRule="exact"/>
        <w:rPr>
          <w:rFonts w:ascii="Arial" w:cs="Arial" w:eastAsia="Arial" w:hAnsi="Arial"/>
          <w:sz w:val="22"/>
          <w:szCs w:val="22"/>
          <w:color w:val="auto"/>
        </w:rPr>
      </w:pPr>
    </w:p>
    <w:p>
      <w:pPr>
        <w:ind w:left="660" w:right="140" w:hanging="328"/>
        <w:spacing w:after="0" w:line="259"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Cash and unencumbered Agency MBS are estimated to be approximately $3.7 billion, which does not include approximately $1.3 billion of capital plus excess margin held at our broker-dealer subsidiary Bethesda Securities or $0.3 billion of unencumbered non-Agency securities.</w:t>
      </w:r>
    </w:p>
    <w:p>
      <w:pPr>
        <w:spacing w:after="0" w:line="261" w:lineRule="exact"/>
        <w:rPr>
          <w:rFonts w:ascii="Arial" w:cs="Arial" w:eastAsia="Arial" w:hAnsi="Arial"/>
          <w:sz w:val="22"/>
          <w:szCs w:val="22"/>
          <w:color w:val="auto"/>
        </w:rPr>
      </w:pPr>
    </w:p>
    <w:p>
      <w:pPr>
        <w:ind w:left="660" w:right="340" w:hanging="328"/>
        <w:spacing w:after="0" w:line="262"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AGNC’s “at risk” leverage is estimated to be approximately 9.7x, which is within our typical operating range, and AGNC’s on-balance sheet leverage is estimated to be approximately 7.4x.</w:t>
      </w:r>
    </w:p>
    <w:p>
      <w:pPr>
        <w:spacing w:after="0" w:line="257" w:lineRule="exact"/>
        <w:rPr>
          <w:rFonts w:ascii="Arial" w:cs="Arial" w:eastAsia="Arial" w:hAnsi="Arial"/>
          <w:sz w:val="22"/>
          <w:szCs w:val="22"/>
          <w:color w:val="auto"/>
        </w:rPr>
      </w:pPr>
    </w:p>
    <w:p>
      <w:pPr>
        <w:ind w:left="660" w:right="280" w:hanging="328"/>
        <w:spacing w:after="0" w:line="286" w:lineRule="auto"/>
        <w:tabs>
          <w:tab w:leader="none" w:pos="660" w:val="left"/>
        </w:tabs>
        <w:numPr>
          <w:ilvl w:val="0"/>
          <w:numId w:val="2"/>
        </w:numPr>
        <w:rPr>
          <w:rFonts w:ascii="Arial" w:cs="Arial" w:eastAsia="Arial" w:hAnsi="Arial"/>
          <w:sz w:val="21"/>
          <w:szCs w:val="21"/>
          <w:color w:val="auto"/>
        </w:rPr>
      </w:pPr>
      <w:r>
        <w:rPr>
          <w:rFonts w:ascii="Arial" w:cs="Arial" w:eastAsia="Arial" w:hAnsi="Arial"/>
          <w:sz w:val="21"/>
          <w:szCs w:val="21"/>
          <w:color w:val="auto"/>
        </w:rPr>
        <w:t>AGNC’s total investment portfolio is estimated to be approximately $91 billion, which includes approximately $21 billion of To-Be-Announced (“TBA”) Agency MBS and $1.1 billion of non-Agency securities.</w:t>
      </w:r>
    </w:p>
    <w:p>
      <w:pPr>
        <w:spacing w:after="0" w:line="234" w:lineRule="exact"/>
        <w:rPr>
          <w:rFonts w:ascii="Arial" w:cs="Arial" w:eastAsia="Arial" w:hAnsi="Arial"/>
          <w:sz w:val="21"/>
          <w:szCs w:val="21"/>
          <w:color w:val="auto"/>
        </w:rPr>
      </w:pPr>
    </w:p>
    <w:p>
      <w:pPr>
        <w:ind w:left="660" w:right="420" w:hanging="328"/>
        <w:spacing w:after="0" w:line="256" w:lineRule="auto"/>
        <w:tabs>
          <w:tab w:leader="none" w:pos="660" w:val="left"/>
        </w:tabs>
        <w:numPr>
          <w:ilvl w:val="0"/>
          <w:numId w:val="2"/>
        </w:numPr>
        <w:rPr>
          <w:rFonts w:ascii="Arial" w:cs="Arial" w:eastAsia="Arial" w:hAnsi="Arial"/>
          <w:sz w:val="22"/>
          <w:szCs w:val="22"/>
          <w:color w:val="auto"/>
        </w:rPr>
      </w:pPr>
      <w:r>
        <w:rPr>
          <w:rFonts w:ascii="Arial" w:cs="Arial" w:eastAsia="Arial" w:hAnsi="Arial"/>
          <w:sz w:val="22"/>
          <w:szCs w:val="22"/>
          <w:color w:val="auto"/>
        </w:rPr>
        <w:t>The Company has fully implemented a remote work environment to address the operating risks associated with the global COVID-19 pandemic.</w:t>
      </w:r>
    </w:p>
    <w:p>
      <w:pPr>
        <w:ind w:right="100"/>
        <w:spacing w:after="0" w:line="257" w:lineRule="auto"/>
        <w:rPr>
          <w:sz w:val="20"/>
          <w:szCs w:val="20"/>
          <w:color w:val="auto"/>
        </w:rPr>
      </w:pPr>
      <w:r>
        <w:rPr>
          <w:rFonts w:ascii="Arial" w:cs="Arial" w:eastAsia="Arial" w:hAnsi="Arial"/>
          <w:sz w:val="22"/>
          <w:szCs w:val="22"/>
          <w:color w:val="auto"/>
        </w:rPr>
        <w:t>The estimates for tangible net book value; cash, unencumbered Agency MBS, capital and excess margin held at Bethesda Securities, and non-Agency securities; “at risk” leverage; and portfolio size and composition, including total TBA and non-Agency securities, are unaudited and have not been verified or reviewed by any third party. Management’s estimates are derived from third party pricing service estimates as of March 27, 2020. Intra-period estimates, including those derived from daily pricing services, are subject to inherent uncertainties, especially in light of recent market volatility and reduced pricing transparency for some assets. Actual amounts may be materially different and are subject to change over time. The Company undertakes no obligation to update or revise these estimates.</w:t>
      </w:r>
    </w:p>
    <w:p>
      <w:pPr>
        <w:spacing w:after="0" w:line="128" w:lineRule="exact"/>
        <w:rPr>
          <w:sz w:val="20"/>
          <w:szCs w:val="20"/>
          <w:color w:val="auto"/>
        </w:rPr>
      </w:pPr>
    </w:p>
    <w:p>
      <w:pPr>
        <w:spacing w:after="0"/>
        <w:rPr>
          <w:sz w:val="20"/>
          <w:szCs w:val="20"/>
          <w:color w:val="auto"/>
        </w:rPr>
      </w:pPr>
      <w:r>
        <w:rPr>
          <w:rFonts w:ascii="Arial" w:cs="Arial" w:eastAsia="Arial" w:hAnsi="Arial"/>
          <w:sz w:val="22"/>
          <w:szCs w:val="22"/>
          <w:color w:val="auto"/>
        </w:rPr>
        <w:t>For further information or questions, please contact Investor Relations at (301) 968-9300 or IR@AGNC.com.</w:t>
      </w:r>
    </w:p>
    <w:p>
      <w:pPr>
        <w:spacing w:after="0" w:line="26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AGNC INVESTMENT CORP.</w:t>
      </w:r>
    </w:p>
    <w:p>
      <w:pPr>
        <w:spacing w:after="0" w:line="57" w:lineRule="exact"/>
        <w:rPr>
          <w:sz w:val="20"/>
          <w:szCs w:val="20"/>
          <w:color w:val="auto"/>
        </w:rPr>
      </w:pPr>
    </w:p>
    <w:p>
      <w:pPr>
        <w:jc w:val="both"/>
        <w:ind w:right="460"/>
        <w:spacing w:after="0" w:line="277" w:lineRule="auto"/>
        <w:rPr>
          <w:sz w:val="20"/>
          <w:szCs w:val="20"/>
          <w:color w:val="auto"/>
        </w:rPr>
      </w:pPr>
      <w:r>
        <w:rPr>
          <w:rFonts w:ascii="Arial" w:cs="Arial" w:eastAsia="Arial" w:hAnsi="Arial"/>
          <w:sz w:val="21"/>
          <w:szCs w:val="21"/>
          <w:color w:val="auto"/>
        </w:rPr>
        <w:t>AGNC Investment Corp. is an internally-managed real estate investment trust that invests primarily in residential mortgage-backed securities for which the principal and interest payments are guaranteed by a U.S. Government-sponsored enterprise or a U.S. Government agency. For further information, please refer to www.AGNC.com.</w:t>
      </w: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FORWARD-LOOKING STATEMENTS</w:t>
      </w:r>
    </w:p>
    <w:p>
      <w:pPr>
        <w:spacing w:after="0" w:line="57" w:lineRule="exact"/>
        <w:rPr>
          <w:sz w:val="20"/>
          <w:szCs w:val="20"/>
          <w:color w:val="auto"/>
        </w:rPr>
      </w:pPr>
    </w:p>
    <w:p>
      <w:pPr>
        <w:spacing w:after="0" w:line="256" w:lineRule="auto"/>
        <w:rPr>
          <w:sz w:val="20"/>
          <w:szCs w:val="20"/>
          <w:color w:val="auto"/>
        </w:rPr>
      </w:pPr>
      <w:r>
        <w:rPr>
          <w:rFonts w:ascii="Arial" w:cs="Arial" w:eastAsia="Arial" w:hAnsi="Arial"/>
          <w:sz w:val="22"/>
          <w:szCs w:val="22"/>
          <w:color w:val="auto"/>
        </w:rPr>
        <w:t>This press release contains forward-looking statements.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due to a variety of important factors, including, without limitation, changes in interest rates, changes in the yield curve, changes in prepayment rates, the availability and terms of financing, changes in the market value of the Company's assets, general economic conditions, market conditions, conditions in the market for Agency securities (including the levels of market volatility and transaction price discovery), and legislative and regulatory changes that could adversely affect the business of the Company. Certain factors that could cause actual results to</w:t>
      </w:r>
    </w:p>
    <w:p>
      <w:pPr>
        <w:sectPr>
          <w:pgSz w:w="11900" w:h="16838" w:orient="portrait"/>
          <w:cols w:equalWidth="0" w:num="1">
            <w:col w:w="11240"/>
          </w:cols>
          <w:pgMar w:left="320" w:top="363" w:right="339" w:bottom="1440" w:gutter="0" w:footer="0" w:header="0"/>
        </w:sectPr>
      </w:pPr>
    </w:p>
    <w:bookmarkStart w:id="5" w:name="page6"/>
    <w:bookmarkEnd w:id="5"/>
    <w:p>
      <w:pPr>
        <w:spacing w:after="0" w:line="258" w:lineRule="auto"/>
        <w:rPr>
          <w:sz w:val="20"/>
          <w:szCs w:val="20"/>
          <w:color w:val="auto"/>
        </w:rPr>
      </w:pPr>
      <w:r>
        <w:rPr>
          <w:rFonts w:ascii="Arial" w:cs="Arial" w:eastAsia="Arial" w:hAnsi="Arial"/>
          <w:sz w:val="22"/>
          <w:szCs w:val="22"/>
          <w:color w:val="auto"/>
        </w:rPr>
        <w:t>differ materially from those contained in the forward-looking statements, are included in the Company's periodic reports filed with the Securities and Exchange Commission ("SEC"). Copies are available on the SEC's website, www.sec.gov. The Company disclaims any obligation to update or revise any forward-looking statements based on the occurrence of future events, the receipt of new information, or otherwise.</w:t>
      </w:r>
    </w:p>
    <w:sectPr>
      <w:pgSz w:w="11900" w:h="16838" w:orient="portrait"/>
      <w:cols w:equalWidth="0" w:num="1">
        <w:col w:w="10920"/>
      </w:cols>
      <w:pgMar w:left="320" w:top="363" w:right="6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2020-04-01T05:18:13Z</dcterms:created>
  <dcterms:modified xsi:type="dcterms:W3CDTF">2020-04-01T05:18:13Z</dcterms:modified>
</cp:coreProperties>
</file>