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29"/>
          <w:szCs w:val="29"/>
          <w:b w:val="1"/>
          <w:bCs w:val="1"/>
          <w:color w:val="auto"/>
        </w:rPr>
        <w:drawing>
          <wp:anchor simplePos="0" relativeHeight="251657728" behindDoc="1" locked="0" layoutInCell="0" allowOverlap="1">
            <wp:simplePos x="0" y="0"/>
            <wp:positionH relativeFrom="page">
              <wp:posOffset>216535</wp:posOffset>
            </wp:positionH>
            <wp:positionV relativeFrom="page">
              <wp:posOffset>697230</wp:posOffset>
            </wp:positionV>
            <wp:extent cx="7115175"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15175" cy="8255"/>
                    </a:xfrm>
                    <a:prstGeom prst="rect">
                      <a:avLst/>
                    </a:prstGeom>
                    <a:noFill/>
                  </pic:spPr>
                </pic:pic>
              </a:graphicData>
            </a:graphic>
          </wp:anchor>
        </w:drawing>
        <w:drawing>
          <wp:anchor simplePos="0" relativeHeight="251657728" behindDoc="1" locked="0" layoutInCell="0" allowOverlap="1">
            <wp:simplePos x="0" y="0"/>
            <wp:positionH relativeFrom="page">
              <wp:posOffset>216535</wp:posOffset>
            </wp:positionH>
            <wp:positionV relativeFrom="page">
              <wp:posOffset>662940</wp:posOffset>
            </wp:positionV>
            <wp:extent cx="711517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15175" cy="8890"/>
                    </a:xfrm>
                    <a:prstGeom prst="rect">
                      <a:avLst/>
                    </a:prstGeom>
                    <a:noFill/>
                  </pic:spPr>
                </pic:pic>
              </a:graphicData>
            </a:graphic>
          </wp:anchor>
        </w:drawing>
        <w:t>UNITED STATES</w:t>
      </w:r>
    </w:p>
    <w:p>
      <w:pPr>
        <w:spacing w:after="0" w:line="36" w:lineRule="exact"/>
        <w:rPr>
          <w:sz w:val="24"/>
          <w:szCs w:val="24"/>
          <w:color w:val="auto"/>
        </w:rPr>
      </w:pPr>
    </w:p>
    <w:p>
      <w:pPr>
        <w:jc w:val="center"/>
        <w:ind w:right="-19"/>
        <w:spacing w:after="0"/>
        <w:rPr>
          <w:sz w:val="20"/>
          <w:szCs w:val="20"/>
          <w:color w:val="auto"/>
        </w:rPr>
      </w:pPr>
      <w:r>
        <w:rPr>
          <w:rFonts w:ascii="Arial" w:cs="Arial" w:eastAsia="Arial" w:hAnsi="Arial"/>
          <w:sz w:val="29"/>
          <w:szCs w:val="29"/>
          <w:b w:val="1"/>
          <w:bCs w:val="1"/>
          <w:color w:val="auto"/>
        </w:rPr>
        <w:t>SECURITIES AND EXCHANGE COMMISSION</w:t>
      </w:r>
    </w:p>
    <w:p>
      <w:pPr>
        <w:spacing w:after="0" w:line="3" w:lineRule="exact"/>
        <w:rPr>
          <w:sz w:val="24"/>
          <w:szCs w:val="24"/>
          <w:color w:val="auto"/>
        </w:rPr>
      </w:pPr>
    </w:p>
    <w:p>
      <w:pPr>
        <w:jc w:val="center"/>
        <w:ind w:right="-19"/>
        <w:spacing w:after="0"/>
        <w:rPr>
          <w:sz w:val="20"/>
          <w:szCs w:val="20"/>
          <w:color w:val="auto"/>
        </w:rPr>
      </w:pPr>
      <w:r>
        <w:rPr>
          <w:rFonts w:ascii="Arial" w:cs="Arial" w:eastAsia="Arial" w:hAnsi="Arial"/>
          <w:sz w:val="20"/>
          <w:szCs w:val="20"/>
          <w:b w:val="1"/>
          <w:bCs w:val="1"/>
          <w:color w:val="auto"/>
        </w:rPr>
        <w:t>Washington, D.C. 20549</w:t>
      </w:r>
    </w:p>
    <w:p>
      <w:pPr>
        <w:spacing w:after="0" w:line="4" w:lineRule="exact"/>
        <w:rPr>
          <w:sz w:val="24"/>
          <w:szCs w:val="24"/>
          <w:color w:val="auto"/>
        </w:rPr>
      </w:pPr>
    </w:p>
    <w:p>
      <w:pPr>
        <w:ind w:left="3580"/>
        <w:spacing w:after="0"/>
        <w:rPr>
          <w:sz w:val="20"/>
          <w:szCs w:val="20"/>
          <w:color w:val="auto"/>
        </w:rPr>
      </w:pPr>
      <w:r>
        <w:rPr>
          <w:rFonts w:ascii="Arial" w:cs="Arial" w:eastAsia="Arial" w:hAnsi="Arial"/>
          <w:sz w:val="16"/>
          <w:szCs w:val="16"/>
          <w:color w:val="auto"/>
        </w:rPr>
        <w:t>__________________________________________________</w:t>
      </w:r>
    </w:p>
    <w:p>
      <w:pPr>
        <w:spacing w:after="0" w:line="22" w:lineRule="exact"/>
        <w:rPr>
          <w:sz w:val="24"/>
          <w:szCs w:val="24"/>
          <w:color w:val="auto"/>
        </w:rPr>
      </w:pPr>
    </w:p>
    <w:p>
      <w:pPr>
        <w:jc w:val="center"/>
        <w:ind w:right="-19"/>
        <w:spacing w:after="0"/>
        <w:rPr>
          <w:sz w:val="20"/>
          <w:szCs w:val="20"/>
          <w:color w:val="auto"/>
        </w:rPr>
      </w:pPr>
      <w:r>
        <w:rPr>
          <w:rFonts w:ascii="Arial" w:cs="Arial" w:eastAsia="Arial" w:hAnsi="Arial"/>
          <w:sz w:val="29"/>
          <w:szCs w:val="29"/>
          <w:b w:val="1"/>
          <w:bCs w:val="1"/>
          <w:color w:val="auto"/>
        </w:rPr>
        <w:t>FORM 8-K</w:t>
      </w:r>
    </w:p>
    <w:p>
      <w:pPr>
        <w:spacing w:after="0" w:line="14" w:lineRule="exact"/>
        <w:rPr>
          <w:sz w:val="24"/>
          <w:szCs w:val="24"/>
          <w:color w:val="auto"/>
        </w:rPr>
      </w:pPr>
    </w:p>
    <w:p>
      <w:pPr>
        <w:ind w:left="3620"/>
        <w:spacing w:after="0"/>
        <w:rPr>
          <w:sz w:val="20"/>
          <w:szCs w:val="20"/>
          <w:color w:val="auto"/>
        </w:rPr>
      </w:pPr>
      <w:r>
        <w:rPr>
          <w:rFonts w:ascii="Arial" w:cs="Arial" w:eastAsia="Arial" w:hAnsi="Arial"/>
          <w:sz w:val="16"/>
          <w:szCs w:val="16"/>
          <w:color w:val="auto"/>
        </w:rPr>
        <w:t>__________________________________________________</w:t>
      </w:r>
    </w:p>
    <w:p>
      <w:pPr>
        <w:spacing w:after="0" w:line="41" w:lineRule="exact"/>
        <w:rPr>
          <w:sz w:val="24"/>
          <w:szCs w:val="24"/>
          <w:color w:val="auto"/>
        </w:rPr>
      </w:pPr>
    </w:p>
    <w:p>
      <w:pPr>
        <w:jc w:val="center"/>
        <w:ind w:right="-79"/>
        <w:spacing w:after="0"/>
        <w:rPr>
          <w:sz w:val="20"/>
          <w:szCs w:val="20"/>
          <w:color w:val="auto"/>
        </w:rPr>
      </w:pPr>
      <w:r>
        <w:rPr>
          <w:rFonts w:ascii="Arial" w:cs="Arial" w:eastAsia="Arial" w:hAnsi="Arial"/>
          <w:sz w:val="16"/>
          <w:szCs w:val="16"/>
          <w:b w:val="1"/>
          <w:bCs w:val="1"/>
          <w:color w:val="auto"/>
        </w:rPr>
        <w:t>CURRENT REPORT</w:t>
      </w:r>
    </w:p>
    <w:p>
      <w:pPr>
        <w:spacing w:after="0" w:line="181"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Pursuant to Section 13 or 15(d) of the Securities Exchange Act of 1934</w:t>
      </w:r>
    </w:p>
    <w:p>
      <w:pPr>
        <w:spacing w:after="0" w:line="167"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Date of Report (Date of earliest event reported): July 27, 2020</w:t>
      </w:r>
    </w:p>
    <w:p>
      <w:pPr>
        <w:spacing w:after="0" w:line="23" w:lineRule="exact"/>
        <w:rPr>
          <w:sz w:val="24"/>
          <w:szCs w:val="24"/>
          <w:color w:val="auto"/>
        </w:rPr>
      </w:pPr>
    </w:p>
    <w:p>
      <w:pPr>
        <w:ind w:left="3600"/>
        <w:spacing w:after="0"/>
        <w:rPr>
          <w:sz w:val="20"/>
          <w:szCs w:val="20"/>
          <w:color w:val="auto"/>
        </w:rPr>
      </w:pPr>
      <w:r>
        <w:rPr>
          <w:rFonts w:ascii="Arial" w:cs="Arial" w:eastAsia="Arial" w:hAnsi="Arial"/>
          <w:sz w:val="16"/>
          <w:szCs w:val="16"/>
          <w:color w:val="auto"/>
        </w:rPr>
        <w:t>__________________________________________________</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2662555</wp:posOffset>
            </wp:positionH>
            <wp:positionV relativeFrom="paragraph">
              <wp:posOffset>635</wp:posOffset>
            </wp:positionV>
            <wp:extent cx="1817370" cy="5575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817370" cy="55753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33" w:lineRule="exact"/>
        <w:rPr>
          <w:sz w:val="24"/>
          <w:szCs w:val="24"/>
          <w:color w:val="auto"/>
        </w:rPr>
      </w:pPr>
    </w:p>
    <w:p>
      <w:pPr>
        <w:jc w:val="center"/>
        <w:ind w:right="-19"/>
        <w:spacing w:after="0"/>
        <w:rPr>
          <w:sz w:val="20"/>
          <w:szCs w:val="20"/>
          <w:color w:val="auto"/>
        </w:rPr>
      </w:pPr>
      <w:r>
        <w:rPr>
          <w:rFonts w:ascii="Arial" w:cs="Arial" w:eastAsia="Arial" w:hAnsi="Arial"/>
          <w:sz w:val="36"/>
          <w:szCs w:val="36"/>
          <w:b w:val="1"/>
          <w:bCs w:val="1"/>
          <w:color w:val="auto"/>
        </w:rPr>
        <w:t>AGNC INVESTMENT CORP.</w:t>
      </w:r>
    </w:p>
    <w:p>
      <w:pPr>
        <w:spacing w:after="0" w:line="47"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(Exact name of registrant as specified in its charter)</w:t>
      </w:r>
    </w:p>
    <w:p>
      <w:pPr>
        <w:spacing w:after="0" w:line="5" w:lineRule="exact"/>
        <w:rPr>
          <w:sz w:val="24"/>
          <w:szCs w:val="24"/>
          <w:color w:val="auto"/>
        </w:rPr>
      </w:pPr>
    </w:p>
    <w:p>
      <w:pPr>
        <w:ind w:left="3600"/>
        <w:spacing w:after="0"/>
        <w:rPr>
          <w:sz w:val="20"/>
          <w:szCs w:val="20"/>
          <w:color w:val="auto"/>
        </w:rPr>
      </w:pPr>
      <w:r>
        <w:rPr>
          <w:rFonts w:ascii="Arial" w:cs="Arial" w:eastAsia="Arial" w:hAnsi="Arial"/>
          <w:sz w:val="16"/>
          <w:szCs w:val="16"/>
          <w:color w:val="auto"/>
        </w:rPr>
        <w:t>__________________________________________________</w:t>
      </w:r>
    </w:p>
    <w:p>
      <w:pPr>
        <w:sectPr>
          <w:pgSz w:w="11900" w:h="16838" w:orient="portrait"/>
          <w:cols w:equalWidth="0" w:num="1">
            <w:col w:w="11220"/>
          </w:cols>
          <w:pgMar w:left="320" w:top="1187" w:right="359" w:bottom="1440" w:gutter="0" w:footer="0" w:header="0"/>
        </w:sectPr>
      </w:pPr>
    </w:p>
    <w:p>
      <w:pPr>
        <w:spacing w:after="0" w:line="41" w:lineRule="exact"/>
        <w:rPr>
          <w:sz w:val="24"/>
          <w:szCs w:val="24"/>
          <w:color w:val="auto"/>
        </w:rPr>
      </w:pPr>
    </w:p>
    <w:p>
      <w:pPr>
        <w:ind w:left="1560"/>
        <w:spacing w:after="0"/>
        <w:rPr>
          <w:sz w:val="20"/>
          <w:szCs w:val="20"/>
          <w:color w:val="auto"/>
        </w:rPr>
      </w:pPr>
      <w:r>
        <w:rPr>
          <w:rFonts w:ascii="Arial" w:cs="Arial" w:eastAsia="Arial" w:hAnsi="Arial"/>
          <w:sz w:val="15"/>
          <w:szCs w:val="15"/>
          <w:b w:val="1"/>
          <w:bCs w:val="1"/>
          <w:color w:val="auto"/>
        </w:rPr>
        <w:t>Delaware</w:t>
      </w:r>
    </w:p>
    <w:p>
      <w:pPr>
        <w:spacing w:after="0" w:line="20" w:lineRule="exact"/>
        <w:rPr>
          <w:sz w:val="24"/>
          <w:szCs w:val="24"/>
          <w:color w:val="auto"/>
        </w:rPr>
      </w:pPr>
      <w:r>
        <w:rPr>
          <w:sz w:val="24"/>
          <w:szCs w:val="24"/>
          <w:color w:val="auto"/>
        </w:rPr>
        <w:br w:type="column"/>
      </w:r>
    </w:p>
    <w:p>
      <w:pPr>
        <w:spacing w:after="0" w:line="21" w:lineRule="exact"/>
        <w:rPr>
          <w:sz w:val="24"/>
          <w:szCs w:val="24"/>
          <w:color w:val="auto"/>
        </w:rPr>
      </w:pPr>
    </w:p>
    <w:p>
      <w:pPr>
        <w:jc w:val="center"/>
        <w:ind w:right="2260"/>
        <w:spacing w:after="0"/>
        <w:rPr>
          <w:sz w:val="20"/>
          <w:szCs w:val="20"/>
          <w:color w:val="auto"/>
        </w:rPr>
      </w:pPr>
      <w:r>
        <w:rPr>
          <w:rFonts w:ascii="Arial" w:cs="Arial" w:eastAsia="Arial" w:hAnsi="Arial"/>
          <w:sz w:val="14"/>
          <w:szCs w:val="14"/>
          <w:b w:val="1"/>
          <w:bCs w:val="1"/>
          <w:color w:val="auto"/>
        </w:rPr>
        <w:t>001-34057</w:t>
      </w:r>
    </w:p>
    <w:p>
      <w:pPr>
        <w:spacing w:after="0" w:line="20" w:lineRule="exact"/>
        <w:rPr>
          <w:sz w:val="24"/>
          <w:szCs w:val="24"/>
          <w:color w:val="auto"/>
        </w:rPr>
      </w:pPr>
      <w:r>
        <w:rPr>
          <w:sz w:val="24"/>
          <w:szCs w:val="24"/>
          <w:color w:val="auto"/>
        </w:rPr>
        <w:br w:type="column"/>
      </w:r>
    </w:p>
    <w:p>
      <w:pPr>
        <w:spacing w:after="0" w:line="21" w:lineRule="exact"/>
        <w:rPr>
          <w:sz w:val="24"/>
          <w:szCs w:val="24"/>
          <w:color w:val="auto"/>
        </w:rPr>
      </w:pPr>
    </w:p>
    <w:p>
      <w:pPr>
        <w:spacing w:after="0"/>
        <w:rPr>
          <w:sz w:val="20"/>
          <w:szCs w:val="20"/>
          <w:color w:val="auto"/>
        </w:rPr>
      </w:pPr>
      <w:r>
        <w:rPr>
          <w:rFonts w:ascii="Arial" w:cs="Arial" w:eastAsia="Arial" w:hAnsi="Arial"/>
          <w:sz w:val="14"/>
          <w:szCs w:val="14"/>
          <w:b w:val="1"/>
          <w:bCs w:val="1"/>
          <w:color w:val="auto"/>
        </w:rPr>
        <w:t>26-1701984</w:t>
      </w:r>
    </w:p>
    <w:p>
      <w:pPr>
        <w:spacing w:after="0" w:line="91" w:lineRule="exact"/>
        <w:rPr>
          <w:sz w:val="24"/>
          <w:szCs w:val="24"/>
          <w:color w:val="auto"/>
        </w:rPr>
      </w:pPr>
    </w:p>
    <w:p>
      <w:pPr>
        <w:sectPr>
          <w:pgSz w:w="11900" w:h="16838" w:orient="portrait"/>
          <w:cols w:equalWidth="0" w:num="3">
            <w:col w:w="4540" w:space="720"/>
            <w:col w:w="2960" w:space="720"/>
            <w:col w:w="2280"/>
          </w:cols>
          <w:pgMar w:left="320" w:top="1187" w:right="359" w:bottom="1440" w:gutter="0" w:footer="0" w:header="0"/>
          <w:type w:val="continuous"/>
        </w:sectPr>
      </w:pPr>
    </w:p>
    <w:p>
      <w:pPr>
        <w:ind w:left="1060"/>
        <w:spacing w:after="0"/>
        <w:rPr>
          <w:sz w:val="20"/>
          <w:szCs w:val="20"/>
          <w:color w:val="auto"/>
        </w:rPr>
      </w:pPr>
      <w:r>
        <w:rPr>
          <w:rFonts w:ascii="Arial" w:cs="Arial" w:eastAsia="Arial" w:hAnsi="Arial"/>
          <w:sz w:val="10"/>
          <w:szCs w:val="10"/>
          <w:b w:val="1"/>
          <w:bCs w:val="1"/>
          <w:color w:val="auto"/>
        </w:rPr>
        <w:t>(State or Other Jurisdiction of</w:t>
      </w:r>
    </w:p>
    <w:p>
      <w:pPr>
        <w:spacing w:after="0" w:line="34" w:lineRule="exact"/>
        <w:rPr>
          <w:sz w:val="24"/>
          <w:szCs w:val="24"/>
          <w:color w:val="auto"/>
        </w:rPr>
      </w:pPr>
    </w:p>
    <w:p>
      <w:pPr>
        <w:ind w:left="1040"/>
        <w:spacing w:after="0"/>
        <w:rPr>
          <w:sz w:val="20"/>
          <w:szCs w:val="20"/>
          <w:color w:val="auto"/>
        </w:rPr>
      </w:pPr>
      <w:r>
        <w:rPr>
          <w:rFonts w:ascii="Arial" w:cs="Arial" w:eastAsia="Arial" w:hAnsi="Arial"/>
          <w:sz w:val="10"/>
          <w:szCs w:val="10"/>
          <w:b w:val="1"/>
          <w:bCs w:val="1"/>
          <w:color w:val="auto"/>
        </w:rPr>
        <w:t>Incorporation or Organization)</w:t>
      </w:r>
    </w:p>
    <w:p>
      <w:pPr>
        <w:spacing w:after="0" w:line="20" w:lineRule="exact"/>
        <w:rPr>
          <w:sz w:val="24"/>
          <w:szCs w:val="24"/>
          <w:color w:val="auto"/>
        </w:rPr>
      </w:pPr>
      <w:r>
        <w:rPr>
          <w:sz w:val="24"/>
          <w:szCs w:val="24"/>
          <w:color w:val="auto"/>
        </w:rPr>
        <w:br w:type="column"/>
      </w:r>
    </w:p>
    <w:p>
      <w:pPr>
        <w:spacing w:after="0" w:line="115" w:lineRule="exact"/>
        <w:rPr>
          <w:sz w:val="24"/>
          <w:szCs w:val="24"/>
          <w:color w:val="auto"/>
        </w:rPr>
      </w:pPr>
    </w:p>
    <w:p>
      <w:pPr>
        <w:spacing w:after="0"/>
        <w:rPr>
          <w:sz w:val="20"/>
          <w:szCs w:val="20"/>
          <w:color w:val="auto"/>
        </w:rPr>
      </w:pPr>
      <w:r>
        <w:rPr>
          <w:rFonts w:ascii="Arial" w:cs="Arial" w:eastAsia="Arial" w:hAnsi="Arial"/>
          <w:sz w:val="10"/>
          <w:szCs w:val="10"/>
          <w:b w:val="1"/>
          <w:bCs w:val="1"/>
          <w:color w:val="auto"/>
        </w:rPr>
        <w:t>(Commission File Number)</w:t>
      </w:r>
    </w:p>
    <w:p>
      <w:pPr>
        <w:spacing w:after="0" w:line="20" w:lineRule="exact"/>
        <w:rPr>
          <w:sz w:val="24"/>
          <w:szCs w:val="24"/>
          <w:color w:val="auto"/>
        </w:rPr>
      </w:pPr>
      <w:r>
        <w:rPr>
          <w:sz w:val="24"/>
          <w:szCs w:val="24"/>
          <w:color w:val="auto"/>
        </w:rPr>
        <w:br w:type="column"/>
      </w:r>
    </w:p>
    <w:p>
      <w:pPr>
        <w:ind w:left="40"/>
        <w:spacing w:after="0"/>
        <w:rPr>
          <w:sz w:val="20"/>
          <w:szCs w:val="20"/>
          <w:color w:val="auto"/>
        </w:rPr>
      </w:pPr>
      <w:r>
        <w:rPr>
          <w:rFonts w:ascii="Arial" w:cs="Arial" w:eastAsia="Arial" w:hAnsi="Arial"/>
          <w:sz w:val="12"/>
          <w:szCs w:val="12"/>
          <w:b w:val="1"/>
          <w:bCs w:val="1"/>
          <w:color w:val="auto"/>
        </w:rPr>
        <w:t>(I.R.S. Employer</w:t>
      </w:r>
    </w:p>
    <w:p>
      <w:pPr>
        <w:spacing w:after="0" w:line="11" w:lineRule="exact"/>
        <w:rPr>
          <w:sz w:val="24"/>
          <w:szCs w:val="24"/>
          <w:color w:val="auto"/>
        </w:rPr>
      </w:pPr>
    </w:p>
    <w:p>
      <w:pPr>
        <w:spacing w:after="0"/>
        <w:rPr>
          <w:sz w:val="20"/>
          <w:szCs w:val="20"/>
          <w:color w:val="auto"/>
        </w:rPr>
      </w:pPr>
      <w:r>
        <w:rPr>
          <w:rFonts w:ascii="Arial" w:cs="Arial" w:eastAsia="Arial" w:hAnsi="Arial"/>
          <w:sz w:val="10"/>
          <w:szCs w:val="10"/>
          <w:b w:val="1"/>
          <w:bCs w:val="1"/>
          <w:color w:val="auto"/>
        </w:rPr>
        <w:t>Identification No.)</w:t>
      </w:r>
    </w:p>
    <w:p>
      <w:pPr>
        <w:spacing w:after="0" w:line="145" w:lineRule="exact"/>
        <w:rPr>
          <w:sz w:val="24"/>
          <w:szCs w:val="24"/>
          <w:color w:val="auto"/>
        </w:rPr>
      </w:pPr>
    </w:p>
    <w:p>
      <w:pPr>
        <w:sectPr>
          <w:pgSz w:w="11900" w:h="16838" w:orient="portrait"/>
          <w:cols w:equalWidth="0" w:num="3">
            <w:col w:w="4160" w:space="720"/>
            <w:col w:w="3240" w:space="720"/>
            <w:col w:w="2380"/>
          </w:cols>
          <w:pgMar w:left="320" w:top="1187" w:right="359" w:bottom="1440" w:gutter="0" w:footer="0" w:header="0"/>
          <w:type w:val="continuous"/>
        </w:sectPr>
      </w:pPr>
    </w:p>
    <w:p>
      <w:pPr>
        <w:jc w:val="center"/>
        <w:ind w:right="-19"/>
        <w:spacing w:after="0"/>
        <w:rPr>
          <w:sz w:val="20"/>
          <w:szCs w:val="20"/>
          <w:color w:val="auto"/>
        </w:rPr>
      </w:pPr>
      <w:r>
        <w:rPr>
          <w:rFonts w:ascii="Arial" w:cs="Arial" w:eastAsia="Arial" w:hAnsi="Arial"/>
          <w:sz w:val="16"/>
          <w:szCs w:val="16"/>
          <w:b w:val="1"/>
          <w:bCs w:val="1"/>
          <w:color w:val="auto"/>
        </w:rPr>
        <w:t>2 Bethesda Metro Center, 12th Floor</w:t>
      </w:r>
    </w:p>
    <w:p>
      <w:pPr>
        <w:spacing w:after="0" w:line="20"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Bethesda, Maryland 20814</w:t>
      </w:r>
    </w:p>
    <w:p>
      <w:pPr>
        <w:jc w:val="center"/>
        <w:ind w:right="-19"/>
        <w:spacing w:after="0"/>
        <w:rPr>
          <w:sz w:val="20"/>
          <w:szCs w:val="20"/>
          <w:color w:val="auto"/>
        </w:rPr>
      </w:pPr>
      <w:r>
        <w:rPr>
          <w:rFonts w:ascii="Arial" w:cs="Arial" w:eastAsia="Arial" w:hAnsi="Arial"/>
          <w:sz w:val="13"/>
          <w:szCs w:val="13"/>
          <w:b w:val="1"/>
          <w:bCs w:val="1"/>
          <w:color w:val="auto"/>
        </w:rPr>
        <w:t>(Address of principal executive offices)</w:t>
      </w:r>
    </w:p>
    <w:p>
      <w:pPr>
        <w:spacing w:after="0" w:line="228" w:lineRule="exact"/>
        <w:rPr>
          <w:sz w:val="24"/>
          <w:szCs w:val="24"/>
          <w:color w:val="auto"/>
        </w:rPr>
      </w:pPr>
    </w:p>
    <w:p>
      <w:pPr>
        <w:jc w:val="center"/>
        <w:ind w:right="-19"/>
        <w:spacing w:after="0"/>
        <w:rPr>
          <w:sz w:val="20"/>
          <w:szCs w:val="20"/>
          <w:color w:val="auto"/>
        </w:rPr>
      </w:pPr>
      <w:r>
        <w:rPr>
          <w:rFonts w:ascii="Arial" w:cs="Arial" w:eastAsia="Arial" w:hAnsi="Arial"/>
          <w:sz w:val="13"/>
          <w:szCs w:val="13"/>
          <w:b w:val="1"/>
          <w:bCs w:val="1"/>
          <w:color w:val="auto"/>
        </w:rPr>
        <w:t>Registrant’s telephone number, including area code:</w:t>
      </w:r>
    </w:p>
    <w:p>
      <w:pPr>
        <w:spacing w:after="0" w:line="15"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(301) 968-9300</w:t>
      </w:r>
    </w:p>
    <w:p>
      <w:pPr>
        <w:spacing w:after="0" w:line="237"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N/A</w:t>
      </w:r>
    </w:p>
    <w:p>
      <w:pPr>
        <w:spacing w:after="0" w:line="15" w:lineRule="exact"/>
        <w:rPr>
          <w:sz w:val="24"/>
          <w:szCs w:val="24"/>
          <w:color w:val="auto"/>
        </w:rPr>
      </w:pPr>
    </w:p>
    <w:p>
      <w:pPr>
        <w:jc w:val="center"/>
        <w:ind w:right="-19"/>
        <w:spacing w:after="0"/>
        <w:rPr>
          <w:sz w:val="20"/>
          <w:szCs w:val="20"/>
          <w:color w:val="auto"/>
        </w:rPr>
      </w:pPr>
      <w:r>
        <w:rPr>
          <w:rFonts w:ascii="Arial" w:cs="Arial" w:eastAsia="Arial" w:hAnsi="Arial"/>
          <w:sz w:val="13"/>
          <w:szCs w:val="13"/>
          <w:b w:val="1"/>
          <w:bCs w:val="1"/>
          <w:color w:val="auto"/>
        </w:rPr>
        <w:t>(Former name or former address, if changed since last report)</w:t>
      </w:r>
    </w:p>
    <w:p>
      <w:pPr>
        <w:spacing w:after="0" w:line="1" w:lineRule="exact"/>
        <w:rPr>
          <w:sz w:val="24"/>
          <w:szCs w:val="24"/>
          <w:color w:val="auto"/>
        </w:rPr>
      </w:pPr>
    </w:p>
    <w:p>
      <w:pPr>
        <w:ind w:left="3400"/>
        <w:spacing w:after="0"/>
        <w:rPr>
          <w:sz w:val="20"/>
          <w:szCs w:val="20"/>
          <w:color w:val="auto"/>
        </w:rPr>
      </w:pPr>
      <w:r>
        <w:rPr>
          <w:rFonts w:ascii="Arial" w:cs="Arial" w:eastAsia="Arial" w:hAnsi="Arial"/>
          <w:sz w:val="18"/>
          <w:szCs w:val="18"/>
          <w:color w:val="auto"/>
        </w:rPr>
        <w:t>__________________________________________________</w:t>
      </w:r>
    </w:p>
    <w:p>
      <w:pPr>
        <w:spacing w:after="0" w:line="186" w:lineRule="exact"/>
        <w:rPr>
          <w:sz w:val="24"/>
          <w:szCs w:val="24"/>
          <w:color w:val="auto"/>
        </w:rPr>
      </w:pPr>
    </w:p>
    <w:p>
      <w:pPr>
        <w:spacing w:after="0"/>
        <w:rPr>
          <w:sz w:val="20"/>
          <w:szCs w:val="20"/>
          <w:color w:val="auto"/>
        </w:rPr>
      </w:pPr>
      <w:r>
        <w:rPr>
          <w:rFonts w:ascii="Arial" w:cs="Arial" w:eastAsia="Arial" w:hAnsi="Arial"/>
          <w:sz w:val="10"/>
          <w:szCs w:val="10"/>
          <w:color w:val="auto"/>
        </w:rPr>
        <w:t>Check the appropriate box below if the Form 8-K filing is intended to simultaneously satisfy the filing obligation of the registrant under any of the following provisions:</w:t>
      </w:r>
    </w:p>
    <w:p>
      <w:pPr>
        <w:spacing w:after="0" w:line="81" w:lineRule="exact"/>
        <w:rPr>
          <w:sz w:val="24"/>
          <w:szCs w:val="24"/>
          <w:color w:val="auto"/>
        </w:rPr>
      </w:pPr>
    </w:p>
    <w:p>
      <w:pPr>
        <w:ind w:left="200"/>
        <w:spacing w:after="0"/>
        <w:tabs>
          <w:tab w:leader="none" w:pos="2700" w:val="left"/>
        </w:tabs>
        <w:rPr>
          <w:sz w:val="20"/>
          <w:szCs w:val="20"/>
          <w:color w:val="auto"/>
        </w:rPr>
      </w:pPr>
      <w:r>
        <w:rPr>
          <w:rFonts w:ascii="MS PGothic" w:cs="MS PGothic" w:eastAsia="MS PGothic" w:hAnsi="MS PGothic"/>
          <w:sz w:val="13"/>
          <w:szCs w:val="13"/>
          <w:color w:val="auto"/>
        </w:rPr>
        <w:t>☐</w:t>
      </w:r>
      <w:r>
        <w:rPr>
          <w:sz w:val="20"/>
          <w:szCs w:val="20"/>
          <w:color w:val="auto"/>
        </w:rPr>
        <w:tab/>
      </w:r>
      <w:r>
        <w:rPr>
          <w:rFonts w:ascii="Arial" w:cs="Arial" w:eastAsia="Arial" w:hAnsi="Arial"/>
          <w:sz w:val="13"/>
          <w:szCs w:val="13"/>
          <w:color w:val="auto"/>
        </w:rPr>
        <w:t>Written communications pursuant to Rule 425 under the Securities Act (17 CFR 230.425)</w:t>
      </w:r>
    </w:p>
    <w:p>
      <w:pPr>
        <w:spacing w:after="0" w:line="53" w:lineRule="exact"/>
        <w:rPr>
          <w:sz w:val="24"/>
          <w:szCs w:val="24"/>
          <w:color w:val="auto"/>
        </w:rPr>
      </w:pPr>
    </w:p>
    <w:p>
      <w:pPr>
        <w:ind w:left="200"/>
        <w:spacing w:after="0"/>
        <w:tabs>
          <w:tab w:leader="none" w:pos="2700" w:val="left"/>
        </w:tabs>
        <w:rPr>
          <w:sz w:val="20"/>
          <w:szCs w:val="20"/>
          <w:color w:val="auto"/>
        </w:rPr>
      </w:pPr>
      <w:r>
        <w:rPr>
          <w:rFonts w:ascii="MS PGothic" w:cs="MS PGothic" w:eastAsia="MS PGothic" w:hAnsi="MS PGothic"/>
          <w:sz w:val="13"/>
          <w:szCs w:val="13"/>
          <w:color w:val="auto"/>
        </w:rPr>
        <w:t>☐</w:t>
      </w:r>
      <w:r>
        <w:rPr>
          <w:sz w:val="20"/>
          <w:szCs w:val="20"/>
          <w:color w:val="auto"/>
        </w:rPr>
        <w:tab/>
      </w:r>
      <w:r>
        <w:rPr>
          <w:rFonts w:ascii="Arial" w:cs="Arial" w:eastAsia="Arial" w:hAnsi="Arial"/>
          <w:sz w:val="13"/>
          <w:szCs w:val="13"/>
          <w:color w:val="auto"/>
        </w:rPr>
        <w:t>Soliciting material pursuant to Rule 14a-12 under the Exchange Act (17 CFR 240.14a-12)</w:t>
      </w:r>
    </w:p>
    <w:p>
      <w:pPr>
        <w:spacing w:after="0" w:line="53" w:lineRule="exact"/>
        <w:rPr>
          <w:sz w:val="24"/>
          <w:szCs w:val="24"/>
          <w:color w:val="auto"/>
        </w:rPr>
      </w:pPr>
    </w:p>
    <w:p>
      <w:pPr>
        <w:ind w:left="200"/>
        <w:spacing w:after="0"/>
        <w:tabs>
          <w:tab w:leader="none" w:pos="2700" w:val="left"/>
        </w:tabs>
        <w:rPr>
          <w:sz w:val="20"/>
          <w:szCs w:val="20"/>
          <w:color w:val="auto"/>
        </w:rPr>
      </w:pPr>
      <w:r>
        <w:rPr>
          <w:rFonts w:ascii="MS PGothic" w:cs="MS PGothic" w:eastAsia="MS PGothic" w:hAnsi="MS PGothic"/>
          <w:sz w:val="10"/>
          <w:szCs w:val="10"/>
          <w:color w:val="auto"/>
        </w:rPr>
        <w:t>☐</w:t>
      </w:r>
      <w:r>
        <w:rPr>
          <w:sz w:val="20"/>
          <w:szCs w:val="20"/>
          <w:color w:val="auto"/>
        </w:rPr>
        <w:tab/>
      </w:r>
      <w:r>
        <w:rPr>
          <w:rFonts w:ascii="Arial" w:cs="Arial" w:eastAsia="Arial" w:hAnsi="Arial"/>
          <w:sz w:val="10"/>
          <w:szCs w:val="10"/>
          <w:color w:val="auto"/>
        </w:rPr>
        <w:t xml:space="preserve">Pre-commencement communications pursuant to Rule 14d-2(b) under the Exchange Act </w:t>
      </w:r>
      <w:r>
        <w:rPr>
          <w:rFonts w:ascii="Arial" w:cs="Arial" w:eastAsia="Arial" w:hAnsi="Arial"/>
          <w:sz w:val="10"/>
          <w:szCs w:val="10"/>
          <w:i w:val="1"/>
          <w:iCs w:val="1"/>
          <w:color w:val="auto"/>
        </w:rPr>
        <w:t>(</w:t>
      </w:r>
      <w:r>
        <w:rPr>
          <w:rFonts w:ascii="Arial" w:cs="Arial" w:eastAsia="Arial" w:hAnsi="Arial"/>
          <w:sz w:val="10"/>
          <w:szCs w:val="10"/>
          <w:color w:val="auto"/>
        </w:rPr>
        <w:t>17 CFR 240.14d-2(b))</w:t>
      </w:r>
    </w:p>
    <w:p>
      <w:pPr>
        <w:spacing w:after="0" w:line="88" w:lineRule="exact"/>
        <w:rPr>
          <w:sz w:val="24"/>
          <w:szCs w:val="24"/>
          <w:color w:val="auto"/>
        </w:rPr>
      </w:pPr>
    </w:p>
    <w:p>
      <w:pPr>
        <w:ind w:left="200"/>
        <w:spacing w:after="0"/>
        <w:tabs>
          <w:tab w:leader="none" w:pos="2700" w:val="left"/>
        </w:tabs>
        <w:rPr>
          <w:sz w:val="20"/>
          <w:szCs w:val="20"/>
          <w:color w:val="auto"/>
        </w:rPr>
      </w:pPr>
      <w:r>
        <w:rPr>
          <w:rFonts w:ascii="MS PGothic" w:cs="MS PGothic" w:eastAsia="MS PGothic" w:hAnsi="MS PGothic"/>
          <w:sz w:val="10"/>
          <w:szCs w:val="10"/>
          <w:color w:val="auto"/>
        </w:rPr>
        <w:t>☐</w:t>
      </w:r>
      <w:r>
        <w:rPr>
          <w:sz w:val="20"/>
          <w:szCs w:val="20"/>
          <w:color w:val="auto"/>
        </w:rPr>
        <w:tab/>
      </w:r>
      <w:r>
        <w:rPr>
          <w:rFonts w:ascii="Arial" w:cs="Arial" w:eastAsia="Arial" w:hAnsi="Arial"/>
          <w:sz w:val="10"/>
          <w:szCs w:val="10"/>
          <w:color w:val="auto"/>
        </w:rPr>
        <w:t>Pre-commencement communications pursuant to Rule 13e-4(c) under the Exchange Act (17 CFR 240.13e-4(c))</w:t>
      </w:r>
    </w:p>
    <w:p>
      <w:pPr>
        <w:sectPr>
          <w:pgSz w:w="11900" w:h="16838" w:orient="portrait"/>
          <w:cols w:equalWidth="0" w:num="1">
            <w:col w:w="11220"/>
          </w:cols>
          <w:pgMar w:left="320" w:top="1187" w:right="359" w:bottom="1440" w:gutter="0" w:footer="0" w:header="0"/>
          <w:type w:val="continuous"/>
        </w:sectPr>
      </w:pPr>
    </w:p>
    <w:p>
      <w:pPr>
        <w:spacing w:after="0" w:line="202" w:lineRule="exact"/>
        <w:rPr>
          <w:sz w:val="24"/>
          <w:szCs w:val="24"/>
          <w:color w:val="auto"/>
        </w:rPr>
      </w:pPr>
    </w:p>
    <w:tbl>
      <w:tblPr>
        <w:tblLayout w:type="fixed"/>
        <w:tblInd w:w="0" w:type="dxa"/>
        <w:tblCellMar>
          <w:top w:w="0" w:type="dxa"/>
          <w:left w:w="0" w:type="dxa"/>
          <w:bottom w:w="0" w:type="dxa"/>
          <w:right w:w="0" w:type="dxa"/>
        </w:tblCellMar>
      </w:tblPr>
      <w:tr>
        <w:trPr>
          <w:trHeight w:val="160"/>
        </w:trPr>
        <w:tc>
          <w:tcPr>
            <w:tcW w:w="5280" w:type="dxa"/>
            <w:vAlign w:val="bottom"/>
            <w:gridSpan w:val="3"/>
          </w:tcPr>
          <w:p>
            <w:pPr>
              <w:spacing w:after="0"/>
              <w:rPr>
                <w:sz w:val="20"/>
                <w:szCs w:val="20"/>
                <w:color w:val="auto"/>
              </w:rPr>
            </w:pPr>
            <w:r>
              <w:rPr>
                <w:rFonts w:ascii="Arial" w:cs="Arial" w:eastAsia="Arial" w:hAnsi="Arial"/>
                <w:sz w:val="13"/>
                <w:szCs w:val="13"/>
                <w:color w:val="auto"/>
              </w:rPr>
              <w:t>Securities registered pursuant to Section 12(b) of the Act:</w:t>
            </w:r>
          </w:p>
        </w:tc>
        <w:tc>
          <w:tcPr>
            <w:tcW w:w="1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2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2"/>
        </w:trPr>
        <w:tc>
          <w:tcPr>
            <w:tcW w:w="40" w:type="dxa"/>
            <w:vAlign w:val="bottom"/>
          </w:tcPr>
          <w:p>
            <w:pPr>
              <w:spacing w:after="0"/>
              <w:rPr>
                <w:sz w:val="18"/>
                <w:szCs w:val="18"/>
                <w:color w:val="auto"/>
              </w:rPr>
            </w:pPr>
          </w:p>
        </w:tc>
        <w:tc>
          <w:tcPr>
            <w:tcW w:w="514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6"/>
              </w:rPr>
              <w:t>Title of Each Class</w:t>
            </w:r>
          </w:p>
        </w:tc>
        <w:tc>
          <w:tcPr>
            <w:tcW w:w="100" w:type="dxa"/>
            <w:vAlign w:val="bottom"/>
          </w:tcPr>
          <w:p>
            <w:pPr>
              <w:spacing w:after="0"/>
              <w:rPr>
                <w:sz w:val="18"/>
                <w:szCs w:val="18"/>
                <w:color w:val="auto"/>
              </w:rPr>
            </w:pPr>
          </w:p>
        </w:tc>
        <w:tc>
          <w:tcPr>
            <w:tcW w:w="15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7"/>
              </w:rPr>
              <w:t>Trading Symbol(s)</w:t>
            </w:r>
          </w:p>
        </w:tc>
        <w:tc>
          <w:tcPr>
            <w:tcW w:w="100" w:type="dxa"/>
            <w:vAlign w:val="bottom"/>
          </w:tcPr>
          <w:p>
            <w:pPr>
              <w:spacing w:after="0"/>
              <w:rPr>
                <w:sz w:val="18"/>
                <w:szCs w:val="18"/>
                <w:color w:val="auto"/>
              </w:rPr>
            </w:pPr>
          </w:p>
        </w:tc>
        <w:tc>
          <w:tcPr>
            <w:tcW w:w="426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6"/>
              </w:rPr>
              <w:t>Name of Exchange on Which Registered</w:t>
            </w:r>
          </w:p>
        </w:tc>
        <w:tc>
          <w:tcPr>
            <w:tcW w:w="0" w:type="dxa"/>
            <w:vAlign w:val="bottom"/>
          </w:tcPr>
          <w:p>
            <w:pPr>
              <w:spacing w:after="0"/>
              <w:rPr>
                <w:sz w:val="1"/>
                <w:szCs w:val="1"/>
                <w:color w:val="auto"/>
              </w:rPr>
            </w:pPr>
          </w:p>
        </w:tc>
      </w:tr>
      <w:tr>
        <w:trPr>
          <w:trHeight w:val="173"/>
        </w:trPr>
        <w:tc>
          <w:tcPr>
            <w:tcW w:w="40" w:type="dxa"/>
            <w:vAlign w:val="bottom"/>
          </w:tcPr>
          <w:p>
            <w:pPr>
              <w:spacing w:after="0"/>
              <w:rPr>
                <w:sz w:val="15"/>
                <w:szCs w:val="15"/>
                <w:color w:val="auto"/>
              </w:rPr>
            </w:pPr>
          </w:p>
        </w:tc>
        <w:tc>
          <w:tcPr>
            <w:tcW w:w="5240" w:type="dxa"/>
            <w:vAlign w:val="bottom"/>
            <w:gridSpan w:val="2"/>
          </w:tcPr>
          <w:p>
            <w:pPr>
              <w:jc w:val="center"/>
              <w:ind w:right="120"/>
              <w:spacing w:after="0"/>
              <w:rPr>
                <w:sz w:val="20"/>
                <w:szCs w:val="20"/>
                <w:color w:val="auto"/>
              </w:rPr>
            </w:pPr>
            <w:r>
              <w:rPr>
                <w:rFonts w:ascii="Arial" w:cs="Arial" w:eastAsia="Arial" w:hAnsi="Arial"/>
                <w:sz w:val="13"/>
                <w:szCs w:val="13"/>
                <w:color w:val="auto"/>
                <w:w w:val="86"/>
              </w:rPr>
              <w:t>Common Stock, par value $0.01 per share</w:t>
            </w:r>
          </w:p>
        </w:tc>
        <w:tc>
          <w:tcPr>
            <w:tcW w:w="1680" w:type="dxa"/>
            <w:vAlign w:val="bottom"/>
            <w:gridSpan w:val="2"/>
          </w:tcPr>
          <w:p>
            <w:pPr>
              <w:jc w:val="center"/>
              <w:ind w:right="120"/>
              <w:spacing w:after="0"/>
              <w:rPr>
                <w:sz w:val="20"/>
                <w:szCs w:val="20"/>
                <w:color w:val="auto"/>
              </w:rPr>
            </w:pPr>
            <w:r>
              <w:rPr>
                <w:rFonts w:ascii="Arial" w:cs="Arial" w:eastAsia="Arial" w:hAnsi="Arial"/>
                <w:sz w:val="13"/>
                <w:szCs w:val="13"/>
                <w:color w:val="auto"/>
                <w:w w:val="95"/>
              </w:rPr>
              <w:t>AGNC</w:t>
            </w:r>
          </w:p>
        </w:tc>
        <w:tc>
          <w:tcPr>
            <w:tcW w:w="4260" w:type="dxa"/>
            <w:vAlign w:val="bottom"/>
          </w:tcPr>
          <w:p>
            <w:pPr>
              <w:jc w:val="center"/>
              <w:spacing w:after="0"/>
              <w:rPr>
                <w:sz w:val="20"/>
                <w:szCs w:val="20"/>
                <w:color w:val="auto"/>
              </w:rPr>
            </w:pPr>
            <w:r>
              <w:rPr>
                <w:rFonts w:ascii="Arial" w:cs="Arial" w:eastAsia="Arial" w:hAnsi="Arial"/>
                <w:sz w:val="13"/>
                <w:szCs w:val="13"/>
                <w:color w:val="auto"/>
                <w:w w:val="87"/>
              </w:rPr>
              <w:t>The Nasdaq Global Select Market</w:t>
            </w:r>
          </w:p>
        </w:tc>
        <w:tc>
          <w:tcPr>
            <w:tcW w:w="0" w:type="dxa"/>
            <w:vAlign w:val="bottom"/>
          </w:tcPr>
          <w:p>
            <w:pPr>
              <w:spacing w:after="0"/>
              <w:rPr>
                <w:sz w:val="1"/>
                <w:szCs w:val="1"/>
                <w:color w:val="auto"/>
              </w:rPr>
            </w:pPr>
          </w:p>
        </w:tc>
      </w:tr>
      <w:tr>
        <w:trPr>
          <w:trHeight w:val="164"/>
        </w:trPr>
        <w:tc>
          <w:tcPr>
            <w:tcW w:w="40" w:type="dxa"/>
            <w:vAlign w:val="bottom"/>
          </w:tcPr>
          <w:p>
            <w:pPr>
              <w:spacing w:after="0"/>
              <w:rPr>
                <w:sz w:val="14"/>
                <w:szCs w:val="14"/>
                <w:color w:val="auto"/>
              </w:rPr>
            </w:pPr>
          </w:p>
        </w:tc>
        <w:tc>
          <w:tcPr>
            <w:tcW w:w="5240" w:type="dxa"/>
            <w:vAlign w:val="bottom"/>
            <w:gridSpan w:val="2"/>
          </w:tcPr>
          <w:p>
            <w:pPr>
              <w:jc w:val="center"/>
              <w:ind w:right="120"/>
              <w:spacing w:after="0"/>
              <w:rPr>
                <w:sz w:val="20"/>
                <w:szCs w:val="20"/>
                <w:color w:val="auto"/>
              </w:rPr>
            </w:pPr>
            <w:r>
              <w:rPr>
                <w:rFonts w:ascii="Arial" w:cs="Arial" w:eastAsia="Arial" w:hAnsi="Arial"/>
                <w:sz w:val="13"/>
                <w:szCs w:val="13"/>
                <w:color w:val="auto"/>
                <w:w w:val="87"/>
              </w:rPr>
              <w:t>Depositary shares of 7.000% Series C Fixed-to-Floating Rate Cumulative Redeemable Preferred</w:t>
            </w:r>
          </w:p>
        </w:tc>
        <w:tc>
          <w:tcPr>
            <w:tcW w:w="1680" w:type="dxa"/>
            <w:vAlign w:val="bottom"/>
            <w:gridSpan w:val="2"/>
            <w:vMerge w:val="restart"/>
          </w:tcPr>
          <w:p>
            <w:pPr>
              <w:jc w:val="center"/>
              <w:ind w:right="120"/>
              <w:spacing w:after="0"/>
              <w:rPr>
                <w:sz w:val="20"/>
                <w:szCs w:val="20"/>
                <w:color w:val="auto"/>
              </w:rPr>
            </w:pPr>
            <w:r>
              <w:rPr>
                <w:rFonts w:ascii="Arial" w:cs="Arial" w:eastAsia="Arial" w:hAnsi="Arial"/>
                <w:sz w:val="13"/>
                <w:szCs w:val="13"/>
                <w:color w:val="auto"/>
                <w:w w:val="93"/>
              </w:rPr>
              <w:t>AGNCN</w:t>
            </w:r>
          </w:p>
        </w:tc>
        <w:tc>
          <w:tcPr>
            <w:tcW w:w="4260" w:type="dxa"/>
            <w:vAlign w:val="bottom"/>
            <w:vMerge w:val="restart"/>
          </w:tcPr>
          <w:p>
            <w:pPr>
              <w:jc w:val="center"/>
              <w:spacing w:after="0"/>
              <w:rPr>
                <w:sz w:val="20"/>
                <w:szCs w:val="20"/>
                <w:color w:val="auto"/>
              </w:rPr>
            </w:pPr>
            <w:r>
              <w:rPr>
                <w:rFonts w:ascii="Arial" w:cs="Arial" w:eastAsia="Arial" w:hAnsi="Arial"/>
                <w:sz w:val="13"/>
                <w:szCs w:val="13"/>
                <w:color w:val="auto"/>
                <w:w w:val="87"/>
              </w:rPr>
              <w:t>The Nasdaq Global Select Market</w:t>
            </w:r>
          </w:p>
        </w:tc>
        <w:tc>
          <w:tcPr>
            <w:tcW w:w="0" w:type="dxa"/>
            <w:vAlign w:val="bottom"/>
          </w:tcPr>
          <w:p>
            <w:pPr>
              <w:spacing w:after="0"/>
              <w:rPr>
                <w:sz w:val="1"/>
                <w:szCs w:val="1"/>
                <w:color w:val="auto"/>
              </w:rPr>
            </w:pPr>
          </w:p>
        </w:tc>
      </w:tr>
      <w:tr>
        <w:trPr>
          <w:trHeight w:val="93"/>
        </w:trPr>
        <w:tc>
          <w:tcPr>
            <w:tcW w:w="40" w:type="dxa"/>
            <w:vAlign w:val="bottom"/>
          </w:tcPr>
          <w:p>
            <w:pPr>
              <w:spacing w:after="0"/>
              <w:rPr>
                <w:sz w:val="8"/>
                <w:szCs w:val="8"/>
                <w:color w:val="auto"/>
              </w:rPr>
            </w:pPr>
          </w:p>
        </w:tc>
        <w:tc>
          <w:tcPr>
            <w:tcW w:w="5240" w:type="dxa"/>
            <w:vAlign w:val="bottom"/>
            <w:gridSpan w:val="2"/>
            <w:vMerge w:val="restart"/>
          </w:tcPr>
          <w:p>
            <w:pPr>
              <w:jc w:val="center"/>
              <w:ind w:right="120"/>
              <w:spacing w:after="0"/>
              <w:rPr>
                <w:sz w:val="20"/>
                <w:szCs w:val="20"/>
                <w:color w:val="auto"/>
              </w:rPr>
            </w:pPr>
            <w:r>
              <w:rPr>
                <w:rFonts w:ascii="Arial" w:cs="Arial" w:eastAsia="Arial" w:hAnsi="Arial"/>
                <w:sz w:val="13"/>
                <w:szCs w:val="13"/>
                <w:color w:val="auto"/>
                <w:w w:val="85"/>
              </w:rPr>
              <w:t>Stock</w:t>
            </w:r>
          </w:p>
        </w:tc>
        <w:tc>
          <w:tcPr>
            <w:tcW w:w="1680" w:type="dxa"/>
            <w:vAlign w:val="bottom"/>
            <w:gridSpan w:val="2"/>
            <w:vMerge w:val="continue"/>
          </w:tcPr>
          <w:p>
            <w:pPr>
              <w:spacing w:after="0"/>
              <w:rPr>
                <w:sz w:val="8"/>
                <w:szCs w:val="8"/>
                <w:color w:val="auto"/>
              </w:rPr>
            </w:pPr>
          </w:p>
        </w:tc>
        <w:tc>
          <w:tcPr>
            <w:tcW w:w="42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40" w:type="dxa"/>
            <w:vAlign w:val="bottom"/>
          </w:tcPr>
          <w:p>
            <w:pPr>
              <w:spacing w:after="0"/>
              <w:rPr>
                <w:sz w:val="5"/>
                <w:szCs w:val="5"/>
                <w:color w:val="auto"/>
              </w:rPr>
            </w:pPr>
          </w:p>
        </w:tc>
        <w:tc>
          <w:tcPr>
            <w:tcW w:w="5240" w:type="dxa"/>
            <w:vAlign w:val="bottom"/>
            <w:gridSpan w:val="2"/>
            <w:vMerge w:val="continue"/>
          </w:tcPr>
          <w:p>
            <w:pPr>
              <w:spacing w:after="0"/>
              <w:rPr>
                <w:sz w:val="5"/>
                <w:szCs w:val="5"/>
                <w:color w:val="auto"/>
              </w:rPr>
            </w:pPr>
          </w:p>
        </w:tc>
        <w:tc>
          <w:tcPr>
            <w:tcW w:w="1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2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64"/>
        </w:trPr>
        <w:tc>
          <w:tcPr>
            <w:tcW w:w="40" w:type="dxa"/>
            <w:vAlign w:val="bottom"/>
          </w:tcPr>
          <w:p>
            <w:pPr>
              <w:spacing w:after="0"/>
              <w:rPr>
                <w:sz w:val="14"/>
                <w:szCs w:val="14"/>
                <w:color w:val="auto"/>
              </w:rPr>
            </w:pPr>
          </w:p>
        </w:tc>
        <w:tc>
          <w:tcPr>
            <w:tcW w:w="5240" w:type="dxa"/>
            <w:vAlign w:val="bottom"/>
            <w:gridSpan w:val="2"/>
          </w:tcPr>
          <w:p>
            <w:pPr>
              <w:jc w:val="center"/>
              <w:ind w:right="120"/>
              <w:spacing w:after="0"/>
              <w:rPr>
                <w:sz w:val="20"/>
                <w:szCs w:val="20"/>
                <w:color w:val="auto"/>
              </w:rPr>
            </w:pPr>
            <w:r>
              <w:rPr>
                <w:rFonts w:ascii="Arial" w:cs="Arial" w:eastAsia="Arial" w:hAnsi="Arial"/>
                <w:sz w:val="13"/>
                <w:szCs w:val="13"/>
                <w:color w:val="auto"/>
                <w:w w:val="87"/>
              </w:rPr>
              <w:t>Depositary shares of 6.875% Series D Fixed-to-Floating Rate Cumulative Redeemable Preferred</w:t>
            </w:r>
          </w:p>
        </w:tc>
        <w:tc>
          <w:tcPr>
            <w:tcW w:w="1680" w:type="dxa"/>
            <w:vAlign w:val="bottom"/>
            <w:gridSpan w:val="2"/>
            <w:vMerge w:val="restart"/>
          </w:tcPr>
          <w:p>
            <w:pPr>
              <w:jc w:val="center"/>
              <w:ind w:right="120"/>
              <w:spacing w:after="0"/>
              <w:rPr>
                <w:sz w:val="20"/>
                <w:szCs w:val="20"/>
                <w:color w:val="auto"/>
              </w:rPr>
            </w:pPr>
            <w:r>
              <w:rPr>
                <w:rFonts w:ascii="Arial" w:cs="Arial" w:eastAsia="Arial" w:hAnsi="Arial"/>
                <w:sz w:val="13"/>
                <w:szCs w:val="13"/>
                <w:color w:val="auto"/>
                <w:w w:val="99"/>
              </w:rPr>
              <w:t>AGNCM</w:t>
            </w:r>
          </w:p>
        </w:tc>
        <w:tc>
          <w:tcPr>
            <w:tcW w:w="4260" w:type="dxa"/>
            <w:vAlign w:val="bottom"/>
            <w:vMerge w:val="restart"/>
          </w:tcPr>
          <w:p>
            <w:pPr>
              <w:jc w:val="center"/>
              <w:spacing w:after="0"/>
              <w:rPr>
                <w:sz w:val="20"/>
                <w:szCs w:val="20"/>
                <w:color w:val="auto"/>
              </w:rPr>
            </w:pPr>
            <w:r>
              <w:rPr>
                <w:rFonts w:ascii="Arial" w:cs="Arial" w:eastAsia="Arial" w:hAnsi="Arial"/>
                <w:sz w:val="13"/>
                <w:szCs w:val="13"/>
                <w:color w:val="auto"/>
                <w:w w:val="87"/>
              </w:rPr>
              <w:t>The Nasdaq Global Select Market</w:t>
            </w:r>
          </w:p>
        </w:tc>
        <w:tc>
          <w:tcPr>
            <w:tcW w:w="0" w:type="dxa"/>
            <w:vAlign w:val="bottom"/>
          </w:tcPr>
          <w:p>
            <w:pPr>
              <w:spacing w:after="0"/>
              <w:rPr>
                <w:sz w:val="1"/>
                <w:szCs w:val="1"/>
                <w:color w:val="auto"/>
              </w:rPr>
            </w:pPr>
          </w:p>
        </w:tc>
      </w:tr>
      <w:tr>
        <w:trPr>
          <w:trHeight w:val="93"/>
        </w:trPr>
        <w:tc>
          <w:tcPr>
            <w:tcW w:w="40" w:type="dxa"/>
            <w:vAlign w:val="bottom"/>
          </w:tcPr>
          <w:p>
            <w:pPr>
              <w:spacing w:after="0"/>
              <w:rPr>
                <w:sz w:val="8"/>
                <w:szCs w:val="8"/>
                <w:color w:val="auto"/>
              </w:rPr>
            </w:pPr>
          </w:p>
        </w:tc>
        <w:tc>
          <w:tcPr>
            <w:tcW w:w="5240" w:type="dxa"/>
            <w:vAlign w:val="bottom"/>
            <w:gridSpan w:val="2"/>
            <w:vMerge w:val="restart"/>
          </w:tcPr>
          <w:p>
            <w:pPr>
              <w:jc w:val="center"/>
              <w:ind w:right="120"/>
              <w:spacing w:after="0"/>
              <w:rPr>
                <w:sz w:val="20"/>
                <w:szCs w:val="20"/>
                <w:color w:val="auto"/>
              </w:rPr>
            </w:pPr>
            <w:r>
              <w:rPr>
                <w:rFonts w:ascii="Arial" w:cs="Arial" w:eastAsia="Arial" w:hAnsi="Arial"/>
                <w:sz w:val="13"/>
                <w:szCs w:val="13"/>
                <w:color w:val="auto"/>
                <w:w w:val="85"/>
              </w:rPr>
              <w:t>Stock</w:t>
            </w:r>
          </w:p>
        </w:tc>
        <w:tc>
          <w:tcPr>
            <w:tcW w:w="1680" w:type="dxa"/>
            <w:vAlign w:val="bottom"/>
            <w:gridSpan w:val="2"/>
            <w:vMerge w:val="continue"/>
          </w:tcPr>
          <w:p>
            <w:pPr>
              <w:spacing w:after="0"/>
              <w:rPr>
                <w:sz w:val="8"/>
                <w:szCs w:val="8"/>
                <w:color w:val="auto"/>
              </w:rPr>
            </w:pPr>
          </w:p>
        </w:tc>
        <w:tc>
          <w:tcPr>
            <w:tcW w:w="42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40" w:type="dxa"/>
            <w:vAlign w:val="bottom"/>
          </w:tcPr>
          <w:p>
            <w:pPr>
              <w:spacing w:after="0"/>
              <w:rPr>
                <w:sz w:val="5"/>
                <w:szCs w:val="5"/>
                <w:color w:val="auto"/>
              </w:rPr>
            </w:pPr>
          </w:p>
        </w:tc>
        <w:tc>
          <w:tcPr>
            <w:tcW w:w="5240" w:type="dxa"/>
            <w:vAlign w:val="bottom"/>
            <w:gridSpan w:val="2"/>
            <w:vMerge w:val="continue"/>
          </w:tcPr>
          <w:p>
            <w:pPr>
              <w:spacing w:after="0"/>
              <w:rPr>
                <w:sz w:val="5"/>
                <w:szCs w:val="5"/>
                <w:color w:val="auto"/>
              </w:rPr>
            </w:pPr>
          </w:p>
        </w:tc>
        <w:tc>
          <w:tcPr>
            <w:tcW w:w="1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2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64"/>
        </w:trPr>
        <w:tc>
          <w:tcPr>
            <w:tcW w:w="40" w:type="dxa"/>
            <w:vAlign w:val="bottom"/>
          </w:tcPr>
          <w:p>
            <w:pPr>
              <w:spacing w:after="0"/>
              <w:rPr>
                <w:sz w:val="14"/>
                <w:szCs w:val="14"/>
                <w:color w:val="auto"/>
              </w:rPr>
            </w:pPr>
          </w:p>
        </w:tc>
        <w:tc>
          <w:tcPr>
            <w:tcW w:w="5240" w:type="dxa"/>
            <w:vAlign w:val="bottom"/>
            <w:gridSpan w:val="2"/>
          </w:tcPr>
          <w:p>
            <w:pPr>
              <w:jc w:val="center"/>
              <w:ind w:right="120"/>
              <w:spacing w:after="0"/>
              <w:rPr>
                <w:sz w:val="20"/>
                <w:szCs w:val="20"/>
                <w:color w:val="auto"/>
              </w:rPr>
            </w:pPr>
            <w:r>
              <w:rPr>
                <w:rFonts w:ascii="Arial" w:cs="Arial" w:eastAsia="Arial" w:hAnsi="Arial"/>
                <w:sz w:val="13"/>
                <w:szCs w:val="13"/>
                <w:color w:val="auto"/>
                <w:w w:val="87"/>
              </w:rPr>
              <w:t>Depositary shares of 6.50% Series E Fixed-to-Floating Rate Cumulative Redeemable Preferred</w:t>
            </w:r>
          </w:p>
        </w:tc>
        <w:tc>
          <w:tcPr>
            <w:tcW w:w="1680" w:type="dxa"/>
            <w:vAlign w:val="bottom"/>
            <w:gridSpan w:val="2"/>
            <w:vMerge w:val="restart"/>
          </w:tcPr>
          <w:p>
            <w:pPr>
              <w:jc w:val="center"/>
              <w:ind w:right="120"/>
              <w:spacing w:after="0"/>
              <w:rPr>
                <w:sz w:val="20"/>
                <w:szCs w:val="20"/>
                <w:color w:val="auto"/>
              </w:rPr>
            </w:pPr>
            <w:r>
              <w:rPr>
                <w:rFonts w:ascii="Arial" w:cs="Arial" w:eastAsia="Arial" w:hAnsi="Arial"/>
                <w:sz w:val="13"/>
                <w:szCs w:val="13"/>
                <w:color w:val="auto"/>
                <w:w w:val="92"/>
              </w:rPr>
              <w:t>AGNCO</w:t>
            </w:r>
          </w:p>
        </w:tc>
        <w:tc>
          <w:tcPr>
            <w:tcW w:w="4260" w:type="dxa"/>
            <w:vAlign w:val="bottom"/>
            <w:vMerge w:val="restart"/>
          </w:tcPr>
          <w:p>
            <w:pPr>
              <w:jc w:val="center"/>
              <w:spacing w:after="0"/>
              <w:rPr>
                <w:sz w:val="20"/>
                <w:szCs w:val="20"/>
                <w:color w:val="auto"/>
              </w:rPr>
            </w:pPr>
            <w:r>
              <w:rPr>
                <w:rFonts w:ascii="Arial" w:cs="Arial" w:eastAsia="Arial" w:hAnsi="Arial"/>
                <w:sz w:val="13"/>
                <w:szCs w:val="13"/>
                <w:color w:val="auto"/>
                <w:w w:val="87"/>
              </w:rPr>
              <w:t>The Nasdaq Global Select Market</w:t>
            </w:r>
          </w:p>
        </w:tc>
        <w:tc>
          <w:tcPr>
            <w:tcW w:w="0" w:type="dxa"/>
            <w:vAlign w:val="bottom"/>
          </w:tcPr>
          <w:p>
            <w:pPr>
              <w:spacing w:after="0"/>
              <w:rPr>
                <w:sz w:val="1"/>
                <w:szCs w:val="1"/>
                <w:color w:val="auto"/>
              </w:rPr>
            </w:pPr>
          </w:p>
        </w:tc>
      </w:tr>
      <w:tr>
        <w:trPr>
          <w:trHeight w:val="93"/>
        </w:trPr>
        <w:tc>
          <w:tcPr>
            <w:tcW w:w="40" w:type="dxa"/>
            <w:vAlign w:val="bottom"/>
          </w:tcPr>
          <w:p>
            <w:pPr>
              <w:spacing w:after="0"/>
              <w:rPr>
                <w:sz w:val="8"/>
                <w:szCs w:val="8"/>
                <w:color w:val="auto"/>
              </w:rPr>
            </w:pPr>
          </w:p>
        </w:tc>
        <w:tc>
          <w:tcPr>
            <w:tcW w:w="5240" w:type="dxa"/>
            <w:vAlign w:val="bottom"/>
            <w:gridSpan w:val="2"/>
            <w:vMerge w:val="restart"/>
          </w:tcPr>
          <w:p>
            <w:pPr>
              <w:jc w:val="center"/>
              <w:ind w:right="120"/>
              <w:spacing w:after="0"/>
              <w:rPr>
                <w:sz w:val="20"/>
                <w:szCs w:val="20"/>
                <w:color w:val="auto"/>
              </w:rPr>
            </w:pPr>
            <w:r>
              <w:rPr>
                <w:rFonts w:ascii="Arial" w:cs="Arial" w:eastAsia="Arial" w:hAnsi="Arial"/>
                <w:sz w:val="13"/>
                <w:szCs w:val="13"/>
                <w:color w:val="auto"/>
                <w:w w:val="85"/>
              </w:rPr>
              <w:t>Stock</w:t>
            </w:r>
          </w:p>
        </w:tc>
        <w:tc>
          <w:tcPr>
            <w:tcW w:w="1680" w:type="dxa"/>
            <w:vAlign w:val="bottom"/>
            <w:gridSpan w:val="2"/>
            <w:vMerge w:val="continue"/>
          </w:tcPr>
          <w:p>
            <w:pPr>
              <w:spacing w:after="0"/>
              <w:rPr>
                <w:sz w:val="8"/>
                <w:szCs w:val="8"/>
                <w:color w:val="auto"/>
              </w:rPr>
            </w:pPr>
          </w:p>
        </w:tc>
        <w:tc>
          <w:tcPr>
            <w:tcW w:w="42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40" w:type="dxa"/>
            <w:vAlign w:val="bottom"/>
          </w:tcPr>
          <w:p>
            <w:pPr>
              <w:spacing w:after="0"/>
              <w:rPr>
                <w:sz w:val="5"/>
                <w:szCs w:val="5"/>
                <w:color w:val="auto"/>
              </w:rPr>
            </w:pPr>
          </w:p>
        </w:tc>
        <w:tc>
          <w:tcPr>
            <w:tcW w:w="5240" w:type="dxa"/>
            <w:vAlign w:val="bottom"/>
            <w:gridSpan w:val="2"/>
            <w:vMerge w:val="continue"/>
          </w:tcPr>
          <w:p>
            <w:pPr>
              <w:spacing w:after="0"/>
              <w:rPr>
                <w:sz w:val="5"/>
                <w:szCs w:val="5"/>
                <w:color w:val="auto"/>
              </w:rPr>
            </w:pPr>
          </w:p>
        </w:tc>
        <w:tc>
          <w:tcPr>
            <w:tcW w:w="1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2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64"/>
        </w:trPr>
        <w:tc>
          <w:tcPr>
            <w:tcW w:w="40" w:type="dxa"/>
            <w:vAlign w:val="bottom"/>
          </w:tcPr>
          <w:p>
            <w:pPr>
              <w:spacing w:after="0"/>
              <w:rPr>
                <w:sz w:val="14"/>
                <w:szCs w:val="14"/>
                <w:color w:val="auto"/>
              </w:rPr>
            </w:pPr>
          </w:p>
        </w:tc>
        <w:tc>
          <w:tcPr>
            <w:tcW w:w="5240" w:type="dxa"/>
            <w:vAlign w:val="bottom"/>
            <w:gridSpan w:val="2"/>
          </w:tcPr>
          <w:p>
            <w:pPr>
              <w:jc w:val="center"/>
              <w:ind w:right="120"/>
              <w:spacing w:after="0"/>
              <w:rPr>
                <w:sz w:val="20"/>
                <w:szCs w:val="20"/>
                <w:color w:val="auto"/>
              </w:rPr>
            </w:pPr>
            <w:r>
              <w:rPr>
                <w:rFonts w:ascii="Arial" w:cs="Arial" w:eastAsia="Arial" w:hAnsi="Arial"/>
                <w:sz w:val="13"/>
                <w:szCs w:val="13"/>
                <w:color w:val="auto"/>
                <w:w w:val="87"/>
              </w:rPr>
              <w:t>Depositary shares of 6.125% Series F Fixed-to-Floating Rate Cumulative Redeemable Preferred</w:t>
            </w:r>
          </w:p>
        </w:tc>
        <w:tc>
          <w:tcPr>
            <w:tcW w:w="1680" w:type="dxa"/>
            <w:vAlign w:val="bottom"/>
            <w:gridSpan w:val="2"/>
            <w:vMerge w:val="restart"/>
          </w:tcPr>
          <w:p>
            <w:pPr>
              <w:jc w:val="center"/>
              <w:ind w:right="120"/>
              <w:spacing w:after="0"/>
              <w:rPr>
                <w:sz w:val="20"/>
                <w:szCs w:val="20"/>
                <w:color w:val="auto"/>
              </w:rPr>
            </w:pPr>
            <w:r>
              <w:rPr>
                <w:rFonts w:ascii="Arial" w:cs="Arial" w:eastAsia="Arial" w:hAnsi="Arial"/>
                <w:sz w:val="13"/>
                <w:szCs w:val="13"/>
                <w:color w:val="auto"/>
                <w:w w:val="95"/>
              </w:rPr>
              <w:t>AGNCP</w:t>
            </w:r>
          </w:p>
        </w:tc>
        <w:tc>
          <w:tcPr>
            <w:tcW w:w="4260" w:type="dxa"/>
            <w:vAlign w:val="bottom"/>
            <w:vMerge w:val="restart"/>
          </w:tcPr>
          <w:p>
            <w:pPr>
              <w:jc w:val="center"/>
              <w:spacing w:after="0"/>
              <w:rPr>
                <w:sz w:val="20"/>
                <w:szCs w:val="20"/>
                <w:color w:val="auto"/>
              </w:rPr>
            </w:pPr>
            <w:r>
              <w:rPr>
                <w:rFonts w:ascii="Arial" w:cs="Arial" w:eastAsia="Arial" w:hAnsi="Arial"/>
                <w:sz w:val="13"/>
                <w:szCs w:val="13"/>
                <w:color w:val="auto"/>
                <w:w w:val="87"/>
              </w:rPr>
              <w:t>The Nasdaq Global Select Market</w:t>
            </w:r>
          </w:p>
        </w:tc>
        <w:tc>
          <w:tcPr>
            <w:tcW w:w="0" w:type="dxa"/>
            <w:vAlign w:val="bottom"/>
          </w:tcPr>
          <w:p>
            <w:pPr>
              <w:spacing w:after="0"/>
              <w:rPr>
                <w:sz w:val="1"/>
                <w:szCs w:val="1"/>
                <w:color w:val="auto"/>
              </w:rPr>
            </w:pPr>
          </w:p>
        </w:tc>
      </w:tr>
      <w:tr>
        <w:trPr>
          <w:trHeight w:val="93"/>
        </w:trPr>
        <w:tc>
          <w:tcPr>
            <w:tcW w:w="40" w:type="dxa"/>
            <w:vAlign w:val="bottom"/>
          </w:tcPr>
          <w:p>
            <w:pPr>
              <w:spacing w:after="0"/>
              <w:rPr>
                <w:sz w:val="8"/>
                <w:szCs w:val="8"/>
                <w:color w:val="auto"/>
              </w:rPr>
            </w:pPr>
          </w:p>
        </w:tc>
        <w:tc>
          <w:tcPr>
            <w:tcW w:w="5240" w:type="dxa"/>
            <w:vAlign w:val="bottom"/>
            <w:gridSpan w:val="2"/>
            <w:vMerge w:val="restart"/>
          </w:tcPr>
          <w:p>
            <w:pPr>
              <w:jc w:val="center"/>
              <w:ind w:right="120"/>
              <w:spacing w:after="0"/>
              <w:rPr>
                <w:sz w:val="20"/>
                <w:szCs w:val="20"/>
                <w:color w:val="auto"/>
              </w:rPr>
            </w:pPr>
            <w:r>
              <w:rPr>
                <w:rFonts w:ascii="Arial" w:cs="Arial" w:eastAsia="Arial" w:hAnsi="Arial"/>
                <w:sz w:val="13"/>
                <w:szCs w:val="13"/>
                <w:color w:val="auto"/>
                <w:w w:val="85"/>
              </w:rPr>
              <w:t>Stock</w:t>
            </w:r>
          </w:p>
        </w:tc>
        <w:tc>
          <w:tcPr>
            <w:tcW w:w="1680" w:type="dxa"/>
            <w:vAlign w:val="bottom"/>
            <w:gridSpan w:val="2"/>
            <w:vMerge w:val="continue"/>
          </w:tcPr>
          <w:p>
            <w:pPr>
              <w:spacing w:after="0"/>
              <w:rPr>
                <w:sz w:val="8"/>
                <w:szCs w:val="8"/>
                <w:color w:val="auto"/>
              </w:rPr>
            </w:pPr>
          </w:p>
        </w:tc>
        <w:tc>
          <w:tcPr>
            <w:tcW w:w="42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40" w:type="dxa"/>
            <w:vAlign w:val="bottom"/>
          </w:tcPr>
          <w:p>
            <w:pPr>
              <w:spacing w:after="0"/>
              <w:rPr>
                <w:sz w:val="5"/>
                <w:szCs w:val="5"/>
                <w:color w:val="auto"/>
              </w:rPr>
            </w:pPr>
          </w:p>
        </w:tc>
        <w:tc>
          <w:tcPr>
            <w:tcW w:w="5240" w:type="dxa"/>
            <w:vAlign w:val="bottom"/>
            <w:gridSpan w:val="2"/>
            <w:vMerge w:val="continue"/>
          </w:tcPr>
          <w:p>
            <w:pPr>
              <w:spacing w:after="0"/>
              <w:rPr>
                <w:sz w:val="5"/>
                <w:szCs w:val="5"/>
                <w:color w:val="auto"/>
              </w:rPr>
            </w:pPr>
          </w:p>
        </w:tc>
        <w:tc>
          <w:tcPr>
            <w:tcW w:w="1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26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150" w:lineRule="exact"/>
        <w:rPr>
          <w:sz w:val="24"/>
          <w:szCs w:val="24"/>
          <w:color w:val="auto"/>
        </w:rPr>
      </w:pPr>
    </w:p>
    <w:p>
      <w:pPr>
        <w:ind w:left="20" w:right="2200"/>
        <w:spacing w:after="0" w:line="226" w:lineRule="auto"/>
        <w:rPr>
          <w:sz w:val="20"/>
          <w:szCs w:val="20"/>
          <w:color w:val="auto"/>
        </w:rPr>
      </w:pPr>
      <w:r>
        <w:rPr>
          <w:rFonts w:ascii="Arial" w:cs="Arial" w:eastAsia="Arial" w:hAnsi="Arial"/>
          <w:sz w:val="13"/>
          <w:szCs w:val="13"/>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26" w:lineRule="exact"/>
        <w:rPr>
          <w:sz w:val="24"/>
          <w:szCs w:val="24"/>
          <w:color w:val="auto"/>
        </w:rPr>
      </w:pPr>
    </w:p>
    <w:p>
      <w:pPr>
        <w:ind w:left="20"/>
        <w:spacing w:after="0" w:line="150" w:lineRule="exact"/>
        <w:tabs>
          <w:tab w:leader="none" w:pos="2180" w:val="left"/>
        </w:tabs>
        <w:rPr>
          <w:sz w:val="20"/>
          <w:szCs w:val="20"/>
          <w:color w:val="auto"/>
        </w:rPr>
      </w:pPr>
      <w:r>
        <w:rPr>
          <w:rFonts w:ascii="Arial" w:cs="Arial" w:eastAsia="Arial" w:hAnsi="Arial"/>
          <w:sz w:val="13"/>
          <w:szCs w:val="13"/>
          <w:color w:val="auto"/>
        </w:rPr>
        <w:t>Emerging Growth Company</w:t>
      </w:r>
      <w:r>
        <w:rPr>
          <w:sz w:val="20"/>
          <w:szCs w:val="20"/>
          <w:color w:val="auto"/>
        </w:rPr>
        <w:tab/>
      </w:r>
      <w:r>
        <w:rPr>
          <w:rFonts w:ascii="MS PGothic" w:cs="MS PGothic" w:eastAsia="MS PGothic" w:hAnsi="MS PGothic"/>
          <w:sz w:val="12"/>
          <w:szCs w:val="12"/>
          <w:color w:val="auto"/>
        </w:rPr>
        <w:t>☐</w:t>
      </w:r>
    </w:p>
    <w:p>
      <w:pPr>
        <w:spacing w:after="0" w:line="145" w:lineRule="exact"/>
        <w:rPr>
          <w:sz w:val="24"/>
          <w:szCs w:val="24"/>
          <w:color w:val="auto"/>
        </w:rPr>
      </w:pPr>
    </w:p>
    <w:p>
      <w:pPr>
        <w:ind w:right="300"/>
        <w:spacing w:after="0" w:line="255" w:lineRule="auto"/>
        <w:rPr>
          <w:sz w:val="20"/>
          <w:szCs w:val="20"/>
          <w:color w:val="auto"/>
        </w:rPr>
      </w:pPr>
      <w:r>
        <w:rPr>
          <w:rFonts w:ascii="Arial" w:cs="Arial" w:eastAsia="Arial" w:hAnsi="Arial"/>
          <w:sz w:val="13"/>
          <w:szCs w:val="13"/>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750570</wp:posOffset>
            </wp:positionV>
            <wp:extent cx="71323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column">
              <wp:posOffset>13335</wp:posOffset>
            </wp:positionH>
            <wp:positionV relativeFrom="paragraph">
              <wp:posOffset>116205</wp:posOffset>
            </wp:positionV>
            <wp:extent cx="711517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15175" cy="8890"/>
                    </a:xfrm>
                    <a:prstGeom prst="rect">
                      <a:avLst/>
                    </a:prstGeom>
                    <a:noFill/>
                  </pic:spPr>
                </pic:pic>
              </a:graphicData>
            </a:graphic>
          </wp:anchor>
        </w:drawing>
        <w:drawing>
          <wp:anchor simplePos="0" relativeHeight="251657728" behindDoc="1" locked="0" layoutInCell="0" allowOverlap="1">
            <wp:simplePos x="0" y="0"/>
            <wp:positionH relativeFrom="column">
              <wp:posOffset>13335</wp:posOffset>
            </wp:positionH>
            <wp:positionV relativeFrom="paragraph">
              <wp:posOffset>81915</wp:posOffset>
            </wp:positionV>
            <wp:extent cx="711517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15175" cy="8890"/>
                    </a:xfrm>
                    <a:prstGeom prst="rect">
                      <a:avLst/>
                    </a:prstGeom>
                    <a:noFill/>
                  </pic:spPr>
                </pic:pic>
              </a:graphicData>
            </a:graphic>
          </wp:anchor>
        </w:drawing>
      </w:r>
    </w:p>
    <w:p>
      <w:pPr>
        <w:sectPr>
          <w:pgSz w:w="11900" w:h="16838" w:orient="portrait"/>
          <w:cols w:equalWidth="0" w:num="1">
            <w:col w:w="11220"/>
          </w:cols>
          <w:pgMar w:left="320" w:top="1187" w:right="35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2.02 Results of Operations and Financial Condition</w:t>
      </w:r>
    </w:p>
    <w:p>
      <w:pPr>
        <w:spacing w:after="0" w:line="94" w:lineRule="exact"/>
        <w:rPr>
          <w:sz w:val="20"/>
          <w:szCs w:val="20"/>
          <w:color w:val="auto"/>
        </w:rPr>
      </w:pPr>
    </w:p>
    <w:p>
      <w:pPr>
        <w:jc w:val="both"/>
        <w:ind w:right="40"/>
        <w:spacing w:after="0" w:line="275" w:lineRule="auto"/>
        <w:rPr>
          <w:sz w:val="20"/>
          <w:szCs w:val="20"/>
          <w:color w:val="auto"/>
        </w:rPr>
      </w:pPr>
      <w:r>
        <w:rPr>
          <w:rFonts w:ascii="Arial" w:cs="Arial" w:eastAsia="Arial" w:hAnsi="Arial"/>
          <w:sz w:val="17"/>
          <w:szCs w:val="17"/>
          <w:color w:val="auto"/>
        </w:rPr>
        <w:t>On July 27, 2020, AGNC Investment Corp. issued a press release announcing its financial results for the quarter ended June 30, 2020. The text of the press release is included as exhibit 99.1 to this Form 8-K. Pursuant to the rules and regulations of the Securities and Exchange Commission, such exhibit and the information set forth therein and herein shall not be deemed to be filed for purposes of Section 18 of the Securities Exchange Act of 1934, as amended (the "Exchange Act"), and shall not be deemed to be incorporated by reference in any filing under the Securities Act of 1933, as amended, or the Exchange Act, except as shall be expressly set forth by specific reference in such a filing.</w:t>
      </w:r>
    </w:p>
    <w:p>
      <w:pPr>
        <w:spacing w:after="0" w:line="19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94" w:lineRule="exact"/>
        <w:rPr>
          <w:sz w:val="20"/>
          <w:szCs w:val="20"/>
          <w:color w:val="auto"/>
        </w:rPr>
      </w:pPr>
    </w:p>
    <w:p>
      <w:pPr>
        <w:ind w:left="260" w:hanging="252"/>
        <w:spacing w:after="0"/>
        <w:tabs>
          <w:tab w:leader="none" w:pos="260" w:val="left"/>
        </w:tabs>
        <w:numPr>
          <w:ilvl w:val="0"/>
          <w:numId w:val="1"/>
        </w:numPr>
        <w:rPr>
          <w:rFonts w:ascii="Arial" w:cs="Arial" w:eastAsia="Arial" w:hAnsi="Arial"/>
          <w:sz w:val="18"/>
          <w:szCs w:val="18"/>
          <w:color w:val="auto"/>
        </w:rPr>
      </w:pPr>
      <w:r>
        <w:rPr>
          <w:rFonts w:ascii="Arial" w:cs="Arial" w:eastAsia="Arial" w:hAnsi="Arial"/>
          <w:sz w:val="18"/>
          <w:szCs w:val="18"/>
          <w:color w:val="auto"/>
        </w:rPr>
        <w:t>None.</w:t>
      </w:r>
    </w:p>
    <w:p>
      <w:pPr>
        <w:spacing w:after="0" w:line="171" w:lineRule="exact"/>
        <w:rPr>
          <w:rFonts w:ascii="Arial" w:cs="Arial" w:eastAsia="Arial" w:hAnsi="Arial"/>
          <w:sz w:val="18"/>
          <w:szCs w:val="18"/>
          <w:color w:val="auto"/>
        </w:rPr>
      </w:pPr>
    </w:p>
    <w:p>
      <w:pPr>
        <w:ind w:left="260" w:hanging="252"/>
        <w:spacing w:after="0"/>
        <w:tabs>
          <w:tab w:leader="none" w:pos="260" w:val="left"/>
        </w:tabs>
        <w:numPr>
          <w:ilvl w:val="0"/>
          <w:numId w:val="1"/>
        </w:numPr>
        <w:rPr>
          <w:rFonts w:ascii="Arial" w:cs="Arial" w:eastAsia="Arial" w:hAnsi="Arial"/>
          <w:sz w:val="18"/>
          <w:szCs w:val="18"/>
          <w:color w:val="auto"/>
        </w:rPr>
      </w:pPr>
      <w:r>
        <w:rPr>
          <w:rFonts w:ascii="Arial" w:cs="Arial" w:eastAsia="Arial" w:hAnsi="Arial"/>
          <w:sz w:val="18"/>
          <w:szCs w:val="18"/>
          <w:color w:val="auto"/>
        </w:rPr>
        <w:t>None.</w:t>
      </w:r>
    </w:p>
    <w:p>
      <w:pPr>
        <w:spacing w:after="0" w:line="171" w:lineRule="exact"/>
        <w:rPr>
          <w:rFonts w:ascii="Arial" w:cs="Arial" w:eastAsia="Arial" w:hAnsi="Arial"/>
          <w:sz w:val="18"/>
          <w:szCs w:val="18"/>
          <w:color w:val="auto"/>
        </w:rPr>
      </w:pPr>
    </w:p>
    <w:p>
      <w:pPr>
        <w:ind w:left="260" w:hanging="252"/>
        <w:spacing w:after="0"/>
        <w:tabs>
          <w:tab w:leader="none" w:pos="260" w:val="left"/>
        </w:tabs>
        <w:numPr>
          <w:ilvl w:val="0"/>
          <w:numId w:val="1"/>
        </w:numPr>
        <w:rPr>
          <w:rFonts w:ascii="Arial" w:cs="Arial" w:eastAsia="Arial" w:hAnsi="Arial"/>
          <w:sz w:val="18"/>
          <w:szCs w:val="18"/>
          <w:color w:val="auto"/>
        </w:rPr>
      </w:pPr>
      <w:r>
        <w:rPr>
          <w:rFonts w:ascii="Arial" w:cs="Arial" w:eastAsia="Arial" w:hAnsi="Arial"/>
          <w:sz w:val="18"/>
          <w:szCs w:val="18"/>
          <w:color w:val="auto"/>
        </w:rPr>
        <w:t>Exhibits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0" w:type="dxa"/>
            <w:vAlign w:val="bottom"/>
          </w:tcPr>
          <w:p>
            <w:pPr>
              <w:spacing w:after="0"/>
              <w:rPr>
                <w:sz w:val="20"/>
                <w:szCs w:val="20"/>
                <w:color w:val="auto"/>
              </w:rPr>
            </w:pPr>
          </w:p>
        </w:tc>
        <w:tc>
          <w:tcPr>
            <w:tcW w:w="1420" w:type="dxa"/>
            <w:vAlign w:val="bottom"/>
            <w:gridSpan w:val="2"/>
          </w:tcPr>
          <w:p>
            <w:pPr>
              <w:ind w:left="20"/>
              <w:spacing w:after="0"/>
              <w:rPr>
                <w:sz w:val="20"/>
                <w:szCs w:val="20"/>
                <w:color w:val="auto"/>
              </w:rPr>
            </w:pPr>
            <w:r>
              <w:rPr>
                <w:rFonts w:ascii="Arial" w:cs="Arial" w:eastAsia="Arial" w:hAnsi="Arial"/>
                <w:sz w:val="18"/>
                <w:szCs w:val="18"/>
                <w:b w:val="1"/>
                <w:bCs w:val="1"/>
                <w:color w:val="auto"/>
              </w:rPr>
              <w:t>Exhibit No.</w:t>
            </w:r>
          </w:p>
        </w:tc>
        <w:tc>
          <w:tcPr>
            <w:tcW w:w="9620" w:type="dxa"/>
            <w:vAlign w:val="bottom"/>
            <w:gridSpan w:val="2"/>
          </w:tcPr>
          <w:p>
            <w:pPr>
              <w:ind w:left="20"/>
              <w:spacing w:after="0"/>
              <w:rPr>
                <w:sz w:val="20"/>
                <w:szCs w:val="20"/>
                <w:color w:val="auto"/>
              </w:rPr>
            </w:pPr>
            <w:r>
              <w:rPr>
                <w:rFonts w:ascii="Arial" w:cs="Arial" w:eastAsia="Arial" w:hAnsi="Arial"/>
                <w:sz w:val="18"/>
                <w:szCs w:val="18"/>
                <w:b w:val="1"/>
                <w:bCs w:val="1"/>
                <w:color w:val="auto"/>
              </w:rPr>
              <w:t>Description</w:t>
            </w:r>
          </w:p>
        </w:tc>
      </w:tr>
      <w:tr>
        <w:trPr>
          <w:trHeight w:val="27"/>
        </w:trPr>
        <w:tc>
          <w:tcPr>
            <w:tcW w:w="200" w:type="dxa"/>
            <w:vAlign w:val="bottom"/>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9440" w:type="dxa"/>
            <w:vAlign w:val="bottom"/>
            <w:tcBorders>
              <w:bottom w:val="single" w:sz="8" w:color="auto"/>
            </w:tcBorders>
          </w:tcPr>
          <w:p>
            <w:pPr>
              <w:spacing w:after="0"/>
              <w:rPr>
                <w:sz w:val="2"/>
                <w:szCs w:val="2"/>
                <w:color w:val="auto"/>
              </w:rPr>
            </w:pPr>
          </w:p>
        </w:tc>
        <w:tc>
          <w:tcPr>
            <w:tcW w:w="180" w:type="dxa"/>
            <w:vAlign w:val="bottom"/>
          </w:tcPr>
          <w:p>
            <w:pPr>
              <w:spacing w:after="0"/>
              <w:rPr>
                <w:sz w:val="2"/>
                <w:szCs w:val="2"/>
                <w:color w:val="auto"/>
              </w:rPr>
            </w:pPr>
          </w:p>
        </w:tc>
      </w:tr>
      <w:tr>
        <w:trPr>
          <w:trHeight w:val="264"/>
        </w:trPr>
        <w:tc>
          <w:tcPr>
            <w:tcW w:w="200" w:type="dxa"/>
            <w:vAlign w:val="bottom"/>
          </w:tcPr>
          <w:p>
            <w:pPr>
              <w:spacing w:after="0"/>
              <w:rPr>
                <w:sz w:val="22"/>
                <w:szCs w:val="22"/>
                <w:color w:val="auto"/>
              </w:rPr>
            </w:pPr>
          </w:p>
        </w:tc>
        <w:tc>
          <w:tcPr>
            <w:tcW w:w="1280" w:type="dxa"/>
            <w:vAlign w:val="bottom"/>
          </w:tcPr>
          <w:p>
            <w:pPr>
              <w:jc w:val="right"/>
              <w:spacing w:after="0"/>
              <w:rPr>
                <w:rFonts w:ascii="Arial" w:cs="Arial" w:eastAsia="Arial" w:hAnsi="Arial"/>
                <w:sz w:val="18"/>
                <w:szCs w:val="18"/>
                <w:color w:val="auto"/>
              </w:rPr>
            </w:pPr>
            <w:hyperlink w:anchor="page4">
              <w:r>
                <w:rPr>
                  <w:rFonts w:ascii="Arial" w:cs="Arial" w:eastAsia="Arial" w:hAnsi="Arial"/>
                  <w:sz w:val="18"/>
                  <w:szCs w:val="18"/>
                  <w:color w:val="auto"/>
                </w:rPr>
                <w:t>99.1</w:t>
              </w:r>
            </w:hyperlink>
          </w:p>
        </w:tc>
        <w:tc>
          <w:tcPr>
            <w:tcW w:w="140" w:type="dxa"/>
            <w:vAlign w:val="bottom"/>
          </w:tcPr>
          <w:p>
            <w:pPr>
              <w:spacing w:after="0"/>
              <w:rPr>
                <w:sz w:val="22"/>
                <w:szCs w:val="22"/>
                <w:color w:val="auto"/>
              </w:rPr>
            </w:pPr>
          </w:p>
        </w:tc>
        <w:tc>
          <w:tcPr>
            <w:tcW w:w="9620" w:type="dxa"/>
            <w:vAlign w:val="bottom"/>
            <w:gridSpan w:val="2"/>
          </w:tcPr>
          <w:p>
            <w:pPr>
              <w:ind w:left="420"/>
              <w:spacing w:after="0"/>
              <w:rPr>
                <w:rFonts w:ascii="Arial" w:cs="Arial" w:eastAsia="Arial" w:hAnsi="Arial"/>
                <w:sz w:val="18"/>
                <w:szCs w:val="18"/>
                <w:color w:val="auto"/>
              </w:rPr>
            </w:pPr>
            <w:hyperlink w:anchor="page4">
              <w:r>
                <w:rPr>
                  <w:rFonts w:ascii="Arial" w:cs="Arial" w:eastAsia="Arial" w:hAnsi="Arial"/>
                  <w:sz w:val="18"/>
                  <w:szCs w:val="18"/>
                  <w:color w:val="auto"/>
                </w:rPr>
                <w:t xml:space="preserve">Press Release dated </w:t>
              </w:r>
            </w:hyperlink>
            <w:r>
              <w:rPr>
                <w:rFonts w:ascii="Arial" w:cs="Arial" w:eastAsia="Arial" w:hAnsi="Arial"/>
                <w:sz w:val="18"/>
                <w:szCs w:val="18"/>
                <w:color w:val="auto"/>
              </w:rPr>
              <w:t>July 27, 2020</w:t>
            </w:r>
          </w:p>
        </w:tc>
      </w:tr>
      <w:tr>
        <w:trPr>
          <w:trHeight w:val="1249"/>
        </w:trPr>
        <w:tc>
          <w:tcPr>
            <w:tcW w:w="200" w:type="dxa"/>
            <w:vAlign w:val="bottom"/>
            <w:tcBorders>
              <w:bottom w:val="single" w:sz="8" w:color="9A9A9A"/>
            </w:tcBorders>
          </w:tcPr>
          <w:p>
            <w:pPr>
              <w:spacing w:after="0"/>
              <w:rPr>
                <w:sz w:val="24"/>
                <w:szCs w:val="24"/>
                <w:color w:val="auto"/>
              </w:rPr>
            </w:pPr>
          </w:p>
        </w:tc>
        <w:tc>
          <w:tcPr>
            <w:tcW w:w="1280" w:type="dxa"/>
            <w:vAlign w:val="bottom"/>
            <w:tcBorders>
              <w:bottom w:val="single" w:sz="8" w:color="9A9A9A"/>
            </w:tcBorders>
          </w:tcPr>
          <w:p>
            <w:pPr>
              <w:spacing w:after="0"/>
              <w:rPr>
                <w:sz w:val="24"/>
                <w:szCs w:val="24"/>
                <w:color w:val="auto"/>
              </w:rPr>
            </w:pPr>
          </w:p>
        </w:tc>
        <w:tc>
          <w:tcPr>
            <w:tcW w:w="140" w:type="dxa"/>
            <w:vAlign w:val="bottom"/>
            <w:tcBorders>
              <w:bottom w:val="single" w:sz="8" w:color="9A9A9A"/>
            </w:tcBorders>
          </w:tcPr>
          <w:p>
            <w:pPr>
              <w:spacing w:after="0"/>
              <w:rPr>
                <w:sz w:val="24"/>
                <w:szCs w:val="24"/>
                <w:color w:val="auto"/>
              </w:rPr>
            </w:pPr>
          </w:p>
        </w:tc>
        <w:tc>
          <w:tcPr>
            <w:tcW w:w="9440" w:type="dxa"/>
            <w:vAlign w:val="bottom"/>
            <w:tcBorders>
              <w:bottom w:val="single" w:sz="8" w:color="9A9A9A"/>
            </w:tcBorders>
          </w:tcPr>
          <w:p>
            <w:pPr>
              <w:spacing w:after="0"/>
              <w:rPr>
                <w:sz w:val="24"/>
                <w:szCs w:val="24"/>
                <w:color w:val="auto"/>
              </w:rPr>
            </w:pPr>
          </w:p>
        </w:tc>
        <w:tc>
          <w:tcPr>
            <w:tcW w:w="18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7128510</wp:posOffset>
            </wp:positionH>
            <wp:positionV relativeFrom="paragraph">
              <wp:posOffset>-7620</wp:posOffset>
            </wp:positionV>
            <wp:extent cx="825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2" w:name="page3"/>
    <w:bookmarkEnd w:id="2"/>
    <w:p>
      <w:pPr>
        <w:jc w:val="center"/>
        <w:ind w:right="-519"/>
        <w:spacing w:after="0"/>
        <w:rPr>
          <w:sz w:val="20"/>
          <w:szCs w:val="20"/>
          <w:color w:val="auto"/>
        </w:rPr>
      </w:pPr>
      <w:r>
        <w:rPr>
          <w:rFonts w:ascii="Arial" w:cs="Arial" w:eastAsia="Arial" w:hAnsi="Arial"/>
          <w:sz w:val="18"/>
          <w:szCs w:val="18"/>
          <w:b w:val="1"/>
          <w:bCs w:val="1"/>
          <w:color w:val="auto"/>
        </w:rPr>
        <w:t>SIGNATURE</w:t>
      </w:r>
    </w:p>
    <w:p>
      <w:pPr>
        <w:spacing w:after="0" w:line="256" w:lineRule="exact"/>
        <w:rPr>
          <w:sz w:val="20"/>
          <w:szCs w:val="20"/>
          <w:color w:val="auto"/>
        </w:rPr>
      </w:pPr>
    </w:p>
    <w:p>
      <w:pPr>
        <w:ind w:firstLine="445"/>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382" w:lineRule="exact"/>
        <w:rPr>
          <w:sz w:val="20"/>
          <w:szCs w:val="20"/>
          <w:color w:val="auto"/>
        </w:rPr>
      </w:pPr>
    </w:p>
    <w:p>
      <w:pPr>
        <w:ind w:left="5080"/>
        <w:spacing w:after="0"/>
        <w:rPr>
          <w:sz w:val="20"/>
          <w:szCs w:val="20"/>
          <w:color w:val="auto"/>
        </w:rPr>
      </w:pPr>
      <w:r>
        <w:rPr>
          <w:rFonts w:ascii="Arial" w:cs="Arial" w:eastAsia="Arial" w:hAnsi="Arial"/>
          <w:sz w:val="18"/>
          <w:szCs w:val="18"/>
          <w:b w:val="1"/>
          <w:bCs w:val="1"/>
          <w:color w:val="auto"/>
        </w:rPr>
        <w:t>AGNC I</w:t>
      </w:r>
      <w:r>
        <w:rPr>
          <w:rFonts w:ascii="Arial" w:cs="Arial" w:eastAsia="Arial" w:hAnsi="Arial"/>
          <w:sz w:val="16"/>
          <w:szCs w:val="16"/>
          <w:b w:val="1"/>
          <w:bCs w:val="1"/>
          <w:color w:val="auto"/>
        </w:rPr>
        <w:t>NVESTMENT</w:t>
      </w:r>
      <w:r>
        <w:rPr>
          <w:rFonts w:ascii="Arial" w:cs="Arial" w:eastAsia="Arial" w:hAnsi="Arial"/>
          <w:sz w:val="18"/>
          <w:szCs w:val="18"/>
          <w:b w:val="1"/>
          <w:bCs w:val="1"/>
          <w:color w:val="auto"/>
        </w:rPr>
        <w:t xml:space="preserve"> C</w:t>
      </w:r>
      <w:r>
        <w:rPr>
          <w:rFonts w:ascii="Arial" w:cs="Arial" w:eastAsia="Arial" w:hAnsi="Arial"/>
          <w:sz w:val="16"/>
          <w:szCs w:val="16"/>
          <w:b w:val="1"/>
          <w:bCs w:val="1"/>
          <w:color w:val="auto"/>
        </w:rPr>
        <w:t>ORP</w:t>
      </w:r>
      <w:r>
        <w:rPr>
          <w:rFonts w:ascii="Arial" w:cs="Arial" w:eastAsia="Arial" w:hAnsi="Arial"/>
          <w:sz w:val="18"/>
          <w:szCs w:val="18"/>
          <w:b w:val="1"/>
          <w:bCs w:val="1"/>
          <w:color w:val="auto"/>
        </w:rPr>
        <w:t>.</w:t>
      </w:r>
    </w:p>
    <w:p>
      <w:pPr>
        <w:spacing w:after="0" w:line="27" w:lineRule="exact"/>
        <w:rPr>
          <w:sz w:val="20"/>
          <w:szCs w:val="20"/>
          <w:color w:val="auto"/>
        </w:rPr>
      </w:pPr>
    </w:p>
    <w:p>
      <w:pPr>
        <w:ind w:left="40"/>
        <w:spacing w:after="0"/>
        <w:tabs>
          <w:tab w:leader="none" w:pos="880" w:val="left"/>
          <w:tab w:leader="none" w:pos="4620" w:val="left"/>
          <w:tab w:leader="none" w:pos="5120" w:val="left"/>
        </w:tabs>
        <w:rPr>
          <w:sz w:val="20"/>
          <w:szCs w:val="20"/>
          <w:color w:val="auto"/>
        </w:rPr>
      </w:pPr>
      <w:r>
        <w:rPr>
          <w:rFonts w:ascii="Arial" w:cs="Arial" w:eastAsia="Arial" w:hAnsi="Arial"/>
          <w:sz w:val="18"/>
          <w:szCs w:val="18"/>
          <w:color w:val="auto"/>
        </w:rPr>
        <w:t>Dated:</w:t>
      </w:r>
      <w:r>
        <w:rPr>
          <w:sz w:val="20"/>
          <w:szCs w:val="20"/>
          <w:color w:val="auto"/>
        </w:rPr>
        <w:tab/>
      </w:r>
      <w:r>
        <w:rPr>
          <w:rFonts w:ascii="Arial" w:cs="Arial" w:eastAsia="Arial" w:hAnsi="Arial"/>
          <w:sz w:val="18"/>
          <w:szCs w:val="18"/>
          <w:color w:val="auto"/>
        </w:rPr>
        <w:t>July 27, 2020</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5"/>
          <w:szCs w:val="15"/>
          <w:color w:val="auto"/>
        </w:rPr>
        <w:t>/s/ B</w:t>
      </w:r>
      <w:r>
        <w:rPr>
          <w:rFonts w:ascii="Arial" w:cs="Arial" w:eastAsia="Arial" w:hAnsi="Arial"/>
          <w:sz w:val="23"/>
          <w:szCs w:val="23"/>
          <w:color w:val="auto"/>
          <w:vertAlign w:val="subscript"/>
        </w:rPr>
        <w:t>ERNICE</w:t>
      </w:r>
      <w:r>
        <w:rPr>
          <w:rFonts w:ascii="Arial" w:cs="Arial" w:eastAsia="Arial" w:hAnsi="Arial"/>
          <w:sz w:val="15"/>
          <w:szCs w:val="15"/>
          <w:color w:val="auto"/>
        </w:rPr>
        <w:t xml:space="preserve"> E. B</w:t>
      </w:r>
      <w:r>
        <w:rPr>
          <w:rFonts w:ascii="Arial" w:cs="Arial" w:eastAsia="Arial" w:hAnsi="Arial"/>
          <w:sz w:val="23"/>
          <w:szCs w:val="23"/>
          <w:color w:val="auto"/>
          <w:vertAlign w:val="subscript"/>
        </w:rPr>
        <w:t>ELL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561975</wp:posOffset>
            </wp:positionH>
            <wp:positionV relativeFrom="paragraph">
              <wp:posOffset>38100</wp:posOffset>
            </wp:positionV>
            <wp:extent cx="656653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566535" cy="8255"/>
                    </a:xfrm>
                    <a:prstGeom prst="rect">
                      <a:avLst/>
                    </a:prstGeom>
                    <a:noFill/>
                  </pic:spPr>
                </pic:pic>
              </a:graphicData>
            </a:graphic>
          </wp:anchor>
        </w:drawing>
      </w:r>
    </w:p>
    <w:p>
      <w:pPr>
        <w:spacing w:after="0" w:line="66" w:lineRule="exact"/>
        <w:rPr>
          <w:sz w:val="20"/>
          <w:szCs w:val="20"/>
          <w:color w:val="auto"/>
        </w:rPr>
      </w:pPr>
    </w:p>
    <w:p>
      <w:pPr>
        <w:ind w:left="5080"/>
        <w:spacing w:after="0"/>
        <w:rPr>
          <w:sz w:val="20"/>
          <w:szCs w:val="20"/>
          <w:color w:val="auto"/>
        </w:rPr>
      </w:pPr>
      <w:r>
        <w:rPr>
          <w:rFonts w:ascii="Arial" w:cs="Arial" w:eastAsia="Arial" w:hAnsi="Arial"/>
          <w:sz w:val="18"/>
          <w:szCs w:val="18"/>
          <w:color w:val="auto"/>
        </w:rPr>
        <w:t>Bernice E. Bell</w:t>
      </w:r>
    </w:p>
    <w:p>
      <w:pPr>
        <w:spacing w:after="0" w:line="63" w:lineRule="exact"/>
        <w:rPr>
          <w:sz w:val="20"/>
          <w:szCs w:val="20"/>
          <w:color w:val="auto"/>
        </w:rPr>
      </w:pPr>
    </w:p>
    <w:p>
      <w:pPr>
        <w:ind w:left="5080"/>
        <w:spacing w:after="0"/>
        <w:rPr>
          <w:sz w:val="20"/>
          <w:szCs w:val="20"/>
          <w:color w:val="auto"/>
        </w:rPr>
      </w:pPr>
      <w:r>
        <w:rPr>
          <w:rFonts w:ascii="Arial" w:cs="Arial" w:eastAsia="Arial" w:hAnsi="Arial"/>
          <w:sz w:val="18"/>
          <w:szCs w:val="18"/>
          <w:color w:val="auto"/>
        </w:rPr>
        <w:t>Senior Vice President and Chief Financial Officer</w:t>
      </w:r>
    </w:p>
    <w:p>
      <w:pPr>
        <w:sectPr>
          <w:pgSz w:w="11900" w:h="16838" w:orient="portrait"/>
          <w:cols w:equalWidth="0" w:num="1">
            <w:col w:w="10720"/>
          </w:cols>
          <w:pgMar w:left="320" w:top="891" w:right="859" w:bottom="1440" w:gutter="0" w:footer="0" w:header="0"/>
        </w:sectPr>
      </w:pPr>
    </w:p>
    <w:bookmarkStart w:id="3" w:name="page4"/>
    <w:bookmarkEnd w:id="3"/>
    <w:p>
      <w:pPr>
        <w:jc w:val="right"/>
        <w:spacing w:after="0"/>
        <w:rPr>
          <w:sz w:val="20"/>
          <w:szCs w:val="20"/>
          <w:color w:val="auto"/>
        </w:rPr>
      </w:pPr>
      <w:r>
        <w:rPr>
          <w:rFonts w:ascii="Arial" w:cs="Arial" w:eastAsia="Arial" w:hAnsi="Arial"/>
          <w:sz w:val="20"/>
          <w:szCs w:val="20"/>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4419600</wp:posOffset>
            </wp:positionH>
            <wp:positionV relativeFrom="paragraph">
              <wp:posOffset>1905</wp:posOffset>
            </wp:positionV>
            <wp:extent cx="2451735" cy="7543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2451735" cy="7543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spacing w:after="0"/>
        <w:rPr>
          <w:sz w:val="20"/>
          <w:szCs w:val="20"/>
          <w:color w:val="auto"/>
        </w:rPr>
      </w:pPr>
      <w:r>
        <w:rPr>
          <w:rFonts w:ascii="Arial" w:cs="Arial" w:eastAsia="Arial" w:hAnsi="Arial"/>
          <w:sz w:val="22"/>
          <w:szCs w:val="22"/>
          <w:color w:val="auto"/>
        </w:rPr>
        <w:t>FOR IMMEDIATE RELEASE</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July 27, 2020</w:t>
      </w:r>
    </w:p>
    <w:p>
      <w:pPr>
        <w:spacing w:after="0" w:line="247" w:lineRule="exact"/>
        <w:rPr>
          <w:sz w:val="20"/>
          <w:szCs w:val="20"/>
          <w:color w:val="auto"/>
        </w:rPr>
      </w:pPr>
    </w:p>
    <w:p>
      <w:pPr>
        <w:spacing w:after="0"/>
        <w:rPr>
          <w:sz w:val="20"/>
          <w:szCs w:val="20"/>
          <w:color w:val="auto"/>
        </w:rPr>
      </w:pPr>
      <w:r>
        <w:rPr>
          <w:rFonts w:ascii="Arial" w:cs="Arial" w:eastAsia="Arial" w:hAnsi="Arial"/>
          <w:sz w:val="22"/>
          <w:szCs w:val="22"/>
          <w:color w:val="auto"/>
        </w:rPr>
        <w:t>CONTACT:</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u w:val="single" w:color="auto"/>
          <w:color w:val="auto"/>
        </w:rPr>
        <w:t>Investors</w:t>
      </w:r>
      <w:r>
        <w:rPr>
          <w:rFonts w:ascii="Arial" w:cs="Arial" w:eastAsia="Arial" w:hAnsi="Arial"/>
          <w:sz w:val="22"/>
          <w:szCs w:val="22"/>
          <w:color w:val="auto"/>
        </w:rPr>
        <w:t xml:space="preserve"> - (301) 968-9300</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u w:val="single" w:color="auto"/>
          <w:color w:val="auto"/>
        </w:rPr>
        <w:t>Media</w:t>
      </w:r>
      <w:r>
        <w:rPr>
          <w:rFonts w:ascii="Arial" w:cs="Arial" w:eastAsia="Arial" w:hAnsi="Arial"/>
          <w:sz w:val="22"/>
          <w:szCs w:val="22"/>
          <w:color w:val="auto"/>
        </w:rPr>
        <w:t xml:space="preserve"> - (301) 968-9303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AGNC INVESTMENT CORP.</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ANNOUNCES SECOND QUARTER 2020 FINANCIAL RESULTS</w:t>
      </w:r>
    </w:p>
    <w:p>
      <w:pPr>
        <w:spacing w:after="0" w:line="247" w:lineRule="exact"/>
        <w:rPr>
          <w:sz w:val="20"/>
          <w:szCs w:val="20"/>
          <w:color w:val="auto"/>
        </w:rPr>
      </w:pPr>
    </w:p>
    <w:p>
      <w:pPr>
        <w:spacing w:after="0" w:line="249" w:lineRule="auto"/>
        <w:rPr>
          <w:sz w:val="20"/>
          <w:szCs w:val="20"/>
          <w:color w:val="auto"/>
        </w:rPr>
      </w:pPr>
      <w:r>
        <w:rPr>
          <w:rFonts w:ascii="Arial" w:cs="Arial" w:eastAsia="Arial" w:hAnsi="Arial"/>
          <w:sz w:val="22"/>
          <w:szCs w:val="22"/>
          <w:color w:val="auto"/>
        </w:rPr>
        <w:t>Bethesda, MD - July 27, 2020 - AGNC Investment Corp. (“AGNC” or the “Company”) (Nasdaq: AGNC) today announced financial results for the quarter ended June 30, 2020.</w:t>
      </w:r>
    </w:p>
    <w:p>
      <w:pPr>
        <w:spacing w:after="0" w:line="20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SECOND QUARTER 2020 FINANCIAL HIGHLIGHTS</w:t>
      </w:r>
    </w:p>
    <w:p>
      <w:pPr>
        <w:spacing w:after="0" w:line="192" w:lineRule="exact"/>
        <w:rPr>
          <w:sz w:val="20"/>
          <w:szCs w:val="20"/>
          <w:color w:val="auto"/>
        </w:rPr>
      </w:pPr>
    </w:p>
    <w:p>
      <w:pPr>
        <w:ind w:left="160" w:hanging="152"/>
        <w:spacing w:after="0"/>
        <w:tabs>
          <w:tab w:leader="none" w:pos="160" w:val="left"/>
        </w:tabs>
        <w:numPr>
          <w:ilvl w:val="0"/>
          <w:numId w:val="2"/>
        </w:numPr>
        <w:rPr>
          <w:rFonts w:ascii="Arial" w:cs="Arial" w:eastAsia="Arial" w:hAnsi="Arial"/>
          <w:sz w:val="22"/>
          <w:szCs w:val="22"/>
          <w:color w:val="auto"/>
        </w:rPr>
      </w:pPr>
      <w:r>
        <w:rPr>
          <w:rFonts w:ascii="Arial" w:cs="Arial" w:eastAsia="Arial" w:hAnsi="Arial"/>
          <w:sz w:val="22"/>
          <w:szCs w:val="22"/>
          <w:color w:val="auto"/>
        </w:rPr>
        <w:t>$1.60 comprehensive income per common share, comprised of:</w:t>
      </w:r>
    </w:p>
    <w:p>
      <w:pPr>
        <w:spacing w:after="0" w:line="3" w:lineRule="exact"/>
        <w:rPr>
          <w:rFonts w:ascii="Arial" w:cs="Arial" w:eastAsia="Arial" w:hAnsi="Arial"/>
          <w:sz w:val="22"/>
          <w:szCs w:val="22"/>
          <w:color w:val="auto"/>
        </w:rPr>
      </w:pPr>
    </w:p>
    <w:p>
      <w:pPr>
        <w:ind w:left="480" w:hanging="229"/>
        <w:spacing w:after="0"/>
        <w:tabs>
          <w:tab w:leader="none" w:pos="480" w:val="left"/>
        </w:tabs>
        <w:numPr>
          <w:ilvl w:val="1"/>
          <w:numId w:val="2"/>
        </w:numPr>
        <w:rPr>
          <w:rFonts w:ascii="Arial" w:cs="Arial" w:eastAsia="Arial" w:hAnsi="Arial"/>
          <w:sz w:val="22"/>
          <w:szCs w:val="22"/>
          <w:color w:val="auto"/>
        </w:rPr>
      </w:pPr>
      <w:r>
        <w:rPr>
          <w:rFonts w:ascii="Arial" w:cs="Arial" w:eastAsia="Arial" w:hAnsi="Arial"/>
          <w:sz w:val="22"/>
          <w:szCs w:val="22"/>
          <w:color w:val="auto"/>
        </w:rPr>
        <w:t>$1.24 net income per common share</w:t>
      </w:r>
    </w:p>
    <w:p>
      <w:pPr>
        <w:spacing w:after="0" w:line="3" w:lineRule="exact"/>
        <w:rPr>
          <w:rFonts w:ascii="Arial" w:cs="Arial" w:eastAsia="Arial" w:hAnsi="Arial"/>
          <w:sz w:val="22"/>
          <w:szCs w:val="22"/>
          <w:color w:val="auto"/>
        </w:rPr>
      </w:pPr>
    </w:p>
    <w:p>
      <w:pPr>
        <w:ind w:left="480" w:hanging="229"/>
        <w:spacing w:after="0"/>
        <w:tabs>
          <w:tab w:leader="none" w:pos="480" w:val="left"/>
        </w:tabs>
        <w:numPr>
          <w:ilvl w:val="1"/>
          <w:numId w:val="2"/>
        </w:numPr>
        <w:rPr>
          <w:rFonts w:ascii="Arial" w:cs="Arial" w:eastAsia="Arial" w:hAnsi="Arial"/>
          <w:sz w:val="22"/>
          <w:szCs w:val="22"/>
          <w:color w:val="auto"/>
        </w:rPr>
      </w:pPr>
      <w:r>
        <w:rPr>
          <w:rFonts w:ascii="Arial" w:cs="Arial" w:eastAsia="Arial" w:hAnsi="Arial"/>
          <w:sz w:val="22"/>
          <w:szCs w:val="22"/>
          <w:color w:val="auto"/>
        </w:rPr>
        <w:t>$0.36 other comprehensive income ("OCI") per common share on investments marked-to-market through OCI</w:t>
      </w:r>
    </w:p>
    <w:p>
      <w:pPr>
        <w:spacing w:after="0" w:line="3" w:lineRule="exact"/>
        <w:rPr>
          <w:rFonts w:ascii="Arial" w:cs="Arial" w:eastAsia="Arial" w:hAnsi="Arial"/>
          <w:sz w:val="22"/>
          <w:szCs w:val="22"/>
          <w:color w:val="auto"/>
        </w:rPr>
      </w:pPr>
    </w:p>
    <w:p>
      <w:pPr>
        <w:ind w:left="180" w:hanging="172"/>
        <w:spacing w:after="0" w:line="214" w:lineRule="auto"/>
        <w:tabs>
          <w:tab w:leader="none" w:pos="175" w:val="left"/>
        </w:tabs>
        <w:numPr>
          <w:ilvl w:val="0"/>
          <w:numId w:val="2"/>
        </w:numPr>
        <w:rPr>
          <w:rFonts w:ascii="Arial" w:cs="Arial" w:eastAsia="Arial" w:hAnsi="Arial"/>
          <w:sz w:val="22"/>
          <w:szCs w:val="22"/>
          <w:color w:val="auto"/>
        </w:rPr>
      </w:pPr>
      <w:r>
        <w:rPr>
          <w:rFonts w:ascii="Arial" w:cs="Arial" w:eastAsia="Arial" w:hAnsi="Arial"/>
          <w:sz w:val="22"/>
          <w:szCs w:val="22"/>
          <w:color w:val="auto"/>
        </w:rPr>
        <w:t xml:space="preserve">$0.58 net spread and dollar roll income per common share, excluding estimated "catch-up" premium amortization cost </w:t>
      </w:r>
      <w:r>
        <w:rPr>
          <w:rFonts w:ascii="Arial" w:cs="Arial" w:eastAsia="Arial" w:hAnsi="Arial"/>
          <w:sz w:val="28"/>
          <w:szCs w:val="28"/>
          <w:color w:val="auto"/>
          <w:vertAlign w:val="superscript"/>
        </w:rPr>
        <w:t>1</w:t>
      </w:r>
    </w:p>
    <w:p>
      <w:pPr>
        <w:jc w:val="both"/>
        <w:ind w:left="500" w:hanging="249"/>
        <w:spacing w:after="0" w:line="243" w:lineRule="auto"/>
        <w:tabs>
          <w:tab w:leader="none" w:pos="496" w:val="left"/>
        </w:tabs>
        <w:numPr>
          <w:ilvl w:val="1"/>
          <w:numId w:val="2"/>
        </w:numPr>
        <w:rPr>
          <w:rFonts w:ascii="Arial" w:cs="Arial" w:eastAsia="Arial" w:hAnsi="Arial"/>
          <w:sz w:val="22"/>
          <w:szCs w:val="22"/>
          <w:color w:val="auto"/>
        </w:rPr>
      </w:pPr>
      <w:r>
        <w:rPr>
          <w:rFonts w:ascii="Arial" w:cs="Arial" w:eastAsia="Arial" w:hAnsi="Arial"/>
          <w:sz w:val="22"/>
          <w:szCs w:val="22"/>
          <w:color w:val="auto"/>
        </w:rPr>
        <w:t>Includes $0.14 per common share of dollar roll income associated with the Company's $15.7 billion average net long position in forward purchases and sales of Agency mortgage-backed securities ("MBS") in the "to-be-announced" ("TBA") market</w:t>
      </w:r>
    </w:p>
    <w:p>
      <w:pPr>
        <w:spacing w:after="0" w:line="1" w:lineRule="exact"/>
        <w:rPr>
          <w:rFonts w:ascii="Arial" w:cs="Arial" w:eastAsia="Arial" w:hAnsi="Arial"/>
          <w:sz w:val="22"/>
          <w:szCs w:val="22"/>
          <w:color w:val="auto"/>
        </w:rPr>
      </w:pPr>
    </w:p>
    <w:p>
      <w:pPr>
        <w:ind w:left="500" w:right="20" w:hanging="249"/>
        <w:spacing w:after="0" w:line="243" w:lineRule="auto"/>
        <w:tabs>
          <w:tab w:leader="none" w:pos="536" w:val="left"/>
        </w:tabs>
        <w:numPr>
          <w:ilvl w:val="1"/>
          <w:numId w:val="2"/>
        </w:numPr>
        <w:rPr>
          <w:rFonts w:ascii="Arial" w:cs="Arial" w:eastAsia="Arial" w:hAnsi="Arial"/>
          <w:sz w:val="22"/>
          <w:szCs w:val="22"/>
          <w:color w:val="auto"/>
        </w:rPr>
      </w:pPr>
      <w:r>
        <w:rPr>
          <w:rFonts w:ascii="Arial" w:cs="Arial" w:eastAsia="Arial" w:hAnsi="Arial"/>
          <w:sz w:val="22"/>
          <w:szCs w:val="22"/>
          <w:color w:val="auto"/>
        </w:rPr>
        <w:t>Excludes $(0.10) per common share of estimated "catch-up" premium amortization cost due to change in projected constant prepayment rate ("CPR") estimates</w:t>
      </w:r>
    </w:p>
    <w:p>
      <w:pPr>
        <w:ind w:left="160" w:hanging="152"/>
        <w:spacing w:after="0"/>
        <w:tabs>
          <w:tab w:leader="none" w:pos="160" w:val="left"/>
        </w:tabs>
        <w:numPr>
          <w:ilvl w:val="0"/>
          <w:numId w:val="2"/>
        </w:numPr>
        <w:rPr>
          <w:rFonts w:ascii="Arial" w:cs="Arial" w:eastAsia="Arial" w:hAnsi="Arial"/>
          <w:sz w:val="22"/>
          <w:szCs w:val="22"/>
          <w:color w:val="auto"/>
        </w:rPr>
      </w:pPr>
      <w:r>
        <w:rPr>
          <w:rFonts w:ascii="Arial" w:cs="Arial" w:eastAsia="Arial" w:hAnsi="Arial"/>
          <w:sz w:val="22"/>
          <w:szCs w:val="22"/>
          <w:color w:val="auto"/>
        </w:rPr>
        <w:t>$14.92 tangible net book value per common share as of June 30, 2020</w:t>
      </w:r>
    </w:p>
    <w:p>
      <w:pPr>
        <w:spacing w:after="0" w:line="3" w:lineRule="exact"/>
        <w:rPr>
          <w:rFonts w:ascii="Arial" w:cs="Arial" w:eastAsia="Arial" w:hAnsi="Arial"/>
          <w:sz w:val="22"/>
          <w:szCs w:val="22"/>
          <w:color w:val="auto"/>
        </w:rPr>
      </w:pPr>
    </w:p>
    <w:p>
      <w:pPr>
        <w:ind w:left="480" w:hanging="229"/>
        <w:spacing w:after="0"/>
        <w:tabs>
          <w:tab w:leader="none" w:pos="480" w:val="left"/>
        </w:tabs>
        <w:numPr>
          <w:ilvl w:val="1"/>
          <w:numId w:val="2"/>
        </w:numPr>
        <w:rPr>
          <w:rFonts w:ascii="Arial" w:cs="Arial" w:eastAsia="Arial" w:hAnsi="Arial"/>
          <w:sz w:val="22"/>
          <w:szCs w:val="22"/>
          <w:color w:val="auto"/>
        </w:rPr>
      </w:pPr>
      <w:r>
        <w:rPr>
          <w:rFonts w:ascii="Arial" w:cs="Arial" w:eastAsia="Arial" w:hAnsi="Arial"/>
          <w:sz w:val="22"/>
          <w:szCs w:val="22"/>
          <w:color w:val="auto"/>
        </w:rPr>
        <w:t>Increased $1.30 per common share, or 9.5%, from $13.62 per common share as of March 31, 2020</w:t>
      </w:r>
    </w:p>
    <w:p>
      <w:pPr>
        <w:spacing w:after="0" w:line="3" w:lineRule="exact"/>
        <w:rPr>
          <w:rFonts w:ascii="Arial" w:cs="Arial" w:eastAsia="Arial" w:hAnsi="Arial"/>
          <w:sz w:val="22"/>
          <w:szCs w:val="22"/>
          <w:color w:val="auto"/>
        </w:rPr>
      </w:pPr>
    </w:p>
    <w:p>
      <w:pPr>
        <w:ind w:left="160" w:hanging="152"/>
        <w:spacing w:after="0"/>
        <w:tabs>
          <w:tab w:leader="none" w:pos="160" w:val="left"/>
        </w:tabs>
        <w:numPr>
          <w:ilvl w:val="0"/>
          <w:numId w:val="2"/>
        </w:numPr>
        <w:rPr>
          <w:rFonts w:ascii="Arial" w:cs="Arial" w:eastAsia="Arial" w:hAnsi="Arial"/>
          <w:sz w:val="22"/>
          <w:szCs w:val="22"/>
          <w:color w:val="auto"/>
        </w:rPr>
      </w:pPr>
      <w:r>
        <w:rPr>
          <w:rFonts w:ascii="Arial" w:cs="Arial" w:eastAsia="Arial" w:hAnsi="Arial"/>
          <w:sz w:val="22"/>
          <w:szCs w:val="22"/>
          <w:color w:val="auto"/>
        </w:rPr>
        <w:t>$0.36 dividends declared per common share for the second quarter</w:t>
      </w:r>
    </w:p>
    <w:p>
      <w:pPr>
        <w:spacing w:after="0" w:line="3" w:lineRule="exact"/>
        <w:rPr>
          <w:rFonts w:ascii="Arial" w:cs="Arial" w:eastAsia="Arial" w:hAnsi="Arial"/>
          <w:sz w:val="22"/>
          <w:szCs w:val="22"/>
          <w:color w:val="auto"/>
        </w:rPr>
      </w:pPr>
    </w:p>
    <w:p>
      <w:pPr>
        <w:ind w:left="160" w:hanging="152"/>
        <w:spacing w:after="0"/>
        <w:tabs>
          <w:tab w:leader="none" w:pos="160" w:val="left"/>
        </w:tabs>
        <w:numPr>
          <w:ilvl w:val="0"/>
          <w:numId w:val="2"/>
        </w:numPr>
        <w:rPr>
          <w:rFonts w:ascii="Arial" w:cs="Arial" w:eastAsia="Arial" w:hAnsi="Arial"/>
          <w:sz w:val="22"/>
          <w:szCs w:val="22"/>
          <w:color w:val="auto"/>
        </w:rPr>
      </w:pPr>
      <w:r>
        <w:rPr>
          <w:rFonts w:ascii="Arial" w:cs="Arial" w:eastAsia="Arial" w:hAnsi="Arial"/>
          <w:sz w:val="22"/>
          <w:szCs w:val="22"/>
          <w:color w:val="auto"/>
        </w:rPr>
        <w:t>12.2% economic return on tangible common equity for the quarter</w:t>
      </w:r>
    </w:p>
    <w:p>
      <w:pPr>
        <w:spacing w:after="0" w:line="3" w:lineRule="exact"/>
        <w:rPr>
          <w:rFonts w:ascii="Arial" w:cs="Arial" w:eastAsia="Arial" w:hAnsi="Arial"/>
          <w:sz w:val="22"/>
          <w:szCs w:val="22"/>
          <w:color w:val="auto"/>
        </w:rPr>
      </w:pPr>
    </w:p>
    <w:p>
      <w:pPr>
        <w:ind w:left="500" w:right="20" w:hanging="209"/>
        <w:spacing w:after="0" w:line="249" w:lineRule="auto"/>
        <w:tabs>
          <w:tab w:leader="none" w:pos="509" w:val="left"/>
        </w:tabs>
        <w:numPr>
          <w:ilvl w:val="2"/>
          <w:numId w:val="2"/>
        </w:numPr>
        <w:rPr>
          <w:rFonts w:ascii="Arial" w:cs="Arial" w:eastAsia="Arial" w:hAnsi="Arial"/>
          <w:sz w:val="22"/>
          <w:szCs w:val="22"/>
          <w:color w:val="auto"/>
        </w:rPr>
      </w:pPr>
      <w:r>
        <w:rPr>
          <w:rFonts w:ascii="Arial" w:cs="Arial" w:eastAsia="Arial" w:hAnsi="Arial"/>
          <w:sz w:val="22"/>
          <w:szCs w:val="22"/>
          <w:color w:val="auto"/>
        </w:rPr>
        <w:t>Comprised of $0.36 dividends per common share and $1.30 increase in tangible net book value per common share</w:t>
      </w:r>
    </w:p>
    <w:p>
      <w:pPr>
        <w:sectPr>
          <w:pgSz w:w="11900" w:h="16838" w:orient="portrait"/>
          <w:cols w:equalWidth="0" w:num="1">
            <w:col w:w="11240"/>
          </w:cols>
          <w:pgMar w:left="320" w:top="905" w:right="339" w:bottom="1440" w:gutter="0" w:footer="0" w:header="0"/>
        </w:sectPr>
      </w:pPr>
    </w:p>
    <w:bookmarkStart w:id="4" w:name="page5"/>
    <w:bookmarkEnd w:id="4"/>
    <w:p>
      <w:pPr>
        <w:spacing w:after="0"/>
        <w:rPr>
          <w:sz w:val="20"/>
          <w:szCs w:val="20"/>
          <w:color w:val="auto"/>
        </w:rPr>
      </w:pPr>
      <w:r>
        <w:rPr>
          <w:rFonts w:ascii="Arial" w:cs="Arial" w:eastAsia="Arial" w:hAnsi="Arial"/>
          <w:sz w:val="22"/>
          <w:szCs w:val="22"/>
          <w:color w:val="auto"/>
        </w:rPr>
        <w:t>AGNC Investment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July 27, 2020</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2</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OTHER SECOND QUARTER HIGHLIGHTS</w:t>
      </w:r>
    </w:p>
    <w:p>
      <w:pPr>
        <w:spacing w:after="0" w:line="192" w:lineRule="exact"/>
        <w:rPr>
          <w:sz w:val="20"/>
          <w:szCs w:val="20"/>
          <w:color w:val="auto"/>
        </w:rPr>
      </w:pPr>
    </w:p>
    <w:p>
      <w:pPr>
        <w:ind w:left="160" w:hanging="152"/>
        <w:spacing w:after="0"/>
        <w:tabs>
          <w:tab w:leader="none" w:pos="160" w:val="left"/>
        </w:tabs>
        <w:numPr>
          <w:ilvl w:val="0"/>
          <w:numId w:val="3"/>
        </w:numPr>
        <w:rPr>
          <w:rFonts w:ascii="Arial" w:cs="Arial" w:eastAsia="Arial" w:hAnsi="Arial"/>
          <w:sz w:val="22"/>
          <w:szCs w:val="22"/>
          <w:color w:val="auto"/>
        </w:rPr>
      </w:pPr>
      <w:r>
        <w:rPr>
          <w:rFonts w:ascii="Arial" w:cs="Arial" w:eastAsia="Arial" w:hAnsi="Arial"/>
          <w:sz w:val="22"/>
          <w:szCs w:val="22"/>
          <w:color w:val="auto"/>
        </w:rPr>
        <w:t>$97.7 billion investment portfolio as of June 30, 2020, comprised of:</w:t>
      </w:r>
    </w:p>
    <w:p>
      <w:pPr>
        <w:spacing w:after="0" w:line="3" w:lineRule="exact"/>
        <w:rPr>
          <w:rFonts w:ascii="Arial" w:cs="Arial" w:eastAsia="Arial" w:hAnsi="Arial"/>
          <w:sz w:val="22"/>
          <w:szCs w:val="22"/>
          <w:color w:val="auto"/>
        </w:rPr>
      </w:pPr>
    </w:p>
    <w:p>
      <w:pPr>
        <w:ind w:left="480" w:hanging="189"/>
        <w:spacing w:after="0"/>
        <w:tabs>
          <w:tab w:leader="none" w:pos="480" w:val="left"/>
        </w:tabs>
        <w:numPr>
          <w:ilvl w:val="2"/>
          <w:numId w:val="3"/>
        </w:numPr>
        <w:rPr>
          <w:rFonts w:ascii="Arial" w:cs="Arial" w:eastAsia="Arial" w:hAnsi="Arial"/>
          <w:sz w:val="22"/>
          <w:szCs w:val="22"/>
          <w:color w:val="auto"/>
        </w:rPr>
      </w:pPr>
      <w:r>
        <w:rPr>
          <w:rFonts w:ascii="Arial" w:cs="Arial" w:eastAsia="Arial" w:hAnsi="Arial"/>
          <w:sz w:val="22"/>
          <w:szCs w:val="22"/>
          <w:color w:val="auto"/>
        </w:rPr>
        <w:t>$75.8 billion Agency MBS</w:t>
      </w:r>
    </w:p>
    <w:p>
      <w:pPr>
        <w:spacing w:after="0" w:line="3" w:lineRule="exact"/>
        <w:rPr>
          <w:rFonts w:ascii="Arial" w:cs="Arial" w:eastAsia="Arial" w:hAnsi="Arial"/>
          <w:sz w:val="22"/>
          <w:szCs w:val="22"/>
          <w:color w:val="auto"/>
        </w:rPr>
      </w:pPr>
    </w:p>
    <w:p>
      <w:pPr>
        <w:ind w:left="480" w:hanging="189"/>
        <w:spacing w:after="0"/>
        <w:tabs>
          <w:tab w:leader="none" w:pos="480" w:val="left"/>
        </w:tabs>
        <w:numPr>
          <w:ilvl w:val="2"/>
          <w:numId w:val="3"/>
        </w:numPr>
        <w:rPr>
          <w:rFonts w:ascii="Arial" w:cs="Arial" w:eastAsia="Arial" w:hAnsi="Arial"/>
          <w:sz w:val="22"/>
          <w:szCs w:val="22"/>
          <w:color w:val="auto"/>
        </w:rPr>
      </w:pPr>
      <w:r>
        <w:rPr>
          <w:rFonts w:ascii="Arial" w:cs="Arial" w:eastAsia="Arial" w:hAnsi="Arial"/>
          <w:sz w:val="22"/>
          <w:szCs w:val="22"/>
          <w:color w:val="auto"/>
        </w:rPr>
        <w:t>$20.5 billion net TBA mortgage position</w:t>
      </w:r>
    </w:p>
    <w:p>
      <w:pPr>
        <w:spacing w:after="0" w:line="3" w:lineRule="exact"/>
        <w:rPr>
          <w:rFonts w:ascii="Arial" w:cs="Arial" w:eastAsia="Arial" w:hAnsi="Arial"/>
          <w:sz w:val="22"/>
          <w:szCs w:val="22"/>
          <w:color w:val="auto"/>
        </w:rPr>
      </w:pPr>
    </w:p>
    <w:p>
      <w:pPr>
        <w:ind w:left="480" w:hanging="189"/>
        <w:spacing w:after="0"/>
        <w:tabs>
          <w:tab w:leader="none" w:pos="480" w:val="left"/>
        </w:tabs>
        <w:numPr>
          <w:ilvl w:val="2"/>
          <w:numId w:val="3"/>
        </w:numPr>
        <w:rPr>
          <w:rFonts w:ascii="Arial" w:cs="Arial" w:eastAsia="Arial" w:hAnsi="Arial"/>
          <w:sz w:val="22"/>
          <w:szCs w:val="22"/>
          <w:color w:val="auto"/>
        </w:rPr>
      </w:pPr>
      <w:r>
        <w:rPr>
          <w:rFonts w:ascii="Arial" w:cs="Arial" w:eastAsia="Arial" w:hAnsi="Arial"/>
          <w:sz w:val="22"/>
          <w:szCs w:val="22"/>
          <w:color w:val="auto"/>
        </w:rPr>
        <w:t>$1.3 billion credit risk transfer ("CRT") and non-Agency securities</w:t>
      </w:r>
    </w:p>
    <w:p>
      <w:pPr>
        <w:spacing w:after="0" w:line="3" w:lineRule="exact"/>
        <w:rPr>
          <w:rFonts w:ascii="Arial" w:cs="Arial" w:eastAsia="Arial" w:hAnsi="Arial"/>
          <w:sz w:val="22"/>
          <w:szCs w:val="22"/>
          <w:color w:val="auto"/>
        </w:rPr>
      </w:pPr>
    </w:p>
    <w:p>
      <w:pPr>
        <w:ind w:left="160" w:hanging="152"/>
        <w:spacing w:after="0"/>
        <w:tabs>
          <w:tab w:leader="none" w:pos="160" w:val="left"/>
        </w:tabs>
        <w:numPr>
          <w:ilvl w:val="0"/>
          <w:numId w:val="3"/>
        </w:numPr>
        <w:rPr>
          <w:rFonts w:ascii="Arial" w:cs="Arial" w:eastAsia="Arial" w:hAnsi="Arial"/>
          <w:sz w:val="22"/>
          <w:szCs w:val="22"/>
          <w:color w:val="auto"/>
        </w:rPr>
      </w:pPr>
      <w:r>
        <w:rPr>
          <w:rFonts w:ascii="Arial" w:cs="Arial" w:eastAsia="Arial" w:hAnsi="Arial"/>
          <w:sz w:val="22"/>
          <w:szCs w:val="22"/>
          <w:color w:val="auto"/>
        </w:rPr>
        <w:t>9.2x tangible net book value "at risk" leverage as of June 30, 2020</w:t>
      </w:r>
    </w:p>
    <w:p>
      <w:pPr>
        <w:spacing w:after="0" w:line="3" w:lineRule="exact"/>
        <w:rPr>
          <w:rFonts w:ascii="Arial" w:cs="Arial" w:eastAsia="Arial" w:hAnsi="Arial"/>
          <w:sz w:val="22"/>
          <w:szCs w:val="22"/>
          <w:color w:val="auto"/>
        </w:rPr>
      </w:pPr>
    </w:p>
    <w:p>
      <w:pPr>
        <w:ind w:left="480" w:hanging="229"/>
        <w:spacing w:after="0"/>
        <w:tabs>
          <w:tab w:leader="none" w:pos="480" w:val="left"/>
        </w:tabs>
        <w:numPr>
          <w:ilvl w:val="1"/>
          <w:numId w:val="3"/>
        </w:numPr>
        <w:rPr>
          <w:rFonts w:ascii="Arial" w:cs="Arial" w:eastAsia="Arial" w:hAnsi="Arial"/>
          <w:sz w:val="22"/>
          <w:szCs w:val="22"/>
          <w:color w:val="auto"/>
        </w:rPr>
      </w:pPr>
      <w:r>
        <w:rPr>
          <w:rFonts w:ascii="Arial" w:cs="Arial" w:eastAsia="Arial" w:hAnsi="Arial"/>
          <w:sz w:val="22"/>
          <w:szCs w:val="22"/>
          <w:color w:val="auto"/>
        </w:rPr>
        <w:t>8.8x average tangible net book value "at risk" leverage for the quarter</w:t>
      </w:r>
    </w:p>
    <w:p>
      <w:pPr>
        <w:spacing w:after="0" w:line="3" w:lineRule="exact"/>
        <w:rPr>
          <w:rFonts w:ascii="Arial" w:cs="Arial" w:eastAsia="Arial" w:hAnsi="Arial"/>
          <w:sz w:val="22"/>
          <w:szCs w:val="22"/>
          <w:color w:val="auto"/>
        </w:rPr>
      </w:pPr>
    </w:p>
    <w:p>
      <w:pPr>
        <w:ind w:left="160" w:hanging="152"/>
        <w:spacing w:after="0"/>
        <w:tabs>
          <w:tab w:leader="none" w:pos="160" w:val="left"/>
        </w:tabs>
        <w:numPr>
          <w:ilvl w:val="0"/>
          <w:numId w:val="3"/>
        </w:numPr>
        <w:rPr>
          <w:rFonts w:ascii="Arial" w:cs="Arial" w:eastAsia="Arial" w:hAnsi="Arial"/>
          <w:sz w:val="22"/>
          <w:szCs w:val="22"/>
          <w:color w:val="auto"/>
        </w:rPr>
      </w:pPr>
      <w:r>
        <w:rPr>
          <w:rFonts w:ascii="Arial" w:cs="Arial" w:eastAsia="Arial" w:hAnsi="Arial"/>
          <w:sz w:val="22"/>
          <w:szCs w:val="22"/>
          <w:color w:val="auto"/>
        </w:rPr>
        <w:t>Cash and unencumbered Agency MBS totaled approximately $4.5 billion as of June 30, 2020</w:t>
      </w:r>
    </w:p>
    <w:p>
      <w:pPr>
        <w:spacing w:after="0" w:line="3" w:lineRule="exact"/>
        <w:rPr>
          <w:rFonts w:ascii="Arial" w:cs="Arial" w:eastAsia="Arial" w:hAnsi="Arial"/>
          <w:sz w:val="22"/>
          <w:szCs w:val="22"/>
          <w:color w:val="auto"/>
        </w:rPr>
      </w:pPr>
    </w:p>
    <w:p>
      <w:pPr>
        <w:ind w:left="500" w:right="620" w:hanging="249"/>
        <w:spacing w:after="0" w:line="243" w:lineRule="auto"/>
        <w:tabs>
          <w:tab w:leader="none" w:pos="496" w:val="left"/>
        </w:tabs>
        <w:numPr>
          <w:ilvl w:val="1"/>
          <w:numId w:val="3"/>
        </w:numPr>
        <w:rPr>
          <w:rFonts w:ascii="Arial" w:cs="Arial" w:eastAsia="Arial" w:hAnsi="Arial"/>
          <w:sz w:val="22"/>
          <w:szCs w:val="22"/>
          <w:color w:val="auto"/>
        </w:rPr>
      </w:pPr>
      <w:r>
        <w:rPr>
          <w:rFonts w:ascii="Arial" w:cs="Arial" w:eastAsia="Arial" w:hAnsi="Arial"/>
          <w:sz w:val="22"/>
          <w:szCs w:val="22"/>
          <w:color w:val="auto"/>
        </w:rPr>
        <w:t>Excludes unencumbered CRT and non-Agency securities and assets held at the Company's broker-dealer subsidiary, Bethesda Securities</w:t>
      </w:r>
    </w:p>
    <w:p>
      <w:pPr>
        <w:ind w:left="160" w:hanging="152"/>
        <w:spacing w:after="0"/>
        <w:tabs>
          <w:tab w:leader="none" w:pos="160" w:val="left"/>
        </w:tabs>
        <w:numPr>
          <w:ilvl w:val="0"/>
          <w:numId w:val="3"/>
        </w:numPr>
        <w:rPr>
          <w:rFonts w:ascii="Arial" w:cs="Arial" w:eastAsia="Arial" w:hAnsi="Arial"/>
          <w:sz w:val="22"/>
          <w:szCs w:val="22"/>
          <w:color w:val="auto"/>
        </w:rPr>
      </w:pPr>
      <w:r>
        <w:rPr>
          <w:rFonts w:ascii="Arial" w:cs="Arial" w:eastAsia="Arial" w:hAnsi="Arial"/>
          <w:sz w:val="22"/>
          <w:szCs w:val="22"/>
          <w:color w:val="auto"/>
        </w:rPr>
        <w:t>19.9% portfolio CPR for the quarter</w:t>
      </w:r>
    </w:p>
    <w:p>
      <w:pPr>
        <w:spacing w:after="0" w:line="3" w:lineRule="exact"/>
        <w:rPr>
          <w:rFonts w:ascii="Arial" w:cs="Arial" w:eastAsia="Arial" w:hAnsi="Arial"/>
          <w:sz w:val="22"/>
          <w:szCs w:val="22"/>
          <w:color w:val="auto"/>
        </w:rPr>
      </w:pPr>
    </w:p>
    <w:p>
      <w:pPr>
        <w:ind w:left="480" w:hanging="229"/>
        <w:spacing w:after="0"/>
        <w:tabs>
          <w:tab w:leader="none" w:pos="480" w:val="left"/>
        </w:tabs>
        <w:numPr>
          <w:ilvl w:val="1"/>
          <w:numId w:val="3"/>
        </w:numPr>
        <w:rPr>
          <w:rFonts w:ascii="Arial" w:cs="Arial" w:eastAsia="Arial" w:hAnsi="Arial"/>
          <w:sz w:val="22"/>
          <w:szCs w:val="22"/>
          <w:color w:val="auto"/>
        </w:rPr>
      </w:pPr>
      <w:r>
        <w:rPr>
          <w:rFonts w:ascii="Arial" w:cs="Arial" w:eastAsia="Arial" w:hAnsi="Arial"/>
          <w:sz w:val="22"/>
          <w:szCs w:val="22"/>
          <w:color w:val="auto"/>
        </w:rPr>
        <w:t>16.6% average projected portfolio CPR as of June 30, 2020</w:t>
      </w:r>
    </w:p>
    <w:p>
      <w:pPr>
        <w:spacing w:after="0" w:line="3" w:lineRule="exact"/>
        <w:rPr>
          <w:rFonts w:ascii="Arial" w:cs="Arial" w:eastAsia="Arial" w:hAnsi="Arial"/>
          <w:sz w:val="22"/>
          <w:szCs w:val="22"/>
          <w:color w:val="auto"/>
        </w:rPr>
      </w:pPr>
    </w:p>
    <w:p>
      <w:pPr>
        <w:ind w:left="180" w:hanging="172"/>
        <w:spacing w:after="0" w:line="243" w:lineRule="auto"/>
        <w:tabs>
          <w:tab w:leader="none" w:pos="175" w:val="left"/>
        </w:tabs>
        <w:numPr>
          <w:ilvl w:val="0"/>
          <w:numId w:val="3"/>
        </w:numPr>
        <w:rPr>
          <w:rFonts w:ascii="Arial" w:cs="Arial" w:eastAsia="Arial" w:hAnsi="Arial"/>
          <w:sz w:val="22"/>
          <w:szCs w:val="22"/>
          <w:color w:val="auto"/>
        </w:rPr>
      </w:pPr>
      <w:r>
        <w:rPr>
          <w:rFonts w:ascii="Arial" w:cs="Arial" w:eastAsia="Arial" w:hAnsi="Arial"/>
          <w:sz w:val="22"/>
          <w:szCs w:val="22"/>
          <w:color w:val="auto"/>
        </w:rPr>
        <w:t>1.68% annualized net interest spread and TBA dollar roll income for the quarter, excluding estimated "catch-up" premium amortization cost</w:t>
      </w:r>
    </w:p>
    <w:p>
      <w:pPr>
        <w:ind w:left="480" w:hanging="229"/>
        <w:spacing w:after="0"/>
        <w:tabs>
          <w:tab w:leader="none" w:pos="480" w:val="left"/>
        </w:tabs>
        <w:numPr>
          <w:ilvl w:val="1"/>
          <w:numId w:val="3"/>
        </w:numPr>
        <w:rPr>
          <w:rFonts w:ascii="Arial" w:cs="Arial" w:eastAsia="Arial" w:hAnsi="Arial"/>
          <w:sz w:val="22"/>
          <w:szCs w:val="22"/>
          <w:color w:val="auto"/>
        </w:rPr>
      </w:pPr>
      <w:r>
        <w:rPr>
          <w:rFonts w:ascii="Arial" w:cs="Arial" w:eastAsia="Arial" w:hAnsi="Arial"/>
          <w:sz w:val="22"/>
          <w:szCs w:val="22"/>
          <w:color w:val="auto"/>
        </w:rPr>
        <w:t>Excludes -26 bps of "catch-up" premium amortization cost due to change in projected CPR estimates</w:t>
      </w:r>
    </w:p>
    <w:p>
      <w:pPr>
        <w:spacing w:after="0" w:line="3" w:lineRule="exact"/>
        <w:rPr>
          <w:rFonts w:ascii="Arial" w:cs="Arial" w:eastAsia="Arial" w:hAnsi="Arial"/>
          <w:sz w:val="22"/>
          <w:szCs w:val="22"/>
          <w:color w:val="auto"/>
        </w:rPr>
      </w:pPr>
    </w:p>
    <w:p>
      <w:pPr>
        <w:ind w:left="160" w:hanging="152"/>
        <w:spacing w:after="0"/>
        <w:tabs>
          <w:tab w:leader="none" w:pos="160" w:val="left"/>
        </w:tabs>
        <w:numPr>
          <w:ilvl w:val="0"/>
          <w:numId w:val="3"/>
        </w:numPr>
        <w:rPr>
          <w:rFonts w:ascii="Arial" w:cs="Arial" w:eastAsia="Arial" w:hAnsi="Arial"/>
          <w:sz w:val="22"/>
          <w:szCs w:val="22"/>
          <w:color w:val="auto"/>
        </w:rPr>
      </w:pPr>
      <w:r>
        <w:rPr>
          <w:rFonts w:ascii="Arial" w:cs="Arial" w:eastAsia="Arial" w:hAnsi="Arial"/>
          <w:sz w:val="22"/>
          <w:szCs w:val="22"/>
          <w:color w:val="auto"/>
        </w:rPr>
        <w:t>12.2 million shares, or $147 million, of common stock repurchased during the quarter</w:t>
      </w:r>
    </w:p>
    <w:p>
      <w:pPr>
        <w:spacing w:after="0" w:line="3" w:lineRule="exact"/>
        <w:rPr>
          <w:rFonts w:ascii="Arial" w:cs="Arial" w:eastAsia="Arial" w:hAnsi="Arial"/>
          <w:sz w:val="22"/>
          <w:szCs w:val="22"/>
          <w:color w:val="auto"/>
        </w:rPr>
      </w:pPr>
    </w:p>
    <w:p>
      <w:pPr>
        <w:ind w:left="480" w:hanging="229"/>
        <w:spacing w:after="0"/>
        <w:tabs>
          <w:tab w:leader="none" w:pos="480" w:val="left"/>
        </w:tabs>
        <w:numPr>
          <w:ilvl w:val="1"/>
          <w:numId w:val="3"/>
        </w:numPr>
        <w:rPr>
          <w:rFonts w:ascii="Arial" w:cs="Arial" w:eastAsia="Arial" w:hAnsi="Arial"/>
          <w:sz w:val="22"/>
          <w:szCs w:val="22"/>
          <w:color w:val="auto"/>
        </w:rPr>
      </w:pPr>
      <w:r>
        <w:rPr>
          <w:rFonts w:ascii="Arial" w:cs="Arial" w:eastAsia="Arial" w:hAnsi="Arial"/>
          <w:sz w:val="22"/>
          <w:szCs w:val="22"/>
          <w:color w:val="auto"/>
        </w:rPr>
        <w:t>Represents 2.2% of common stock outstanding as of March 31, 2020</w:t>
      </w:r>
    </w:p>
    <w:p>
      <w:pPr>
        <w:spacing w:after="0" w:line="3" w:lineRule="exact"/>
        <w:rPr>
          <w:rFonts w:ascii="Arial" w:cs="Arial" w:eastAsia="Arial" w:hAnsi="Arial"/>
          <w:sz w:val="22"/>
          <w:szCs w:val="22"/>
          <w:color w:val="auto"/>
        </w:rPr>
      </w:pPr>
    </w:p>
    <w:p>
      <w:pPr>
        <w:ind w:left="480" w:hanging="229"/>
        <w:spacing w:after="0"/>
        <w:tabs>
          <w:tab w:leader="none" w:pos="480" w:val="left"/>
        </w:tabs>
        <w:numPr>
          <w:ilvl w:val="1"/>
          <w:numId w:val="3"/>
        </w:numPr>
        <w:rPr>
          <w:rFonts w:ascii="Arial" w:cs="Arial" w:eastAsia="Arial" w:hAnsi="Arial"/>
          <w:sz w:val="22"/>
          <w:szCs w:val="22"/>
          <w:color w:val="auto"/>
        </w:rPr>
      </w:pPr>
      <w:r>
        <w:rPr>
          <w:rFonts w:ascii="Arial" w:cs="Arial" w:eastAsia="Arial" w:hAnsi="Arial"/>
          <w:sz w:val="22"/>
          <w:szCs w:val="22"/>
          <w:color w:val="auto"/>
        </w:rPr>
        <w:t>$11.99 per share average repurchase price, inclusive of transaction costs</w:t>
      </w:r>
    </w:p>
    <w:p>
      <w:pPr>
        <w:spacing w:after="0" w:line="2" w:lineRule="exact"/>
        <w:rPr>
          <w:sz w:val="20"/>
          <w:szCs w:val="20"/>
          <w:color w:val="auto"/>
        </w:rPr>
      </w:pPr>
    </w:p>
    <w:p>
      <w:pPr>
        <w:spacing w:after="0"/>
        <w:rPr>
          <w:sz w:val="20"/>
          <w:szCs w:val="20"/>
          <w:color w:val="auto"/>
        </w:rPr>
      </w:pPr>
      <w:r>
        <w:rPr>
          <w:rFonts w:ascii="Arial" w:cs="Arial" w:eastAsia="Arial" w:hAnsi="Arial"/>
          <w:sz w:val="22"/>
          <w:szCs w:val="22"/>
          <w:color w:val="auto"/>
        </w:rPr>
        <w:t>___________</w:t>
      </w:r>
    </w:p>
    <w:p>
      <w:pPr>
        <w:ind w:left="260" w:hanging="252"/>
        <w:spacing w:after="0" w:line="260" w:lineRule="auto"/>
        <w:tabs>
          <w:tab w:leader="none" w:pos="260" w:val="left"/>
        </w:tabs>
        <w:numPr>
          <w:ilvl w:val="0"/>
          <w:numId w:val="4"/>
        </w:numPr>
        <w:rPr>
          <w:rFonts w:ascii="Arial" w:cs="Arial" w:eastAsia="Arial" w:hAnsi="Arial"/>
          <w:sz w:val="16"/>
          <w:szCs w:val="16"/>
          <w:color w:val="auto"/>
        </w:rPr>
      </w:pPr>
      <w:r>
        <w:rPr>
          <w:rFonts w:ascii="Arial" w:cs="Arial" w:eastAsia="Arial" w:hAnsi="Arial"/>
          <w:sz w:val="16"/>
          <w:szCs w:val="16"/>
          <w:color w:val="auto"/>
        </w:rPr>
        <w:t>Represents a non-GAAP measure. Please refer to a reconciliation to the most applicable GAAP measure and additional information regarding the use of non-GAAP financial information later in this release.</w:t>
      </w:r>
    </w:p>
    <w:p>
      <w:pPr>
        <w:spacing w:after="0" w:line="20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MANAGEMENT REMARKS</w:t>
      </w:r>
    </w:p>
    <w:p>
      <w:pPr>
        <w:spacing w:after="0" w:line="192" w:lineRule="exact"/>
        <w:rPr>
          <w:sz w:val="20"/>
          <w:szCs w:val="20"/>
          <w:color w:val="auto"/>
        </w:rPr>
      </w:pPr>
    </w:p>
    <w:p>
      <w:pPr>
        <w:jc w:val="both"/>
        <w:spacing w:after="0" w:line="244" w:lineRule="auto"/>
        <w:rPr>
          <w:sz w:val="20"/>
          <w:szCs w:val="20"/>
          <w:color w:val="auto"/>
        </w:rPr>
      </w:pPr>
      <w:r>
        <w:rPr>
          <w:rFonts w:ascii="Arial" w:cs="Arial" w:eastAsia="Arial" w:hAnsi="Arial"/>
          <w:sz w:val="22"/>
          <w:szCs w:val="22"/>
          <w:color w:val="auto"/>
        </w:rPr>
        <w:t>"We were very pleased with the performance of our portfolio in the second quarter," said Gary Kain, the Company’s Chief Executive Officer and Chief Investment Officer. "Market conditions during the quarter improved significantly as a result of the unprecedented domestic monetary and fiscal stimulus. Interest rate volatility was muted as the Federal Reserve communicated its intention to hold short-term rates at current levels for several years. Against this favorable backdrop, risk assets rallied dramatically during the quarter. Equity markets, along with many credit centric fixed income sectors, recouped most of their first quarter losses.</w:t>
      </w:r>
    </w:p>
    <w:p>
      <w:pPr>
        <w:spacing w:after="0" w:line="158" w:lineRule="exact"/>
        <w:rPr>
          <w:sz w:val="20"/>
          <w:szCs w:val="20"/>
          <w:color w:val="auto"/>
        </w:rPr>
      </w:pPr>
    </w:p>
    <w:p>
      <w:pPr>
        <w:jc w:val="both"/>
        <w:spacing w:after="0" w:line="244" w:lineRule="auto"/>
        <w:rPr>
          <w:sz w:val="20"/>
          <w:szCs w:val="20"/>
          <w:color w:val="auto"/>
        </w:rPr>
      </w:pPr>
      <w:r>
        <w:rPr>
          <w:rFonts w:ascii="Arial" w:cs="Arial" w:eastAsia="Arial" w:hAnsi="Arial"/>
          <w:sz w:val="22"/>
          <w:szCs w:val="22"/>
          <w:color w:val="auto"/>
        </w:rPr>
        <w:t>"The performance of Agency MBS was somewhat mixed during the quarter. Lower coupon MBS outperformed higher coupon Agency MBS, which were negatively impacted by prepayment concerns. Importantly for AGNC, specified pools recovered a significant portion of the price declines experienced in March. The strong performance of specified pools was the primary driver of our 12% economic return for the quarter, which represented a recovery of about half of the pandemic-related first quarter loss."</w:t>
      </w:r>
    </w:p>
    <w:p>
      <w:pPr>
        <w:spacing w:after="0" w:line="159" w:lineRule="exact"/>
        <w:rPr>
          <w:sz w:val="20"/>
          <w:szCs w:val="20"/>
          <w:color w:val="auto"/>
        </w:rPr>
      </w:pPr>
    </w:p>
    <w:p>
      <w:pPr>
        <w:jc w:val="both"/>
        <w:spacing w:after="0" w:line="244" w:lineRule="auto"/>
        <w:rPr>
          <w:sz w:val="20"/>
          <w:szCs w:val="20"/>
          <w:color w:val="auto"/>
        </w:rPr>
      </w:pPr>
      <w:r>
        <w:rPr>
          <w:rFonts w:ascii="Arial" w:cs="Arial" w:eastAsia="Arial" w:hAnsi="Arial"/>
          <w:sz w:val="22"/>
          <w:szCs w:val="22"/>
          <w:color w:val="auto"/>
        </w:rPr>
        <w:t>"In addition to the significant book value gain in the second quarter, AGNC’s earnings power also remained robust, as evidenced by our $0.58 per common share of net spread and dollar roll income, excluding 'catch-up' premium amortization cost," said Peter Federico, the Company’s President and Chief Operating Officer. "The small increase in our net spread and dollar roll income from the first quarter was encouraging given the reduction in the overall size of the portfolio and the lower average leverage. The broad availability of funding at rates near zero and muted interest rate volatility create a very favorable environment for the three primary components of our business – asset performance, cost and availability of financing and risk</w:t>
      </w:r>
    </w:p>
    <w:p>
      <w:pPr>
        <w:sectPr>
          <w:pgSz w:w="11900" w:h="16838" w:orient="portrait"/>
          <w:cols w:equalWidth="0" w:num="1">
            <w:col w:w="11240"/>
          </w:cols>
          <w:pgMar w:left="320" w:top="147" w:right="339" w:bottom="1440" w:gutter="0" w:footer="0" w:header="0"/>
        </w:sectPr>
      </w:pPr>
    </w:p>
    <w:bookmarkStart w:id="5" w:name="page6"/>
    <w:bookmarkEnd w:id="5"/>
    <w:p>
      <w:pPr>
        <w:spacing w:after="0"/>
        <w:rPr>
          <w:sz w:val="20"/>
          <w:szCs w:val="20"/>
          <w:color w:val="auto"/>
        </w:rPr>
      </w:pPr>
      <w:r>
        <w:rPr>
          <w:rFonts w:ascii="Arial" w:cs="Arial" w:eastAsia="Arial" w:hAnsi="Arial"/>
          <w:sz w:val="22"/>
          <w:szCs w:val="22"/>
          <w:color w:val="auto"/>
        </w:rPr>
        <w:t>AGNC Investment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July 27, 2020</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3</w:t>
      </w: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spacing w:after="0" w:line="249" w:lineRule="auto"/>
        <w:rPr>
          <w:sz w:val="20"/>
          <w:szCs w:val="20"/>
          <w:color w:val="auto"/>
        </w:rPr>
      </w:pPr>
      <w:r>
        <w:rPr>
          <w:rFonts w:ascii="Arial" w:cs="Arial" w:eastAsia="Arial" w:hAnsi="Arial"/>
          <w:sz w:val="22"/>
          <w:szCs w:val="22"/>
          <w:color w:val="auto"/>
        </w:rPr>
        <w:t>management. As such, we expect the earnings environment for Agency MBS to remain favorable for the foreseeable future despite the ongoing economic uncertainties associated with the COVID-19 pandemic."</w:t>
      </w:r>
    </w:p>
    <w:p>
      <w:pPr>
        <w:spacing w:after="0" w:line="20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TANGIBLE NET BOOK VALUE PER COMMON SHARE</w:t>
      </w:r>
    </w:p>
    <w:p>
      <w:pPr>
        <w:spacing w:after="0" w:line="192" w:lineRule="exact"/>
        <w:rPr>
          <w:sz w:val="20"/>
          <w:szCs w:val="20"/>
          <w:color w:val="auto"/>
        </w:rPr>
      </w:pPr>
    </w:p>
    <w:p>
      <w:pPr>
        <w:spacing w:after="0" w:line="249" w:lineRule="auto"/>
        <w:rPr>
          <w:sz w:val="20"/>
          <w:szCs w:val="20"/>
          <w:color w:val="auto"/>
        </w:rPr>
      </w:pPr>
      <w:r>
        <w:rPr>
          <w:rFonts w:ascii="Arial" w:cs="Arial" w:eastAsia="Arial" w:hAnsi="Arial"/>
          <w:sz w:val="22"/>
          <w:szCs w:val="22"/>
          <w:color w:val="auto"/>
        </w:rPr>
        <w:t>As of June 30, 2020, the Company's tangible net book value per common share was $14.92 per share, an increase of 9.5% for the quarter, compared to $13.62 per share as of March 31, 2020.</w:t>
      </w:r>
    </w:p>
    <w:p>
      <w:pPr>
        <w:spacing w:after="0" w:line="150" w:lineRule="exact"/>
        <w:rPr>
          <w:sz w:val="20"/>
          <w:szCs w:val="20"/>
          <w:color w:val="auto"/>
        </w:rPr>
      </w:pPr>
    </w:p>
    <w:p>
      <w:pPr>
        <w:spacing w:after="0" w:line="249" w:lineRule="auto"/>
        <w:rPr>
          <w:sz w:val="20"/>
          <w:szCs w:val="20"/>
          <w:color w:val="auto"/>
        </w:rPr>
      </w:pPr>
      <w:r>
        <w:rPr>
          <w:rFonts w:ascii="Arial" w:cs="Arial" w:eastAsia="Arial" w:hAnsi="Arial"/>
          <w:sz w:val="22"/>
          <w:szCs w:val="22"/>
          <w:color w:val="auto"/>
        </w:rPr>
        <w:t>The Company's tangible net book value per common share excludes $526 million, or $0.95 and $0.93 per share, of goodwill as of June 30, 2020 and March 31, 2020, respectively.</w:t>
      </w:r>
    </w:p>
    <w:p>
      <w:pPr>
        <w:spacing w:after="0" w:line="20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INVESTMENT PORTFOLIO</w:t>
      </w:r>
    </w:p>
    <w:p>
      <w:pPr>
        <w:spacing w:after="0" w:line="192" w:lineRule="exact"/>
        <w:rPr>
          <w:sz w:val="20"/>
          <w:szCs w:val="20"/>
          <w:color w:val="auto"/>
        </w:rPr>
      </w:pPr>
    </w:p>
    <w:p>
      <w:pPr>
        <w:spacing w:after="0"/>
        <w:rPr>
          <w:sz w:val="20"/>
          <w:szCs w:val="20"/>
          <w:color w:val="auto"/>
        </w:rPr>
      </w:pPr>
      <w:r>
        <w:rPr>
          <w:rFonts w:ascii="Arial" w:cs="Arial" w:eastAsia="Arial" w:hAnsi="Arial"/>
          <w:sz w:val="22"/>
          <w:szCs w:val="22"/>
          <w:color w:val="auto"/>
        </w:rPr>
        <w:t>As of June 30, 2020, the Company's investment portfolio totaled $97.7 billion, comprised of:</w:t>
      </w:r>
    </w:p>
    <w:p>
      <w:pPr>
        <w:spacing w:after="0" w:line="166" w:lineRule="exact"/>
        <w:rPr>
          <w:sz w:val="20"/>
          <w:szCs w:val="20"/>
          <w:color w:val="auto"/>
        </w:rPr>
      </w:pPr>
    </w:p>
    <w:p>
      <w:pPr>
        <w:ind w:left="660" w:hanging="328"/>
        <w:spacing w:after="0"/>
        <w:tabs>
          <w:tab w:leader="none" w:pos="660" w:val="left"/>
        </w:tabs>
        <w:numPr>
          <w:ilvl w:val="0"/>
          <w:numId w:val="5"/>
        </w:numPr>
        <w:rPr>
          <w:rFonts w:ascii="Arial" w:cs="Arial" w:eastAsia="Arial" w:hAnsi="Arial"/>
          <w:sz w:val="22"/>
          <w:szCs w:val="22"/>
          <w:color w:val="auto"/>
        </w:rPr>
      </w:pPr>
      <w:r>
        <w:rPr>
          <w:rFonts w:ascii="Arial" w:cs="Arial" w:eastAsia="Arial" w:hAnsi="Arial"/>
          <w:sz w:val="22"/>
          <w:szCs w:val="22"/>
          <w:color w:val="auto"/>
        </w:rPr>
        <w:t>$96.4 billion of Agency MBS and net TBA securities, including:</w:t>
      </w:r>
    </w:p>
    <w:p>
      <w:pPr>
        <w:spacing w:after="0" w:line="3" w:lineRule="exact"/>
        <w:rPr>
          <w:rFonts w:ascii="Arial" w:cs="Arial" w:eastAsia="Arial" w:hAnsi="Arial"/>
          <w:sz w:val="22"/>
          <w:szCs w:val="22"/>
          <w:color w:val="auto"/>
        </w:rPr>
      </w:pPr>
    </w:p>
    <w:p>
      <w:pPr>
        <w:ind w:left="1300" w:hanging="320"/>
        <w:spacing w:after="0"/>
        <w:tabs>
          <w:tab w:leader="none" w:pos="1300" w:val="left"/>
        </w:tabs>
        <w:numPr>
          <w:ilvl w:val="1"/>
          <w:numId w:val="5"/>
        </w:numPr>
        <w:rPr>
          <w:rFonts w:ascii="Arial" w:cs="Arial" w:eastAsia="Arial" w:hAnsi="Arial"/>
          <w:sz w:val="22"/>
          <w:szCs w:val="22"/>
          <w:color w:val="auto"/>
        </w:rPr>
      </w:pPr>
      <w:r>
        <w:rPr>
          <w:rFonts w:ascii="Arial" w:cs="Arial" w:eastAsia="Arial" w:hAnsi="Arial"/>
          <w:sz w:val="22"/>
          <w:szCs w:val="22"/>
          <w:color w:val="auto"/>
        </w:rPr>
        <w:t>$95.7 billion of fixed-rate securities, comprised of:</w:t>
      </w:r>
    </w:p>
    <w:p>
      <w:pPr>
        <w:spacing w:after="0" w:line="3" w:lineRule="exact"/>
        <w:rPr>
          <w:rFonts w:ascii="Arial" w:cs="Arial" w:eastAsia="Arial" w:hAnsi="Arial"/>
          <w:sz w:val="22"/>
          <w:szCs w:val="22"/>
          <w:color w:val="auto"/>
        </w:rPr>
      </w:pPr>
    </w:p>
    <w:p>
      <w:pPr>
        <w:ind w:left="1940" w:hanging="312"/>
        <w:spacing w:after="0"/>
        <w:tabs>
          <w:tab w:leader="none" w:pos="1940" w:val="left"/>
        </w:tabs>
        <w:numPr>
          <w:ilvl w:val="2"/>
          <w:numId w:val="5"/>
        </w:numPr>
        <w:rPr>
          <w:rFonts w:ascii="Arial" w:cs="Arial" w:eastAsia="Arial" w:hAnsi="Arial"/>
          <w:sz w:val="22"/>
          <w:szCs w:val="22"/>
          <w:color w:val="auto"/>
        </w:rPr>
      </w:pPr>
      <w:r>
        <w:rPr>
          <w:rFonts w:ascii="Arial" w:cs="Arial" w:eastAsia="Arial" w:hAnsi="Arial"/>
          <w:sz w:val="22"/>
          <w:szCs w:val="22"/>
          <w:color w:val="auto"/>
        </w:rPr>
        <w:t>$68.0 billion 30-year MBS,</w:t>
      </w:r>
    </w:p>
    <w:p>
      <w:pPr>
        <w:spacing w:after="0" w:line="3" w:lineRule="exact"/>
        <w:rPr>
          <w:rFonts w:ascii="Arial" w:cs="Arial" w:eastAsia="Arial" w:hAnsi="Arial"/>
          <w:sz w:val="22"/>
          <w:szCs w:val="22"/>
          <w:color w:val="auto"/>
        </w:rPr>
      </w:pPr>
    </w:p>
    <w:p>
      <w:pPr>
        <w:ind w:left="1940" w:hanging="312"/>
        <w:spacing w:after="0"/>
        <w:tabs>
          <w:tab w:leader="none" w:pos="1940" w:val="left"/>
        </w:tabs>
        <w:numPr>
          <w:ilvl w:val="2"/>
          <w:numId w:val="5"/>
        </w:numPr>
        <w:rPr>
          <w:rFonts w:ascii="Arial" w:cs="Arial" w:eastAsia="Arial" w:hAnsi="Arial"/>
          <w:sz w:val="22"/>
          <w:szCs w:val="22"/>
          <w:color w:val="auto"/>
        </w:rPr>
      </w:pPr>
      <w:r>
        <w:rPr>
          <w:rFonts w:ascii="Arial" w:cs="Arial" w:eastAsia="Arial" w:hAnsi="Arial"/>
          <w:sz w:val="22"/>
          <w:szCs w:val="22"/>
          <w:color w:val="auto"/>
        </w:rPr>
        <w:t>$12.9 billion 30-year TBA securities, net,</w:t>
      </w:r>
    </w:p>
    <w:p>
      <w:pPr>
        <w:spacing w:after="0" w:line="3" w:lineRule="exact"/>
        <w:rPr>
          <w:rFonts w:ascii="Arial" w:cs="Arial" w:eastAsia="Arial" w:hAnsi="Arial"/>
          <w:sz w:val="22"/>
          <w:szCs w:val="22"/>
          <w:color w:val="auto"/>
        </w:rPr>
      </w:pPr>
    </w:p>
    <w:p>
      <w:pPr>
        <w:ind w:left="1940" w:hanging="312"/>
        <w:spacing w:after="0"/>
        <w:tabs>
          <w:tab w:leader="none" w:pos="1940" w:val="left"/>
        </w:tabs>
        <w:numPr>
          <w:ilvl w:val="2"/>
          <w:numId w:val="5"/>
        </w:numPr>
        <w:rPr>
          <w:rFonts w:ascii="Arial" w:cs="Arial" w:eastAsia="Arial" w:hAnsi="Arial"/>
          <w:sz w:val="22"/>
          <w:szCs w:val="22"/>
          <w:color w:val="auto"/>
        </w:rPr>
      </w:pPr>
      <w:r>
        <w:rPr>
          <w:rFonts w:ascii="Arial" w:cs="Arial" w:eastAsia="Arial" w:hAnsi="Arial"/>
          <w:sz w:val="22"/>
          <w:szCs w:val="22"/>
          <w:color w:val="auto"/>
        </w:rPr>
        <w:t>$4.4 billion 15-year MBS,</w:t>
      </w:r>
    </w:p>
    <w:p>
      <w:pPr>
        <w:spacing w:after="0" w:line="3" w:lineRule="exact"/>
        <w:rPr>
          <w:rFonts w:ascii="Arial" w:cs="Arial" w:eastAsia="Arial" w:hAnsi="Arial"/>
          <w:sz w:val="22"/>
          <w:szCs w:val="22"/>
          <w:color w:val="auto"/>
        </w:rPr>
      </w:pPr>
    </w:p>
    <w:p>
      <w:pPr>
        <w:ind w:left="1940" w:hanging="312"/>
        <w:spacing w:after="0"/>
        <w:tabs>
          <w:tab w:leader="none" w:pos="1940" w:val="left"/>
        </w:tabs>
        <w:numPr>
          <w:ilvl w:val="2"/>
          <w:numId w:val="5"/>
        </w:numPr>
        <w:rPr>
          <w:rFonts w:ascii="Arial" w:cs="Arial" w:eastAsia="Arial" w:hAnsi="Arial"/>
          <w:sz w:val="22"/>
          <w:szCs w:val="22"/>
          <w:color w:val="auto"/>
        </w:rPr>
      </w:pPr>
      <w:r>
        <w:rPr>
          <w:rFonts w:ascii="Arial" w:cs="Arial" w:eastAsia="Arial" w:hAnsi="Arial"/>
          <w:sz w:val="22"/>
          <w:szCs w:val="22"/>
          <w:color w:val="auto"/>
        </w:rPr>
        <w:t>$7.6 billion 15-year TBA securities, and</w:t>
      </w:r>
    </w:p>
    <w:p>
      <w:pPr>
        <w:spacing w:after="0" w:line="3" w:lineRule="exact"/>
        <w:rPr>
          <w:rFonts w:ascii="Arial" w:cs="Arial" w:eastAsia="Arial" w:hAnsi="Arial"/>
          <w:sz w:val="22"/>
          <w:szCs w:val="22"/>
          <w:color w:val="auto"/>
        </w:rPr>
      </w:pPr>
    </w:p>
    <w:p>
      <w:pPr>
        <w:ind w:left="1940" w:hanging="312"/>
        <w:spacing w:after="0"/>
        <w:tabs>
          <w:tab w:leader="none" w:pos="1940" w:val="left"/>
        </w:tabs>
        <w:numPr>
          <w:ilvl w:val="2"/>
          <w:numId w:val="5"/>
        </w:numPr>
        <w:rPr>
          <w:rFonts w:ascii="Arial" w:cs="Arial" w:eastAsia="Arial" w:hAnsi="Arial"/>
          <w:sz w:val="22"/>
          <w:szCs w:val="22"/>
          <w:color w:val="auto"/>
        </w:rPr>
      </w:pPr>
      <w:r>
        <w:rPr>
          <w:rFonts w:ascii="Arial" w:cs="Arial" w:eastAsia="Arial" w:hAnsi="Arial"/>
          <w:sz w:val="22"/>
          <w:szCs w:val="22"/>
          <w:color w:val="auto"/>
        </w:rPr>
        <w:t>$2.8 billion 20-year MBS; and</w:t>
      </w:r>
    </w:p>
    <w:p>
      <w:pPr>
        <w:spacing w:after="0" w:line="3" w:lineRule="exact"/>
        <w:rPr>
          <w:rFonts w:ascii="Arial" w:cs="Arial" w:eastAsia="Arial" w:hAnsi="Arial"/>
          <w:sz w:val="22"/>
          <w:szCs w:val="22"/>
          <w:color w:val="auto"/>
        </w:rPr>
      </w:pPr>
    </w:p>
    <w:p>
      <w:pPr>
        <w:ind w:left="1300" w:right="20" w:hanging="320"/>
        <w:spacing w:after="0" w:line="243" w:lineRule="auto"/>
        <w:tabs>
          <w:tab w:leader="none" w:pos="1377" w:val="left"/>
        </w:tabs>
        <w:numPr>
          <w:ilvl w:val="1"/>
          <w:numId w:val="5"/>
        </w:numPr>
        <w:rPr>
          <w:rFonts w:ascii="Arial" w:cs="Arial" w:eastAsia="Arial" w:hAnsi="Arial"/>
          <w:sz w:val="22"/>
          <w:szCs w:val="22"/>
          <w:color w:val="auto"/>
        </w:rPr>
      </w:pPr>
      <w:r>
        <w:rPr>
          <w:rFonts w:ascii="Arial" w:cs="Arial" w:eastAsia="Arial" w:hAnsi="Arial"/>
          <w:sz w:val="22"/>
          <w:szCs w:val="22"/>
          <w:color w:val="auto"/>
        </w:rPr>
        <w:t>$0.7 billion of collateralized mortgage obligations ("CMOs"), adjustable-rate and other Agency securities; and</w:t>
      </w:r>
    </w:p>
    <w:p>
      <w:pPr>
        <w:ind w:left="660" w:hanging="328"/>
        <w:spacing w:after="0"/>
        <w:tabs>
          <w:tab w:leader="none" w:pos="660" w:val="left"/>
        </w:tabs>
        <w:numPr>
          <w:ilvl w:val="0"/>
          <w:numId w:val="5"/>
        </w:numPr>
        <w:rPr>
          <w:rFonts w:ascii="Arial" w:cs="Arial" w:eastAsia="Arial" w:hAnsi="Arial"/>
          <w:sz w:val="22"/>
          <w:szCs w:val="22"/>
          <w:color w:val="auto"/>
        </w:rPr>
      </w:pPr>
      <w:r>
        <w:rPr>
          <w:rFonts w:ascii="Arial" w:cs="Arial" w:eastAsia="Arial" w:hAnsi="Arial"/>
          <w:sz w:val="22"/>
          <w:szCs w:val="22"/>
          <w:color w:val="auto"/>
        </w:rPr>
        <w:t>$1.3 billion of CRT and non-Agency securities.</w:t>
      </w:r>
    </w:p>
    <w:p>
      <w:pPr>
        <w:spacing w:after="0" w:line="166" w:lineRule="exact"/>
        <w:rPr>
          <w:sz w:val="20"/>
          <w:szCs w:val="20"/>
          <w:color w:val="auto"/>
        </w:rPr>
      </w:pPr>
    </w:p>
    <w:p>
      <w:pPr>
        <w:spacing w:after="0" w:line="249" w:lineRule="auto"/>
        <w:rPr>
          <w:sz w:val="20"/>
          <w:szCs w:val="20"/>
          <w:color w:val="auto"/>
        </w:rPr>
      </w:pPr>
      <w:r>
        <w:rPr>
          <w:rFonts w:ascii="Arial" w:cs="Arial" w:eastAsia="Arial" w:hAnsi="Arial"/>
          <w:sz w:val="22"/>
          <w:szCs w:val="22"/>
          <w:color w:val="auto"/>
        </w:rPr>
        <w:t>As of June 30, 2020, 30-year and 15-year fixed-rate Agency securities represented 83% and 12%, respectively, of the Company's investment portfolio, compared to 90% and 6%, respectively, as of March 31, 2020.</w:t>
      </w:r>
    </w:p>
    <w:p>
      <w:pPr>
        <w:spacing w:after="0" w:line="150" w:lineRule="exact"/>
        <w:rPr>
          <w:sz w:val="20"/>
          <w:szCs w:val="20"/>
          <w:color w:val="auto"/>
        </w:rPr>
      </w:pPr>
    </w:p>
    <w:p>
      <w:pPr>
        <w:spacing w:after="0" w:line="249" w:lineRule="auto"/>
        <w:rPr>
          <w:sz w:val="20"/>
          <w:szCs w:val="20"/>
          <w:color w:val="auto"/>
        </w:rPr>
      </w:pPr>
      <w:r>
        <w:rPr>
          <w:rFonts w:ascii="Arial" w:cs="Arial" w:eastAsia="Arial" w:hAnsi="Arial"/>
          <w:sz w:val="22"/>
          <w:szCs w:val="22"/>
          <w:color w:val="auto"/>
        </w:rPr>
        <w:t>As of June 30, 2020, the Company's fixed-rate securities' weighted average coupon was 3.40%, compared to 3.62% as of March 31, 2020, comprised of the following weighted average coupons:</w:t>
      </w:r>
    </w:p>
    <w:p>
      <w:pPr>
        <w:spacing w:after="0" w:line="150" w:lineRule="exact"/>
        <w:rPr>
          <w:sz w:val="20"/>
          <w:szCs w:val="20"/>
          <w:color w:val="auto"/>
        </w:rPr>
      </w:pPr>
    </w:p>
    <w:p>
      <w:pPr>
        <w:ind w:left="660" w:hanging="328"/>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22"/>
          <w:szCs w:val="22"/>
          <w:color w:val="auto"/>
        </w:rPr>
        <w:t>3.54% for 30-year fixed-rate securities;</w:t>
      </w:r>
    </w:p>
    <w:p>
      <w:pPr>
        <w:spacing w:after="0" w:line="3" w:lineRule="exact"/>
        <w:rPr>
          <w:rFonts w:ascii="Arial" w:cs="Arial" w:eastAsia="Arial" w:hAnsi="Arial"/>
          <w:sz w:val="18"/>
          <w:szCs w:val="18"/>
          <w:color w:val="auto"/>
        </w:rPr>
      </w:pPr>
    </w:p>
    <w:p>
      <w:pPr>
        <w:ind w:left="660" w:hanging="328"/>
        <w:spacing w:after="0"/>
        <w:tabs>
          <w:tab w:leader="none" w:pos="660" w:val="left"/>
        </w:tabs>
        <w:numPr>
          <w:ilvl w:val="0"/>
          <w:numId w:val="6"/>
        </w:numPr>
        <w:rPr>
          <w:rFonts w:ascii="Arial" w:cs="Arial" w:eastAsia="Arial" w:hAnsi="Arial"/>
          <w:sz w:val="22"/>
          <w:szCs w:val="22"/>
          <w:color w:val="auto"/>
        </w:rPr>
      </w:pPr>
      <w:r>
        <w:rPr>
          <w:rFonts w:ascii="Arial" w:cs="Arial" w:eastAsia="Arial" w:hAnsi="Arial"/>
          <w:sz w:val="22"/>
          <w:szCs w:val="22"/>
          <w:color w:val="auto"/>
        </w:rPr>
        <w:t>2.56% for 15-year fixed rate securities; and</w:t>
      </w:r>
    </w:p>
    <w:p>
      <w:pPr>
        <w:spacing w:after="0" w:line="3" w:lineRule="exact"/>
        <w:rPr>
          <w:rFonts w:ascii="Arial" w:cs="Arial" w:eastAsia="Arial" w:hAnsi="Arial"/>
          <w:sz w:val="22"/>
          <w:szCs w:val="22"/>
          <w:color w:val="auto"/>
        </w:rPr>
      </w:pPr>
    </w:p>
    <w:p>
      <w:pPr>
        <w:ind w:left="660" w:hanging="328"/>
        <w:spacing w:after="0"/>
        <w:tabs>
          <w:tab w:leader="none" w:pos="660" w:val="left"/>
        </w:tabs>
        <w:numPr>
          <w:ilvl w:val="0"/>
          <w:numId w:val="6"/>
        </w:numPr>
        <w:rPr>
          <w:rFonts w:ascii="Arial" w:cs="Arial" w:eastAsia="Arial" w:hAnsi="Arial"/>
          <w:sz w:val="22"/>
          <w:szCs w:val="22"/>
          <w:color w:val="auto"/>
        </w:rPr>
      </w:pPr>
      <w:r>
        <w:rPr>
          <w:rFonts w:ascii="Arial" w:cs="Arial" w:eastAsia="Arial" w:hAnsi="Arial"/>
          <w:sz w:val="22"/>
          <w:szCs w:val="22"/>
          <w:color w:val="auto"/>
        </w:rPr>
        <w:t>2.88% for 20-year fixed-rate securities.</w:t>
      </w:r>
    </w:p>
    <w:p>
      <w:pPr>
        <w:spacing w:after="0" w:line="166" w:lineRule="exact"/>
        <w:rPr>
          <w:sz w:val="20"/>
          <w:szCs w:val="20"/>
          <w:color w:val="auto"/>
        </w:rPr>
      </w:pPr>
    </w:p>
    <w:p>
      <w:pPr>
        <w:jc w:val="both"/>
        <w:spacing w:after="0" w:line="258" w:lineRule="auto"/>
        <w:rPr>
          <w:sz w:val="20"/>
          <w:szCs w:val="20"/>
          <w:color w:val="auto"/>
        </w:rPr>
      </w:pPr>
      <w:r>
        <w:rPr>
          <w:rFonts w:ascii="Arial" w:cs="Arial" w:eastAsia="Arial" w:hAnsi="Arial"/>
          <w:sz w:val="21"/>
          <w:szCs w:val="21"/>
          <w:color w:val="auto"/>
        </w:rPr>
        <w:t>The Company accounts for TBA securities (or "dollar roll funded assets") as derivative instruments and recognizes dollar roll income in other gain (loss), net on the Company's financial statements. As of June 30, 2020, the Company's net TBA position had a fair value of $20.5 billion, consisting of $20.6 billion long and $(26) million short TBA securities, and a GAAP net carrying value of $130 million reported in derivative assets/(liabilities) on the Company's balance sheet. As of March 31, 2020, the Company's net TBA position had a fair value of $21.2 billion, consisting of $21.5 billion long and $(0.3) billion short TBA securities, and a GAAP net carrying value of $574 million.</w:t>
      </w:r>
    </w:p>
    <w:p>
      <w:pPr>
        <w:sectPr>
          <w:pgSz w:w="11900" w:h="16838" w:orient="portrait"/>
          <w:cols w:equalWidth="0" w:num="1">
            <w:col w:w="11240"/>
          </w:cols>
          <w:pgMar w:left="320" w:top="147" w:right="339" w:bottom="1440" w:gutter="0" w:footer="0" w:header="0"/>
        </w:sectPr>
      </w:pPr>
    </w:p>
    <w:bookmarkStart w:id="6" w:name="page7"/>
    <w:bookmarkEnd w:id="6"/>
    <w:p>
      <w:pPr>
        <w:spacing w:after="0"/>
        <w:rPr>
          <w:sz w:val="20"/>
          <w:szCs w:val="20"/>
          <w:color w:val="auto"/>
        </w:rPr>
      </w:pPr>
      <w:r>
        <w:rPr>
          <w:rFonts w:ascii="Arial" w:cs="Arial" w:eastAsia="Arial" w:hAnsi="Arial"/>
          <w:sz w:val="22"/>
          <w:szCs w:val="22"/>
          <w:color w:val="auto"/>
        </w:rPr>
        <w:t>AGNC Investment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July 27, 2020</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4</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CONSTANT PREPAYMENT RATES</w:t>
      </w:r>
    </w:p>
    <w:p>
      <w:pPr>
        <w:spacing w:after="0" w:line="192" w:lineRule="exact"/>
        <w:rPr>
          <w:sz w:val="20"/>
          <w:szCs w:val="20"/>
          <w:color w:val="auto"/>
        </w:rPr>
      </w:pPr>
    </w:p>
    <w:p>
      <w:pPr>
        <w:jc w:val="both"/>
        <w:spacing w:after="0" w:line="246" w:lineRule="auto"/>
        <w:rPr>
          <w:sz w:val="20"/>
          <w:szCs w:val="20"/>
          <w:color w:val="auto"/>
        </w:rPr>
      </w:pPr>
      <w:r>
        <w:rPr>
          <w:rFonts w:ascii="Arial" w:cs="Arial" w:eastAsia="Arial" w:hAnsi="Arial"/>
          <w:sz w:val="22"/>
          <w:szCs w:val="22"/>
          <w:color w:val="auto"/>
        </w:rPr>
        <w:t>The Company's investment portfolio had a weighted average CPR of 19.9% for the second quarter, compared to 12.2% for the prior quarter. The weighted average projected CPR for the remaining life of the Company's Agency securities held as of June 30, 2020 increased to 16.6%, from 14.5% as of March 31, 2020.</w:t>
      </w:r>
    </w:p>
    <w:p>
      <w:pPr>
        <w:spacing w:after="0" w:line="154" w:lineRule="exact"/>
        <w:rPr>
          <w:sz w:val="20"/>
          <w:szCs w:val="20"/>
          <w:color w:val="auto"/>
        </w:rPr>
      </w:pPr>
    </w:p>
    <w:p>
      <w:pPr>
        <w:jc w:val="both"/>
        <w:spacing w:after="0" w:line="258" w:lineRule="auto"/>
        <w:rPr>
          <w:sz w:val="20"/>
          <w:szCs w:val="20"/>
          <w:color w:val="auto"/>
        </w:rPr>
      </w:pPr>
      <w:r>
        <w:rPr>
          <w:rFonts w:ascii="Arial" w:cs="Arial" w:eastAsia="Arial" w:hAnsi="Arial"/>
          <w:sz w:val="21"/>
          <w:szCs w:val="21"/>
          <w:color w:val="auto"/>
        </w:rPr>
        <w:t>The weighted average cost basis of the Company's investment portfolio was 104.2% of par value as of June 30, 2020. Net premium amortization cost on the Company's investment portfolio for the second quarter was $(223) million, or $(0.40) per common share, which includes "catch-up" premium amortization cost of $(57) million, or $(0.10) per common share, due to changes in the Company's projected CPR estimates for securities acquired prior to the second quarter. This compares to net premium amortization cost for the prior quarter of $(384) million, or $(0.70) per common share, including a "catch-up" premium amortization cost of $(243) million, or $(0.44) per common share.</w:t>
      </w:r>
    </w:p>
    <w:p>
      <w:pPr>
        <w:spacing w:after="0" w:line="198"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ASSET YIELDS, COST OF FUNDS AND NET INTEREST RATE SPREAD</w:t>
      </w:r>
    </w:p>
    <w:p>
      <w:pPr>
        <w:spacing w:after="0" w:line="192" w:lineRule="exact"/>
        <w:rPr>
          <w:sz w:val="20"/>
          <w:szCs w:val="20"/>
          <w:color w:val="auto"/>
        </w:rPr>
      </w:pPr>
    </w:p>
    <w:p>
      <w:pPr>
        <w:jc w:val="both"/>
        <w:spacing w:after="0" w:line="244" w:lineRule="auto"/>
        <w:rPr>
          <w:sz w:val="20"/>
          <w:szCs w:val="20"/>
          <w:color w:val="auto"/>
        </w:rPr>
      </w:pPr>
      <w:r>
        <w:rPr>
          <w:rFonts w:ascii="Arial" w:cs="Arial" w:eastAsia="Arial" w:hAnsi="Arial"/>
          <w:sz w:val="22"/>
          <w:szCs w:val="22"/>
          <w:color w:val="auto"/>
        </w:rPr>
        <w:t>The Company's average asset yield on its investment portfolio, excluding the net TBA position, was 2.39% for the second quarter, compared to 2.01% for the prior quarter. Excluding "catch-up" premium amortization, the Company's average asset yield was 2.71% for the second quarter, compared to 3.00% for the prior quarter. Including the net TBA position and excluding "catch-up" premium amortization, the Company's average asset yield for the second quarter was 2.56%, compared to 2.97% for the prior quarter.</w:t>
      </w:r>
    </w:p>
    <w:p>
      <w:pPr>
        <w:spacing w:after="0" w:line="159" w:lineRule="exact"/>
        <w:rPr>
          <w:sz w:val="20"/>
          <w:szCs w:val="20"/>
          <w:color w:val="auto"/>
        </w:rPr>
      </w:pPr>
    </w:p>
    <w:p>
      <w:pPr>
        <w:jc w:val="both"/>
        <w:spacing w:after="0" w:line="244" w:lineRule="auto"/>
        <w:rPr>
          <w:sz w:val="20"/>
          <w:szCs w:val="20"/>
          <w:color w:val="auto"/>
        </w:rPr>
      </w:pPr>
      <w:r>
        <w:rPr>
          <w:rFonts w:ascii="Arial" w:cs="Arial" w:eastAsia="Arial" w:hAnsi="Arial"/>
          <w:sz w:val="22"/>
          <w:szCs w:val="22"/>
          <w:color w:val="auto"/>
        </w:rPr>
        <w:t>For the second quarter, the weighted average interest rate on the Company's Agency repurchase agreements was 0.76%, compared to 1.80% for the prior quarter. For the second quarter, the Company’s TBA position had an implied financing benefit of -0.09%, compared to an implied financing cost of 1.67% for the prior quarter. Inclusive of interest rate swaps, the Company's combined average cost of funds for the second quarter was 0.88%, compared to 1.67% for the prior quarter.</w:t>
      </w:r>
    </w:p>
    <w:p>
      <w:pPr>
        <w:spacing w:after="0" w:line="159" w:lineRule="exact"/>
        <w:rPr>
          <w:sz w:val="20"/>
          <w:szCs w:val="20"/>
          <w:color w:val="auto"/>
        </w:rPr>
      </w:pPr>
    </w:p>
    <w:p>
      <w:pPr>
        <w:jc w:val="both"/>
        <w:spacing w:after="0" w:line="272" w:lineRule="auto"/>
        <w:rPr>
          <w:sz w:val="20"/>
          <w:szCs w:val="20"/>
          <w:color w:val="auto"/>
        </w:rPr>
      </w:pPr>
      <w:r>
        <w:rPr>
          <w:rFonts w:ascii="Arial" w:cs="Arial" w:eastAsia="Arial" w:hAnsi="Arial"/>
          <w:sz w:val="21"/>
          <w:szCs w:val="21"/>
          <w:color w:val="auto"/>
        </w:rPr>
        <w:t>The Company's annualized net interest spread, including the net TBA position and interest rate swaps and excluding "catch-up" premium amortization, for the second quarter was 1.68%, compared to 1.30% for the prior quarter.</w:t>
      </w:r>
    </w:p>
    <w:p>
      <w:pPr>
        <w:spacing w:after="0" w:line="18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NET SPREAD AND DOLLAR ROLL INCOME</w:t>
      </w:r>
    </w:p>
    <w:p>
      <w:pPr>
        <w:spacing w:after="0" w:line="192" w:lineRule="exact"/>
        <w:rPr>
          <w:sz w:val="20"/>
          <w:szCs w:val="20"/>
          <w:color w:val="auto"/>
        </w:rPr>
      </w:pPr>
    </w:p>
    <w:p>
      <w:pPr>
        <w:jc w:val="both"/>
        <w:spacing w:after="0" w:line="245" w:lineRule="auto"/>
        <w:rPr>
          <w:sz w:val="20"/>
          <w:szCs w:val="20"/>
          <w:color w:val="auto"/>
        </w:rPr>
      </w:pPr>
      <w:r>
        <w:rPr>
          <w:rFonts w:ascii="Arial" w:cs="Arial" w:eastAsia="Arial" w:hAnsi="Arial"/>
          <w:sz w:val="22"/>
          <w:szCs w:val="22"/>
          <w:color w:val="auto"/>
        </w:rPr>
        <w:t>The Company recognized net spread and dollar roll income (a non-GAAP financial measure) for the second quarter of $0.58 per common share, excluding $(0.10) per common share of "catch-up" premium amortization cost, compared to $0.57 per common share for the prior quarter, excluding $(0.44) per common share of "catch-up" premium amortization cost.</w:t>
      </w:r>
    </w:p>
    <w:p>
      <w:pPr>
        <w:spacing w:after="0" w:line="155" w:lineRule="exact"/>
        <w:rPr>
          <w:sz w:val="20"/>
          <w:szCs w:val="20"/>
          <w:color w:val="auto"/>
        </w:rPr>
      </w:pPr>
    </w:p>
    <w:p>
      <w:pPr>
        <w:jc w:val="both"/>
        <w:spacing w:after="0" w:line="249" w:lineRule="auto"/>
        <w:rPr>
          <w:sz w:val="20"/>
          <w:szCs w:val="20"/>
          <w:color w:val="auto"/>
        </w:rPr>
      </w:pPr>
      <w:r>
        <w:rPr>
          <w:rFonts w:ascii="Arial" w:cs="Arial" w:eastAsia="Arial" w:hAnsi="Arial"/>
          <w:sz w:val="22"/>
          <w:szCs w:val="22"/>
          <w:color w:val="auto"/>
        </w:rPr>
        <w:t>A reconciliation of the Company's net interest income to net spread and dollar roll income and additional information regarding the Company's use of non-GAAP measures are included later in this release.</w:t>
      </w:r>
    </w:p>
    <w:p>
      <w:pPr>
        <w:sectPr>
          <w:pgSz w:w="11900" w:h="16838" w:orient="portrait"/>
          <w:cols w:equalWidth="0" w:num="1">
            <w:col w:w="11240"/>
          </w:cols>
          <w:pgMar w:left="320" w:top="147" w:right="339" w:bottom="1440" w:gutter="0" w:footer="0" w:header="0"/>
        </w:sectPr>
      </w:pPr>
    </w:p>
    <w:bookmarkStart w:id="7" w:name="page8"/>
    <w:bookmarkEnd w:id="7"/>
    <w:p>
      <w:pPr>
        <w:spacing w:after="0"/>
        <w:rPr>
          <w:sz w:val="20"/>
          <w:szCs w:val="20"/>
          <w:color w:val="auto"/>
        </w:rPr>
      </w:pPr>
      <w:r>
        <w:rPr>
          <w:rFonts w:ascii="Arial" w:cs="Arial" w:eastAsia="Arial" w:hAnsi="Arial"/>
          <w:sz w:val="22"/>
          <w:szCs w:val="22"/>
          <w:color w:val="auto"/>
        </w:rPr>
        <w:t>AGNC Investment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July 27, 2020</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5</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LEVERAGE</w:t>
      </w:r>
    </w:p>
    <w:p>
      <w:pPr>
        <w:spacing w:after="0" w:line="192" w:lineRule="exact"/>
        <w:rPr>
          <w:sz w:val="20"/>
          <w:szCs w:val="20"/>
          <w:color w:val="auto"/>
        </w:rPr>
      </w:pPr>
    </w:p>
    <w:p>
      <w:pPr>
        <w:jc w:val="both"/>
        <w:spacing w:after="0" w:line="244" w:lineRule="auto"/>
        <w:rPr>
          <w:sz w:val="20"/>
          <w:szCs w:val="20"/>
          <w:color w:val="auto"/>
        </w:rPr>
      </w:pPr>
      <w:r>
        <w:rPr>
          <w:rFonts w:ascii="Arial" w:cs="Arial" w:eastAsia="Arial" w:hAnsi="Arial"/>
          <w:sz w:val="22"/>
          <w:szCs w:val="22"/>
          <w:color w:val="auto"/>
        </w:rPr>
        <w:t>As of June 30, 2020, $69.2 billion of Agency repurchase agreements, $20.4 billion of net TBA dollar roll positions (at cost) and $0.2 billion of other debt were used to fund the Company's investment portfolio. The remainder, or approximately $0.5 billion, of the Company's repurchase agreements was used to fund purchases of U.S. Treasury securities ("U.S. Treasury repo") and is not included in the Company's leverage measurements. Inclusive of its net TBA position and net payable/(receivable) for unsettled investment securities, the Company's tangible net book value "at risk" leverage ratio was 9.2x as of June 30, 2020, compared to 9.4x as of March 31, 2020. The Company's average "at risk" leverage for the second quarter was 8.8x tangible net book value, compared to 9.9x in the prior quarter.</w:t>
      </w:r>
    </w:p>
    <w:p>
      <w:pPr>
        <w:spacing w:after="0" w:line="157" w:lineRule="exact"/>
        <w:rPr>
          <w:sz w:val="20"/>
          <w:szCs w:val="20"/>
          <w:color w:val="auto"/>
        </w:rPr>
      </w:pPr>
    </w:p>
    <w:p>
      <w:pPr>
        <w:jc w:val="both"/>
        <w:spacing w:after="0" w:line="260" w:lineRule="auto"/>
        <w:rPr>
          <w:sz w:val="20"/>
          <w:szCs w:val="20"/>
          <w:color w:val="auto"/>
        </w:rPr>
      </w:pPr>
      <w:r>
        <w:rPr>
          <w:rFonts w:ascii="Arial" w:cs="Arial" w:eastAsia="Arial" w:hAnsi="Arial"/>
          <w:sz w:val="21"/>
          <w:szCs w:val="21"/>
          <w:color w:val="auto"/>
        </w:rPr>
        <w:t>As of June 30, 2020, the Company's Agency repurchase agreements had a weighted average interest rate of 0.41%, compared to 1.36% as of March 31, 2020, and a weighted average remaining maturity of 60 days, compared to 93 days as of March 31, 2020. As of June 30, 2020, $33.3 billion, or 48%, of the Company's Agency repurchase agreements were funded through the Company's captive broker-dealer subsidiary, Bethesda Securities, LLC.</w:t>
      </w:r>
    </w:p>
    <w:p>
      <w:pPr>
        <w:spacing w:after="0" w:line="142" w:lineRule="exact"/>
        <w:rPr>
          <w:sz w:val="20"/>
          <w:szCs w:val="20"/>
          <w:color w:val="auto"/>
        </w:rPr>
      </w:pPr>
    </w:p>
    <w:p>
      <w:pPr>
        <w:jc w:val="both"/>
        <w:spacing w:after="0" w:line="245" w:lineRule="auto"/>
        <w:rPr>
          <w:sz w:val="20"/>
          <w:szCs w:val="20"/>
          <w:color w:val="auto"/>
        </w:rPr>
      </w:pPr>
      <w:r>
        <w:rPr>
          <w:rFonts w:ascii="Arial" w:cs="Arial" w:eastAsia="Arial" w:hAnsi="Arial"/>
          <w:sz w:val="22"/>
          <w:szCs w:val="22"/>
          <w:color w:val="auto"/>
        </w:rPr>
        <w:t>During the second quarter, the Company terminated $3.7 billion of Agency repurchase agreements with a weighted average interest rate of 2.11% and a weighted average remaining maturity of 2.2 years. The terminated agreements were replaced with shorter duration repurchase agreements at lower prevailing market rates. The Company recognized losses on debt extinguishment of $146 million in other gain (loss), net for the quarter.</w:t>
      </w:r>
    </w:p>
    <w:p>
      <w:pPr>
        <w:spacing w:after="0" w:line="155" w:lineRule="exact"/>
        <w:rPr>
          <w:sz w:val="20"/>
          <w:szCs w:val="20"/>
          <w:color w:val="auto"/>
        </w:rPr>
      </w:pPr>
    </w:p>
    <w:p>
      <w:pPr>
        <w:spacing w:after="0"/>
        <w:rPr>
          <w:sz w:val="20"/>
          <w:szCs w:val="20"/>
          <w:color w:val="auto"/>
        </w:rPr>
      </w:pPr>
      <w:r>
        <w:rPr>
          <w:rFonts w:ascii="Arial" w:cs="Arial" w:eastAsia="Arial" w:hAnsi="Arial"/>
          <w:sz w:val="22"/>
          <w:szCs w:val="22"/>
          <w:color w:val="auto"/>
        </w:rPr>
        <w:t>As of June 30, 2020, the Company's Agency repurchase agreements had remaining maturities of:</w:t>
      </w:r>
    </w:p>
    <w:p>
      <w:pPr>
        <w:spacing w:after="0" w:line="166" w:lineRule="exact"/>
        <w:rPr>
          <w:sz w:val="20"/>
          <w:szCs w:val="20"/>
          <w:color w:val="auto"/>
        </w:rPr>
      </w:pPr>
    </w:p>
    <w:p>
      <w:pPr>
        <w:ind w:left="660" w:hanging="328"/>
        <w:spacing w:after="0"/>
        <w:tabs>
          <w:tab w:leader="none" w:pos="660" w:val="left"/>
        </w:tabs>
        <w:numPr>
          <w:ilvl w:val="0"/>
          <w:numId w:val="7"/>
        </w:numPr>
        <w:rPr>
          <w:rFonts w:ascii="Arial" w:cs="Arial" w:eastAsia="Arial" w:hAnsi="Arial"/>
          <w:sz w:val="22"/>
          <w:szCs w:val="22"/>
          <w:color w:val="auto"/>
        </w:rPr>
      </w:pPr>
      <w:r>
        <w:rPr>
          <w:rFonts w:ascii="Arial" w:cs="Arial" w:eastAsia="Arial" w:hAnsi="Arial"/>
          <w:sz w:val="22"/>
          <w:szCs w:val="22"/>
          <w:color w:val="auto"/>
        </w:rPr>
        <w:t>$54.9 billion of three months or less;</w:t>
      </w:r>
    </w:p>
    <w:p>
      <w:pPr>
        <w:spacing w:after="0" w:line="3" w:lineRule="exact"/>
        <w:rPr>
          <w:rFonts w:ascii="Arial" w:cs="Arial" w:eastAsia="Arial" w:hAnsi="Arial"/>
          <w:sz w:val="22"/>
          <w:szCs w:val="22"/>
          <w:color w:val="auto"/>
        </w:rPr>
      </w:pPr>
    </w:p>
    <w:p>
      <w:pPr>
        <w:ind w:left="660" w:hanging="328"/>
        <w:spacing w:after="0"/>
        <w:tabs>
          <w:tab w:leader="none" w:pos="660" w:val="left"/>
        </w:tabs>
        <w:numPr>
          <w:ilvl w:val="0"/>
          <w:numId w:val="7"/>
        </w:numPr>
        <w:rPr>
          <w:rFonts w:ascii="Arial" w:cs="Arial" w:eastAsia="Arial" w:hAnsi="Arial"/>
          <w:sz w:val="22"/>
          <w:szCs w:val="22"/>
          <w:color w:val="auto"/>
        </w:rPr>
      </w:pPr>
      <w:r>
        <w:rPr>
          <w:rFonts w:ascii="Arial" w:cs="Arial" w:eastAsia="Arial" w:hAnsi="Arial"/>
          <w:sz w:val="22"/>
          <w:szCs w:val="22"/>
          <w:color w:val="auto"/>
        </w:rPr>
        <w:t>$2.6 billion from three to six months; and</w:t>
      </w:r>
    </w:p>
    <w:p>
      <w:pPr>
        <w:spacing w:after="0" w:line="3" w:lineRule="exact"/>
        <w:rPr>
          <w:rFonts w:ascii="Arial" w:cs="Arial" w:eastAsia="Arial" w:hAnsi="Arial"/>
          <w:sz w:val="22"/>
          <w:szCs w:val="22"/>
          <w:color w:val="auto"/>
        </w:rPr>
      </w:pPr>
    </w:p>
    <w:p>
      <w:pPr>
        <w:ind w:left="660" w:hanging="328"/>
        <w:spacing w:after="0"/>
        <w:tabs>
          <w:tab w:leader="none" w:pos="660" w:val="left"/>
        </w:tabs>
        <w:numPr>
          <w:ilvl w:val="0"/>
          <w:numId w:val="7"/>
        </w:numPr>
        <w:rPr>
          <w:rFonts w:ascii="Arial" w:cs="Arial" w:eastAsia="Arial" w:hAnsi="Arial"/>
          <w:sz w:val="22"/>
          <w:szCs w:val="22"/>
          <w:color w:val="auto"/>
        </w:rPr>
      </w:pPr>
      <w:r>
        <w:rPr>
          <w:rFonts w:ascii="Arial" w:cs="Arial" w:eastAsia="Arial" w:hAnsi="Arial"/>
          <w:sz w:val="22"/>
          <w:szCs w:val="22"/>
          <w:color w:val="auto"/>
        </w:rPr>
        <w:t>$11.7 billion from six to twelve months.</w:t>
      </w:r>
    </w:p>
    <w:p>
      <w:pPr>
        <w:spacing w:after="0" w:line="22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HEDGING ACTIVITIES</w:t>
      </w:r>
    </w:p>
    <w:p>
      <w:pPr>
        <w:spacing w:after="0" w:line="192" w:lineRule="exact"/>
        <w:rPr>
          <w:sz w:val="20"/>
          <w:szCs w:val="20"/>
          <w:color w:val="auto"/>
        </w:rPr>
      </w:pPr>
    </w:p>
    <w:p>
      <w:pPr>
        <w:jc w:val="both"/>
        <w:spacing w:after="0" w:line="246" w:lineRule="auto"/>
        <w:rPr>
          <w:sz w:val="20"/>
          <w:szCs w:val="20"/>
          <w:color w:val="auto"/>
        </w:rPr>
      </w:pPr>
      <w:r>
        <w:rPr>
          <w:rFonts w:ascii="Arial" w:cs="Arial" w:eastAsia="Arial" w:hAnsi="Arial"/>
          <w:sz w:val="22"/>
          <w:szCs w:val="22"/>
          <w:color w:val="auto"/>
        </w:rPr>
        <w:t>As of June 30, 2020, interest rate swaps, swaptions and U.S. Treasury positions equaled 66% of the Company's outstanding balance of Agency repurchase agreements, net TBA position and other debt, compared to 70% as of March 31, 2020.</w:t>
      </w:r>
    </w:p>
    <w:p>
      <w:pPr>
        <w:spacing w:after="0" w:line="154" w:lineRule="exact"/>
        <w:rPr>
          <w:sz w:val="20"/>
          <w:szCs w:val="20"/>
          <w:color w:val="auto"/>
        </w:rPr>
      </w:pPr>
    </w:p>
    <w:p>
      <w:pPr>
        <w:jc w:val="both"/>
        <w:spacing w:after="0" w:line="244" w:lineRule="auto"/>
        <w:rPr>
          <w:sz w:val="20"/>
          <w:szCs w:val="20"/>
          <w:color w:val="auto"/>
        </w:rPr>
      </w:pPr>
      <w:r>
        <w:rPr>
          <w:rFonts w:ascii="Arial" w:cs="Arial" w:eastAsia="Arial" w:hAnsi="Arial"/>
          <w:sz w:val="22"/>
          <w:szCs w:val="22"/>
          <w:color w:val="auto"/>
        </w:rPr>
        <w:t>As of June 30, 2020, the Company's interest rate swap position totaled $ 42.1 billion in notional amount, compared to $46.5 billion as of March 31, 2020. As of June 30, 2020, the Company's interest rate swap portfolio had an average fixed pay rate of 0.39%, an average receive rate of 0.13% and an average maturity of 5.1 years, compared to 0.94%, 0.15% and 4.5 years, respectively, as of March 31, 2020. As of June 30, 2020, 79%, 16% and 5% of the Company's interest rate swap portfolio was linked to the Overnight Index Swap Rate ("OIS"), Secured Overnight Financing Rate ("SOFR") and three-month London Interbank Offered Rate ("LIBOR"), respectively, compared to 69%, 26% and 5%, respectively, as of March 31, 2020.</w:t>
      </w:r>
    </w:p>
    <w:p>
      <w:pPr>
        <w:spacing w:after="0" w:line="157" w:lineRule="exact"/>
        <w:rPr>
          <w:sz w:val="20"/>
          <w:szCs w:val="20"/>
          <w:color w:val="auto"/>
        </w:rPr>
      </w:pPr>
    </w:p>
    <w:p>
      <w:pPr>
        <w:jc w:val="both"/>
        <w:spacing w:after="0" w:line="246" w:lineRule="auto"/>
        <w:rPr>
          <w:sz w:val="20"/>
          <w:szCs w:val="20"/>
          <w:color w:val="auto"/>
        </w:rPr>
      </w:pPr>
      <w:r>
        <w:rPr>
          <w:rFonts w:ascii="Arial" w:cs="Arial" w:eastAsia="Arial" w:hAnsi="Arial"/>
          <w:sz w:val="22"/>
          <w:szCs w:val="22"/>
          <w:color w:val="auto"/>
        </w:rPr>
        <w:t>As of June 30, 2020, the Company had payer swaptions outstanding totaling $9.4 billion, compared to $9.6 billion as of March 31, 2020. As of June 30, 2020, the Company had net short U.S. Treasury positions outstanding totaling $8.1 billion, compared to $2.6 billion as of March 31, 2020.</w:t>
      </w:r>
    </w:p>
    <w:p>
      <w:pPr>
        <w:sectPr>
          <w:pgSz w:w="11900" w:h="16838" w:orient="portrait"/>
          <w:cols w:equalWidth="0" w:num="1">
            <w:col w:w="11240"/>
          </w:cols>
          <w:pgMar w:left="320" w:top="147" w:right="339" w:bottom="1440" w:gutter="0" w:footer="0" w:header="0"/>
        </w:sectPr>
      </w:pPr>
    </w:p>
    <w:bookmarkStart w:id="8" w:name="page9"/>
    <w:bookmarkEnd w:id="8"/>
    <w:p>
      <w:pPr>
        <w:spacing w:after="0"/>
        <w:rPr>
          <w:sz w:val="20"/>
          <w:szCs w:val="20"/>
          <w:color w:val="auto"/>
        </w:rPr>
      </w:pPr>
      <w:r>
        <w:rPr>
          <w:rFonts w:ascii="Arial" w:cs="Arial" w:eastAsia="Arial" w:hAnsi="Arial"/>
          <w:sz w:val="22"/>
          <w:szCs w:val="22"/>
          <w:color w:val="auto"/>
        </w:rPr>
        <w:t>AGNC Investment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July 27, 2020</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6</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OTHER GAIN (LOSS), NET</w:t>
      </w:r>
    </w:p>
    <w:p>
      <w:pPr>
        <w:spacing w:after="0" w:line="192" w:lineRule="exact"/>
        <w:rPr>
          <w:sz w:val="20"/>
          <w:szCs w:val="20"/>
          <w:color w:val="auto"/>
        </w:rPr>
      </w:pPr>
    </w:p>
    <w:p>
      <w:pPr>
        <w:jc w:val="both"/>
        <w:spacing w:after="0" w:line="246" w:lineRule="auto"/>
        <w:rPr>
          <w:sz w:val="20"/>
          <w:szCs w:val="20"/>
          <w:color w:val="auto"/>
        </w:rPr>
      </w:pPr>
      <w:r>
        <w:rPr>
          <w:rFonts w:ascii="Arial" w:cs="Arial" w:eastAsia="Arial" w:hAnsi="Arial"/>
          <w:sz w:val="22"/>
          <w:szCs w:val="22"/>
          <w:color w:val="auto"/>
        </w:rPr>
        <w:t>For the second quarter, the Company recorded a net gain of $447 million in other gain (loss), net, or $0.80 per common share, compared to a net loss of $(2,463) million, or $(4.49) per common share, for the prior quarter. Other gain (loss), net for the second quarter was comprised of:</w:t>
      </w:r>
    </w:p>
    <w:p>
      <w:pPr>
        <w:spacing w:after="0" w:line="154" w:lineRule="exact"/>
        <w:rPr>
          <w:sz w:val="20"/>
          <w:szCs w:val="20"/>
          <w:color w:val="auto"/>
        </w:rPr>
      </w:pPr>
    </w:p>
    <w:p>
      <w:pPr>
        <w:ind w:left="660" w:hanging="328"/>
        <w:spacing w:after="0"/>
        <w:tabs>
          <w:tab w:leader="none" w:pos="660" w:val="left"/>
        </w:tabs>
        <w:numPr>
          <w:ilvl w:val="0"/>
          <w:numId w:val="8"/>
        </w:numPr>
        <w:rPr>
          <w:rFonts w:ascii="Arial" w:cs="Arial" w:eastAsia="Arial" w:hAnsi="Arial"/>
          <w:sz w:val="22"/>
          <w:szCs w:val="22"/>
          <w:color w:val="auto"/>
        </w:rPr>
      </w:pPr>
      <w:r>
        <w:rPr>
          <w:rFonts w:ascii="Arial" w:cs="Arial" w:eastAsia="Arial" w:hAnsi="Arial"/>
          <w:sz w:val="22"/>
          <w:szCs w:val="22"/>
          <w:color w:val="auto"/>
        </w:rPr>
        <w:t>$153 million of net realized gains on sales of investment securities;</w:t>
      </w:r>
    </w:p>
    <w:p>
      <w:pPr>
        <w:spacing w:after="0" w:line="3" w:lineRule="exact"/>
        <w:rPr>
          <w:rFonts w:ascii="Arial" w:cs="Arial" w:eastAsia="Arial" w:hAnsi="Arial"/>
          <w:sz w:val="22"/>
          <w:szCs w:val="22"/>
          <w:color w:val="auto"/>
        </w:rPr>
      </w:pPr>
    </w:p>
    <w:p>
      <w:pPr>
        <w:ind w:left="660" w:hanging="328"/>
        <w:spacing w:after="0"/>
        <w:tabs>
          <w:tab w:leader="none" w:pos="660" w:val="left"/>
        </w:tabs>
        <w:numPr>
          <w:ilvl w:val="0"/>
          <w:numId w:val="8"/>
        </w:numPr>
        <w:rPr>
          <w:rFonts w:ascii="Arial" w:cs="Arial" w:eastAsia="Arial" w:hAnsi="Arial"/>
          <w:sz w:val="22"/>
          <w:szCs w:val="22"/>
          <w:color w:val="auto"/>
        </w:rPr>
      </w:pPr>
      <w:r>
        <w:rPr>
          <w:rFonts w:ascii="Arial" w:cs="Arial" w:eastAsia="Arial" w:hAnsi="Arial"/>
          <w:sz w:val="22"/>
          <w:szCs w:val="22"/>
          <w:color w:val="auto"/>
        </w:rPr>
        <w:t>$679 million of net unrealized gains on investment securities measured at fair value through net income;</w:t>
      </w:r>
    </w:p>
    <w:p>
      <w:pPr>
        <w:spacing w:after="0" w:line="3" w:lineRule="exact"/>
        <w:rPr>
          <w:rFonts w:ascii="Arial" w:cs="Arial" w:eastAsia="Arial" w:hAnsi="Arial"/>
          <w:sz w:val="22"/>
          <w:szCs w:val="22"/>
          <w:color w:val="auto"/>
        </w:rPr>
      </w:pPr>
    </w:p>
    <w:p>
      <w:pPr>
        <w:ind w:left="660" w:hanging="328"/>
        <w:spacing w:after="0"/>
        <w:tabs>
          <w:tab w:leader="none" w:pos="660" w:val="left"/>
        </w:tabs>
        <w:numPr>
          <w:ilvl w:val="0"/>
          <w:numId w:val="8"/>
        </w:numPr>
        <w:rPr>
          <w:rFonts w:ascii="Arial" w:cs="Arial" w:eastAsia="Arial" w:hAnsi="Arial"/>
          <w:sz w:val="22"/>
          <w:szCs w:val="22"/>
          <w:color w:val="auto"/>
        </w:rPr>
      </w:pPr>
      <w:r>
        <w:rPr>
          <w:rFonts w:ascii="Arial" w:cs="Arial" w:eastAsia="Arial" w:hAnsi="Arial"/>
          <w:sz w:val="22"/>
          <w:szCs w:val="22"/>
          <w:color w:val="auto"/>
        </w:rPr>
        <w:t>$(59) million of interest rate swap periodic costs;</w:t>
      </w:r>
    </w:p>
    <w:p>
      <w:pPr>
        <w:spacing w:after="0" w:line="3" w:lineRule="exact"/>
        <w:rPr>
          <w:rFonts w:ascii="Arial" w:cs="Arial" w:eastAsia="Arial" w:hAnsi="Arial"/>
          <w:sz w:val="22"/>
          <w:szCs w:val="22"/>
          <w:color w:val="auto"/>
        </w:rPr>
      </w:pPr>
    </w:p>
    <w:p>
      <w:pPr>
        <w:ind w:left="660" w:hanging="328"/>
        <w:spacing w:after="0"/>
        <w:tabs>
          <w:tab w:leader="none" w:pos="660" w:val="left"/>
        </w:tabs>
        <w:numPr>
          <w:ilvl w:val="0"/>
          <w:numId w:val="8"/>
        </w:numPr>
        <w:rPr>
          <w:rFonts w:ascii="Arial" w:cs="Arial" w:eastAsia="Arial" w:hAnsi="Arial"/>
          <w:sz w:val="22"/>
          <w:szCs w:val="22"/>
          <w:color w:val="auto"/>
        </w:rPr>
      </w:pPr>
      <w:r>
        <w:rPr>
          <w:rFonts w:ascii="Arial" w:cs="Arial" w:eastAsia="Arial" w:hAnsi="Arial"/>
          <w:sz w:val="22"/>
          <w:szCs w:val="22"/>
          <w:color w:val="auto"/>
        </w:rPr>
        <w:t>$(320) million of net losses on interest rate swaps;</w:t>
      </w:r>
    </w:p>
    <w:p>
      <w:pPr>
        <w:spacing w:after="0" w:line="3" w:lineRule="exact"/>
        <w:rPr>
          <w:rFonts w:ascii="Arial" w:cs="Arial" w:eastAsia="Arial" w:hAnsi="Arial"/>
          <w:sz w:val="22"/>
          <w:szCs w:val="22"/>
          <w:color w:val="auto"/>
        </w:rPr>
      </w:pPr>
    </w:p>
    <w:p>
      <w:pPr>
        <w:ind w:left="660" w:hanging="328"/>
        <w:spacing w:after="0"/>
        <w:tabs>
          <w:tab w:leader="none" w:pos="660" w:val="left"/>
        </w:tabs>
        <w:numPr>
          <w:ilvl w:val="0"/>
          <w:numId w:val="8"/>
        </w:numPr>
        <w:rPr>
          <w:rFonts w:ascii="Arial" w:cs="Arial" w:eastAsia="Arial" w:hAnsi="Arial"/>
          <w:sz w:val="22"/>
          <w:szCs w:val="22"/>
          <w:color w:val="auto"/>
        </w:rPr>
      </w:pPr>
      <w:r>
        <w:rPr>
          <w:rFonts w:ascii="Arial" w:cs="Arial" w:eastAsia="Arial" w:hAnsi="Arial"/>
          <w:sz w:val="22"/>
          <w:szCs w:val="22"/>
          <w:color w:val="auto"/>
        </w:rPr>
        <w:t>$(14) million of net losses on interest rate swaptions;</w:t>
      </w:r>
    </w:p>
    <w:p>
      <w:pPr>
        <w:spacing w:after="0" w:line="3" w:lineRule="exact"/>
        <w:rPr>
          <w:rFonts w:ascii="Arial" w:cs="Arial" w:eastAsia="Arial" w:hAnsi="Arial"/>
          <w:sz w:val="22"/>
          <w:szCs w:val="22"/>
          <w:color w:val="auto"/>
        </w:rPr>
      </w:pPr>
    </w:p>
    <w:p>
      <w:pPr>
        <w:ind w:left="660" w:hanging="328"/>
        <w:spacing w:after="0"/>
        <w:tabs>
          <w:tab w:leader="none" w:pos="660" w:val="left"/>
        </w:tabs>
        <w:numPr>
          <w:ilvl w:val="0"/>
          <w:numId w:val="8"/>
        </w:numPr>
        <w:rPr>
          <w:rFonts w:ascii="Arial" w:cs="Arial" w:eastAsia="Arial" w:hAnsi="Arial"/>
          <w:sz w:val="22"/>
          <w:szCs w:val="22"/>
          <w:color w:val="auto"/>
        </w:rPr>
      </w:pPr>
      <w:r>
        <w:rPr>
          <w:rFonts w:ascii="Arial" w:cs="Arial" w:eastAsia="Arial" w:hAnsi="Arial"/>
          <w:sz w:val="22"/>
          <w:szCs w:val="22"/>
          <w:color w:val="auto"/>
        </w:rPr>
        <w:t>$(64) million of net losses on U.S. Treasury positions;</w:t>
      </w:r>
    </w:p>
    <w:p>
      <w:pPr>
        <w:spacing w:after="0" w:line="3" w:lineRule="exact"/>
        <w:rPr>
          <w:rFonts w:ascii="Arial" w:cs="Arial" w:eastAsia="Arial" w:hAnsi="Arial"/>
          <w:sz w:val="22"/>
          <w:szCs w:val="22"/>
          <w:color w:val="auto"/>
        </w:rPr>
      </w:pPr>
    </w:p>
    <w:p>
      <w:pPr>
        <w:ind w:left="660" w:hanging="328"/>
        <w:spacing w:after="0"/>
        <w:tabs>
          <w:tab w:leader="none" w:pos="660" w:val="left"/>
        </w:tabs>
        <w:numPr>
          <w:ilvl w:val="0"/>
          <w:numId w:val="8"/>
        </w:numPr>
        <w:rPr>
          <w:rFonts w:ascii="Arial" w:cs="Arial" w:eastAsia="Arial" w:hAnsi="Arial"/>
          <w:sz w:val="22"/>
          <w:szCs w:val="22"/>
          <w:color w:val="auto"/>
        </w:rPr>
      </w:pPr>
      <w:r>
        <w:rPr>
          <w:rFonts w:ascii="Arial" w:cs="Arial" w:eastAsia="Arial" w:hAnsi="Arial"/>
          <w:sz w:val="22"/>
          <w:szCs w:val="22"/>
          <w:color w:val="auto"/>
        </w:rPr>
        <w:t>$78 million of TBA dollar roll income;</w:t>
      </w:r>
    </w:p>
    <w:p>
      <w:pPr>
        <w:spacing w:after="0" w:line="3" w:lineRule="exact"/>
        <w:rPr>
          <w:rFonts w:ascii="Arial" w:cs="Arial" w:eastAsia="Arial" w:hAnsi="Arial"/>
          <w:sz w:val="22"/>
          <w:szCs w:val="22"/>
          <w:color w:val="auto"/>
        </w:rPr>
      </w:pPr>
    </w:p>
    <w:p>
      <w:pPr>
        <w:ind w:left="660" w:hanging="328"/>
        <w:spacing w:after="0"/>
        <w:tabs>
          <w:tab w:leader="none" w:pos="660" w:val="left"/>
        </w:tabs>
        <w:numPr>
          <w:ilvl w:val="0"/>
          <w:numId w:val="8"/>
        </w:numPr>
        <w:rPr>
          <w:rFonts w:ascii="Arial" w:cs="Arial" w:eastAsia="Arial" w:hAnsi="Arial"/>
          <w:sz w:val="22"/>
          <w:szCs w:val="22"/>
          <w:color w:val="auto"/>
        </w:rPr>
      </w:pPr>
      <w:r>
        <w:rPr>
          <w:rFonts w:ascii="Arial" w:cs="Arial" w:eastAsia="Arial" w:hAnsi="Arial"/>
          <w:sz w:val="22"/>
          <w:szCs w:val="22"/>
          <w:color w:val="auto"/>
        </w:rPr>
        <w:t>$142 million of net mark-to-market gains on TBA securities;</w:t>
      </w:r>
    </w:p>
    <w:p>
      <w:pPr>
        <w:spacing w:after="0" w:line="3" w:lineRule="exact"/>
        <w:rPr>
          <w:rFonts w:ascii="Arial" w:cs="Arial" w:eastAsia="Arial" w:hAnsi="Arial"/>
          <w:sz w:val="22"/>
          <w:szCs w:val="22"/>
          <w:color w:val="auto"/>
        </w:rPr>
      </w:pPr>
    </w:p>
    <w:p>
      <w:pPr>
        <w:ind w:left="660" w:hanging="328"/>
        <w:spacing w:after="0"/>
        <w:tabs>
          <w:tab w:leader="none" w:pos="660" w:val="left"/>
        </w:tabs>
        <w:numPr>
          <w:ilvl w:val="0"/>
          <w:numId w:val="8"/>
        </w:numPr>
        <w:rPr>
          <w:rFonts w:ascii="Arial" w:cs="Arial" w:eastAsia="Arial" w:hAnsi="Arial"/>
          <w:sz w:val="22"/>
          <w:szCs w:val="22"/>
          <w:color w:val="auto"/>
        </w:rPr>
      </w:pPr>
      <w:r>
        <w:rPr>
          <w:rFonts w:ascii="Arial" w:cs="Arial" w:eastAsia="Arial" w:hAnsi="Arial"/>
          <w:sz w:val="22"/>
          <w:szCs w:val="22"/>
          <w:color w:val="auto"/>
        </w:rPr>
        <w:t>$(146) million of losses on debt extinguishment; and</w:t>
      </w:r>
    </w:p>
    <w:p>
      <w:pPr>
        <w:spacing w:after="0" w:line="3" w:lineRule="exact"/>
        <w:rPr>
          <w:rFonts w:ascii="Arial" w:cs="Arial" w:eastAsia="Arial" w:hAnsi="Arial"/>
          <w:sz w:val="22"/>
          <w:szCs w:val="22"/>
          <w:color w:val="auto"/>
        </w:rPr>
      </w:pPr>
    </w:p>
    <w:p>
      <w:pPr>
        <w:ind w:left="660" w:hanging="328"/>
        <w:spacing w:after="0"/>
        <w:tabs>
          <w:tab w:leader="none" w:pos="660" w:val="left"/>
        </w:tabs>
        <w:numPr>
          <w:ilvl w:val="0"/>
          <w:numId w:val="8"/>
        </w:numPr>
        <w:rPr>
          <w:rFonts w:ascii="Arial" w:cs="Arial" w:eastAsia="Arial" w:hAnsi="Arial"/>
          <w:sz w:val="22"/>
          <w:szCs w:val="22"/>
          <w:color w:val="auto"/>
        </w:rPr>
      </w:pPr>
      <w:r>
        <w:rPr>
          <w:rFonts w:ascii="Arial" w:cs="Arial" w:eastAsia="Arial" w:hAnsi="Arial"/>
          <w:sz w:val="22"/>
          <w:szCs w:val="22"/>
          <w:color w:val="auto"/>
        </w:rPr>
        <w:t>$(2) million of other miscellaneous losses.</w:t>
      </w:r>
    </w:p>
    <w:p>
      <w:pPr>
        <w:spacing w:after="0" w:line="22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OTHER COMPREHENSIVE INCOME</w:t>
      </w:r>
    </w:p>
    <w:p>
      <w:pPr>
        <w:spacing w:after="0" w:line="192" w:lineRule="exact"/>
        <w:rPr>
          <w:sz w:val="20"/>
          <w:szCs w:val="20"/>
          <w:color w:val="auto"/>
        </w:rPr>
      </w:pPr>
    </w:p>
    <w:p>
      <w:pPr>
        <w:jc w:val="both"/>
        <w:spacing w:after="0" w:line="243" w:lineRule="auto"/>
        <w:rPr>
          <w:sz w:val="20"/>
          <w:szCs w:val="20"/>
          <w:color w:val="auto"/>
        </w:rPr>
      </w:pPr>
      <w:r>
        <w:rPr>
          <w:rFonts w:ascii="Arial" w:cs="Arial" w:eastAsia="Arial" w:hAnsi="Arial"/>
          <w:sz w:val="22"/>
          <w:szCs w:val="22"/>
          <w:color w:val="auto"/>
        </w:rPr>
        <w:t>During the second quarter, the Company recorded other comprehensive income of $203 million, or $0.36 per common share, consisting of net unrealized gains on the Company's Agency securities recognized through OCI, compared to a $464 million, or $0.85 per common share, of other comprehensive income for the prior quarter.</w:t>
      </w:r>
    </w:p>
    <w:p>
      <w:pPr>
        <w:spacing w:after="0" w:line="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COMMON STOCK DIVIDENDS</w:t>
      </w:r>
    </w:p>
    <w:p>
      <w:pPr>
        <w:spacing w:after="0" w:line="166" w:lineRule="exact"/>
        <w:rPr>
          <w:sz w:val="20"/>
          <w:szCs w:val="20"/>
          <w:color w:val="auto"/>
        </w:rPr>
      </w:pPr>
    </w:p>
    <w:p>
      <w:pPr>
        <w:jc w:val="both"/>
        <w:spacing w:after="0" w:line="260" w:lineRule="auto"/>
        <w:rPr>
          <w:sz w:val="20"/>
          <w:szCs w:val="20"/>
          <w:color w:val="auto"/>
        </w:rPr>
      </w:pPr>
      <w:r>
        <w:rPr>
          <w:rFonts w:ascii="Arial" w:cs="Arial" w:eastAsia="Arial" w:hAnsi="Arial"/>
          <w:sz w:val="21"/>
          <w:szCs w:val="21"/>
          <w:color w:val="auto"/>
        </w:rPr>
        <w:t>During the second quarter, the Company declared dividends of $0.12 per share to common stockholders of record as of April 30, May 29 and June 30, 2020, respectively, totaling $0.36 per share for the quarter, which were paid on May 11, June 9 and July 10, 2020, respectively. Since its May 2008 initial public offering through the second quarter of 2020, the Company has declared a total of $10.1 billion in common stock dividends, or $42.16 per common share.</w:t>
      </w:r>
    </w:p>
    <w:p>
      <w:pPr>
        <w:spacing w:after="0" w:line="11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STOCK REPURCHASE PROGRAM</w:t>
      </w:r>
    </w:p>
    <w:p>
      <w:pPr>
        <w:spacing w:after="0" w:line="192" w:lineRule="exact"/>
        <w:rPr>
          <w:sz w:val="20"/>
          <w:szCs w:val="20"/>
          <w:color w:val="auto"/>
        </w:rPr>
      </w:pPr>
    </w:p>
    <w:p>
      <w:pPr>
        <w:jc w:val="both"/>
        <w:spacing w:after="0" w:line="244" w:lineRule="auto"/>
        <w:rPr>
          <w:sz w:val="20"/>
          <w:szCs w:val="20"/>
          <w:color w:val="auto"/>
        </w:rPr>
      </w:pPr>
      <w:r>
        <w:rPr>
          <w:rFonts w:ascii="Arial" w:cs="Arial" w:eastAsia="Arial" w:hAnsi="Arial"/>
          <w:sz w:val="22"/>
          <w:szCs w:val="22"/>
          <w:color w:val="auto"/>
        </w:rPr>
        <w:t>The Company's Board of Directors has authorized it to repurchase up to $1 billion of its outstanding shares of common stock through December 31, 2020. During the second quarter, the Company repurchased 12.2 million shares, or $147 million, of its common stock for an average repurchase price of $11.99 per common share, inclusive of transaction costs. As of June 30, 2020, the Company had $750 million of common stock remaining available for repurchase.</w:t>
      </w:r>
    </w:p>
    <w:p>
      <w:pPr>
        <w:spacing w:after="0" w:line="240" w:lineRule="exact"/>
        <w:rPr>
          <w:sz w:val="20"/>
          <w:szCs w:val="20"/>
          <w:color w:val="auto"/>
        </w:rPr>
      </w:pPr>
    </w:p>
    <w:p>
      <w:pPr>
        <w:spacing w:after="0" w:line="245" w:lineRule="auto"/>
        <w:rPr>
          <w:sz w:val="20"/>
          <w:szCs w:val="20"/>
          <w:color w:val="auto"/>
        </w:rPr>
      </w:pPr>
      <w:r>
        <w:rPr>
          <w:rFonts w:ascii="Arial" w:cs="Arial" w:eastAsia="Arial" w:hAnsi="Arial"/>
          <w:sz w:val="22"/>
          <w:szCs w:val="22"/>
          <w:color w:val="auto"/>
        </w:rPr>
        <w:t>The Company may repurchase shares in the open market or privately negotiated transactions or pursuant to a trading plan that may be adopted in accordance with Rule 10b5-1 of the Securities Exchange Act of 1934, as amended. The Company intends to repurchase shares under the stock repurchase program only when the repurchase price is less than its then-current estimate of its tangible net book value per common share.</w:t>
      </w:r>
    </w:p>
    <w:p>
      <w:pPr>
        <w:sectPr>
          <w:pgSz w:w="11900" w:h="16838" w:orient="portrait"/>
          <w:cols w:equalWidth="0" w:num="1">
            <w:col w:w="11240"/>
          </w:cols>
          <w:pgMar w:left="320" w:top="147" w:right="339" w:bottom="1440" w:gutter="0" w:footer="0" w:header="0"/>
        </w:sectPr>
      </w:pPr>
    </w:p>
    <w:bookmarkStart w:id="9" w:name="page10"/>
    <w:bookmarkEnd w:id="9"/>
    <w:p>
      <w:pPr>
        <w:spacing w:after="0"/>
        <w:rPr>
          <w:sz w:val="20"/>
          <w:szCs w:val="20"/>
          <w:color w:val="auto"/>
        </w:rPr>
      </w:pPr>
      <w:r>
        <w:rPr>
          <w:rFonts w:ascii="Arial" w:cs="Arial" w:eastAsia="Arial" w:hAnsi="Arial"/>
          <w:sz w:val="22"/>
          <w:szCs w:val="22"/>
          <w:color w:val="auto"/>
        </w:rPr>
        <w:t>AGNC Investment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July 27, 2020</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7</w:t>
      </w: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FINANCIAL STATEMENTS, OPERATING PERFORMANCE AND PORTFOLIO STATISTICS</w:t>
      </w:r>
    </w:p>
    <w:p>
      <w:pPr>
        <w:spacing w:after="0" w:line="192" w:lineRule="exact"/>
        <w:rPr>
          <w:sz w:val="20"/>
          <w:szCs w:val="20"/>
          <w:color w:val="auto"/>
        </w:rPr>
      </w:pPr>
    </w:p>
    <w:p>
      <w:pPr>
        <w:jc w:val="both"/>
        <w:spacing w:after="0" w:line="244" w:lineRule="auto"/>
        <w:rPr>
          <w:sz w:val="20"/>
          <w:szCs w:val="20"/>
          <w:color w:val="auto"/>
        </w:rPr>
      </w:pPr>
      <w:r>
        <w:rPr>
          <w:rFonts w:ascii="Arial" w:cs="Arial" w:eastAsia="Arial" w:hAnsi="Arial"/>
          <w:sz w:val="22"/>
          <w:szCs w:val="22"/>
          <w:color w:val="auto"/>
        </w:rPr>
        <w:t>The following measures of operating performance include net spread and dollar roll income; net spread and dollar roll income, excluding "catch-up" premium amortization; economic interest income; economic interest expense; estimated taxable income; and the related per common share measures and financial metrics derived from such information, which are non-GAAP financial measures. Please refer to "Use of Non-GAAP Financial Information" later in this release for further discussion of non-GAAP measures.</w:t>
      </w:r>
    </w:p>
    <w:p>
      <w:pPr>
        <w:sectPr>
          <w:pgSz w:w="11900" w:h="16838" w:orient="portrait"/>
          <w:cols w:equalWidth="0" w:num="1">
            <w:col w:w="11240"/>
          </w:cols>
          <w:pgMar w:left="320" w:top="147" w:right="339" w:bottom="1440" w:gutter="0" w:footer="0" w:header="0"/>
        </w:sectPr>
      </w:pPr>
    </w:p>
    <w:bookmarkStart w:id="10" w:name="page11"/>
    <w:bookmarkEnd w:id="10"/>
    <w:p>
      <w:pPr>
        <w:spacing w:after="0"/>
        <w:rPr>
          <w:sz w:val="20"/>
          <w:szCs w:val="20"/>
          <w:color w:val="auto"/>
        </w:rPr>
      </w:pPr>
      <w:r>
        <w:rPr>
          <w:rFonts w:ascii="Arial" w:cs="Arial" w:eastAsia="Arial" w:hAnsi="Arial"/>
          <w:sz w:val="22"/>
          <w:szCs w:val="22"/>
          <w:color w:val="auto"/>
        </w:rPr>
        <w:t>AGNC Investment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July 27, 2020</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8</w:t>
      </w:r>
    </w:p>
    <w:p>
      <w:pPr>
        <w:spacing w:after="0" w:line="200" w:lineRule="exact"/>
        <w:rPr>
          <w:sz w:val="20"/>
          <w:szCs w:val="20"/>
          <w:color w:val="auto"/>
        </w:rPr>
      </w:pPr>
    </w:p>
    <w:p>
      <w:pPr>
        <w:spacing w:after="0" w:line="277"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AGNC INVESTMENT CORP.</w:t>
      </w:r>
    </w:p>
    <w:p>
      <w:pPr>
        <w:spacing w:after="0" w:line="42"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CONSOLIDATED BALANCE SHEETS</w:t>
      </w:r>
    </w:p>
    <w:p>
      <w:pPr>
        <w:spacing w:after="0" w:line="42"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(in millions, except per share data)</w:t>
      </w:r>
    </w:p>
    <w:p>
      <w:pPr>
        <w:spacing w:after="0" w:line="27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80" w:type="dxa"/>
            <w:vAlign w:val="bottom"/>
            <w:gridSpan w:val="2"/>
          </w:tcPr>
          <w:p>
            <w:pPr>
              <w:jc w:val="center"/>
              <w:ind w:right="240"/>
              <w:spacing w:after="0"/>
              <w:rPr>
                <w:sz w:val="20"/>
                <w:szCs w:val="20"/>
                <w:color w:val="auto"/>
              </w:rPr>
            </w:pPr>
            <w:r>
              <w:rPr>
                <w:rFonts w:ascii="Arial" w:cs="Arial" w:eastAsia="Arial" w:hAnsi="Arial"/>
                <w:sz w:val="14"/>
                <w:szCs w:val="14"/>
                <w:color w:val="auto"/>
                <w:w w:val="89"/>
              </w:rPr>
              <w:t>June 30,</w:t>
            </w:r>
          </w:p>
        </w:tc>
        <w:tc>
          <w:tcPr>
            <w:tcW w:w="160" w:type="dxa"/>
            <w:vAlign w:val="bottom"/>
          </w:tcPr>
          <w:p>
            <w:pPr>
              <w:spacing w:after="0"/>
              <w:rPr>
                <w:sz w:val="14"/>
                <w:szCs w:val="14"/>
                <w:color w:val="auto"/>
              </w:rPr>
            </w:pPr>
          </w:p>
        </w:tc>
        <w:tc>
          <w:tcPr>
            <w:tcW w:w="1080" w:type="dxa"/>
            <w:vAlign w:val="bottom"/>
            <w:gridSpan w:val="2"/>
          </w:tcPr>
          <w:p>
            <w:pPr>
              <w:jc w:val="center"/>
              <w:ind w:right="260"/>
              <w:spacing w:after="0"/>
              <w:rPr>
                <w:sz w:val="20"/>
                <w:szCs w:val="20"/>
                <w:color w:val="auto"/>
              </w:rPr>
            </w:pPr>
            <w:r>
              <w:rPr>
                <w:rFonts w:ascii="Arial" w:cs="Arial" w:eastAsia="Arial" w:hAnsi="Arial"/>
                <w:sz w:val="14"/>
                <w:szCs w:val="14"/>
                <w:color w:val="auto"/>
                <w:w w:val="93"/>
              </w:rPr>
              <w:t>March 31,</w:t>
            </w:r>
          </w:p>
        </w:tc>
        <w:tc>
          <w:tcPr>
            <w:tcW w:w="140" w:type="dxa"/>
            <w:vAlign w:val="bottom"/>
          </w:tcPr>
          <w:p>
            <w:pPr>
              <w:spacing w:after="0"/>
              <w:rPr>
                <w:sz w:val="14"/>
                <w:szCs w:val="14"/>
                <w:color w:val="auto"/>
              </w:rPr>
            </w:pPr>
          </w:p>
        </w:tc>
        <w:tc>
          <w:tcPr>
            <w:tcW w:w="1120" w:type="dxa"/>
            <w:vAlign w:val="bottom"/>
            <w:gridSpan w:val="2"/>
          </w:tcPr>
          <w:p>
            <w:pPr>
              <w:ind w:left="40"/>
              <w:spacing w:after="0"/>
              <w:rPr>
                <w:sz w:val="20"/>
                <w:szCs w:val="20"/>
                <w:color w:val="auto"/>
              </w:rPr>
            </w:pPr>
            <w:r>
              <w:rPr>
                <w:rFonts w:ascii="Arial" w:cs="Arial" w:eastAsia="Arial" w:hAnsi="Arial"/>
                <w:sz w:val="14"/>
                <w:szCs w:val="14"/>
                <w:color w:val="auto"/>
              </w:rPr>
              <w:t>December 31,</w:t>
            </w:r>
          </w:p>
        </w:tc>
        <w:tc>
          <w:tcPr>
            <w:tcW w:w="120" w:type="dxa"/>
            <w:vAlign w:val="bottom"/>
          </w:tcPr>
          <w:p>
            <w:pPr>
              <w:spacing w:after="0"/>
              <w:rPr>
                <w:sz w:val="14"/>
                <w:szCs w:val="14"/>
                <w:color w:val="auto"/>
              </w:rPr>
            </w:pPr>
          </w:p>
        </w:tc>
        <w:tc>
          <w:tcPr>
            <w:tcW w:w="1120" w:type="dxa"/>
            <w:vAlign w:val="bottom"/>
            <w:gridSpan w:val="2"/>
          </w:tcPr>
          <w:p>
            <w:pPr>
              <w:jc w:val="center"/>
              <w:ind w:right="240"/>
              <w:spacing w:after="0"/>
              <w:rPr>
                <w:sz w:val="20"/>
                <w:szCs w:val="20"/>
                <w:color w:val="auto"/>
              </w:rPr>
            </w:pPr>
            <w:r>
              <w:rPr>
                <w:rFonts w:ascii="Arial" w:cs="Arial" w:eastAsia="Arial" w:hAnsi="Arial"/>
                <w:sz w:val="14"/>
                <w:szCs w:val="14"/>
                <w:color w:val="auto"/>
                <w:w w:val="91"/>
              </w:rPr>
              <w:t>September 30,</w:t>
            </w:r>
          </w:p>
        </w:tc>
        <w:tc>
          <w:tcPr>
            <w:tcW w:w="160" w:type="dxa"/>
            <w:vAlign w:val="bottom"/>
          </w:tcPr>
          <w:p>
            <w:pPr>
              <w:spacing w:after="0"/>
              <w:rPr>
                <w:sz w:val="14"/>
                <w:szCs w:val="14"/>
                <w:color w:val="auto"/>
              </w:rPr>
            </w:pPr>
          </w:p>
        </w:tc>
        <w:tc>
          <w:tcPr>
            <w:tcW w:w="980" w:type="dxa"/>
            <w:vAlign w:val="bottom"/>
          </w:tcPr>
          <w:p>
            <w:pPr>
              <w:jc w:val="center"/>
              <w:ind w:right="108"/>
              <w:spacing w:after="0"/>
              <w:rPr>
                <w:sz w:val="20"/>
                <w:szCs w:val="20"/>
                <w:color w:val="auto"/>
              </w:rPr>
            </w:pPr>
            <w:r>
              <w:rPr>
                <w:rFonts w:ascii="Arial" w:cs="Arial" w:eastAsia="Arial" w:hAnsi="Arial"/>
                <w:sz w:val="14"/>
                <w:szCs w:val="14"/>
                <w:color w:val="auto"/>
                <w:w w:val="89"/>
              </w:rPr>
              <w:t>June 30,</w:t>
            </w:r>
          </w:p>
        </w:tc>
        <w:tc>
          <w:tcPr>
            <w:tcW w:w="0" w:type="dxa"/>
            <w:vAlign w:val="bottom"/>
          </w:tcPr>
          <w:p>
            <w:pPr>
              <w:spacing w:after="0"/>
              <w:rPr>
                <w:sz w:val="1"/>
                <w:szCs w:val="1"/>
                <w:color w:val="auto"/>
              </w:rPr>
            </w:pPr>
          </w:p>
        </w:tc>
      </w:tr>
      <w:tr>
        <w:trPr>
          <w:trHeight w:val="186"/>
        </w:trPr>
        <w:tc>
          <w:tcPr>
            <w:tcW w:w="51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center"/>
              <w:ind w:right="88"/>
              <w:spacing w:after="0"/>
              <w:rPr>
                <w:sz w:val="20"/>
                <w:szCs w:val="20"/>
                <w:color w:val="auto"/>
              </w:rPr>
            </w:pPr>
            <w:r>
              <w:rPr>
                <w:rFonts w:ascii="Arial" w:cs="Arial" w:eastAsia="Arial" w:hAnsi="Arial"/>
                <w:sz w:val="14"/>
                <w:szCs w:val="14"/>
                <w:color w:val="auto"/>
                <w:w w:val="96"/>
              </w:rPr>
              <w:t>2020</w:t>
            </w:r>
          </w:p>
        </w:tc>
        <w:tc>
          <w:tcPr>
            <w:tcW w:w="1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center"/>
              <w:ind w:right="88"/>
              <w:spacing w:after="0"/>
              <w:rPr>
                <w:sz w:val="20"/>
                <w:szCs w:val="20"/>
                <w:color w:val="auto"/>
              </w:rPr>
            </w:pPr>
            <w:r>
              <w:rPr>
                <w:rFonts w:ascii="Arial" w:cs="Arial" w:eastAsia="Arial" w:hAnsi="Arial"/>
                <w:sz w:val="14"/>
                <w:szCs w:val="14"/>
                <w:color w:val="auto"/>
                <w:w w:val="96"/>
              </w:rPr>
              <w:t>2020</w:t>
            </w:r>
          </w:p>
        </w:tc>
        <w:tc>
          <w:tcPr>
            <w:tcW w:w="10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color w:val="auto"/>
              </w:rPr>
              <w:t>2019</w:t>
            </w:r>
          </w:p>
        </w:tc>
        <w:tc>
          <w:tcPr>
            <w:tcW w:w="12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center"/>
              <w:ind w:right="48"/>
              <w:spacing w:after="0"/>
              <w:rPr>
                <w:sz w:val="20"/>
                <w:szCs w:val="20"/>
                <w:color w:val="auto"/>
              </w:rPr>
            </w:pPr>
            <w:r>
              <w:rPr>
                <w:rFonts w:ascii="Arial" w:cs="Arial" w:eastAsia="Arial" w:hAnsi="Arial"/>
                <w:sz w:val="14"/>
                <w:szCs w:val="14"/>
                <w:color w:val="auto"/>
                <w:w w:val="89"/>
              </w:rPr>
              <w:t>2019</w:t>
            </w:r>
          </w:p>
        </w:tc>
        <w:tc>
          <w:tcPr>
            <w:tcW w:w="1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center"/>
              <w:ind w:right="88"/>
              <w:spacing w:after="0"/>
              <w:rPr>
                <w:sz w:val="20"/>
                <w:szCs w:val="20"/>
                <w:color w:val="auto"/>
              </w:rPr>
            </w:pPr>
            <w:r>
              <w:rPr>
                <w:rFonts w:ascii="Arial" w:cs="Arial" w:eastAsia="Arial" w:hAnsi="Arial"/>
                <w:sz w:val="14"/>
                <w:szCs w:val="14"/>
                <w:color w:val="auto"/>
                <w:w w:val="96"/>
              </w:rPr>
              <w:t>2019</w:t>
            </w:r>
          </w:p>
        </w:tc>
        <w:tc>
          <w:tcPr>
            <w:tcW w:w="0" w:type="dxa"/>
            <w:vAlign w:val="bottom"/>
          </w:tcPr>
          <w:p>
            <w:pPr>
              <w:spacing w:after="0"/>
              <w:rPr>
                <w:sz w:val="1"/>
                <w:szCs w:val="1"/>
                <w:color w:val="auto"/>
              </w:rPr>
            </w:pPr>
          </w:p>
        </w:tc>
      </w:tr>
      <w:tr>
        <w:trPr>
          <w:trHeight w:val="193"/>
        </w:trPr>
        <w:tc>
          <w:tcPr>
            <w:tcW w:w="5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80" w:type="dxa"/>
            <w:vAlign w:val="bottom"/>
            <w:gridSpan w:val="2"/>
          </w:tcPr>
          <w:p>
            <w:pPr>
              <w:jc w:val="center"/>
              <w:ind w:right="260"/>
              <w:spacing w:after="0"/>
              <w:rPr>
                <w:sz w:val="20"/>
                <w:szCs w:val="20"/>
                <w:color w:val="auto"/>
              </w:rPr>
            </w:pPr>
            <w:r>
              <w:rPr>
                <w:rFonts w:ascii="Arial" w:cs="Arial" w:eastAsia="Arial" w:hAnsi="Arial"/>
                <w:sz w:val="14"/>
                <w:szCs w:val="14"/>
                <w:color w:val="auto"/>
                <w:w w:val="93"/>
              </w:rPr>
              <w:t>(unaudited)</w:t>
            </w:r>
          </w:p>
        </w:tc>
        <w:tc>
          <w:tcPr>
            <w:tcW w:w="160" w:type="dxa"/>
            <w:vAlign w:val="bottom"/>
          </w:tcPr>
          <w:p>
            <w:pPr>
              <w:spacing w:after="0"/>
              <w:rPr>
                <w:sz w:val="16"/>
                <w:szCs w:val="16"/>
                <w:color w:val="auto"/>
              </w:rPr>
            </w:pPr>
          </w:p>
        </w:tc>
        <w:tc>
          <w:tcPr>
            <w:tcW w:w="1080" w:type="dxa"/>
            <w:vAlign w:val="bottom"/>
            <w:gridSpan w:val="2"/>
          </w:tcPr>
          <w:p>
            <w:pPr>
              <w:jc w:val="center"/>
              <w:ind w:right="260"/>
              <w:spacing w:after="0"/>
              <w:rPr>
                <w:sz w:val="20"/>
                <w:szCs w:val="20"/>
                <w:color w:val="auto"/>
              </w:rPr>
            </w:pPr>
            <w:r>
              <w:rPr>
                <w:rFonts w:ascii="Arial" w:cs="Arial" w:eastAsia="Arial" w:hAnsi="Arial"/>
                <w:sz w:val="14"/>
                <w:szCs w:val="14"/>
                <w:color w:val="auto"/>
                <w:w w:val="93"/>
              </w:rPr>
              <w:t>(unaudited)</w:t>
            </w:r>
          </w:p>
        </w:tc>
        <w:tc>
          <w:tcPr>
            <w:tcW w:w="14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20" w:type="dxa"/>
            <w:vAlign w:val="bottom"/>
            <w:gridSpan w:val="2"/>
          </w:tcPr>
          <w:p>
            <w:pPr>
              <w:jc w:val="center"/>
              <w:ind w:right="260"/>
              <w:spacing w:after="0"/>
              <w:rPr>
                <w:sz w:val="20"/>
                <w:szCs w:val="20"/>
                <w:color w:val="auto"/>
              </w:rPr>
            </w:pPr>
            <w:r>
              <w:rPr>
                <w:rFonts w:ascii="Arial" w:cs="Arial" w:eastAsia="Arial" w:hAnsi="Arial"/>
                <w:sz w:val="14"/>
                <w:szCs w:val="14"/>
                <w:color w:val="auto"/>
                <w:w w:val="93"/>
              </w:rPr>
              <w:t>(unaudited)</w:t>
            </w:r>
          </w:p>
        </w:tc>
        <w:tc>
          <w:tcPr>
            <w:tcW w:w="160" w:type="dxa"/>
            <w:vAlign w:val="bottom"/>
          </w:tcPr>
          <w:p>
            <w:pPr>
              <w:spacing w:after="0"/>
              <w:rPr>
                <w:sz w:val="16"/>
                <w:szCs w:val="16"/>
                <w:color w:val="auto"/>
              </w:rPr>
            </w:pPr>
          </w:p>
        </w:tc>
        <w:tc>
          <w:tcPr>
            <w:tcW w:w="980" w:type="dxa"/>
            <w:vAlign w:val="bottom"/>
          </w:tcPr>
          <w:p>
            <w:pPr>
              <w:jc w:val="center"/>
              <w:ind w:right="88"/>
              <w:spacing w:after="0"/>
              <w:rPr>
                <w:sz w:val="20"/>
                <w:szCs w:val="20"/>
                <w:color w:val="auto"/>
              </w:rPr>
            </w:pPr>
            <w:r>
              <w:rPr>
                <w:rFonts w:ascii="Arial" w:cs="Arial" w:eastAsia="Arial" w:hAnsi="Arial"/>
                <w:sz w:val="14"/>
                <w:szCs w:val="14"/>
                <w:color w:val="auto"/>
                <w:w w:val="93"/>
              </w:rPr>
              <w:t>(unaudited)</w:t>
            </w:r>
          </w:p>
        </w:tc>
        <w:tc>
          <w:tcPr>
            <w:tcW w:w="0" w:type="dxa"/>
            <w:vAlign w:val="bottom"/>
          </w:tcPr>
          <w:p>
            <w:pPr>
              <w:spacing w:after="0"/>
              <w:rPr>
                <w:sz w:val="1"/>
                <w:szCs w:val="1"/>
                <w:color w:val="auto"/>
              </w:rPr>
            </w:pPr>
          </w:p>
        </w:tc>
      </w:tr>
      <w:tr>
        <w:trPr>
          <w:trHeight w:val="208"/>
        </w:trPr>
        <w:tc>
          <w:tcPr>
            <w:tcW w:w="512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Assets:</w:t>
            </w: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35"/>
        </w:trPr>
        <w:tc>
          <w:tcPr>
            <w:tcW w:w="5120" w:type="dxa"/>
            <w:vAlign w:val="bottom"/>
          </w:tcPr>
          <w:p>
            <w:pPr>
              <w:ind w:left="140"/>
              <w:spacing w:after="0" w:line="135" w:lineRule="exact"/>
              <w:rPr>
                <w:sz w:val="20"/>
                <w:szCs w:val="20"/>
                <w:color w:val="auto"/>
              </w:rPr>
            </w:pPr>
            <w:r>
              <w:rPr>
                <w:rFonts w:ascii="Arial" w:cs="Arial" w:eastAsia="Arial" w:hAnsi="Arial"/>
                <w:sz w:val="14"/>
                <w:szCs w:val="14"/>
                <w:color w:val="auto"/>
                <w:w w:val="98"/>
              </w:rPr>
              <w:t>Agency securities, at fair value (including pledged securities of $69,956, $64,154,</w:t>
            </w:r>
          </w:p>
        </w:tc>
        <w:tc>
          <w:tcPr>
            <w:tcW w:w="16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980" w:type="dxa"/>
            <w:vAlign w:val="bottom"/>
            <w:vMerge w:val="restart"/>
          </w:tcPr>
          <w:p>
            <w:pPr>
              <w:jc w:val="right"/>
              <w:ind w:right="68"/>
              <w:spacing w:after="0"/>
              <w:rPr>
                <w:sz w:val="20"/>
                <w:szCs w:val="20"/>
                <w:color w:val="auto"/>
              </w:rPr>
            </w:pPr>
            <w:r>
              <w:rPr>
                <w:rFonts w:ascii="Arial" w:cs="Arial" w:eastAsia="Arial" w:hAnsi="Arial"/>
                <w:sz w:val="14"/>
                <w:szCs w:val="14"/>
                <w:color w:val="auto"/>
              </w:rPr>
              <w:t>75,488</w:t>
            </w:r>
          </w:p>
        </w:tc>
        <w:tc>
          <w:tcPr>
            <w:tcW w:w="100" w:type="dxa"/>
            <w:vAlign w:val="bottom"/>
          </w:tcPr>
          <w:p>
            <w:pPr>
              <w:spacing w:after="0"/>
              <w:rPr>
                <w:sz w:val="11"/>
                <w:szCs w:val="11"/>
                <w:color w:val="auto"/>
              </w:rPr>
            </w:pPr>
          </w:p>
        </w:tc>
        <w:tc>
          <w:tcPr>
            <w:tcW w:w="16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980" w:type="dxa"/>
            <w:vAlign w:val="bottom"/>
            <w:vMerge w:val="restart"/>
          </w:tcPr>
          <w:p>
            <w:pPr>
              <w:jc w:val="right"/>
              <w:ind w:right="68"/>
              <w:spacing w:after="0"/>
              <w:rPr>
                <w:sz w:val="20"/>
                <w:szCs w:val="20"/>
                <w:color w:val="auto"/>
              </w:rPr>
            </w:pPr>
            <w:r>
              <w:rPr>
                <w:rFonts w:ascii="Arial" w:cs="Arial" w:eastAsia="Arial" w:hAnsi="Arial"/>
                <w:sz w:val="14"/>
                <w:szCs w:val="14"/>
                <w:color w:val="auto"/>
              </w:rPr>
              <w:t>70,292</w:t>
            </w:r>
          </w:p>
        </w:tc>
        <w:tc>
          <w:tcPr>
            <w:tcW w:w="100" w:type="dxa"/>
            <w:vAlign w:val="bottom"/>
          </w:tcPr>
          <w:p>
            <w:pPr>
              <w:spacing w:after="0"/>
              <w:rPr>
                <w:sz w:val="11"/>
                <w:szCs w:val="11"/>
                <w:color w:val="auto"/>
              </w:rPr>
            </w:pPr>
          </w:p>
        </w:tc>
        <w:tc>
          <w:tcPr>
            <w:tcW w:w="14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1000" w:type="dxa"/>
            <w:vAlign w:val="bottom"/>
            <w:vMerge w:val="restart"/>
          </w:tcPr>
          <w:p>
            <w:pPr>
              <w:jc w:val="right"/>
              <w:ind w:right="68"/>
              <w:spacing w:after="0"/>
              <w:rPr>
                <w:sz w:val="20"/>
                <w:szCs w:val="20"/>
                <w:color w:val="auto"/>
              </w:rPr>
            </w:pPr>
            <w:r>
              <w:rPr>
                <w:rFonts w:ascii="Arial" w:cs="Arial" w:eastAsia="Arial" w:hAnsi="Arial"/>
                <w:sz w:val="14"/>
                <w:szCs w:val="14"/>
                <w:color w:val="auto"/>
              </w:rPr>
              <w:t>98,516</w:t>
            </w:r>
          </w:p>
        </w:tc>
        <w:tc>
          <w:tcPr>
            <w:tcW w:w="120" w:type="dxa"/>
            <w:vAlign w:val="bottom"/>
          </w:tcPr>
          <w:p>
            <w:pPr>
              <w:spacing w:after="0"/>
              <w:rPr>
                <w:sz w:val="11"/>
                <w:szCs w:val="11"/>
                <w:color w:val="auto"/>
              </w:rPr>
            </w:pPr>
          </w:p>
        </w:tc>
        <w:tc>
          <w:tcPr>
            <w:tcW w:w="120" w:type="dxa"/>
            <w:vAlign w:val="bottom"/>
            <w:vMerge w:val="restart"/>
          </w:tcPr>
          <w:p>
            <w:pPr>
              <w:jc w:val="right"/>
              <w:spacing w:after="0"/>
              <w:rPr>
                <w:sz w:val="20"/>
                <w:szCs w:val="20"/>
                <w:color w:val="auto"/>
              </w:rPr>
            </w:pPr>
            <w:r>
              <w:rPr>
                <w:rFonts w:ascii="Arial" w:cs="Arial" w:eastAsia="Arial" w:hAnsi="Arial"/>
                <w:sz w:val="14"/>
                <w:szCs w:val="14"/>
                <w:color w:val="auto"/>
                <w:w w:val="76"/>
              </w:rPr>
              <w:t>$</w:t>
            </w:r>
          </w:p>
        </w:tc>
        <w:tc>
          <w:tcPr>
            <w:tcW w:w="1000" w:type="dxa"/>
            <w:vAlign w:val="bottom"/>
            <w:vMerge w:val="restart"/>
          </w:tcPr>
          <w:p>
            <w:pPr>
              <w:jc w:val="right"/>
              <w:ind w:right="68"/>
              <w:spacing w:after="0"/>
              <w:rPr>
                <w:sz w:val="20"/>
                <w:szCs w:val="20"/>
                <w:color w:val="auto"/>
              </w:rPr>
            </w:pPr>
            <w:r>
              <w:rPr>
                <w:rFonts w:ascii="Arial" w:cs="Arial" w:eastAsia="Arial" w:hAnsi="Arial"/>
                <w:sz w:val="14"/>
                <w:szCs w:val="14"/>
                <w:color w:val="auto"/>
              </w:rPr>
              <w:t>98,577</w:t>
            </w:r>
          </w:p>
        </w:tc>
        <w:tc>
          <w:tcPr>
            <w:tcW w:w="120" w:type="dxa"/>
            <w:vAlign w:val="bottom"/>
          </w:tcPr>
          <w:p>
            <w:pPr>
              <w:spacing w:after="0"/>
              <w:rPr>
                <w:sz w:val="11"/>
                <w:szCs w:val="11"/>
                <w:color w:val="auto"/>
              </w:rPr>
            </w:pPr>
          </w:p>
        </w:tc>
        <w:tc>
          <w:tcPr>
            <w:tcW w:w="160" w:type="dxa"/>
            <w:vAlign w:val="bottom"/>
            <w:vMerge w:val="restart"/>
          </w:tcPr>
          <w:p>
            <w:pPr>
              <w:jc w:val="right"/>
              <w:ind w:right="8"/>
              <w:spacing w:after="0"/>
              <w:rPr>
                <w:sz w:val="20"/>
                <w:szCs w:val="20"/>
                <w:color w:val="auto"/>
              </w:rPr>
            </w:pPr>
            <w:r>
              <w:rPr>
                <w:rFonts w:ascii="Arial" w:cs="Arial" w:eastAsia="Arial" w:hAnsi="Arial"/>
                <w:sz w:val="14"/>
                <w:szCs w:val="14"/>
                <w:color w:val="auto"/>
                <w:w w:val="76"/>
              </w:rPr>
              <w:t>$</w:t>
            </w:r>
          </w:p>
        </w:tc>
        <w:tc>
          <w:tcPr>
            <w:tcW w:w="980" w:type="dxa"/>
            <w:vAlign w:val="bottom"/>
            <w:vMerge w:val="restart"/>
          </w:tcPr>
          <w:p>
            <w:pPr>
              <w:jc w:val="right"/>
              <w:ind w:right="68"/>
              <w:spacing w:after="0"/>
              <w:rPr>
                <w:sz w:val="20"/>
                <w:szCs w:val="20"/>
                <w:color w:val="auto"/>
              </w:rPr>
            </w:pPr>
            <w:r>
              <w:rPr>
                <w:rFonts w:ascii="Arial" w:cs="Arial" w:eastAsia="Arial" w:hAnsi="Arial"/>
                <w:sz w:val="14"/>
                <w:szCs w:val="14"/>
                <w:color w:val="auto"/>
              </w:rPr>
              <w:t>91,140</w:t>
            </w:r>
          </w:p>
        </w:tc>
        <w:tc>
          <w:tcPr>
            <w:tcW w:w="0" w:type="dxa"/>
            <w:vAlign w:val="bottom"/>
          </w:tcPr>
          <w:p>
            <w:pPr>
              <w:spacing w:after="0"/>
              <w:rPr>
                <w:sz w:val="1"/>
                <w:szCs w:val="1"/>
                <w:color w:val="auto"/>
              </w:rPr>
            </w:pPr>
          </w:p>
        </w:tc>
      </w:tr>
      <w:tr>
        <w:trPr>
          <w:trHeight w:val="186"/>
        </w:trPr>
        <w:tc>
          <w:tcPr>
            <w:tcW w:w="5120" w:type="dxa"/>
            <w:vAlign w:val="bottom"/>
          </w:tcPr>
          <w:p>
            <w:pPr>
              <w:ind w:left="140"/>
              <w:spacing w:after="0"/>
              <w:rPr>
                <w:sz w:val="20"/>
                <w:szCs w:val="20"/>
                <w:color w:val="auto"/>
              </w:rPr>
            </w:pPr>
            <w:r>
              <w:rPr>
                <w:rFonts w:ascii="Arial" w:cs="Arial" w:eastAsia="Arial" w:hAnsi="Arial"/>
                <w:sz w:val="14"/>
                <w:szCs w:val="14"/>
                <w:color w:val="auto"/>
              </w:rPr>
              <w:t>$92,608, $93,688 and $87,582, respectively)</w:t>
            </w:r>
          </w:p>
        </w:tc>
        <w:tc>
          <w:tcPr>
            <w:tcW w:w="160" w:type="dxa"/>
            <w:vAlign w:val="bottom"/>
            <w:vMerge w:val="continue"/>
          </w:tcPr>
          <w:p>
            <w:pPr>
              <w:spacing w:after="0"/>
              <w:rPr>
                <w:sz w:val="16"/>
                <w:szCs w:val="16"/>
                <w:color w:val="auto"/>
              </w:rPr>
            </w:pPr>
          </w:p>
        </w:tc>
        <w:tc>
          <w:tcPr>
            <w:tcW w:w="98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vMerge w:val="continue"/>
          </w:tcPr>
          <w:p>
            <w:pPr>
              <w:spacing w:after="0"/>
              <w:rPr>
                <w:sz w:val="16"/>
                <w:szCs w:val="16"/>
                <w:color w:val="auto"/>
              </w:rPr>
            </w:pPr>
          </w:p>
        </w:tc>
        <w:tc>
          <w:tcPr>
            <w:tcW w:w="98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vMerge w:val="continue"/>
          </w:tcPr>
          <w:p>
            <w:pPr>
              <w:spacing w:after="0"/>
              <w:rPr>
                <w:sz w:val="16"/>
                <w:szCs w:val="16"/>
                <w:color w:val="auto"/>
              </w:rPr>
            </w:pPr>
          </w:p>
        </w:tc>
        <w:tc>
          <w:tcPr>
            <w:tcW w:w="100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vMerge w:val="continue"/>
          </w:tcPr>
          <w:p>
            <w:pPr>
              <w:spacing w:after="0"/>
              <w:rPr>
                <w:sz w:val="16"/>
                <w:szCs w:val="16"/>
                <w:color w:val="auto"/>
              </w:rPr>
            </w:pPr>
          </w:p>
        </w:tc>
        <w:tc>
          <w:tcPr>
            <w:tcW w:w="100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vMerge w:val="continue"/>
          </w:tcPr>
          <w:p>
            <w:pPr>
              <w:spacing w:after="0"/>
              <w:rPr>
                <w:sz w:val="16"/>
                <w:szCs w:val="16"/>
                <w:color w:val="auto"/>
              </w:rPr>
            </w:pPr>
          </w:p>
        </w:tc>
        <w:tc>
          <w:tcPr>
            <w:tcW w:w="9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60"/>
        </w:trPr>
        <w:tc>
          <w:tcPr>
            <w:tcW w:w="5120" w:type="dxa"/>
            <w:vAlign w:val="bottom"/>
            <w:shd w:val="clear" w:color="auto" w:fill="CCEEFF"/>
          </w:tcPr>
          <w:p>
            <w:pPr>
              <w:ind w:left="120"/>
              <w:spacing w:after="0"/>
              <w:rPr>
                <w:sz w:val="20"/>
                <w:szCs w:val="20"/>
                <w:color w:val="auto"/>
              </w:rPr>
            </w:pPr>
            <w:r>
              <w:rPr>
                <w:rFonts w:ascii="Arial" w:cs="Arial" w:eastAsia="Arial" w:hAnsi="Arial"/>
                <w:sz w:val="14"/>
                <w:szCs w:val="14"/>
                <w:color w:val="auto"/>
                <w:w w:val="97"/>
              </w:rPr>
              <w:t>Agency securities transferred to consolidated variable interest entities, at fair value</w:t>
            </w:r>
          </w:p>
        </w:tc>
        <w:tc>
          <w:tcPr>
            <w:tcW w:w="16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94"/>
        </w:trPr>
        <w:tc>
          <w:tcPr>
            <w:tcW w:w="5120" w:type="dxa"/>
            <w:vAlign w:val="bottom"/>
            <w:shd w:val="clear" w:color="auto" w:fill="CCEEFF"/>
          </w:tcPr>
          <w:p>
            <w:pPr>
              <w:ind w:left="120"/>
              <w:spacing w:after="0"/>
              <w:rPr>
                <w:sz w:val="20"/>
                <w:szCs w:val="20"/>
                <w:color w:val="auto"/>
              </w:rPr>
            </w:pPr>
            <w:r>
              <w:rPr>
                <w:rFonts w:ascii="Arial" w:cs="Arial" w:eastAsia="Arial" w:hAnsi="Arial"/>
                <w:sz w:val="14"/>
                <w:szCs w:val="14"/>
                <w:color w:val="auto"/>
              </w:rPr>
              <w:t>(pledged securities)</w:t>
            </w:r>
          </w:p>
        </w:tc>
        <w:tc>
          <w:tcPr>
            <w:tcW w:w="160" w:type="dxa"/>
            <w:vAlign w:val="bottom"/>
            <w:shd w:val="clear" w:color="auto" w:fill="CCEEFF"/>
          </w:tcPr>
          <w:p>
            <w:pPr>
              <w:spacing w:after="0"/>
              <w:rPr>
                <w:sz w:val="16"/>
                <w:szCs w:val="16"/>
                <w:color w:val="auto"/>
              </w:rPr>
            </w:pPr>
          </w:p>
        </w:tc>
        <w:tc>
          <w:tcPr>
            <w:tcW w:w="9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344</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9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358</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371</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393</w:t>
            </w:r>
          </w:p>
        </w:tc>
        <w:tc>
          <w:tcPr>
            <w:tcW w:w="1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9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411</w:t>
            </w:r>
          </w:p>
        </w:tc>
        <w:tc>
          <w:tcPr>
            <w:tcW w:w="0" w:type="dxa"/>
            <w:vAlign w:val="bottom"/>
          </w:tcPr>
          <w:p>
            <w:pPr>
              <w:spacing w:after="0"/>
              <w:rPr>
                <w:sz w:val="1"/>
                <w:szCs w:val="1"/>
                <w:color w:val="auto"/>
              </w:rPr>
            </w:pPr>
          </w:p>
        </w:tc>
      </w:tr>
      <w:tr>
        <w:trPr>
          <w:trHeight w:val="135"/>
        </w:trPr>
        <w:tc>
          <w:tcPr>
            <w:tcW w:w="5120" w:type="dxa"/>
            <w:vAlign w:val="bottom"/>
          </w:tcPr>
          <w:p>
            <w:pPr>
              <w:ind w:left="140"/>
              <w:spacing w:after="0" w:line="135" w:lineRule="exact"/>
              <w:rPr>
                <w:sz w:val="20"/>
                <w:szCs w:val="20"/>
                <w:color w:val="auto"/>
              </w:rPr>
            </w:pPr>
            <w:r>
              <w:rPr>
                <w:rFonts w:ascii="Arial" w:cs="Arial" w:eastAsia="Arial" w:hAnsi="Arial"/>
                <w:sz w:val="14"/>
                <w:szCs w:val="14"/>
                <w:color w:val="auto"/>
              </w:rPr>
              <w:t>Credit risk transfer securities, at fair value (including pledged securities of $479,</w:t>
            </w:r>
          </w:p>
        </w:tc>
        <w:tc>
          <w:tcPr>
            <w:tcW w:w="160" w:type="dxa"/>
            <w:vAlign w:val="bottom"/>
          </w:tcPr>
          <w:p>
            <w:pPr>
              <w:spacing w:after="0"/>
              <w:rPr>
                <w:sz w:val="11"/>
                <w:szCs w:val="11"/>
                <w:color w:val="auto"/>
              </w:rPr>
            </w:pPr>
          </w:p>
        </w:tc>
        <w:tc>
          <w:tcPr>
            <w:tcW w:w="980" w:type="dxa"/>
            <w:vAlign w:val="bottom"/>
            <w:vMerge w:val="restart"/>
          </w:tcPr>
          <w:p>
            <w:pPr>
              <w:jc w:val="right"/>
              <w:ind w:right="68"/>
              <w:spacing w:after="0"/>
              <w:rPr>
                <w:sz w:val="20"/>
                <w:szCs w:val="20"/>
                <w:color w:val="auto"/>
              </w:rPr>
            </w:pPr>
            <w:r>
              <w:rPr>
                <w:rFonts w:ascii="Arial" w:cs="Arial" w:eastAsia="Arial" w:hAnsi="Arial"/>
                <w:sz w:val="14"/>
                <w:szCs w:val="14"/>
                <w:color w:val="auto"/>
              </w:rPr>
              <w:t>712</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80" w:type="dxa"/>
            <w:vAlign w:val="bottom"/>
            <w:vMerge w:val="restart"/>
          </w:tcPr>
          <w:p>
            <w:pPr>
              <w:jc w:val="right"/>
              <w:ind w:right="68"/>
              <w:spacing w:after="0"/>
              <w:rPr>
                <w:sz w:val="20"/>
                <w:szCs w:val="20"/>
                <w:color w:val="auto"/>
              </w:rPr>
            </w:pPr>
            <w:r>
              <w:rPr>
                <w:rFonts w:ascii="Arial" w:cs="Arial" w:eastAsia="Arial" w:hAnsi="Arial"/>
                <w:sz w:val="14"/>
                <w:szCs w:val="14"/>
                <w:color w:val="auto"/>
              </w:rPr>
              <w:t>574</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0" w:type="dxa"/>
            <w:vAlign w:val="bottom"/>
            <w:vMerge w:val="restart"/>
          </w:tcPr>
          <w:p>
            <w:pPr>
              <w:jc w:val="right"/>
              <w:ind w:right="68"/>
              <w:spacing w:after="0"/>
              <w:rPr>
                <w:sz w:val="20"/>
                <w:szCs w:val="20"/>
                <w:color w:val="auto"/>
              </w:rPr>
            </w:pPr>
            <w:r>
              <w:rPr>
                <w:rFonts w:ascii="Arial" w:cs="Arial" w:eastAsia="Arial" w:hAnsi="Arial"/>
                <w:sz w:val="14"/>
                <w:szCs w:val="14"/>
                <w:color w:val="auto"/>
              </w:rPr>
              <w:t>976</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vMerge w:val="restart"/>
          </w:tcPr>
          <w:p>
            <w:pPr>
              <w:jc w:val="right"/>
              <w:ind w:right="68"/>
              <w:spacing w:after="0"/>
              <w:rPr>
                <w:sz w:val="20"/>
                <w:szCs w:val="20"/>
                <w:color w:val="auto"/>
              </w:rPr>
            </w:pPr>
            <w:r>
              <w:rPr>
                <w:rFonts w:ascii="Arial" w:cs="Arial" w:eastAsia="Arial" w:hAnsi="Arial"/>
                <w:sz w:val="14"/>
                <w:szCs w:val="14"/>
                <w:color w:val="auto"/>
              </w:rPr>
              <w:t>1,134</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80" w:type="dxa"/>
            <w:vAlign w:val="bottom"/>
            <w:vMerge w:val="restart"/>
          </w:tcPr>
          <w:p>
            <w:pPr>
              <w:jc w:val="right"/>
              <w:ind w:right="68"/>
              <w:spacing w:after="0"/>
              <w:rPr>
                <w:sz w:val="20"/>
                <w:szCs w:val="20"/>
                <w:color w:val="auto"/>
              </w:rPr>
            </w:pPr>
            <w:r>
              <w:rPr>
                <w:rFonts w:ascii="Arial" w:cs="Arial" w:eastAsia="Arial" w:hAnsi="Arial"/>
                <w:sz w:val="14"/>
                <w:szCs w:val="14"/>
                <w:color w:val="auto"/>
              </w:rPr>
              <w:t>1,117</w:t>
            </w:r>
          </w:p>
        </w:tc>
        <w:tc>
          <w:tcPr>
            <w:tcW w:w="0" w:type="dxa"/>
            <w:vAlign w:val="bottom"/>
          </w:tcPr>
          <w:p>
            <w:pPr>
              <w:spacing w:after="0"/>
              <w:rPr>
                <w:sz w:val="1"/>
                <w:szCs w:val="1"/>
                <w:color w:val="auto"/>
              </w:rPr>
            </w:pPr>
          </w:p>
        </w:tc>
      </w:tr>
      <w:tr>
        <w:trPr>
          <w:trHeight w:val="186"/>
        </w:trPr>
        <w:tc>
          <w:tcPr>
            <w:tcW w:w="5120" w:type="dxa"/>
            <w:vAlign w:val="bottom"/>
          </w:tcPr>
          <w:p>
            <w:pPr>
              <w:ind w:left="140"/>
              <w:spacing w:after="0"/>
              <w:rPr>
                <w:sz w:val="20"/>
                <w:szCs w:val="20"/>
                <w:color w:val="auto"/>
              </w:rPr>
            </w:pPr>
            <w:r>
              <w:rPr>
                <w:rFonts w:ascii="Arial" w:cs="Arial" w:eastAsia="Arial" w:hAnsi="Arial"/>
                <w:sz w:val="14"/>
                <w:szCs w:val="14"/>
                <w:color w:val="auto"/>
              </w:rPr>
              <w:t>$360, $309, $358 and $269, respectively)</w:t>
            </w:r>
          </w:p>
        </w:tc>
        <w:tc>
          <w:tcPr>
            <w:tcW w:w="160" w:type="dxa"/>
            <w:vAlign w:val="bottom"/>
          </w:tcPr>
          <w:p>
            <w:pPr>
              <w:spacing w:after="0"/>
              <w:rPr>
                <w:sz w:val="16"/>
                <w:szCs w:val="16"/>
                <w:color w:val="auto"/>
              </w:rPr>
            </w:pPr>
          </w:p>
        </w:tc>
        <w:tc>
          <w:tcPr>
            <w:tcW w:w="98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8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38"/>
        </w:trPr>
        <w:tc>
          <w:tcPr>
            <w:tcW w:w="5120" w:type="dxa"/>
            <w:vAlign w:val="bottom"/>
            <w:shd w:val="clear" w:color="auto" w:fill="CCEEFF"/>
          </w:tcPr>
          <w:p>
            <w:pPr>
              <w:ind w:left="140"/>
              <w:spacing w:after="0" w:line="139" w:lineRule="exact"/>
              <w:rPr>
                <w:sz w:val="20"/>
                <w:szCs w:val="20"/>
                <w:color w:val="auto"/>
              </w:rPr>
            </w:pPr>
            <w:r>
              <w:rPr>
                <w:rFonts w:ascii="Arial" w:cs="Arial" w:eastAsia="Arial" w:hAnsi="Arial"/>
                <w:sz w:val="14"/>
                <w:szCs w:val="14"/>
                <w:color w:val="auto"/>
                <w:w w:val="95"/>
              </w:rPr>
              <w:t>Non-Agency securities, at fair value (including pledged securities of $511, $437, $0,</w:t>
            </w:r>
          </w:p>
        </w:tc>
        <w:tc>
          <w:tcPr>
            <w:tcW w:w="160" w:type="dxa"/>
            <w:vAlign w:val="bottom"/>
            <w:shd w:val="clear" w:color="auto" w:fill="CCEEFF"/>
          </w:tcPr>
          <w:p>
            <w:pPr>
              <w:spacing w:after="0"/>
              <w:rPr>
                <w:sz w:val="12"/>
                <w:szCs w:val="12"/>
                <w:color w:val="auto"/>
              </w:rPr>
            </w:pPr>
          </w:p>
        </w:tc>
        <w:tc>
          <w:tcPr>
            <w:tcW w:w="980" w:type="dxa"/>
            <w:vAlign w:val="bottom"/>
            <w:vMerge w:val="restart"/>
            <w:shd w:val="clear" w:color="auto" w:fill="CCEEFF"/>
          </w:tcPr>
          <w:p>
            <w:pPr>
              <w:jc w:val="right"/>
              <w:ind w:right="68"/>
              <w:spacing w:after="0"/>
              <w:rPr>
                <w:sz w:val="20"/>
                <w:szCs w:val="20"/>
                <w:color w:val="auto"/>
              </w:rPr>
            </w:pPr>
            <w:r>
              <w:rPr>
                <w:rFonts w:ascii="Arial" w:cs="Arial" w:eastAsia="Arial" w:hAnsi="Arial"/>
                <w:sz w:val="14"/>
                <w:szCs w:val="14"/>
                <w:color w:val="auto"/>
              </w:rPr>
              <w:t>599</w:t>
            </w: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980" w:type="dxa"/>
            <w:vAlign w:val="bottom"/>
            <w:vMerge w:val="restart"/>
            <w:shd w:val="clear" w:color="auto" w:fill="CCEEFF"/>
          </w:tcPr>
          <w:p>
            <w:pPr>
              <w:jc w:val="right"/>
              <w:ind w:right="68"/>
              <w:spacing w:after="0"/>
              <w:rPr>
                <w:sz w:val="20"/>
                <w:szCs w:val="20"/>
                <w:color w:val="auto"/>
              </w:rPr>
            </w:pPr>
            <w:r>
              <w:rPr>
                <w:rFonts w:ascii="Arial" w:cs="Arial" w:eastAsia="Arial" w:hAnsi="Arial"/>
                <w:sz w:val="14"/>
                <w:szCs w:val="14"/>
                <w:color w:val="auto"/>
              </w:rPr>
              <w:t>552</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0" w:type="dxa"/>
            <w:vAlign w:val="bottom"/>
            <w:vMerge w:val="restart"/>
            <w:shd w:val="clear" w:color="auto" w:fill="CCEEFF"/>
          </w:tcPr>
          <w:p>
            <w:pPr>
              <w:jc w:val="right"/>
              <w:ind w:right="68"/>
              <w:spacing w:after="0"/>
              <w:rPr>
                <w:sz w:val="20"/>
                <w:szCs w:val="20"/>
                <w:color w:val="auto"/>
              </w:rPr>
            </w:pPr>
            <w:r>
              <w:rPr>
                <w:rFonts w:ascii="Arial" w:cs="Arial" w:eastAsia="Arial" w:hAnsi="Arial"/>
                <w:sz w:val="14"/>
                <w:szCs w:val="14"/>
                <w:color w:val="auto"/>
              </w:rPr>
              <w:t>579</w:t>
            </w: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0" w:type="dxa"/>
            <w:vAlign w:val="bottom"/>
            <w:vMerge w:val="restart"/>
            <w:shd w:val="clear" w:color="auto" w:fill="CCEEFF"/>
          </w:tcPr>
          <w:p>
            <w:pPr>
              <w:jc w:val="right"/>
              <w:ind w:right="68"/>
              <w:spacing w:after="0"/>
              <w:rPr>
                <w:sz w:val="20"/>
                <w:szCs w:val="20"/>
                <w:color w:val="auto"/>
              </w:rPr>
            </w:pPr>
            <w:r>
              <w:rPr>
                <w:rFonts w:ascii="Arial" w:cs="Arial" w:eastAsia="Arial" w:hAnsi="Arial"/>
                <w:sz w:val="14"/>
                <w:szCs w:val="14"/>
                <w:color w:val="auto"/>
              </w:rPr>
              <w:t>579</w:t>
            </w:r>
          </w:p>
        </w:tc>
        <w:tc>
          <w:tcPr>
            <w:tcW w:w="1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980" w:type="dxa"/>
            <w:vAlign w:val="bottom"/>
            <w:vMerge w:val="restart"/>
            <w:shd w:val="clear" w:color="auto" w:fill="CCEEFF"/>
          </w:tcPr>
          <w:p>
            <w:pPr>
              <w:jc w:val="right"/>
              <w:ind w:right="68"/>
              <w:spacing w:after="0"/>
              <w:rPr>
                <w:sz w:val="20"/>
                <w:szCs w:val="20"/>
                <w:color w:val="auto"/>
              </w:rPr>
            </w:pPr>
            <w:r>
              <w:rPr>
                <w:rFonts w:ascii="Arial" w:cs="Arial" w:eastAsia="Arial" w:hAnsi="Arial"/>
                <w:sz w:val="14"/>
                <w:szCs w:val="14"/>
                <w:color w:val="auto"/>
              </w:rPr>
              <w:t>603</w:t>
            </w:r>
          </w:p>
        </w:tc>
        <w:tc>
          <w:tcPr>
            <w:tcW w:w="0" w:type="dxa"/>
            <w:vAlign w:val="bottom"/>
          </w:tcPr>
          <w:p>
            <w:pPr>
              <w:spacing w:after="0"/>
              <w:rPr>
                <w:sz w:val="1"/>
                <w:szCs w:val="1"/>
                <w:color w:val="auto"/>
              </w:rPr>
            </w:pPr>
          </w:p>
        </w:tc>
      </w:tr>
      <w:tr>
        <w:trPr>
          <w:trHeight w:val="189"/>
        </w:trPr>
        <w:tc>
          <w:tcPr>
            <w:tcW w:w="5120" w:type="dxa"/>
            <w:vAlign w:val="bottom"/>
            <w:shd w:val="clear" w:color="auto" w:fill="CCEEFF"/>
          </w:tcPr>
          <w:p>
            <w:pPr>
              <w:ind w:left="140"/>
              <w:spacing w:after="0"/>
              <w:rPr>
                <w:sz w:val="20"/>
                <w:szCs w:val="20"/>
                <w:color w:val="auto"/>
              </w:rPr>
            </w:pPr>
            <w:r>
              <w:rPr>
                <w:rFonts w:ascii="Arial" w:cs="Arial" w:eastAsia="Arial" w:hAnsi="Arial"/>
                <w:sz w:val="14"/>
                <w:szCs w:val="14"/>
                <w:color w:val="auto"/>
              </w:rPr>
              <w:t>$0 and $0, respectively)</w:t>
            </w:r>
          </w:p>
        </w:tc>
        <w:tc>
          <w:tcPr>
            <w:tcW w:w="160" w:type="dxa"/>
            <w:vAlign w:val="bottom"/>
            <w:shd w:val="clear" w:color="auto" w:fill="CCEEFF"/>
          </w:tcPr>
          <w:p>
            <w:pPr>
              <w:spacing w:after="0"/>
              <w:rPr>
                <w:sz w:val="16"/>
                <w:szCs w:val="16"/>
                <w:color w:val="auto"/>
              </w:rPr>
            </w:pPr>
          </w:p>
        </w:tc>
        <w:tc>
          <w:tcPr>
            <w:tcW w:w="98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98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00" w:type="dxa"/>
            <w:vAlign w:val="bottom"/>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0" w:type="dxa"/>
            <w:vAlign w:val="bottom"/>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98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35"/>
        </w:trPr>
        <w:tc>
          <w:tcPr>
            <w:tcW w:w="5120" w:type="dxa"/>
            <w:vAlign w:val="bottom"/>
          </w:tcPr>
          <w:p>
            <w:pPr>
              <w:ind w:left="140"/>
              <w:spacing w:after="0" w:line="135" w:lineRule="exact"/>
              <w:rPr>
                <w:sz w:val="20"/>
                <w:szCs w:val="20"/>
                <w:color w:val="auto"/>
              </w:rPr>
            </w:pPr>
            <w:r>
              <w:rPr>
                <w:rFonts w:ascii="Arial" w:cs="Arial" w:eastAsia="Arial" w:hAnsi="Arial"/>
                <w:sz w:val="14"/>
                <w:szCs w:val="14"/>
                <w:color w:val="auto"/>
                <w:w w:val="94"/>
              </w:rPr>
              <w:t>U.S. Treasury securities, at fair value (including pledged securities of $1,136, $3,721,</w:t>
            </w:r>
          </w:p>
        </w:tc>
        <w:tc>
          <w:tcPr>
            <w:tcW w:w="160" w:type="dxa"/>
            <w:vAlign w:val="bottom"/>
          </w:tcPr>
          <w:p>
            <w:pPr>
              <w:spacing w:after="0"/>
              <w:rPr>
                <w:sz w:val="11"/>
                <w:szCs w:val="11"/>
                <w:color w:val="auto"/>
              </w:rPr>
            </w:pPr>
          </w:p>
        </w:tc>
        <w:tc>
          <w:tcPr>
            <w:tcW w:w="980" w:type="dxa"/>
            <w:vAlign w:val="bottom"/>
            <w:vMerge w:val="restart"/>
          </w:tcPr>
          <w:p>
            <w:pPr>
              <w:jc w:val="right"/>
              <w:ind w:right="68"/>
              <w:spacing w:after="0"/>
              <w:rPr>
                <w:sz w:val="20"/>
                <w:szCs w:val="20"/>
                <w:color w:val="auto"/>
              </w:rPr>
            </w:pPr>
            <w:r>
              <w:rPr>
                <w:rFonts w:ascii="Arial" w:cs="Arial" w:eastAsia="Arial" w:hAnsi="Arial"/>
                <w:sz w:val="14"/>
                <w:szCs w:val="14"/>
                <w:color w:val="auto"/>
              </w:rPr>
              <w:t>1,181</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80" w:type="dxa"/>
            <w:vAlign w:val="bottom"/>
            <w:vMerge w:val="restart"/>
          </w:tcPr>
          <w:p>
            <w:pPr>
              <w:jc w:val="right"/>
              <w:ind w:right="68"/>
              <w:spacing w:after="0"/>
              <w:rPr>
                <w:sz w:val="20"/>
                <w:szCs w:val="20"/>
                <w:color w:val="auto"/>
              </w:rPr>
            </w:pPr>
            <w:r>
              <w:rPr>
                <w:rFonts w:ascii="Arial" w:cs="Arial" w:eastAsia="Arial" w:hAnsi="Arial"/>
                <w:sz w:val="14"/>
                <w:szCs w:val="14"/>
                <w:color w:val="auto"/>
              </w:rPr>
              <w:t>3,721</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0" w:type="dxa"/>
            <w:vAlign w:val="bottom"/>
            <w:vMerge w:val="restart"/>
          </w:tcPr>
          <w:p>
            <w:pPr>
              <w:jc w:val="right"/>
              <w:ind w:right="68"/>
              <w:spacing w:after="0"/>
              <w:rPr>
                <w:sz w:val="20"/>
                <w:szCs w:val="20"/>
                <w:color w:val="auto"/>
              </w:rPr>
            </w:pPr>
            <w:r>
              <w:rPr>
                <w:rFonts w:ascii="Arial" w:cs="Arial" w:eastAsia="Arial" w:hAnsi="Arial"/>
                <w:sz w:val="14"/>
                <w:szCs w:val="14"/>
                <w:color w:val="auto"/>
              </w:rPr>
              <w:t>97</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vMerge w:val="restart"/>
          </w:tcPr>
          <w:p>
            <w:pPr>
              <w:jc w:val="right"/>
              <w:ind w:right="68"/>
              <w:spacing w:after="0"/>
              <w:rPr>
                <w:sz w:val="20"/>
                <w:szCs w:val="20"/>
                <w:color w:val="auto"/>
              </w:rPr>
            </w:pPr>
            <w:r>
              <w:rPr>
                <w:rFonts w:ascii="Arial" w:cs="Arial" w:eastAsia="Arial" w:hAnsi="Arial"/>
                <w:sz w:val="14"/>
                <w:szCs w:val="14"/>
                <w:color w:val="auto"/>
              </w:rPr>
              <w:t>215</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80" w:type="dxa"/>
            <w:vAlign w:val="bottom"/>
            <w:vMerge w:val="restart"/>
          </w:tcPr>
          <w:p>
            <w:pPr>
              <w:jc w:val="right"/>
              <w:ind w:right="68"/>
              <w:spacing w:after="0"/>
              <w:rPr>
                <w:sz w:val="20"/>
                <w:szCs w:val="20"/>
                <w:color w:val="auto"/>
              </w:rPr>
            </w:pPr>
            <w:r>
              <w:rPr>
                <w:rFonts w:ascii="Arial" w:cs="Arial" w:eastAsia="Arial" w:hAnsi="Arial"/>
                <w:sz w:val="14"/>
                <w:szCs w:val="14"/>
                <w:color w:val="auto"/>
              </w:rPr>
              <w:t>1,152</w:t>
            </w:r>
          </w:p>
        </w:tc>
        <w:tc>
          <w:tcPr>
            <w:tcW w:w="0" w:type="dxa"/>
            <w:vAlign w:val="bottom"/>
          </w:tcPr>
          <w:p>
            <w:pPr>
              <w:spacing w:after="0"/>
              <w:rPr>
                <w:sz w:val="1"/>
                <w:szCs w:val="1"/>
                <w:color w:val="auto"/>
              </w:rPr>
            </w:pPr>
          </w:p>
        </w:tc>
      </w:tr>
      <w:tr>
        <w:trPr>
          <w:trHeight w:val="186"/>
        </w:trPr>
        <w:tc>
          <w:tcPr>
            <w:tcW w:w="5120" w:type="dxa"/>
            <w:vAlign w:val="bottom"/>
          </w:tcPr>
          <w:p>
            <w:pPr>
              <w:ind w:left="140"/>
              <w:spacing w:after="0"/>
              <w:rPr>
                <w:sz w:val="20"/>
                <w:szCs w:val="20"/>
                <w:color w:val="auto"/>
              </w:rPr>
            </w:pPr>
            <w:r>
              <w:rPr>
                <w:rFonts w:ascii="Arial" w:cs="Arial" w:eastAsia="Arial" w:hAnsi="Arial"/>
                <w:sz w:val="14"/>
                <w:szCs w:val="14"/>
                <w:color w:val="auto"/>
              </w:rPr>
              <w:t>$97, $162 and $1,152, respectively)</w:t>
            </w:r>
          </w:p>
        </w:tc>
        <w:tc>
          <w:tcPr>
            <w:tcW w:w="160" w:type="dxa"/>
            <w:vAlign w:val="bottom"/>
          </w:tcPr>
          <w:p>
            <w:pPr>
              <w:spacing w:after="0"/>
              <w:rPr>
                <w:sz w:val="16"/>
                <w:szCs w:val="16"/>
                <w:color w:val="auto"/>
              </w:rPr>
            </w:pPr>
          </w:p>
        </w:tc>
        <w:tc>
          <w:tcPr>
            <w:tcW w:w="98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8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6"/>
        </w:trPr>
        <w:tc>
          <w:tcPr>
            <w:tcW w:w="5120" w:type="dxa"/>
            <w:vAlign w:val="bottom"/>
            <w:shd w:val="clear" w:color="auto" w:fill="CCEEFF"/>
          </w:tcPr>
          <w:p>
            <w:pPr>
              <w:ind w:left="140"/>
              <w:spacing w:after="0"/>
              <w:rPr>
                <w:sz w:val="20"/>
                <w:szCs w:val="20"/>
                <w:color w:val="auto"/>
              </w:rPr>
            </w:pPr>
            <w:r>
              <w:rPr>
                <w:rFonts w:ascii="Arial" w:cs="Arial" w:eastAsia="Arial" w:hAnsi="Arial"/>
                <w:sz w:val="14"/>
                <w:szCs w:val="14"/>
                <w:color w:val="auto"/>
              </w:rPr>
              <w:t>Cash and cash equivalents</w:t>
            </w: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859</w:t>
            </w: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1,289</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831</w:t>
            </w: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906</w:t>
            </w: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870</w:t>
            </w:r>
          </w:p>
        </w:tc>
        <w:tc>
          <w:tcPr>
            <w:tcW w:w="0" w:type="dxa"/>
            <w:vAlign w:val="bottom"/>
          </w:tcPr>
          <w:p>
            <w:pPr>
              <w:spacing w:after="0"/>
              <w:rPr>
                <w:sz w:val="1"/>
                <w:szCs w:val="1"/>
                <w:color w:val="auto"/>
              </w:rPr>
            </w:pPr>
          </w:p>
        </w:tc>
      </w:tr>
      <w:tr>
        <w:trPr>
          <w:trHeight w:val="197"/>
        </w:trPr>
        <w:tc>
          <w:tcPr>
            <w:tcW w:w="5120" w:type="dxa"/>
            <w:vAlign w:val="bottom"/>
          </w:tcPr>
          <w:p>
            <w:pPr>
              <w:ind w:left="140"/>
              <w:spacing w:after="0"/>
              <w:rPr>
                <w:sz w:val="20"/>
                <w:szCs w:val="20"/>
                <w:color w:val="auto"/>
              </w:rPr>
            </w:pPr>
            <w:r>
              <w:rPr>
                <w:rFonts w:ascii="Arial" w:cs="Arial" w:eastAsia="Arial" w:hAnsi="Arial"/>
                <w:sz w:val="14"/>
                <w:szCs w:val="14"/>
                <w:color w:val="auto"/>
              </w:rPr>
              <w:t>Restricted cash</w:t>
            </w:r>
          </w:p>
        </w:tc>
        <w:tc>
          <w:tcPr>
            <w:tcW w:w="160" w:type="dxa"/>
            <w:vAlign w:val="bottom"/>
          </w:tcPr>
          <w:p>
            <w:pPr>
              <w:spacing w:after="0"/>
              <w:rPr>
                <w:sz w:val="17"/>
                <w:szCs w:val="17"/>
                <w:color w:val="auto"/>
              </w:rPr>
            </w:pPr>
          </w:p>
        </w:tc>
        <w:tc>
          <w:tcPr>
            <w:tcW w:w="980" w:type="dxa"/>
            <w:vAlign w:val="bottom"/>
          </w:tcPr>
          <w:p>
            <w:pPr>
              <w:jc w:val="right"/>
              <w:ind w:right="68"/>
              <w:spacing w:after="0"/>
              <w:rPr>
                <w:sz w:val="20"/>
                <w:szCs w:val="20"/>
                <w:color w:val="auto"/>
              </w:rPr>
            </w:pPr>
            <w:r>
              <w:rPr>
                <w:rFonts w:ascii="Arial" w:cs="Arial" w:eastAsia="Arial" w:hAnsi="Arial"/>
                <w:sz w:val="14"/>
                <w:szCs w:val="14"/>
                <w:color w:val="auto"/>
              </w:rPr>
              <w:t>1,306</w:t>
            </w: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jc w:val="right"/>
              <w:ind w:right="68"/>
              <w:spacing w:after="0"/>
              <w:rPr>
                <w:sz w:val="20"/>
                <w:szCs w:val="20"/>
                <w:color w:val="auto"/>
              </w:rPr>
            </w:pPr>
            <w:r>
              <w:rPr>
                <w:rFonts w:ascii="Arial" w:cs="Arial" w:eastAsia="Arial" w:hAnsi="Arial"/>
                <w:sz w:val="14"/>
                <w:szCs w:val="14"/>
                <w:color w:val="auto"/>
              </w:rPr>
              <w:t>1,978</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jc w:val="right"/>
              <w:ind w:right="68"/>
              <w:spacing w:after="0"/>
              <w:rPr>
                <w:sz w:val="20"/>
                <w:szCs w:val="20"/>
                <w:color w:val="auto"/>
              </w:rPr>
            </w:pPr>
            <w:r>
              <w:rPr>
                <w:rFonts w:ascii="Arial" w:cs="Arial" w:eastAsia="Arial" w:hAnsi="Arial"/>
                <w:sz w:val="14"/>
                <w:szCs w:val="14"/>
                <w:color w:val="auto"/>
              </w:rPr>
              <w:t>451</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ind w:right="68"/>
              <w:spacing w:after="0"/>
              <w:rPr>
                <w:sz w:val="20"/>
                <w:szCs w:val="20"/>
                <w:color w:val="auto"/>
              </w:rPr>
            </w:pPr>
            <w:r>
              <w:rPr>
                <w:rFonts w:ascii="Arial" w:cs="Arial" w:eastAsia="Arial" w:hAnsi="Arial"/>
                <w:sz w:val="14"/>
                <w:szCs w:val="14"/>
                <w:color w:val="auto"/>
              </w:rPr>
              <w:t>734</w:t>
            </w: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jc w:val="right"/>
              <w:ind w:right="68"/>
              <w:spacing w:after="0"/>
              <w:rPr>
                <w:sz w:val="20"/>
                <w:szCs w:val="20"/>
                <w:color w:val="auto"/>
              </w:rPr>
            </w:pPr>
            <w:r>
              <w:rPr>
                <w:rFonts w:ascii="Arial" w:cs="Arial" w:eastAsia="Arial" w:hAnsi="Arial"/>
                <w:sz w:val="14"/>
                <w:szCs w:val="14"/>
                <w:color w:val="auto"/>
              </w:rPr>
              <w:t>789</w:t>
            </w:r>
          </w:p>
        </w:tc>
        <w:tc>
          <w:tcPr>
            <w:tcW w:w="0" w:type="dxa"/>
            <w:vAlign w:val="bottom"/>
          </w:tcPr>
          <w:p>
            <w:pPr>
              <w:spacing w:after="0"/>
              <w:rPr>
                <w:sz w:val="1"/>
                <w:szCs w:val="1"/>
                <w:color w:val="auto"/>
              </w:rPr>
            </w:pPr>
          </w:p>
        </w:tc>
      </w:tr>
      <w:tr>
        <w:trPr>
          <w:trHeight w:val="208"/>
        </w:trPr>
        <w:tc>
          <w:tcPr>
            <w:tcW w:w="5120" w:type="dxa"/>
            <w:vAlign w:val="bottom"/>
            <w:shd w:val="clear" w:color="auto" w:fill="CCEEFF"/>
          </w:tcPr>
          <w:p>
            <w:pPr>
              <w:ind w:left="140"/>
              <w:spacing w:after="0"/>
              <w:rPr>
                <w:sz w:val="20"/>
                <w:szCs w:val="20"/>
                <w:color w:val="auto"/>
              </w:rPr>
            </w:pPr>
            <w:r>
              <w:rPr>
                <w:rFonts w:ascii="Arial" w:cs="Arial" w:eastAsia="Arial" w:hAnsi="Arial"/>
                <w:sz w:val="14"/>
                <w:szCs w:val="14"/>
                <w:color w:val="auto"/>
              </w:rPr>
              <w:t>Derivative assets, at fair value</w:t>
            </w: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140</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664</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190</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175</w:t>
            </w: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116</w:t>
            </w:r>
          </w:p>
        </w:tc>
        <w:tc>
          <w:tcPr>
            <w:tcW w:w="0" w:type="dxa"/>
            <w:vAlign w:val="bottom"/>
          </w:tcPr>
          <w:p>
            <w:pPr>
              <w:spacing w:after="0"/>
              <w:rPr>
                <w:sz w:val="1"/>
                <w:szCs w:val="1"/>
                <w:color w:val="auto"/>
              </w:rPr>
            </w:pPr>
          </w:p>
        </w:tc>
      </w:tr>
      <w:tr>
        <w:trPr>
          <w:trHeight w:val="135"/>
        </w:trPr>
        <w:tc>
          <w:tcPr>
            <w:tcW w:w="5120" w:type="dxa"/>
            <w:vAlign w:val="bottom"/>
          </w:tcPr>
          <w:p>
            <w:pPr>
              <w:ind w:left="140"/>
              <w:spacing w:after="0" w:line="135" w:lineRule="exact"/>
              <w:rPr>
                <w:sz w:val="20"/>
                <w:szCs w:val="20"/>
                <w:color w:val="auto"/>
              </w:rPr>
            </w:pPr>
            <w:r>
              <w:rPr>
                <w:rFonts w:ascii="Arial" w:cs="Arial" w:eastAsia="Arial" w:hAnsi="Arial"/>
                <w:sz w:val="14"/>
                <w:szCs w:val="14"/>
                <w:color w:val="auto"/>
                <w:w w:val="96"/>
              </w:rPr>
              <w:t>Receivable for investment securities sold (including pledged securities of $480, $0,</w:t>
            </w:r>
          </w:p>
        </w:tc>
        <w:tc>
          <w:tcPr>
            <w:tcW w:w="160" w:type="dxa"/>
            <w:vAlign w:val="bottom"/>
          </w:tcPr>
          <w:p>
            <w:pPr>
              <w:spacing w:after="0"/>
              <w:rPr>
                <w:sz w:val="11"/>
                <w:szCs w:val="11"/>
                <w:color w:val="auto"/>
              </w:rPr>
            </w:pPr>
          </w:p>
        </w:tc>
        <w:tc>
          <w:tcPr>
            <w:tcW w:w="980" w:type="dxa"/>
            <w:vAlign w:val="bottom"/>
            <w:vMerge w:val="restart"/>
          </w:tcPr>
          <w:p>
            <w:pPr>
              <w:jc w:val="right"/>
              <w:ind w:right="68"/>
              <w:spacing w:after="0"/>
              <w:rPr>
                <w:sz w:val="20"/>
                <w:szCs w:val="20"/>
                <w:color w:val="auto"/>
              </w:rPr>
            </w:pPr>
            <w:r>
              <w:rPr>
                <w:rFonts w:ascii="Arial" w:cs="Arial" w:eastAsia="Arial" w:hAnsi="Arial"/>
                <w:sz w:val="14"/>
                <w:szCs w:val="14"/>
                <w:color w:val="auto"/>
              </w:rPr>
              <w:t>489</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gridSpan w:val="2"/>
            <w:vMerge w:val="restart"/>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1"/>
                <w:szCs w:val="11"/>
                <w:color w:val="auto"/>
              </w:rPr>
            </w:pPr>
          </w:p>
        </w:tc>
        <w:tc>
          <w:tcPr>
            <w:tcW w:w="1120" w:type="dxa"/>
            <w:vAlign w:val="bottom"/>
            <w:gridSpan w:val="2"/>
            <w:vMerge w:val="restart"/>
          </w:tcPr>
          <w:p>
            <w:pPr>
              <w:jc w:val="right"/>
              <w:ind w:right="2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1"/>
                <w:szCs w:val="11"/>
                <w:color w:val="auto"/>
              </w:rPr>
            </w:pPr>
          </w:p>
        </w:tc>
        <w:tc>
          <w:tcPr>
            <w:tcW w:w="1000" w:type="dxa"/>
            <w:vAlign w:val="bottom"/>
            <w:vMerge w:val="restart"/>
          </w:tcPr>
          <w:p>
            <w:pPr>
              <w:jc w:val="right"/>
              <w:ind w:right="68"/>
              <w:spacing w:after="0"/>
              <w:rPr>
                <w:sz w:val="20"/>
                <w:szCs w:val="20"/>
                <w:color w:val="auto"/>
              </w:rPr>
            </w:pPr>
            <w:r>
              <w:rPr>
                <w:rFonts w:ascii="Arial" w:cs="Arial" w:eastAsia="Arial" w:hAnsi="Arial"/>
                <w:sz w:val="14"/>
                <w:szCs w:val="14"/>
                <w:color w:val="auto"/>
              </w:rPr>
              <w:t>105</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80" w:type="dxa"/>
            <w:vAlign w:val="bottom"/>
            <w:vMerge w:val="restart"/>
          </w:tcPr>
          <w:p>
            <w:pPr>
              <w:jc w:val="right"/>
              <w:ind w:right="68"/>
              <w:spacing w:after="0"/>
              <w:rPr>
                <w:sz w:val="20"/>
                <w:szCs w:val="20"/>
                <w:color w:val="auto"/>
              </w:rPr>
            </w:pPr>
            <w:r>
              <w:rPr>
                <w:rFonts w:ascii="Arial" w:cs="Arial" w:eastAsia="Arial" w:hAnsi="Arial"/>
                <w:sz w:val="14"/>
                <w:szCs w:val="14"/>
                <w:color w:val="auto"/>
              </w:rPr>
              <w:t>679</w:t>
            </w:r>
          </w:p>
        </w:tc>
        <w:tc>
          <w:tcPr>
            <w:tcW w:w="0" w:type="dxa"/>
            <w:vAlign w:val="bottom"/>
          </w:tcPr>
          <w:p>
            <w:pPr>
              <w:spacing w:after="0"/>
              <w:rPr>
                <w:sz w:val="1"/>
                <w:szCs w:val="1"/>
                <w:color w:val="auto"/>
              </w:rPr>
            </w:pPr>
          </w:p>
        </w:tc>
      </w:tr>
      <w:tr>
        <w:trPr>
          <w:trHeight w:val="186"/>
        </w:trPr>
        <w:tc>
          <w:tcPr>
            <w:tcW w:w="5120" w:type="dxa"/>
            <w:vAlign w:val="bottom"/>
          </w:tcPr>
          <w:p>
            <w:pPr>
              <w:ind w:left="140"/>
              <w:spacing w:after="0"/>
              <w:rPr>
                <w:sz w:val="20"/>
                <w:szCs w:val="20"/>
                <w:color w:val="auto"/>
              </w:rPr>
            </w:pPr>
            <w:r>
              <w:rPr>
                <w:rFonts w:ascii="Arial" w:cs="Arial" w:eastAsia="Arial" w:hAnsi="Arial"/>
                <w:sz w:val="14"/>
                <w:szCs w:val="14"/>
                <w:color w:val="auto"/>
              </w:rPr>
              <w:t>$0, $105 and $673, respectively)</w:t>
            </w:r>
          </w:p>
        </w:tc>
        <w:tc>
          <w:tcPr>
            <w:tcW w:w="160" w:type="dxa"/>
            <w:vAlign w:val="bottom"/>
          </w:tcPr>
          <w:p>
            <w:pPr>
              <w:spacing w:after="0"/>
              <w:rPr>
                <w:sz w:val="16"/>
                <w:szCs w:val="16"/>
                <w:color w:val="auto"/>
              </w:rPr>
            </w:pPr>
          </w:p>
        </w:tc>
        <w:tc>
          <w:tcPr>
            <w:tcW w:w="98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80" w:type="dxa"/>
            <w:vAlign w:val="bottom"/>
            <w:gridSpan w:val="2"/>
            <w:vMerge w:val="continue"/>
          </w:tcPr>
          <w:p>
            <w:pPr>
              <w:spacing w:after="0"/>
              <w:rPr>
                <w:sz w:val="16"/>
                <w:szCs w:val="16"/>
                <w:color w:val="auto"/>
              </w:rPr>
            </w:pPr>
          </w:p>
        </w:tc>
        <w:tc>
          <w:tcPr>
            <w:tcW w:w="140" w:type="dxa"/>
            <w:vAlign w:val="bottom"/>
          </w:tcPr>
          <w:p>
            <w:pPr>
              <w:spacing w:after="0"/>
              <w:rPr>
                <w:sz w:val="16"/>
                <w:szCs w:val="16"/>
                <w:color w:val="auto"/>
              </w:rPr>
            </w:pPr>
          </w:p>
        </w:tc>
        <w:tc>
          <w:tcPr>
            <w:tcW w:w="112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100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6"/>
        </w:trPr>
        <w:tc>
          <w:tcPr>
            <w:tcW w:w="5120" w:type="dxa"/>
            <w:vAlign w:val="bottom"/>
            <w:shd w:val="clear" w:color="auto" w:fill="CCEEFF"/>
          </w:tcPr>
          <w:p>
            <w:pPr>
              <w:ind w:left="140"/>
              <w:spacing w:after="0"/>
              <w:rPr>
                <w:sz w:val="20"/>
                <w:szCs w:val="20"/>
                <w:color w:val="auto"/>
              </w:rPr>
            </w:pPr>
            <w:r>
              <w:rPr>
                <w:rFonts w:ascii="Arial" w:cs="Arial" w:eastAsia="Arial" w:hAnsi="Arial"/>
                <w:sz w:val="14"/>
                <w:szCs w:val="14"/>
                <w:color w:val="auto"/>
              </w:rPr>
              <w:t>Receivable under reverse repurchase agreements</w:t>
            </w: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7,944</w:t>
            </w: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4,938</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10,181</w:t>
            </w: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6,093</w:t>
            </w: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8,848</w:t>
            </w:r>
          </w:p>
        </w:tc>
        <w:tc>
          <w:tcPr>
            <w:tcW w:w="0" w:type="dxa"/>
            <w:vAlign w:val="bottom"/>
          </w:tcPr>
          <w:p>
            <w:pPr>
              <w:spacing w:after="0"/>
              <w:rPr>
                <w:sz w:val="1"/>
                <w:szCs w:val="1"/>
                <w:color w:val="auto"/>
              </w:rPr>
            </w:pPr>
          </w:p>
        </w:tc>
      </w:tr>
      <w:tr>
        <w:trPr>
          <w:trHeight w:val="197"/>
        </w:trPr>
        <w:tc>
          <w:tcPr>
            <w:tcW w:w="5120" w:type="dxa"/>
            <w:vAlign w:val="bottom"/>
          </w:tcPr>
          <w:p>
            <w:pPr>
              <w:ind w:left="120"/>
              <w:spacing w:after="0"/>
              <w:rPr>
                <w:sz w:val="20"/>
                <w:szCs w:val="20"/>
                <w:color w:val="auto"/>
              </w:rPr>
            </w:pPr>
            <w:r>
              <w:rPr>
                <w:rFonts w:ascii="Arial" w:cs="Arial" w:eastAsia="Arial" w:hAnsi="Arial"/>
                <w:sz w:val="14"/>
                <w:szCs w:val="14"/>
                <w:color w:val="auto"/>
              </w:rPr>
              <w:t>Goodwill</w:t>
            </w:r>
          </w:p>
        </w:tc>
        <w:tc>
          <w:tcPr>
            <w:tcW w:w="160" w:type="dxa"/>
            <w:vAlign w:val="bottom"/>
          </w:tcPr>
          <w:p>
            <w:pPr>
              <w:spacing w:after="0"/>
              <w:rPr>
                <w:sz w:val="17"/>
                <w:szCs w:val="17"/>
                <w:color w:val="auto"/>
              </w:rPr>
            </w:pPr>
          </w:p>
        </w:tc>
        <w:tc>
          <w:tcPr>
            <w:tcW w:w="980" w:type="dxa"/>
            <w:vAlign w:val="bottom"/>
          </w:tcPr>
          <w:p>
            <w:pPr>
              <w:jc w:val="right"/>
              <w:ind w:right="68"/>
              <w:spacing w:after="0"/>
              <w:rPr>
                <w:sz w:val="20"/>
                <w:szCs w:val="20"/>
                <w:color w:val="auto"/>
              </w:rPr>
            </w:pPr>
            <w:r>
              <w:rPr>
                <w:rFonts w:ascii="Arial" w:cs="Arial" w:eastAsia="Arial" w:hAnsi="Arial"/>
                <w:sz w:val="14"/>
                <w:szCs w:val="14"/>
                <w:color w:val="auto"/>
              </w:rPr>
              <w:t>526</w:t>
            </w: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jc w:val="right"/>
              <w:ind w:right="68"/>
              <w:spacing w:after="0"/>
              <w:rPr>
                <w:sz w:val="20"/>
                <w:szCs w:val="20"/>
                <w:color w:val="auto"/>
              </w:rPr>
            </w:pPr>
            <w:r>
              <w:rPr>
                <w:rFonts w:ascii="Arial" w:cs="Arial" w:eastAsia="Arial" w:hAnsi="Arial"/>
                <w:sz w:val="14"/>
                <w:szCs w:val="14"/>
                <w:color w:val="auto"/>
              </w:rPr>
              <w:t>526</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jc w:val="right"/>
              <w:ind w:right="68"/>
              <w:spacing w:after="0"/>
              <w:rPr>
                <w:sz w:val="20"/>
                <w:szCs w:val="20"/>
                <w:color w:val="auto"/>
              </w:rPr>
            </w:pPr>
            <w:r>
              <w:rPr>
                <w:rFonts w:ascii="Arial" w:cs="Arial" w:eastAsia="Arial" w:hAnsi="Arial"/>
                <w:sz w:val="14"/>
                <w:szCs w:val="14"/>
                <w:color w:val="auto"/>
              </w:rPr>
              <w:t>526</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ind w:right="68"/>
              <w:spacing w:after="0"/>
              <w:rPr>
                <w:sz w:val="20"/>
                <w:szCs w:val="20"/>
                <w:color w:val="auto"/>
              </w:rPr>
            </w:pPr>
            <w:r>
              <w:rPr>
                <w:rFonts w:ascii="Arial" w:cs="Arial" w:eastAsia="Arial" w:hAnsi="Arial"/>
                <w:sz w:val="14"/>
                <w:szCs w:val="14"/>
                <w:color w:val="auto"/>
              </w:rPr>
              <w:t>526</w:t>
            </w: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jc w:val="right"/>
              <w:ind w:right="68"/>
              <w:spacing w:after="0"/>
              <w:rPr>
                <w:sz w:val="20"/>
                <w:szCs w:val="20"/>
                <w:color w:val="auto"/>
              </w:rPr>
            </w:pPr>
            <w:r>
              <w:rPr>
                <w:rFonts w:ascii="Arial" w:cs="Arial" w:eastAsia="Arial" w:hAnsi="Arial"/>
                <w:sz w:val="14"/>
                <w:szCs w:val="14"/>
                <w:color w:val="auto"/>
              </w:rPr>
              <w:t>526</w:t>
            </w:r>
          </w:p>
        </w:tc>
        <w:tc>
          <w:tcPr>
            <w:tcW w:w="0" w:type="dxa"/>
            <w:vAlign w:val="bottom"/>
          </w:tcPr>
          <w:p>
            <w:pPr>
              <w:spacing w:after="0"/>
              <w:rPr>
                <w:sz w:val="1"/>
                <w:szCs w:val="1"/>
                <w:color w:val="auto"/>
              </w:rPr>
            </w:pPr>
          </w:p>
        </w:tc>
      </w:tr>
      <w:tr>
        <w:trPr>
          <w:trHeight w:val="203"/>
        </w:trPr>
        <w:tc>
          <w:tcPr>
            <w:tcW w:w="5120" w:type="dxa"/>
            <w:vAlign w:val="bottom"/>
            <w:shd w:val="clear" w:color="auto" w:fill="CCEEFF"/>
          </w:tcPr>
          <w:p>
            <w:pPr>
              <w:ind w:left="140"/>
              <w:spacing w:after="0"/>
              <w:rPr>
                <w:sz w:val="20"/>
                <w:szCs w:val="20"/>
                <w:color w:val="auto"/>
              </w:rPr>
            </w:pPr>
            <w:r>
              <w:rPr>
                <w:rFonts w:ascii="Arial" w:cs="Arial" w:eastAsia="Arial" w:hAnsi="Arial"/>
                <w:sz w:val="14"/>
                <w:szCs w:val="14"/>
                <w:color w:val="auto"/>
              </w:rPr>
              <w:t>Other assets</w:t>
            </w:r>
          </w:p>
        </w:tc>
        <w:tc>
          <w:tcPr>
            <w:tcW w:w="16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265</w:t>
            </w:r>
          </w:p>
        </w:tc>
        <w:tc>
          <w:tcPr>
            <w:tcW w:w="10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245</w:t>
            </w:r>
          </w:p>
        </w:tc>
        <w:tc>
          <w:tcPr>
            <w:tcW w:w="1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364</w:t>
            </w:r>
          </w:p>
        </w:tc>
        <w:tc>
          <w:tcPr>
            <w:tcW w:w="12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324</w:t>
            </w:r>
          </w:p>
        </w:tc>
        <w:tc>
          <w:tcPr>
            <w:tcW w:w="12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325</w:t>
            </w:r>
          </w:p>
        </w:tc>
        <w:tc>
          <w:tcPr>
            <w:tcW w:w="0" w:type="dxa"/>
            <w:vAlign w:val="bottom"/>
          </w:tcPr>
          <w:p>
            <w:pPr>
              <w:spacing w:after="0"/>
              <w:rPr>
                <w:sz w:val="1"/>
                <w:szCs w:val="1"/>
                <w:color w:val="auto"/>
              </w:rPr>
            </w:pPr>
          </w:p>
        </w:tc>
      </w:tr>
      <w:tr>
        <w:trPr>
          <w:trHeight w:val="202"/>
        </w:trPr>
        <w:tc>
          <w:tcPr>
            <w:tcW w:w="5120" w:type="dxa"/>
            <w:vAlign w:val="bottom"/>
          </w:tcPr>
          <w:p>
            <w:pPr>
              <w:ind w:left="300"/>
              <w:spacing w:after="0"/>
              <w:rPr>
                <w:sz w:val="20"/>
                <w:szCs w:val="20"/>
                <w:color w:val="auto"/>
              </w:rPr>
            </w:pPr>
            <w:r>
              <w:rPr>
                <w:rFonts w:ascii="Arial" w:cs="Arial" w:eastAsia="Arial" w:hAnsi="Arial"/>
                <w:sz w:val="14"/>
                <w:szCs w:val="14"/>
                <w:color w:val="auto"/>
              </w:rPr>
              <w:t>Total assets</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89,853</w:t>
            </w:r>
          </w:p>
        </w:tc>
        <w:tc>
          <w:tcPr>
            <w:tcW w:w="100" w:type="dxa"/>
            <w:vAlign w:val="bottom"/>
          </w:tcPr>
          <w:p>
            <w:pPr>
              <w:spacing w:after="0"/>
              <w:rPr>
                <w:sz w:val="17"/>
                <w:szCs w:val="17"/>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85,137</w:t>
            </w:r>
          </w:p>
        </w:tc>
        <w:tc>
          <w:tcPr>
            <w:tcW w:w="100" w:type="dxa"/>
            <w:vAlign w:val="bottom"/>
          </w:tcPr>
          <w:p>
            <w:pPr>
              <w:spacing w:after="0"/>
              <w:rPr>
                <w:sz w:val="17"/>
                <w:szCs w:val="17"/>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113,082</w:t>
            </w:r>
          </w:p>
        </w:tc>
        <w:tc>
          <w:tcPr>
            <w:tcW w:w="120" w:type="dxa"/>
            <w:vAlign w:val="bottom"/>
          </w:tcPr>
          <w:p>
            <w:pPr>
              <w:spacing w:after="0"/>
              <w:rPr>
                <w:sz w:val="17"/>
                <w:szCs w:val="17"/>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10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109,761</w:t>
            </w:r>
          </w:p>
        </w:tc>
        <w:tc>
          <w:tcPr>
            <w:tcW w:w="120" w:type="dxa"/>
            <w:vAlign w:val="bottom"/>
          </w:tcPr>
          <w:p>
            <w:pPr>
              <w:spacing w:after="0"/>
              <w:rPr>
                <w:sz w:val="17"/>
                <w:szCs w:val="17"/>
                <w:color w:val="auto"/>
              </w:rPr>
            </w:pPr>
          </w:p>
        </w:tc>
        <w:tc>
          <w:tcPr>
            <w:tcW w:w="1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w w:val="76"/>
              </w:rPr>
              <w:t>$</w:t>
            </w:r>
          </w:p>
        </w:tc>
        <w:tc>
          <w:tcPr>
            <w:tcW w:w="9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106,576</w:t>
            </w:r>
          </w:p>
        </w:tc>
        <w:tc>
          <w:tcPr>
            <w:tcW w:w="0" w:type="dxa"/>
            <w:vAlign w:val="bottom"/>
          </w:tcPr>
          <w:p>
            <w:pPr>
              <w:spacing w:after="0"/>
              <w:rPr>
                <w:sz w:val="1"/>
                <w:szCs w:val="1"/>
                <w:color w:val="auto"/>
              </w:rPr>
            </w:pPr>
          </w:p>
        </w:tc>
      </w:tr>
      <w:tr>
        <w:trPr>
          <w:trHeight w:val="20"/>
        </w:trPr>
        <w:tc>
          <w:tcPr>
            <w:tcW w:w="512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9"/>
        </w:trPr>
        <w:tc>
          <w:tcPr>
            <w:tcW w:w="512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Liabilities:</w:t>
            </w:r>
          </w:p>
        </w:tc>
        <w:tc>
          <w:tcPr>
            <w:tcW w:w="160" w:type="dxa"/>
            <w:vAlign w:val="bottom"/>
            <w:shd w:val="clear" w:color="auto" w:fill="CCEEFF"/>
          </w:tcPr>
          <w:p>
            <w:pPr>
              <w:spacing w:after="0"/>
              <w:rPr>
                <w:sz w:val="14"/>
                <w:szCs w:val="14"/>
                <w:color w:val="auto"/>
              </w:rPr>
            </w:pPr>
          </w:p>
        </w:tc>
        <w:tc>
          <w:tcPr>
            <w:tcW w:w="9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9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9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7"/>
        </w:trPr>
        <w:tc>
          <w:tcPr>
            <w:tcW w:w="5120" w:type="dxa"/>
            <w:vAlign w:val="bottom"/>
          </w:tcPr>
          <w:p>
            <w:pPr>
              <w:ind w:left="140"/>
              <w:spacing w:after="0"/>
              <w:rPr>
                <w:sz w:val="20"/>
                <w:szCs w:val="20"/>
                <w:color w:val="auto"/>
              </w:rPr>
            </w:pPr>
            <w:r>
              <w:rPr>
                <w:rFonts w:ascii="Arial" w:cs="Arial" w:eastAsia="Arial" w:hAnsi="Arial"/>
                <w:sz w:val="14"/>
                <w:szCs w:val="14"/>
                <w:color w:val="auto"/>
              </w:rPr>
              <w:t>Repurchase agreements</w:t>
            </w: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68"/>
              <w:spacing w:after="0"/>
              <w:rPr>
                <w:sz w:val="20"/>
                <w:szCs w:val="20"/>
                <w:color w:val="auto"/>
              </w:rPr>
            </w:pPr>
            <w:r>
              <w:rPr>
                <w:rFonts w:ascii="Arial" w:cs="Arial" w:eastAsia="Arial" w:hAnsi="Arial"/>
                <w:sz w:val="14"/>
                <w:szCs w:val="14"/>
                <w:color w:val="auto"/>
              </w:rPr>
              <w:t>69,685</w:t>
            </w:r>
          </w:p>
        </w:tc>
        <w:tc>
          <w:tcPr>
            <w:tcW w:w="100" w:type="dxa"/>
            <w:vAlign w:val="bottom"/>
          </w:tcPr>
          <w:p>
            <w:pPr>
              <w:spacing w:after="0"/>
              <w:rPr>
                <w:sz w:val="17"/>
                <w:szCs w:val="17"/>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68"/>
              <w:spacing w:after="0"/>
              <w:rPr>
                <w:sz w:val="20"/>
                <w:szCs w:val="20"/>
                <w:color w:val="auto"/>
              </w:rPr>
            </w:pPr>
            <w:r>
              <w:rPr>
                <w:rFonts w:ascii="Arial" w:cs="Arial" w:eastAsia="Arial" w:hAnsi="Arial"/>
                <w:sz w:val="14"/>
                <w:szCs w:val="14"/>
                <w:color w:val="auto"/>
              </w:rPr>
              <w:t>66,540</w:t>
            </w:r>
          </w:p>
        </w:tc>
        <w:tc>
          <w:tcPr>
            <w:tcW w:w="100" w:type="dxa"/>
            <w:vAlign w:val="bottom"/>
          </w:tcPr>
          <w:p>
            <w:pPr>
              <w:spacing w:after="0"/>
              <w:rPr>
                <w:sz w:val="17"/>
                <w:szCs w:val="17"/>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68"/>
              <w:spacing w:after="0"/>
              <w:rPr>
                <w:sz w:val="20"/>
                <w:szCs w:val="20"/>
                <w:color w:val="auto"/>
              </w:rPr>
            </w:pPr>
            <w:r>
              <w:rPr>
                <w:rFonts w:ascii="Arial" w:cs="Arial" w:eastAsia="Arial" w:hAnsi="Arial"/>
                <w:sz w:val="14"/>
                <w:szCs w:val="14"/>
                <w:color w:val="auto"/>
              </w:rPr>
              <w:t>89,182</w:t>
            </w:r>
          </w:p>
        </w:tc>
        <w:tc>
          <w:tcPr>
            <w:tcW w:w="120" w:type="dxa"/>
            <w:vAlign w:val="bottom"/>
          </w:tcPr>
          <w:p>
            <w:pPr>
              <w:spacing w:after="0"/>
              <w:rPr>
                <w:sz w:val="17"/>
                <w:szCs w:val="17"/>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00" w:type="dxa"/>
            <w:vAlign w:val="bottom"/>
          </w:tcPr>
          <w:p>
            <w:pPr>
              <w:jc w:val="right"/>
              <w:ind w:right="68"/>
              <w:spacing w:after="0"/>
              <w:rPr>
                <w:sz w:val="20"/>
                <w:szCs w:val="20"/>
                <w:color w:val="auto"/>
              </w:rPr>
            </w:pPr>
            <w:r>
              <w:rPr>
                <w:rFonts w:ascii="Arial" w:cs="Arial" w:eastAsia="Arial" w:hAnsi="Arial"/>
                <w:sz w:val="14"/>
                <w:szCs w:val="14"/>
                <w:color w:val="auto"/>
              </w:rPr>
              <w:t>90,612</w:t>
            </w:r>
          </w:p>
        </w:tc>
        <w:tc>
          <w:tcPr>
            <w:tcW w:w="120" w:type="dxa"/>
            <w:vAlign w:val="bottom"/>
          </w:tcPr>
          <w:p>
            <w:pPr>
              <w:spacing w:after="0"/>
              <w:rPr>
                <w:sz w:val="17"/>
                <w:szCs w:val="17"/>
                <w:color w:val="auto"/>
              </w:rPr>
            </w:pPr>
          </w:p>
        </w:tc>
        <w:tc>
          <w:tcPr>
            <w:tcW w:w="160" w:type="dxa"/>
            <w:vAlign w:val="bottom"/>
          </w:tcPr>
          <w:p>
            <w:pPr>
              <w:jc w:val="right"/>
              <w:ind w:right="8"/>
              <w:spacing w:after="0"/>
              <w:rPr>
                <w:sz w:val="20"/>
                <w:szCs w:val="20"/>
                <w:color w:val="auto"/>
              </w:rPr>
            </w:pPr>
            <w:r>
              <w:rPr>
                <w:rFonts w:ascii="Arial" w:cs="Arial" w:eastAsia="Arial" w:hAnsi="Arial"/>
                <w:sz w:val="14"/>
                <w:szCs w:val="14"/>
                <w:color w:val="auto"/>
                <w:w w:val="76"/>
              </w:rPr>
              <w:t>$</w:t>
            </w:r>
          </w:p>
        </w:tc>
        <w:tc>
          <w:tcPr>
            <w:tcW w:w="980" w:type="dxa"/>
            <w:vAlign w:val="bottom"/>
          </w:tcPr>
          <w:p>
            <w:pPr>
              <w:jc w:val="right"/>
              <w:ind w:right="68"/>
              <w:spacing w:after="0"/>
              <w:rPr>
                <w:sz w:val="20"/>
                <w:szCs w:val="20"/>
                <w:color w:val="auto"/>
              </w:rPr>
            </w:pPr>
            <w:r>
              <w:rPr>
                <w:rFonts w:ascii="Arial" w:cs="Arial" w:eastAsia="Arial" w:hAnsi="Arial"/>
                <w:sz w:val="14"/>
                <w:szCs w:val="14"/>
                <w:color w:val="auto"/>
              </w:rPr>
              <w:t>86,266</w:t>
            </w:r>
          </w:p>
        </w:tc>
        <w:tc>
          <w:tcPr>
            <w:tcW w:w="0" w:type="dxa"/>
            <w:vAlign w:val="bottom"/>
          </w:tcPr>
          <w:p>
            <w:pPr>
              <w:spacing w:after="0"/>
              <w:rPr>
                <w:sz w:val="1"/>
                <w:szCs w:val="1"/>
                <w:color w:val="auto"/>
              </w:rPr>
            </w:pPr>
          </w:p>
        </w:tc>
      </w:tr>
      <w:tr>
        <w:trPr>
          <w:trHeight w:val="208"/>
        </w:trPr>
        <w:tc>
          <w:tcPr>
            <w:tcW w:w="5120" w:type="dxa"/>
            <w:vAlign w:val="bottom"/>
            <w:shd w:val="clear" w:color="auto" w:fill="CCEEFF"/>
          </w:tcPr>
          <w:p>
            <w:pPr>
              <w:ind w:left="120"/>
              <w:spacing w:after="0"/>
              <w:rPr>
                <w:sz w:val="20"/>
                <w:szCs w:val="20"/>
                <w:color w:val="auto"/>
              </w:rPr>
            </w:pPr>
            <w:r>
              <w:rPr>
                <w:rFonts w:ascii="Arial" w:cs="Arial" w:eastAsia="Arial" w:hAnsi="Arial"/>
                <w:sz w:val="14"/>
                <w:szCs w:val="14"/>
                <w:color w:val="auto"/>
              </w:rPr>
              <w:t>Debt of consolidated variable interest entities, at fair value</w:t>
            </w: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204</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214</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228</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238</w:t>
            </w: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251</w:t>
            </w:r>
          </w:p>
        </w:tc>
        <w:tc>
          <w:tcPr>
            <w:tcW w:w="0" w:type="dxa"/>
            <w:vAlign w:val="bottom"/>
          </w:tcPr>
          <w:p>
            <w:pPr>
              <w:spacing w:after="0"/>
              <w:rPr>
                <w:sz w:val="1"/>
                <w:szCs w:val="1"/>
                <w:color w:val="auto"/>
              </w:rPr>
            </w:pPr>
          </w:p>
        </w:tc>
      </w:tr>
      <w:tr>
        <w:trPr>
          <w:trHeight w:val="197"/>
        </w:trPr>
        <w:tc>
          <w:tcPr>
            <w:tcW w:w="5120" w:type="dxa"/>
            <w:vAlign w:val="bottom"/>
          </w:tcPr>
          <w:p>
            <w:pPr>
              <w:ind w:left="140"/>
              <w:spacing w:after="0"/>
              <w:rPr>
                <w:sz w:val="20"/>
                <w:szCs w:val="20"/>
                <w:color w:val="auto"/>
              </w:rPr>
            </w:pPr>
            <w:r>
              <w:rPr>
                <w:rFonts w:ascii="Arial" w:cs="Arial" w:eastAsia="Arial" w:hAnsi="Arial"/>
                <w:sz w:val="14"/>
                <w:szCs w:val="14"/>
                <w:color w:val="auto"/>
              </w:rPr>
              <w:t>Payable for investment securities purchased</w:t>
            </w:r>
          </w:p>
        </w:tc>
        <w:tc>
          <w:tcPr>
            <w:tcW w:w="160" w:type="dxa"/>
            <w:vAlign w:val="bottom"/>
          </w:tcPr>
          <w:p>
            <w:pPr>
              <w:spacing w:after="0"/>
              <w:rPr>
                <w:sz w:val="17"/>
                <w:szCs w:val="17"/>
                <w:color w:val="auto"/>
              </w:rPr>
            </w:pPr>
          </w:p>
        </w:tc>
        <w:tc>
          <w:tcPr>
            <w:tcW w:w="980" w:type="dxa"/>
            <w:vAlign w:val="bottom"/>
          </w:tcPr>
          <w:p>
            <w:pPr>
              <w:jc w:val="right"/>
              <w:ind w:right="68"/>
              <w:spacing w:after="0"/>
              <w:rPr>
                <w:sz w:val="20"/>
                <w:szCs w:val="20"/>
                <w:color w:val="auto"/>
              </w:rPr>
            </w:pPr>
            <w:r>
              <w:rPr>
                <w:rFonts w:ascii="Arial" w:cs="Arial" w:eastAsia="Arial" w:hAnsi="Arial"/>
                <w:sz w:val="14"/>
                <w:szCs w:val="14"/>
                <w:color w:val="auto"/>
              </w:rPr>
              <w:t>1,468</w:t>
            </w: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jc w:val="right"/>
              <w:ind w:right="68"/>
              <w:spacing w:after="0"/>
              <w:rPr>
                <w:sz w:val="20"/>
                <w:szCs w:val="20"/>
                <w:color w:val="auto"/>
              </w:rPr>
            </w:pPr>
            <w:r>
              <w:rPr>
                <w:rFonts w:ascii="Arial" w:cs="Arial" w:eastAsia="Arial" w:hAnsi="Arial"/>
                <w:sz w:val="14"/>
                <w:szCs w:val="14"/>
                <w:color w:val="auto"/>
              </w:rPr>
              <w:t>3,273</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jc w:val="right"/>
              <w:ind w:right="68"/>
              <w:spacing w:after="0"/>
              <w:rPr>
                <w:sz w:val="20"/>
                <w:szCs w:val="20"/>
                <w:color w:val="auto"/>
              </w:rPr>
            </w:pPr>
            <w:r>
              <w:rPr>
                <w:rFonts w:ascii="Arial" w:cs="Arial" w:eastAsia="Arial" w:hAnsi="Arial"/>
                <w:sz w:val="14"/>
                <w:szCs w:val="14"/>
                <w:color w:val="auto"/>
              </w:rPr>
              <w:t>2,554</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ind w:right="68"/>
              <w:spacing w:after="0"/>
              <w:rPr>
                <w:sz w:val="20"/>
                <w:szCs w:val="20"/>
                <w:color w:val="auto"/>
              </w:rPr>
            </w:pPr>
            <w:r>
              <w:rPr>
                <w:rFonts w:ascii="Arial" w:cs="Arial" w:eastAsia="Arial" w:hAnsi="Arial"/>
                <w:sz w:val="14"/>
                <w:szCs w:val="14"/>
                <w:color w:val="auto"/>
              </w:rPr>
              <w:t>3,094</w:t>
            </w: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jc w:val="right"/>
              <w:ind w:right="68"/>
              <w:spacing w:after="0"/>
              <w:rPr>
                <w:sz w:val="20"/>
                <w:szCs w:val="20"/>
                <w:color w:val="auto"/>
              </w:rPr>
            </w:pPr>
            <w:r>
              <w:rPr>
                <w:rFonts w:ascii="Arial" w:cs="Arial" w:eastAsia="Arial" w:hAnsi="Arial"/>
                <w:sz w:val="14"/>
                <w:szCs w:val="14"/>
                <w:color w:val="auto"/>
              </w:rPr>
              <w:t>878</w:t>
            </w:r>
          </w:p>
        </w:tc>
        <w:tc>
          <w:tcPr>
            <w:tcW w:w="0" w:type="dxa"/>
            <w:vAlign w:val="bottom"/>
          </w:tcPr>
          <w:p>
            <w:pPr>
              <w:spacing w:after="0"/>
              <w:rPr>
                <w:sz w:val="1"/>
                <w:szCs w:val="1"/>
                <w:color w:val="auto"/>
              </w:rPr>
            </w:pPr>
          </w:p>
        </w:tc>
      </w:tr>
      <w:tr>
        <w:trPr>
          <w:trHeight w:val="208"/>
        </w:trPr>
        <w:tc>
          <w:tcPr>
            <w:tcW w:w="5120" w:type="dxa"/>
            <w:vAlign w:val="bottom"/>
            <w:shd w:val="clear" w:color="auto" w:fill="CCEEFF"/>
          </w:tcPr>
          <w:p>
            <w:pPr>
              <w:ind w:left="140"/>
              <w:spacing w:after="0"/>
              <w:rPr>
                <w:sz w:val="20"/>
                <w:szCs w:val="20"/>
                <w:color w:val="auto"/>
              </w:rPr>
            </w:pPr>
            <w:r>
              <w:rPr>
                <w:rFonts w:ascii="Arial" w:cs="Arial" w:eastAsia="Arial" w:hAnsi="Arial"/>
                <w:sz w:val="14"/>
                <w:szCs w:val="14"/>
                <w:color w:val="auto"/>
              </w:rPr>
              <w:t>Derivative liabilities, at fair value</w:t>
            </w: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3</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138</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6</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22</w:t>
            </w: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63</w:t>
            </w:r>
          </w:p>
        </w:tc>
        <w:tc>
          <w:tcPr>
            <w:tcW w:w="0" w:type="dxa"/>
            <w:vAlign w:val="bottom"/>
          </w:tcPr>
          <w:p>
            <w:pPr>
              <w:spacing w:after="0"/>
              <w:rPr>
                <w:sz w:val="1"/>
                <w:szCs w:val="1"/>
                <w:color w:val="auto"/>
              </w:rPr>
            </w:pPr>
          </w:p>
        </w:tc>
      </w:tr>
      <w:tr>
        <w:trPr>
          <w:trHeight w:val="197"/>
        </w:trPr>
        <w:tc>
          <w:tcPr>
            <w:tcW w:w="5120" w:type="dxa"/>
            <w:vAlign w:val="bottom"/>
          </w:tcPr>
          <w:p>
            <w:pPr>
              <w:ind w:left="140"/>
              <w:spacing w:after="0"/>
              <w:rPr>
                <w:sz w:val="20"/>
                <w:szCs w:val="20"/>
                <w:color w:val="auto"/>
              </w:rPr>
            </w:pPr>
            <w:r>
              <w:rPr>
                <w:rFonts w:ascii="Arial" w:cs="Arial" w:eastAsia="Arial" w:hAnsi="Arial"/>
                <w:sz w:val="14"/>
                <w:szCs w:val="14"/>
                <w:color w:val="auto"/>
              </w:rPr>
              <w:t>Dividends payable</w:t>
            </w:r>
          </w:p>
        </w:tc>
        <w:tc>
          <w:tcPr>
            <w:tcW w:w="160" w:type="dxa"/>
            <w:vAlign w:val="bottom"/>
          </w:tcPr>
          <w:p>
            <w:pPr>
              <w:spacing w:after="0"/>
              <w:rPr>
                <w:sz w:val="17"/>
                <w:szCs w:val="17"/>
                <w:color w:val="auto"/>
              </w:rPr>
            </w:pPr>
          </w:p>
        </w:tc>
        <w:tc>
          <w:tcPr>
            <w:tcW w:w="980" w:type="dxa"/>
            <w:vAlign w:val="bottom"/>
          </w:tcPr>
          <w:p>
            <w:pPr>
              <w:jc w:val="right"/>
              <w:ind w:right="68"/>
              <w:spacing w:after="0"/>
              <w:rPr>
                <w:sz w:val="20"/>
                <w:szCs w:val="20"/>
                <w:color w:val="auto"/>
              </w:rPr>
            </w:pPr>
            <w:r>
              <w:rPr>
                <w:rFonts w:ascii="Arial" w:cs="Arial" w:eastAsia="Arial" w:hAnsi="Arial"/>
                <w:sz w:val="14"/>
                <w:szCs w:val="14"/>
                <w:color w:val="auto"/>
              </w:rPr>
              <w:t>92</w:t>
            </w: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jc w:val="right"/>
              <w:ind w:right="68"/>
              <w:spacing w:after="0"/>
              <w:rPr>
                <w:sz w:val="20"/>
                <w:szCs w:val="20"/>
                <w:color w:val="auto"/>
              </w:rPr>
            </w:pPr>
            <w:r>
              <w:rPr>
                <w:rFonts w:ascii="Arial" w:cs="Arial" w:eastAsia="Arial" w:hAnsi="Arial"/>
                <w:sz w:val="14"/>
                <w:szCs w:val="14"/>
                <w:color w:val="auto"/>
              </w:rPr>
              <w:t>113</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jc w:val="right"/>
              <w:ind w:right="68"/>
              <w:spacing w:after="0"/>
              <w:rPr>
                <w:sz w:val="20"/>
                <w:szCs w:val="20"/>
                <w:color w:val="auto"/>
              </w:rPr>
            </w:pPr>
            <w:r>
              <w:rPr>
                <w:rFonts w:ascii="Arial" w:cs="Arial" w:eastAsia="Arial" w:hAnsi="Arial"/>
                <w:sz w:val="14"/>
                <w:szCs w:val="14"/>
                <w:color w:val="auto"/>
              </w:rPr>
              <w:t>104</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ind w:right="68"/>
              <w:spacing w:after="0"/>
              <w:rPr>
                <w:sz w:val="20"/>
                <w:szCs w:val="20"/>
                <w:color w:val="auto"/>
              </w:rPr>
            </w:pPr>
            <w:r>
              <w:rPr>
                <w:rFonts w:ascii="Arial" w:cs="Arial" w:eastAsia="Arial" w:hAnsi="Arial"/>
                <w:sz w:val="14"/>
                <w:szCs w:val="14"/>
                <w:color w:val="auto"/>
              </w:rPr>
              <w:t>100</w:t>
            </w: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jc w:val="right"/>
              <w:ind w:right="68"/>
              <w:spacing w:after="0"/>
              <w:rPr>
                <w:sz w:val="20"/>
                <w:szCs w:val="20"/>
                <w:color w:val="auto"/>
              </w:rPr>
            </w:pPr>
            <w:r>
              <w:rPr>
                <w:rFonts w:ascii="Arial" w:cs="Arial" w:eastAsia="Arial" w:hAnsi="Arial"/>
                <w:sz w:val="14"/>
                <w:szCs w:val="14"/>
                <w:color w:val="auto"/>
              </w:rPr>
              <w:t>101</w:t>
            </w:r>
          </w:p>
        </w:tc>
        <w:tc>
          <w:tcPr>
            <w:tcW w:w="0" w:type="dxa"/>
            <w:vAlign w:val="bottom"/>
          </w:tcPr>
          <w:p>
            <w:pPr>
              <w:spacing w:after="0"/>
              <w:rPr>
                <w:sz w:val="1"/>
                <w:szCs w:val="1"/>
                <w:color w:val="auto"/>
              </w:rPr>
            </w:pPr>
          </w:p>
        </w:tc>
      </w:tr>
      <w:tr>
        <w:trPr>
          <w:trHeight w:val="163"/>
        </w:trPr>
        <w:tc>
          <w:tcPr>
            <w:tcW w:w="5120" w:type="dxa"/>
            <w:vAlign w:val="bottom"/>
            <w:shd w:val="clear" w:color="auto" w:fill="CCEEFF"/>
          </w:tcPr>
          <w:p>
            <w:pPr>
              <w:ind w:left="120"/>
              <w:spacing w:after="0"/>
              <w:rPr>
                <w:sz w:val="20"/>
                <w:szCs w:val="20"/>
                <w:color w:val="auto"/>
              </w:rPr>
            </w:pPr>
            <w:r>
              <w:rPr>
                <w:rFonts w:ascii="Arial" w:cs="Arial" w:eastAsia="Arial" w:hAnsi="Arial"/>
                <w:sz w:val="14"/>
                <w:szCs w:val="14"/>
                <w:color w:val="auto"/>
              </w:rPr>
              <w:t>Obligation to return securities borrowed under reverse</w:t>
            </w:r>
          </w:p>
        </w:tc>
        <w:tc>
          <w:tcPr>
            <w:tcW w:w="160" w:type="dxa"/>
            <w:vAlign w:val="bottom"/>
            <w:shd w:val="clear" w:color="auto" w:fill="CCEEFF"/>
          </w:tcPr>
          <w:p>
            <w:pPr>
              <w:spacing w:after="0"/>
              <w:rPr>
                <w:sz w:val="14"/>
                <w:szCs w:val="14"/>
                <w:color w:val="auto"/>
              </w:rPr>
            </w:pPr>
          </w:p>
        </w:tc>
        <w:tc>
          <w:tcPr>
            <w:tcW w:w="9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9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9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5120" w:type="dxa"/>
            <w:vAlign w:val="bottom"/>
            <w:shd w:val="clear" w:color="auto" w:fill="CCEEFF"/>
          </w:tcPr>
          <w:p>
            <w:pPr>
              <w:ind w:left="80"/>
              <w:spacing w:after="0"/>
              <w:rPr>
                <w:sz w:val="20"/>
                <w:szCs w:val="20"/>
                <w:color w:val="auto"/>
              </w:rPr>
            </w:pPr>
            <w:r>
              <w:rPr>
                <w:rFonts w:ascii="Arial" w:cs="Arial" w:eastAsia="Arial" w:hAnsi="Arial"/>
                <w:sz w:val="14"/>
                <w:szCs w:val="14"/>
                <w:color w:val="auto"/>
              </w:rPr>
              <w:t>repurchase agreements, at fair value</w:t>
            </w:r>
          </w:p>
        </w:tc>
        <w:tc>
          <w:tcPr>
            <w:tcW w:w="160" w:type="dxa"/>
            <w:vAlign w:val="bottom"/>
            <w:shd w:val="clear" w:color="auto" w:fill="CCEEFF"/>
          </w:tcPr>
          <w:p>
            <w:pPr>
              <w:spacing w:after="0"/>
              <w:rPr>
                <w:sz w:val="16"/>
                <w:szCs w:val="16"/>
                <w:color w:val="auto"/>
              </w:rPr>
            </w:pPr>
          </w:p>
        </w:tc>
        <w:tc>
          <w:tcPr>
            <w:tcW w:w="9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7,929</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9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4,886</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9,543</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5,114</w:t>
            </w:r>
          </w:p>
        </w:tc>
        <w:tc>
          <w:tcPr>
            <w:tcW w:w="1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9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7,754</w:t>
            </w:r>
          </w:p>
        </w:tc>
        <w:tc>
          <w:tcPr>
            <w:tcW w:w="0" w:type="dxa"/>
            <w:vAlign w:val="bottom"/>
          </w:tcPr>
          <w:p>
            <w:pPr>
              <w:spacing w:after="0"/>
              <w:rPr>
                <w:sz w:val="1"/>
                <w:szCs w:val="1"/>
                <w:color w:val="auto"/>
              </w:rPr>
            </w:pPr>
          </w:p>
        </w:tc>
      </w:tr>
      <w:tr>
        <w:trPr>
          <w:trHeight w:val="197"/>
        </w:trPr>
        <w:tc>
          <w:tcPr>
            <w:tcW w:w="5120" w:type="dxa"/>
            <w:vAlign w:val="bottom"/>
            <w:tcBorders>
              <w:bottom w:val="single" w:sz="8" w:color="CCEEFF"/>
            </w:tcBorders>
          </w:tcPr>
          <w:p>
            <w:pPr>
              <w:ind w:left="120"/>
              <w:spacing w:after="0"/>
              <w:rPr>
                <w:sz w:val="20"/>
                <w:szCs w:val="20"/>
                <w:color w:val="auto"/>
              </w:rPr>
            </w:pPr>
            <w:r>
              <w:rPr>
                <w:rFonts w:ascii="Arial" w:cs="Arial" w:eastAsia="Arial" w:hAnsi="Arial"/>
                <w:sz w:val="14"/>
                <w:szCs w:val="14"/>
                <w:color w:val="auto"/>
              </w:rPr>
              <w:t>Accounts payable and other liabilities</w:t>
            </w:r>
          </w:p>
        </w:tc>
        <w:tc>
          <w:tcPr>
            <w:tcW w:w="16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122</w:t>
            </w:r>
          </w:p>
        </w:tc>
        <w:tc>
          <w:tcPr>
            <w:tcW w:w="10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175</w:t>
            </w:r>
          </w:p>
        </w:tc>
        <w:tc>
          <w:tcPr>
            <w:tcW w:w="10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424</w:t>
            </w:r>
          </w:p>
        </w:tc>
        <w:tc>
          <w:tcPr>
            <w:tcW w:w="12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368</w:t>
            </w:r>
          </w:p>
        </w:tc>
        <w:tc>
          <w:tcPr>
            <w:tcW w:w="12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917</w:t>
            </w:r>
          </w:p>
        </w:tc>
        <w:tc>
          <w:tcPr>
            <w:tcW w:w="0" w:type="dxa"/>
            <w:vAlign w:val="bottom"/>
          </w:tcPr>
          <w:p>
            <w:pPr>
              <w:spacing w:after="0"/>
              <w:rPr>
                <w:sz w:val="1"/>
                <w:szCs w:val="1"/>
                <w:color w:val="auto"/>
              </w:rPr>
            </w:pPr>
          </w:p>
        </w:tc>
      </w:tr>
      <w:tr>
        <w:trPr>
          <w:trHeight w:val="202"/>
        </w:trPr>
        <w:tc>
          <w:tcPr>
            <w:tcW w:w="5120" w:type="dxa"/>
            <w:vAlign w:val="bottom"/>
            <w:shd w:val="clear" w:color="auto" w:fill="CCEEFF"/>
          </w:tcPr>
          <w:p>
            <w:pPr>
              <w:ind w:left="300"/>
              <w:spacing w:after="0"/>
              <w:rPr>
                <w:sz w:val="20"/>
                <w:szCs w:val="20"/>
                <w:color w:val="auto"/>
              </w:rPr>
            </w:pPr>
            <w:r>
              <w:rPr>
                <w:rFonts w:ascii="Arial" w:cs="Arial" w:eastAsia="Arial" w:hAnsi="Arial"/>
                <w:sz w:val="14"/>
                <w:szCs w:val="14"/>
                <w:color w:val="auto"/>
              </w:rPr>
              <w:t>Total liabilities</w:t>
            </w:r>
          </w:p>
        </w:tc>
        <w:tc>
          <w:tcPr>
            <w:tcW w:w="16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79,503</w:t>
            </w:r>
          </w:p>
        </w:tc>
        <w:tc>
          <w:tcPr>
            <w:tcW w:w="10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75,339</w:t>
            </w:r>
          </w:p>
        </w:tc>
        <w:tc>
          <w:tcPr>
            <w:tcW w:w="1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102,041</w:t>
            </w:r>
          </w:p>
        </w:tc>
        <w:tc>
          <w:tcPr>
            <w:tcW w:w="12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99,548</w:t>
            </w:r>
          </w:p>
        </w:tc>
        <w:tc>
          <w:tcPr>
            <w:tcW w:w="12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96,230</w:t>
            </w:r>
          </w:p>
        </w:tc>
        <w:tc>
          <w:tcPr>
            <w:tcW w:w="0" w:type="dxa"/>
            <w:vAlign w:val="bottom"/>
          </w:tcPr>
          <w:p>
            <w:pPr>
              <w:spacing w:after="0"/>
              <w:rPr>
                <w:sz w:val="1"/>
                <w:szCs w:val="1"/>
                <w:color w:val="auto"/>
              </w:rPr>
            </w:pPr>
          </w:p>
        </w:tc>
      </w:tr>
      <w:tr>
        <w:trPr>
          <w:trHeight w:val="177"/>
        </w:trPr>
        <w:tc>
          <w:tcPr>
            <w:tcW w:w="5120" w:type="dxa"/>
            <w:vAlign w:val="bottom"/>
          </w:tcPr>
          <w:p>
            <w:pPr>
              <w:ind w:left="20"/>
              <w:spacing w:after="0"/>
              <w:rPr>
                <w:sz w:val="20"/>
                <w:szCs w:val="20"/>
                <w:color w:val="auto"/>
              </w:rPr>
            </w:pPr>
            <w:r>
              <w:rPr>
                <w:rFonts w:ascii="Arial" w:cs="Arial" w:eastAsia="Arial" w:hAnsi="Arial"/>
                <w:sz w:val="14"/>
                <w:szCs w:val="14"/>
                <w:b w:val="1"/>
                <w:bCs w:val="1"/>
                <w:color w:val="auto"/>
              </w:rPr>
              <w:t>Stockholders' equity:</w:t>
            </w:r>
          </w:p>
        </w:tc>
        <w:tc>
          <w:tcPr>
            <w:tcW w:w="16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1"/>
        </w:trPr>
        <w:tc>
          <w:tcPr>
            <w:tcW w:w="5120" w:type="dxa"/>
            <w:vAlign w:val="bottom"/>
            <w:shd w:val="clear" w:color="auto" w:fill="CCEEFF"/>
          </w:tcPr>
          <w:p>
            <w:pPr>
              <w:ind w:left="140"/>
              <w:spacing w:after="0" w:line="141" w:lineRule="exact"/>
              <w:rPr>
                <w:sz w:val="20"/>
                <w:szCs w:val="20"/>
                <w:color w:val="auto"/>
              </w:rPr>
            </w:pPr>
            <w:r>
              <w:rPr>
                <w:rFonts w:ascii="Arial" w:cs="Arial" w:eastAsia="Arial" w:hAnsi="Arial"/>
                <w:sz w:val="14"/>
                <w:szCs w:val="14"/>
                <w:color w:val="auto"/>
                <w:w w:val="93"/>
              </w:rPr>
              <w:t>Preferred Stock - aggregate liquidation preference of $1,538, $1,538, $963, $735 and</w:t>
            </w:r>
          </w:p>
        </w:tc>
        <w:tc>
          <w:tcPr>
            <w:tcW w:w="160" w:type="dxa"/>
            <w:vAlign w:val="bottom"/>
            <w:shd w:val="clear" w:color="auto" w:fill="CCEEFF"/>
          </w:tcPr>
          <w:p>
            <w:pPr>
              <w:spacing w:after="0"/>
              <w:rPr>
                <w:sz w:val="12"/>
                <w:szCs w:val="12"/>
                <w:color w:val="auto"/>
              </w:rPr>
            </w:pPr>
          </w:p>
        </w:tc>
        <w:tc>
          <w:tcPr>
            <w:tcW w:w="980" w:type="dxa"/>
            <w:vAlign w:val="bottom"/>
            <w:vMerge w:val="restart"/>
            <w:shd w:val="clear" w:color="auto" w:fill="CCEEFF"/>
          </w:tcPr>
          <w:p>
            <w:pPr>
              <w:jc w:val="right"/>
              <w:ind w:right="68"/>
              <w:spacing w:after="0"/>
              <w:rPr>
                <w:sz w:val="20"/>
                <w:szCs w:val="20"/>
                <w:color w:val="auto"/>
              </w:rPr>
            </w:pPr>
            <w:r>
              <w:rPr>
                <w:rFonts w:ascii="Arial" w:cs="Arial" w:eastAsia="Arial" w:hAnsi="Arial"/>
                <w:sz w:val="14"/>
                <w:szCs w:val="14"/>
                <w:color w:val="auto"/>
              </w:rPr>
              <w:t>1,489</w:t>
            </w: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980" w:type="dxa"/>
            <w:vAlign w:val="bottom"/>
            <w:vMerge w:val="restart"/>
            <w:shd w:val="clear" w:color="auto" w:fill="CCEEFF"/>
          </w:tcPr>
          <w:p>
            <w:pPr>
              <w:jc w:val="right"/>
              <w:ind w:right="68"/>
              <w:spacing w:after="0"/>
              <w:rPr>
                <w:sz w:val="20"/>
                <w:szCs w:val="20"/>
                <w:color w:val="auto"/>
              </w:rPr>
            </w:pPr>
            <w:r>
              <w:rPr>
                <w:rFonts w:ascii="Arial" w:cs="Arial" w:eastAsia="Arial" w:hAnsi="Arial"/>
                <w:sz w:val="14"/>
                <w:szCs w:val="14"/>
                <w:color w:val="auto"/>
              </w:rPr>
              <w:t>1,489</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0" w:type="dxa"/>
            <w:vAlign w:val="bottom"/>
            <w:vMerge w:val="restart"/>
            <w:shd w:val="clear" w:color="auto" w:fill="CCEEFF"/>
          </w:tcPr>
          <w:p>
            <w:pPr>
              <w:jc w:val="right"/>
              <w:ind w:right="68"/>
              <w:spacing w:after="0"/>
              <w:rPr>
                <w:sz w:val="20"/>
                <w:szCs w:val="20"/>
                <w:color w:val="auto"/>
              </w:rPr>
            </w:pPr>
            <w:r>
              <w:rPr>
                <w:rFonts w:ascii="Arial" w:cs="Arial" w:eastAsia="Arial" w:hAnsi="Arial"/>
                <w:sz w:val="14"/>
                <w:szCs w:val="14"/>
                <w:color w:val="auto"/>
              </w:rPr>
              <w:t>932</w:t>
            </w: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0" w:type="dxa"/>
            <w:vAlign w:val="bottom"/>
            <w:vMerge w:val="restart"/>
            <w:shd w:val="clear" w:color="auto" w:fill="CCEEFF"/>
          </w:tcPr>
          <w:p>
            <w:pPr>
              <w:jc w:val="right"/>
              <w:ind w:right="68"/>
              <w:spacing w:after="0"/>
              <w:rPr>
                <w:sz w:val="20"/>
                <w:szCs w:val="20"/>
                <w:color w:val="auto"/>
              </w:rPr>
            </w:pPr>
            <w:r>
              <w:rPr>
                <w:rFonts w:ascii="Arial" w:cs="Arial" w:eastAsia="Arial" w:hAnsi="Arial"/>
                <w:sz w:val="14"/>
                <w:szCs w:val="14"/>
                <w:color w:val="auto"/>
              </w:rPr>
              <w:t>711</w:t>
            </w:r>
          </w:p>
        </w:tc>
        <w:tc>
          <w:tcPr>
            <w:tcW w:w="1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980" w:type="dxa"/>
            <w:vAlign w:val="bottom"/>
            <w:vMerge w:val="restart"/>
            <w:shd w:val="clear" w:color="auto" w:fill="CCEEFF"/>
          </w:tcPr>
          <w:p>
            <w:pPr>
              <w:jc w:val="right"/>
              <w:ind w:right="68"/>
              <w:spacing w:after="0"/>
              <w:rPr>
                <w:sz w:val="20"/>
                <w:szCs w:val="20"/>
                <w:color w:val="auto"/>
              </w:rPr>
            </w:pPr>
            <w:r>
              <w:rPr>
                <w:rFonts w:ascii="Arial" w:cs="Arial" w:eastAsia="Arial" w:hAnsi="Arial"/>
                <w:sz w:val="14"/>
                <w:szCs w:val="14"/>
                <w:color w:val="auto"/>
              </w:rPr>
              <w:t>711</w:t>
            </w:r>
          </w:p>
        </w:tc>
        <w:tc>
          <w:tcPr>
            <w:tcW w:w="0" w:type="dxa"/>
            <w:vAlign w:val="bottom"/>
          </w:tcPr>
          <w:p>
            <w:pPr>
              <w:spacing w:after="0"/>
              <w:rPr>
                <w:sz w:val="1"/>
                <w:szCs w:val="1"/>
                <w:color w:val="auto"/>
              </w:rPr>
            </w:pPr>
          </w:p>
        </w:tc>
      </w:tr>
      <w:tr>
        <w:trPr>
          <w:trHeight w:val="189"/>
        </w:trPr>
        <w:tc>
          <w:tcPr>
            <w:tcW w:w="5120" w:type="dxa"/>
            <w:vAlign w:val="bottom"/>
            <w:shd w:val="clear" w:color="auto" w:fill="CCEEFF"/>
          </w:tcPr>
          <w:p>
            <w:pPr>
              <w:ind w:left="140"/>
              <w:spacing w:after="0"/>
              <w:rPr>
                <w:sz w:val="20"/>
                <w:szCs w:val="20"/>
                <w:color w:val="auto"/>
              </w:rPr>
            </w:pPr>
            <w:r>
              <w:rPr>
                <w:rFonts w:ascii="Arial" w:cs="Arial" w:eastAsia="Arial" w:hAnsi="Arial"/>
                <w:sz w:val="14"/>
                <w:szCs w:val="14"/>
                <w:color w:val="auto"/>
              </w:rPr>
              <w:t>$735, respectively)</w:t>
            </w:r>
          </w:p>
        </w:tc>
        <w:tc>
          <w:tcPr>
            <w:tcW w:w="160" w:type="dxa"/>
            <w:vAlign w:val="bottom"/>
            <w:shd w:val="clear" w:color="auto" w:fill="CCEEFF"/>
          </w:tcPr>
          <w:p>
            <w:pPr>
              <w:spacing w:after="0"/>
              <w:rPr>
                <w:sz w:val="16"/>
                <w:szCs w:val="16"/>
                <w:color w:val="auto"/>
              </w:rPr>
            </w:pPr>
          </w:p>
        </w:tc>
        <w:tc>
          <w:tcPr>
            <w:tcW w:w="98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98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00" w:type="dxa"/>
            <w:vAlign w:val="bottom"/>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0" w:type="dxa"/>
            <w:vAlign w:val="bottom"/>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98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35"/>
        </w:trPr>
        <w:tc>
          <w:tcPr>
            <w:tcW w:w="5120" w:type="dxa"/>
            <w:vAlign w:val="bottom"/>
          </w:tcPr>
          <w:p>
            <w:pPr>
              <w:ind w:left="140"/>
              <w:spacing w:after="0" w:line="135" w:lineRule="exact"/>
              <w:rPr>
                <w:sz w:val="20"/>
                <w:szCs w:val="20"/>
                <w:color w:val="auto"/>
              </w:rPr>
            </w:pPr>
            <w:r>
              <w:rPr>
                <w:rFonts w:ascii="Arial" w:cs="Arial" w:eastAsia="Arial" w:hAnsi="Arial"/>
                <w:sz w:val="14"/>
                <w:szCs w:val="14"/>
                <w:color w:val="auto"/>
                <w:w w:val="93"/>
              </w:rPr>
              <w:t>Common stock - $0.01 par value; 555.5, 567.7, 540.9, 540.9 and 547.8 shares issued</w:t>
            </w:r>
          </w:p>
        </w:tc>
        <w:tc>
          <w:tcPr>
            <w:tcW w:w="160" w:type="dxa"/>
            <w:vAlign w:val="bottom"/>
          </w:tcPr>
          <w:p>
            <w:pPr>
              <w:spacing w:after="0"/>
              <w:rPr>
                <w:sz w:val="11"/>
                <w:szCs w:val="11"/>
                <w:color w:val="auto"/>
              </w:rPr>
            </w:pPr>
          </w:p>
        </w:tc>
        <w:tc>
          <w:tcPr>
            <w:tcW w:w="980" w:type="dxa"/>
            <w:vAlign w:val="bottom"/>
            <w:vMerge w:val="restart"/>
          </w:tcPr>
          <w:p>
            <w:pPr>
              <w:jc w:val="right"/>
              <w:ind w:right="68"/>
              <w:spacing w:after="0"/>
              <w:rPr>
                <w:sz w:val="20"/>
                <w:szCs w:val="20"/>
                <w:color w:val="auto"/>
              </w:rPr>
            </w:pPr>
            <w:r>
              <w:rPr>
                <w:rFonts w:ascii="Arial" w:cs="Arial" w:eastAsia="Arial" w:hAnsi="Arial"/>
                <w:sz w:val="14"/>
                <w:szCs w:val="14"/>
                <w:color w:val="auto"/>
              </w:rPr>
              <w:t>6</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80" w:type="dxa"/>
            <w:vAlign w:val="bottom"/>
            <w:vMerge w:val="restart"/>
          </w:tcPr>
          <w:p>
            <w:pPr>
              <w:jc w:val="right"/>
              <w:ind w:right="68"/>
              <w:spacing w:after="0"/>
              <w:rPr>
                <w:sz w:val="20"/>
                <w:szCs w:val="20"/>
                <w:color w:val="auto"/>
              </w:rPr>
            </w:pPr>
            <w:r>
              <w:rPr>
                <w:rFonts w:ascii="Arial" w:cs="Arial" w:eastAsia="Arial" w:hAnsi="Arial"/>
                <w:sz w:val="14"/>
                <w:szCs w:val="14"/>
                <w:color w:val="auto"/>
              </w:rPr>
              <w:t>6</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0" w:type="dxa"/>
            <w:vAlign w:val="bottom"/>
            <w:vMerge w:val="restart"/>
          </w:tcPr>
          <w:p>
            <w:pPr>
              <w:jc w:val="right"/>
              <w:ind w:right="68"/>
              <w:spacing w:after="0"/>
              <w:rPr>
                <w:sz w:val="20"/>
                <w:szCs w:val="20"/>
                <w:color w:val="auto"/>
              </w:rPr>
            </w:pPr>
            <w:r>
              <w:rPr>
                <w:rFonts w:ascii="Arial" w:cs="Arial" w:eastAsia="Arial" w:hAnsi="Arial"/>
                <w:sz w:val="14"/>
                <w:szCs w:val="14"/>
                <w:color w:val="auto"/>
              </w:rPr>
              <w:t>5</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vMerge w:val="restart"/>
          </w:tcPr>
          <w:p>
            <w:pPr>
              <w:jc w:val="right"/>
              <w:ind w:right="68"/>
              <w:spacing w:after="0"/>
              <w:rPr>
                <w:sz w:val="20"/>
                <w:szCs w:val="20"/>
                <w:color w:val="auto"/>
              </w:rPr>
            </w:pPr>
            <w:r>
              <w:rPr>
                <w:rFonts w:ascii="Arial" w:cs="Arial" w:eastAsia="Arial" w:hAnsi="Arial"/>
                <w:sz w:val="14"/>
                <w:szCs w:val="14"/>
                <w:color w:val="auto"/>
              </w:rPr>
              <w:t>5</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80" w:type="dxa"/>
            <w:vAlign w:val="bottom"/>
            <w:vMerge w:val="restart"/>
          </w:tcPr>
          <w:p>
            <w:pPr>
              <w:jc w:val="right"/>
              <w:ind w:right="68"/>
              <w:spacing w:after="0"/>
              <w:rPr>
                <w:sz w:val="20"/>
                <w:szCs w:val="20"/>
                <w:color w:val="auto"/>
              </w:rPr>
            </w:pPr>
            <w:r>
              <w:rPr>
                <w:rFonts w:ascii="Arial" w:cs="Arial" w:eastAsia="Arial" w:hAnsi="Arial"/>
                <w:sz w:val="14"/>
                <w:szCs w:val="14"/>
                <w:color w:val="auto"/>
              </w:rPr>
              <w:t>5</w:t>
            </w:r>
          </w:p>
        </w:tc>
        <w:tc>
          <w:tcPr>
            <w:tcW w:w="0" w:type="dxa"/>
            <w:vAlign w:val="bottom"/>
          </w:tcPr>
          <w:p>
            <w:pPr>
              <w:spacing w:after="0"/>
              <w:rPr>
                <w:sz w:val="1"/>
                <w:szCs w:val="1"/>
                <w:color w:val="auto"/>
              </w:rPr>
            </w:pPr>
          </w:p>
        </w:tc>
      </w:tr>
      <w:tr>
        <w:trPr>
          <w:trHeight w:val="186"/>
        </w:trPr>
        <w:tc>
          <w:tcPr>
            <w:tcW w:w="5120" w:type="dxa"/>
            <w:vAlign w:val="bottom"/>
          </w:tcPr>
          <w:p>
            <w:pPr>
              <w:ind w:left="140"/>
              <w:spacing w:after="0"/>
              <w:rPr>
                <w:sz w:val="20"/>
                <w:szCs w:val="20"/>
                <w:color w:val="auto"/>
              </w:rPr>
            </w:pPr>
            <w:r>
              <w:rPr>
                <w:rFonts w:ascii="Arial" w:cs="Arial" w:eastAsia="Arial" w:hAnsi="Arial"/>
                <w:sz w:val="14"/>
                <w:szCs w:val="14"/>
                <w:color w:val="auto"/>
              </w:rPr>
              <w:t>and outstanding, respectively</w:t>
            </w:r>
          </w:p>
        </w:tc>
        <w:tc>
          <w:tcPr>
            <w:tcW w:w="160" w:type="dxa"/>
            <w:vAlign w:val="bottom"/>
          </w:tcPr>
          <w:p>
            <w:pPr>
              <w:spacing w:after="0"/>
              <w:rPr>
                <w:sz w:val="16"/>
                <w:szCs w:val="16"/>
                <w:color w:val="auto"/>
              </w:rPr>
            </w:pPr>
          </w:p>
        </w:tc>
        <w:tc>
          <w:tcPr>
            <w:tcW w:w="98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8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6"/>
        </w:trPr>
        <w:tc>
          <w:tcPr>
            <w:tcW w:w="5120" w:type="dxa"/>
            <w:vAlign w:val="bottom"/>
            <w:shd w:val="clear" w:color="auto" w:fill="CCEEFF"/>
          </w:tcPr>
          <w:p>
            <w:pPr>
              <w:ind w:left="120"/>
              <w:spacing w:after="0"/>
              <w:rPr>
                <w:sz w:val="20"/>
                <w:szCs w:val="20"/>
                <w:color w:val="auto"/>
              </w:rPr>
            </w:pPr>
            <w:r>
              <w:rPr>
                <w:rFonts w:ascii="Arial" w:cs="Arial" w:eastAsia="Arial" w:hAnsi="Arial"/>
                <w:sz w:val="14"/>
                <w:szCs w:val="14"/>
                <w:color w:val="auto"/>
              </w:rPr>
              <w:t>Additional paid-in capital</w:t>
            </w: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14,191</w:t>
            </w: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14,334</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13,893</w:t>
            </w: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13,888</w:t>
            </w: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13,988</w:t>
            </w:r>
          </w:p>
        </w:tc>
        <w:tc>
          <w:tcPr>
            <w:tcW w:w="0" w:type="dxa"/>
            <w:vAlign w:val="bottom"/>
          </w:tcPr>
          <w:p>
            <w:pPr>
              <w:spacing w:after="0"/>
              <w:rPr>
                <w:sz w:val="1"/>
                <w:szCs w:val="1"/>
                <w:color w:val="auto"/>
              </w:rPr>
            </w:pPr>
          </w:p>
        </w:tc>
      </w:tr>
      <w:tr>
        <w:trPr>
          <w:trHeight w:val="197"/>
        </w:trPr>
        <w:tc>
          <w:tcPr>
            <w:tcW w:w="5120" w:type="dxa"/>
            <w:vAlign w:val="bottom"/>
          </w:tcPr>
          <w:p>
            <w:pPr>
              <w:ind w:left="120"/>
              <w:spacing w:after="0"/>
              <w:rPr>
                <w:sz w:val="20"/>
                <w:szCs w:val="20"/>
                <w:color w:val="auto"/>
              </w:rPr>
            </w:pPr>
            <w:r>
              <w:rPr>
                <w:rFonts w:ascii="Arial" w:cs="Arial" w:eastAsia="Arial" w:hAnsi="Arial"/>
                <w:sz w:val="14"/>
                <w:szCs w:val="14"/>
                <w:color w:val="auto"/>
              </w:rPr>
              <w:t>Retained deficit</w:t>
            </w:r>
          </w:p>
        </w:tc>
        <w:tc>
          <w:tcPr>
            <w:tcW w:w="160" w:type="dxa"/>
            <w:vAlign w:val="bottom"/>
          </w:tcPr>
          <w:p>
            <w:pPr>
              <w:spacing w:after="0"/>
              <w:rPr>
                <w:sz w:val="17"/>
                <w:szCs w:val="17"/>
                <w:color w:val="auto"/>
              </w:rPr>
            </w:pP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(6,100)</w:t>
            </w: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(6,592)</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(3,886)</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(4,473)</w:t>
            </w: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(4,194)</w:t>
            </w:r>
          </w:p>
        </w:tc>
        <w:tc>
          <w:tcPr>
            <w:tcW w:w="0" w:type="dxa"/>
            <w:vAlign w:val="bottom"/>
          </w:tcPr>
          <w:p>
            <w:pPr>
              <w:spacing w:after="0"/>
              <w:rPr>
                <w:sz w:val="1"/>
                <w:szCs w:val="1"/>
                <w:color w:val="auto"/>
              </w:rPr>
            </w:pPr>
          </w:p>
        </w:tc>
      </w:tr>
      <w:tr>
        <w:trPr>
          <w:trHeight w:val="203"/>
        </w:trPr>
        <w:tc>
          <w:tcPr>
            <w:tcW w:w="5120" w:type="dxa"/>
            <w:vAlign w:val="bottom"/>
            <w:shd w:val="clear" w:color="auto" w:fill="CCEEFF"/>
          </w:tcPr>
          <w:p>
            <w:pPr>
              <w:ind w:left="120"/>
              <w:spacing w:after="0"/>
              <w:rPr>
                <w:sz w:val="20"/>
                <w:szCs w:val="20"/>
                <w:color w:val="auto"/>
              </w:rPr>
            </w:pPr>
            <w:r>
              <w:rPr>
                <w:rFonts w:ascii="Arial" w:cs="Arial" w:eastAsia="Arial" w:hAnsi="Arial"/>
                <w:sz w:val="14"/>
                <w:szCs w:val="14"/>
                <w:color w:val="auto"/>
              </w:rPr>
              <w:t>Accumulated other comprehensive income (loss)</w:t>
            </w:r>
          </w:p>
        </w:tc>
        <w:tc>
          <w:tcPr>
            <w:tcW w:w="16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764</w:t>
            </w:r>
          </w:p>
        </w:tc>
        <w:tc>
          <w:tcPr>
            <w:tcW w:w="10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561</w:t>
            </w:r>
          </w:p>
        </w:tc>
        <w:tc>
          <w:tcPr>
            <w:tcW w:w="1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97</w:t>
            </w:r>
          </w:p>
        </w:tc>
        <w:tc>
          <w:tcPr>
            <w:tcW w:w="12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82</w:t>
            </w:r>
          </w:p>
        </w:tc>
        <w:tc>
          <w:tcPr>
            <w:tcW w:w="12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(164)</w:t>
            </w:r>
          </w:p>
        </w:tc>
        <w:tc>
          <w:tcPr>
            <w:tcW w:w="0" w:type="dxa"/>
            <w:vAlign w:val="bottom"/>
          </w:tcPr>
          <w:p>
            <w:pPr>
              <w:spacing w:after="0"/>
              <w:rPr>
                <w:sz w:val="1"/>
                <w:szCs w:val="1"/>
                <w:color w:val="auto"/>
              </w:rPr>
            </w:pPr>
          </w:p>
        </w:tc>
      </w:tr>
      <w:tr>
        <w:trPr>
          <w:trHeight w:val="196"/>
        </w:trPr>
        <w:tc>
          <w:tcPr>
            <w:tcW w:w="5120" w:type="dxa"/>
            <w:vAlign w:val="bottom"/>
            <w:tcBorders>
              <w:bottom w:val="single" w:sz="8" w:color="CCEEFF"/>
            </w:tcBorders>
          </w:tcPr>
          <w:p>
            <w:pPr>
              <w:ind w:left="300"/>
              <w:spacing w:after="0"/>
              <w:rPr>
                <w:sz w:val="20"/>
                <w:szCs w:val="20"/>
                <w:color w:val="auto"/>
              </w:rPr>
            </w:pPr>
            <w:r>
              <w:rPr>
                <w:rFonts w:ascii="Arial" w:cs="Arial" w:eastAsia="Arial" w:hAnsi="Arial"/>
                <w:sz w:val="14"/>
                <w:szCs w:val="14"/>
                <w:color w:val="auto"/>
              </w:rPr>
              <w:t>Total stockholders' equity</w:t>
            </w:r>
          </w:p>
        </w:tc>
        <w:tc>
          <w:tcPr>
            <w:tcW w:w="16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10,350</w:t>
            </w:r>
          </w:p>
        </w:tc>
        <w:tc>
          <w:tcPr>
            <w:tcW w:w="10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9,798</w:t>
            </w:r>
          </w:p>
        </w:tc>
        <w:tc>
          <w:tcPr>
            <w:tcW w:w="10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11,041</w:t>
            </w:r>
          </w:p>
        </w:tc>
        <w:tc>
          <w:tcPr>
            <w:tcW w:w="12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10,213</w:t>
            </w:r>
          </w:p>
        </w:tc>
        <w:tc>
          <w:tcPr>
            <w:tcW w:w="12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10,346</w:t>
            </w:r>
          </w:p>
        </w:tc>
        <w:tc>
          <w:tcPr>
            <w:tcW w:w="0" w:type="dxa"/>
            <w:vAlign w:val="bottom"/>
          </w:tcPr>
          <w:p>
            <w:pPr>
              <w:spacing w:after="0"/>
              <w:rPr>
                <w:sz w:val="1"/>
                <w:szCs w:val="1"/>
                <w:color w:val="auto"/>
              </w:rPr>
            </w:pPr>
          </w:p>
        </w:tc>
      </w:tr>
      <w:tr>
        <w:trPr>
          <w:trHeight w:val="227"/>
        </w:trPr>
        <w:tc>
          <w:tcPr>
            <w:tcW w:w="5120" w:type="dxa"/>
            <w:vAlign w:val="bottom"/>
            <w:tcBorders>
              <w:bottom w:val="single" w:sz="8" w:color="CCEEFF"/>
            </w:tcBorders>
            <w:shd w:val="clear" w:color="auto" w:fill="CCEEFF"/>
          </w:tcPr>
          <w:p>
            <w:pPr>
              <w:ind w:left="300"/>
              <w:spacing w:after="0"/>
              <w:rPr>
                <w:sz w:val="20"/>
                <w:szCs w:val="20"/>
                <w:color w:val="auto"/>
              </w:rPr>
            </w:pPr>
            <w:r>
              <w:rPr>
                <w:rFonts w:ascii="Arial" w:cs="Arial" w:eastAsia="Arial" w:hAnsi="Arial"/>
                <w:sz w:val="14"/>
                <w:szCs w:val="14"/>
                <w:color w:val="auto"/>
              </w:rPr>
              <w:t>Total liabilities and stockholders' equity</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89,853</w:t>
            </w:r>
          </w:p>
        </w:tc>
        <w:tc>
          <w:tcPr>
            <w:tcW w:w="10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85,137</w:t>
            </w:r>
          </w:p>
        </w:tc>
        <w:tc>
          <w:tcPr>
            <w:tcW w:w="10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113,082</w:t>
            </w:r>
          </w:p>
        </w:tc>
        <w:tc>
          <w:tcPr>
            <w:tcW w:w="12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109,761</w:t>
            </w:r>
          </w:p>
        </w:tc>
        <w:tc>
          <w:tcPr>
            <w:tcW w:w="12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9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106,576</w:t>
            </w:r>
          </w:p>
        </w:tc>
        <w:tc>
          <w:tcPr>
            <w:tcW w:w="0" w:type="dxa"/>
            <w:vAlign w:val="bottom"/>
          </w:tcPr>
          <w:p>
            <w:pPr>
              <w:spacing w:after="0"/>
              <w:rPr>
                <w:sz w:val="1"/>
                <w:szCs w:val="1"/>
                <w:color w:val="auto"/>
              </w:rPr>
            </w:pPr>
          </w:p>
        </w:tc>
      </w:tr>
      <w:tr>
        <w:trPr>
          <w:trHeight w:val="20"/>
        </w:trPr>
        <w:tc>
          <w:tcPr>
            <w:tcW w:w="5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3"/>
        </w:trPr>
        <w:tc>
          <w:tcPr>
            <w:tcW w:w="5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8"/>
        </w:trPr>
        <w:tc>
          <w:tcPr>
            <w:tcW w:w="51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 xml:space="preserve">Tangible net book value per common share </w:t>
            </w:r>
            <w:r>
              <w:rPr>
                <w:rFonts w:ascii="Arial" w:cs="Arial" w:eastAsia="Arial" w:hAnsi="Arial"/>
                <w:sz w:val="9"/>
                <w:szCs w:val="9"/>
                <w:b w:val="1"/>
                <w:bCs w:val="1"/>
                <w:color w:val="auto"/>
              </w:rPr>
              <w:t>1</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14.92</w:t>
            </w:r>
          </w:p>
        </w:tc>
        <w:tc>
          <w:tcPr>
            <w:tcW w:w="10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13.62</w:t>
            </w:r>
          </w:p>
        </w:tc>
        <w:tc>
          <w:tcPr>
            <w:tcW w:w="10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17.66</w:t>
            </w:r>
          </w:p>
        </w:tc>
        <w:tc>
          <w:tcPr>
            <w:tcW w:w="12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16.55</w:t>
            </w:r>
          </w:p>
        </w:tc>
        <w:tc>
          <w:tcPr>
            <w:tcW w:w="12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9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16.58</w:t>
            </w:r>
          </w:p>
        </w:tc>
        <w:tc>
          <w:tcPr>
            <w:tcW w:w="0" w:type="dxa"/>
            <w:vAlign w:val="bottom"/>
          </w:tcPr>
          <w:p>
            <w:pPr>
              <w:spacing w:after="0"/>
              <w:rPr>
                <w:sz w:val="1"/>
                <w:szCs w:val="1"/>
                <w:color w:val="auto"/>
              </w:rPr>
            </w:pPr>
          </w:p>
        </w:tc>
      </w:tr>
      <w:tr>
        <w:trPr>
          <w:trHeight w:val="20"/>
        </w:trPr>
        <w:tc>
          <w:tcPr>
            <w:tcW w:w="5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240"/>
          </w:cols>
          <w:pgMar w:left="320" w:top="147" w:right="339" w:bottom="1440" w:gutter="0" w:footer="0" w:header="0"/>
        </w:sectPr>
      </w:pPr>
    </w:p>
    <w:bookmarkStart w:id="11" w:name="page12"/>
    <w:bookmarkEnd w:id="11"/>
    <w:p>
      <w:pPr>
        <w:spacing w:after="0"/>
        <w:rPr>
          <w:sz w:val="20"/>
          <w:szCs w:val="20"/>
          <w:color w:val="auto"/>
        </w:rPr>
      </w:pPr>
      <w:r>
        <w:rPr>
          <w:rFonts w:ascii="Arial" w:cs="Arial" w:eastAsia="Arial" w:hAnsi="Arial"/>
          <w:sz w:val="22"/>
          <w:szCs w:val="22"/>
          <w:color w:val="auto"/>
        </w:rPr>
        <w:t>AGNC Investment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July 27, 2020</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9</w:t>
      </w:r>
    </w:p>
    <w:p>
      <w:pPr>
        <w:spacing w:after="0" w:line="200" w:lineRule="exact"/>
        <w:rPr>
          <w:sz w:val="20"/>
          <w:szCs w:val="20"/>
          <w:color w:val="auto"/>
        </w:rPr>
      </w:pPr>
    </w:p>
    <w:p>
      <w:pPr>
        <w:spacing w:after="0" w:line="277"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AGNC INVESTMENT CORP.</w:t>
      </w:r>
    </w:p>
    <w:p>
      <w:pPr>
        <w:spacing w:after="0" w:line="42"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CONSOLIDATED STATEMENTS OF OPERATIONS</w:t>
      </w:r>
    </w:p>
    <w:p>
      <w:pPr>
        <w:spacing w:after="0" w:line="42"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(in millions, except per share data)</w:t>
      </w:r>
    </w:p>
    <w:p>
      <w:pPr>
        <w:spacing w:after="0" w:line="42"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(unaudited)</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88"/>
        </w:trPr>
        <w:tc>
          <w:tcPr>
            <w:tcW w:w="512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color w:val="auto"/>
                <w:w w:val="91"/>
              </w:rPr>
              <w:t>Three Months Ended</w:t>
            </w:r>
          </w:p>
        </w:tc>
        <w:tc>
          <w:tcPr>
            <w:tcW w:w="1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r>
      <w:tr>
        <w:trPr>
          <w:trHeight w:val="134"/>
        </w:trPr>
        <w:tc>
          <w:tcPr>
            <w:tcW w:w="51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20" w:type="dxa"/>
            <w:vAlign w:val="bottom"/>
            <w:gridSpan w:val="2"/>
          </w:tcPr>
          <w:p>
            <w:pPr>
              <w:ind w:left="120"/>
              <w:spacing w:after="0" w:line="135" w:lineRule="exact"/>
              <w:rPr>
                <w:sz w:val="20"/>
                <w:szCs w:val="20"/>
                <w:color w:val="auto"/>
              </w:rPr>
            </w:pPr>
            <w:r>
              <w:rPr>
                <w:rFonts w:ascii="Arial" w:cs="Arial" w:eastAsia="Arial" w:hAnsi="Arial"/>
                <w:sz w:val="14"/>
                <w:szCs w:val="14"/>
                <w:color w:val="auto"/>
              </w:rPr>
              <w:t>June 30,</w:t>
            </w:r>
          </w:p>
        </w:tc>
        <w:tc>
          <w:tcPr>
            <w:tcW w:w="180" w:type="dxa"/>
            <w:vAlign w:val="bottom"/>
          </w:tcPr>
          <w:p>
            <w:pPr>
              <w:spacing w:after="0"/>
              <w:rPr>
                <w:sz w:val="11"/>
                <w:szCs w:val="11"/>
                <w:color w:val="auto"/>
              </w:rPr>
            </w:pPr>
          </w:p>
        </w:tc>
        <w:tc>
          <w:tcPr>
            <w:tcW w:w="960" w:type="dxa"/>
            <w:vAlign w:val="bottom"/>
          </w:tcPr>
          <w:p>
            <w:pPr>
              <w:jc w:val="right"/>
              <w:ind w:right="208"/>
              <w:spacing w:after="0" w:line="135" w:lineRule="exact"/>
              <w:rPr>
                <w:sz w:val="20"/>
                <w:szCs w:val="20"/>
                <w:color w:val="auto"/>
              </w:rPr>
            </w:pPr>
            <w:r>
              <w:rPr>
                <w:rFonts w:ascii="Arial" w:cs="Arial" w:eastAsia="Arial" w:hAnsi="Arial"/>
                <w:sz w:val="14"/>
                <w:szCs w:val="14"/>
                <w:color w:val="auto"/>
              </w:rPr>
              <w:t>March 31,</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20" w:type="dxa"/>
            <w:vAlign w:val="bottom"/>
            <w:gridSpan w:val="2"/>
          </w:tcPr>
          <w:p>
            <w:pPr>
              <w:jc w:val="center"/>
              <w:ind w:right="240"/>
              <w:spacing w:after="0" w:line="135" w:lineRule="exact"/>
              <w:rPr>
                <w:sz w:val="20"/>
                <w:szCs w:val="20"/>
                <w:color w:val="auto"/>
              </w:rPr>
            </w:pPr>
            <w:r>
              <w:rPr>
                <w:rFonts w:ascii="Arial" w:cs="Arial" w:eastAsia="Arial" w:hAnsi="Arial"/>
                <w:sz w:val="14"/>
                <w:szCs w:val="14"/>
                <w:color w:val="auto"/>
                <w:w w:val="90"/>
              </w:rPr>
              <w:t>December 31,</w:t>
            </w:r>
          </w:p>
        </w:tc>
        <w:tc>
          <w:tcPr>
            <w:tcW w:w="120" w:type="dxa"/>
            <w:vAlign w:val="bottom"/>
          </w:tcPr>
          <w:p>
            <w:pPr>
              <w:spacing w:after="0"/>
              <w:rPr>
                <w:sz w:val="11"/>
                <w:szCs w:val="11"/>
                <w:color w:val="auto"/>
              </w:rPr>
            </w:pPr>
          </w:p>
        </w:tc>
        <w:tc>
          <w:tcPr>
            <w:tcW w:w="1120" w:type="dxa"/>
            <w:vAlign w:val="bottom"/>
            <w:gridSpan w:val="2"/>
          </w:tcPr>
          <w:p>
            <w:pPr>
              <w:ind w:left="20"/>
              <w:spacing w:after="0" w:line="135" w:lineRule="exact"/>
              <w:rPr>
                <w:sz w:val="20"/>
                <w:szCs w:val="20"/>
                <w:color w:val="auto"/>
              </w:rPr>
            </w:pPr>
            <w:r>
              <w:rPr>
                <w:rFonts w:ascii="Arial" w:cs="Arial" w:eastAsia="Arial" w:hAnsi="Arial"/>
                <w:sz w:val="14"/>
                <w:szCs w:val="14"/>
                <w:color w:val="auto"/>
              </w:rPr>
              <w:t>September 30,</w:t>
            </w:r>
          </w:p>
        </w:tc>
        <w:tc>
          <w:tcPr>
            <w:tcW w:w="200" w:type="dxa"/>
            <w:vAlign w:val="bottom"/>
          </w:tcPr>
          <w:p>
            <w:pPr>
              <w:spacing w:after="0"/>
              <w:rPr>
                <w:sz w:val="11"/>
                <w:szCs w:val="11"/>
                <w:color w:val="auto"/>
              </w:rPr>
            </w:pPr>
          </w:p>
        </w:tc>
        <w:tc>
          <w:tcPr>
            <w:tcW w:w="940" w:type="dxa"/>
            <w:vAlign w:val="bottom"/>
          </w:tcPr>
          <w:p>
            <w:pPr>
              <w:jc w:val="right"/>
              <w:ind w:right="268"/>
              <w:spacing w:after="0" w:line="135" w:lineRule="exact"/>
              <w:rPr>
                <w:sz w:val="20"/>
                <w:szCs w:val="20"/>
                <w:color w:val="auto"/>
              </w:rPr>
            </w:pPr>
            <w:r>
              <w:rPr>
                <w:rFonts w:ascii="Arial" w:cs="Arial" w:eastAsia="Arial" w:hAnsi="Arial"/>
                <w:sz w:val="14"/>
                <w:szCs w:val="14"/>
                <w:color w:val="auto"/>
              </w:rPr>
              <w:t>June 30,</w:t>
            </w:r>
          </w:p>
        </w:tc>
      </w:tr>
      <w:tr>
        <w:trPr>
          <w:trHeight w:val="186"/>
        </w:trPr>
        <w:tc>
          <w:tcPr>
            <w:tcW w:w="512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color w:val="auto"/>
              </w:rPr>
              <w:t>2020</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color w:val="auto"/>
              </w:rPr>
              <w:t>2020</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center"/>
              <w:ind w:right="48"/>
              <w:spacing w:after="0"/>
              <w:rPr>
                <w:sz w:val="20"/>
                <w:szCs w:val="20"/>
                <w:color w:val="auto"/>
              </w:rPr>
            </w:pPr>
            <w:r>
              <w:rPr>
                <w:rFonts w:ascii="Arial" w:cs="Arial" w:eastAsia="Arial" w:hAnsi="Arial"/>
                <w:sz w:val="14"/>
                <w:szCs w:val="14"/>
                <w:color w:val="auto"/>
                <w:w w:val="89"/>
              </w:rPr>
              <w:t>2019</w:t>
            </w: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color w:val="auto"/>
              </w:rPr>
              <w:t>2019</w:t>
            </w: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color w:val="auto"/>
              </w:rPr>
              <w:t>2019</w:t>
            </w:r>
          </w:p>
        </w:tc>
      </w:tr>
      <w:tr>
        <w:trPr>
          <w:trHeight w:val="186"/>
        </w:trPr>
        <w:tc>
          <w:tcPr>
            <w:tcW w:w="512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Interest income:</w:t>
            </w:r>
          </w:p>
        </w:tc>
        <w:tc>
          <w:tcPr>
            <w:tcW w:w="220" w:type="dxa"/>
            <w:vAlign w:val="bottom"/>
            <w:shd w:val="clear" w:color="auto" w:fill="CCEEFF"/>
          </w:tcPr>
          <w:p>
            <w:pPr>
              <w:spacing w:after="0"/>
              <w:rPr>
                <w:sz w:val="16"/>
                <w:szCs w:val="16"/>
                <w:color w:val="auto"/>
              </w:rPr>
            </w:pPr>
          </w:p>
        </w:tc>
        <w:tc>
          <w:tcPr>
            <w:tcW w:w="9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r>
      <w:tr>
        <w:trPr>
          <w:trHeight w:val="197"/>
        </w:trPr>
        <w:tc>
          <w:tcPr>
            <w:tcW w:w="5120" w:type="dxa"/>
            <w:vAlign w:val="bottom"/>
          </w:tcPr>
          <w:p>
            <w:pPr>
              <w:ind w:left="140"/>
              <w:spacing w:after="0"/>
              <w:rPr>
                <w:sz w:val="20"/>
                <w:szCs w:val="20"/>
                <w:color w:val="auto"/>
              </w:rPr>
            </w:pPr>
            <w:r>
              <w:rPr>
                <w:rFonts w:ascii="Arial" w:cs="Arial" w:eastAsia="Arial" w:hAnsi="Arial"/>
                <w:sz w:val="14"/>
                <w:szCs w:val="14"/>
                <w:color w:val="auto"/>
              </w:rPr>
              <w:t>Interest income</w:t>
            </w: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920" w:type="dxa"/>
            <w:vAlign w:val="bottom"/>
          </w:tcPr>
          <w:p>
            <w:pPr>
              <w:jc w:val="right"/>
              <w:ind w:right="68"/>
              <w:spacing w:after="0"/>
              <w:rPr>
                <w:sz w:val="20"/>
                <w:szCs w:val="20"/>
                <w:color w:val="auto"/>
              </w:rPr>
            </w:pPr>
            <w:r>
              <w:rPr>
                <w:rFonts w:ascii="Arial" w:cs="Arial" w:eastAsia="Arial" w:hAnsi="Arial"/>
                <w:sz w:val="14"/>
                <w:szCs w:val="14"/>
                <w:color w:val="auto"/>
              </w:rPr>
              <w:t>429</w:t>
            </w:r>
          </w:p>
        </w:tc>
        <w:tc>
          <w:tcPr>
            <w:tcW w:w="100" w:type="dxa"/>
            <w:vAlign w:val="bottom"/>
          </w:tcPr>
          <w:p>
            <w:pPr>
              <w:spacing w:after="0"/>
              <w:rPr>
                <w:sz w:val="17"/>
                <w:szCs w:val="17"/>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68"/>
              <w:spacing w:after="0"/>
              <w:rPr>
                <w:sz w:val="20"/>
                <w:szCs w:val="20"/>
                <w:color w:val="auto"/>
              </w:rPr>
            </w:pPr>
            <w:r>
              <w:rPr>
                <w:rFonts w:ascii="Arial" w:cs="Arial" w:eastAsia="Arial" w:hAnsi="Arial"/>
                <w:sz w:val="14"/>
                <w:szCs w:val="14"/>
                <w:color w:val="auto"/>
              </w:rPr>
              <w:t>491</w:t>
            </w:r>
          </w:p>
        </w:tc>
        <w:tc>
          <w:tcPr>
            <w:tcW w:w="2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68"/>
              <w:spacing w:after="0"/>
              <w:rPr>
                <w:sz w:val="20"/>
                <w:szCs w:val="20"/>
                <w:color w:val="auto"/>
              </w:rPr>
            </w:pPr>
            <w:r>
              <w:rPr>
                <w:rFonts w:ascii="Arial" w:cs="Arial" w:eastAsia="Arial" w:hAnsi="Arial"/>
                <w:sz w:val="14"/>
                <w:szCs w:val="14"/>
                <w:color w:val="auto"/>
              </w:rPr>
              <w:t>768</w:t>
            </w:r>
          </w:p>
        </w:tc>
        <w:tc>
          <w:tcPr>
            <w:tcW w:w="120" w:type="dxa"/>
            <w:vAlign w:val="bottom"/>
          </w:tcPr>
          <w:p>
            <w:pPr>
              <w:spacing w:after="0"/>
              <w:rPr>
                <w:sz w:val="17"/>
                <w:szCs w:val="17"/>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00" w:type="dxa"/>
            <w:vAlign w:val="bottom"/>
          </w:tcPr>
          <w:p>
            <w:pPr>
              <w:jc w:val="right"/>
              <w:ind w:right="68"/>
              <w:spacing w:after="0"/>
              <w:rPr>
                <w:sz w:val="20"/>
                <w:szCs w:val="20"/>
                <w:color w:val="auto"/>
              </w:rPr>
            </w:pPr>
            <w:r>
              <w:rPr>
                <w:rFonts w:ascii="Arial" w:cs="Arial" w:eastAsia="Arial" w:hAnsi="Arial"/>
                <w:sz w:val="14"/>
                <w:szCs w:val="14"/>
                <w:color w:val="auto"/>
              </w:rPr>
              <w:t>676</w:t>
            </w:r>
          </w:p>
        </w:tc>
        <w:tc>
          <w:tcPr>
            <w:tcW w:w="120" w:type="dxa"/>
            <w:vAlign w:val="bottom"/>
          </w:tcPr>
          <w:p>
            <w:pPr>
              <w:spacing w:after="0"/>
              <w:rPr>
                <w:sz w:val="17"/>
                <w:szCs w:val="17"/>
                <w:color w:val="auto"/>
              </w:rPr>
            </w:pPr>
          </w:p>
        </w:tc>
        <w:tc>
          <w:tcPr>
            <w:tcW w:w="200" w:type="dxa"/>
            <w:vAlign w:val="bottom"/>
          </w:tcPr>
          <w:p>
            <w:pPr>
              <w:jc w:val="right"/>
              <w:ind w:right="48"/>
              <w:spacing w:after="0"/>
              <w:rPr>
                <w:sz w:val="20"/>
                <w:szCs w:val="20"/>
                <w:color w:val="auto"/>
              </w:rPr>
            </w:pPr>
            <w:r>
              <w:rPr>
                <w:rFonts w:ascii="Arial" w:cs="Arial" w:eastAsia="Arial" w:hAnsi="Arial"/>
                <w:sz w:val="14"/>
                <w:szCs w:val="14"/>
                <w:color w:val="auto"/>
                <w:w w:val="76"/>
              </w:rPr>
              <w:t>$</w:t>
            </w:r>
          </w:p>
        </w:tc>
        <w:tc>
          <w:tcPr>
            <w:tcW w:w="940" w:type="dxa"/>
            <w:vAlign w:val="bottom"/>
          </w:tcPr>
          <w:p>
            <w:pPr>
              <w:jc w:val="right"/>
              <w:ind w:right="68"/>
              <w:spacing w:after="0"/>
              <w:rPr>
                <w:sz w:val="20"/>
                <w:szCs w:val="20"/>
                <w:color w:val="auto"/>
              </w:rPr>
            </w:pPr>
            <w:r>
              <w:rPr>
                <w:rFonts w:ascii="Arial" w:cs="Arial" w:eastAsia="Arial" w:hAnsi="Arial"/>
                <w:sz w:val="14"/>
                <w:szCs w:val="14"/>
                <w:color w:val="auto"/>
              </w:rPr>
              <w:t>693</w:t>
            </w:r>
          </w:p>
        </w:tc>
      </w:tr>
      <w:tr>
        <w:trPr>
          <w:trHeight w:val="203"/>
        </w:trPr>
        <w:tc>
          <w:tcPr>
            <w:tcW w:w="5120" w:type="dxa"/>
            <w:vAlign w:val="bottom"/>
            <w:shd w:val="clear" w:color="auto" w:fill="CCEEFF"/>
          </w:tcPr>
          <w:p>
            <w:pPr>
              <w:ind w:left="140"/>
              <w:spacing w:after="0"/>
              <w:rPr>
                <w:sz w:val="20"/>
                <w:szCs w:val="20"/>
                <w:color w:val="auto"/>
              </w:rPr>
            </w:pPr>
            <w:r>
              <w:rPr>
                <w:rFonts w:ascii="Arial" w:cs="Arial" w:eastAsia="Arial" w:hAnsi="Arial"/>
                <w:sz w:val="14"/>
                <w:szCs w:val="14"/>
                <w:color w:val="auto"/>
              </w:rPr>
              <w:t>Interest expense</w:t>
            </w:r>
          </w:p>
        </w:tc>
        <w:tc>
          <w:tcPr>
            <w:tcW w:w="22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134</w:t>
            </w:r>
          </w:p>
        </w:tc>
        <w:tc>
          <w:tcPr>
            <w:tcW w:w="10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426</w:t>
            </w:r>
          </w:p>
        </w:tc>
        <w:tc>
          <w:tcPr>
            <w:tcW w:w="1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481</w:t>
            </w:r>
          </w:p>
        </w:tc>
        <w:tc>
          <w:tcPr>
            <w:tcW w:w="12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557</w:t>
            </w:r>
          </w:p>
        </w:tc>
        <w:tc>
          <w:tcPr>
            <w:tcW w:w="12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570</w:t>
            </w:r>
          </w:p>
        </w:tc>
      </w:tr>
      <w:tr>
        <w:trPr>
          <w:trHeight w:val="196"/>
        </w:trPr>
        <w:tc>
          <w:tcPr>
            <w:tcW w:w="5120" w:type="dxa"/>
            <w:vAlign w:val="bottom"/>
            <w:tcBorders>
              <w:bottom w:val="single" w:sz="8" w:color="CCEEFF"/>
            </w:tcBorders>
          </w:tcPr>
          <w:p>
            <w:pPr>
              <w:ind w:left="380"/>
              <w:spacing w:after="0"/>
              <w:rPr>
                <w:sz w:val="20"/>
                <w:szCs w:val="20"/>
                <w:color w:val="auto"/>
              </w:rPr>
            </w:pPr>
            <w:r>
              <w:rPr>
                <w:rFonts w:ascii="Arial" w:cs="Arial" w:eastAsia="Arial" w:hAnsi="Arial"/>
                <w:sz w:val="14"/>
                <w:szCs w:val="14"/>
                <w:color w:val="auto"/>
              </w:rPr>
              <w:t>Net interest income</w:t>
            </w:r>
          </w:p>
        </w:tc>
        <w:tc>
          <w:tcPr>
            <w:tcW w:w="22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295</w:t>
            </w:r>
          </w:p>
        </w:tc>
        <w:tc>
          <w:tcPr>
            <w:tcW w:w="10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65</w:t>
            </w:r>
          </w:p>
        </w:tc>
        <w:tc>
          <w:tcPr>
            <w:tcW w:w="10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287</w:t>
            </w:r>
          </w:p>
        </w:tc>
        <w:tc>
          <w:tcPr>
            <w:tcW w:w="12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119</w:t>
            </w:r>
          </w:p>
        </w:tc>
        <w:tc>
          <w:tcPr>
            <w:tcW w:w="12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123</w:t>
            </w:r>
          </w:p>
        </w:tc>
      </w:tr>
      <w:tr>
        <w:trPr>
          <w:trHeight w:val="189"/>
        </w:trPr>
        <w:tc>
          <w:tcPr>
            <w:tcW w:w="512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Other gain (loss), net:</w:t>
            </w:r>
          </w:p>
        </w:tc>
        <w:tc>
          <w:tcPr>
            <w:tcW w:w="220" w:type="dxa"/>
            <w:vAlign w:val="bottom"/>
            <w:shd w:val="clear" w:color="auto" w:fill="CCEEFF"/>
          </w:tcPr>
          <w:p>
            <w:pPr>
              <w:spacing w:after="0"/>
              <w:rPr>
                <w:sz w:val="16"/>
                <w:szCs w:val="16"/>
                <w:color w:val="auto"/>
              </w:rPr>
            </w:pPr>
          </w:p>
        </w:tc>
        <w:tc>
          <w:tcPr>
            <w:tcW w:w="9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r>
      <w:tr>
        <w:trPr>
          <w:trHeight w:val="196"/>
        </w:trPr>
        <w:tc>
          <w:tcPr>
            <w:tcW w:w="5120" w:type="dxa"/>
            <w:vAlign w:val="bottom"/>
          </w:tcPr>
          <w:p>
            <w:pPr>
              <w:ind w:left="120"/>
              <w:spacing w:after="0"/>
              <w:rPr>
                <w:sz w:val="20"/>
                <w:szCs w:val="20"/>
                <w:color w:val="auto"/>
              </w:rPr>
            </w:pPr>
            <w:r>
              <w:rPr>
                <w:rFonts w:ascii="Arial" w:cs="Arial" w:eastAsia="Arial" w:hAnsi="Arial"/>
                <w:sz w:val="14"/>
                <w:szCs w:val="14"/>
                <w:color w:val="auto"/>
              </w:rPr>
              <w:t>Realized gain on sale of investment securities, net</w:t>
            </w:r>
          </w:p>
        </w:tc>
        <w:tc>
          <w:tcPr>
            <w:tcW w:w="220" w:type="dxa"/>
            <w:vAlign w:val="bottom"/>
          </w:tcPr>
          <w:p>
            <w:pPr>
              <w:spacing w:after="0"/>
              <w:rPr>
                <w:sz w:val="17"/>
                <w:szCs w:val="17"/>
                <w:color w:val="auto"/>
              </w:rPr>
            </w:pPr>
          </w:p>
        </w:tc>
        <w:tc>
          <w:tcPr>
            <w:tcW w:w="920" w:type="dxa"/>
            <w:vAlign w:val="bottom"/>
          </w:tcPr>
          <w:p>
            <w:pPr>
              <w:jc w:val="right"/>
              <w:ind w:right="68"/>
              <w:spacing w:after="0"/>
              <w:rPr>
                <w:sz w:val="20"/>
                <w:szCs w:val="20"/>
                <w:color w:val="auto"/>
              </w:rPr>
            </w:pPr>
            <w:r>
              <w:rPr>
                <w:rFonts w:ascii="Arial" w:cs="Arial" w:eastAsia="Arial" w:hAnsi="Arial"/>
                <w:sz w:val="14"/>
                <w:szCs w:val="14"/>
                <w:color w:val="auto"/>
              </w:rPr>
              <w:t>153</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60" w:type="dxa"/>
            <w:vAlign w:val="bottom"/>
          </w:tcPr>
          <w:p>
            <w:pPr>
              <w:jc w:val="right"/>
              <w:ind w:right="68"/>
              <w:spacing w:after="0"/>
              <w:rPr>
                <w:sz w:val="20"/>
                <w:szCs w:val="20"/>
                <w:color w:val="auto"/>
              </w:rPr>
            </w:pPr>
            <w:r>
              <w:rPr>
                <w:rFonts w:ascii="Arial" w:cs="Arial" w:eastAsia="Arial" w:hAnsi="Arial"/>
                <w:sz w:val="14"/>
                <w:szCs w:val="14"/>
                <w:color w:val="auto"/>
              </w:rPr>
              <w:t>494</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jc w:val="right"/>
              <w:ind w:right="68"/>
              <w:spacing w:after="0"/>
              <w:rPr>
                <w:sz w:val="20"/>
                <w:szCs w:val="20"/>
                <w:color w:val="auto"/>
              </w:rPr>
            </w:pPr>
            <w:r>
              <w:rPr>
                <w:rFonts w:ascii="Arial" w:cs="Arial" w:eastAsia="Arial" w:hAnsi="Arial"/>
                <w:sz w:val="14"/>
                <w:szCs w:val="14"/>
                <w:color w:val="auto"/>
              </w:rPr>
              <w:t>107</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ind w:right="68"/>
              <w:spacing w:after="0"/>
              <w:rPr>
                <w:sz w:val="20"/>
                <w:szCs w:val="20"/>
                <w:color w:val="auto"/>
              </w:rPr>
            </w:pPr>
            <w:r>
              <w:rPr>
                <w:rFonts w:ascii="Arial" w:cs="Arial" w:eastAsia="Arial" w:hAnsi="Arial"/>
                <w:sz w:val="14"/>
                <w:szCs w:val="14"/>
                <w:color w:val="auto"/>
              </w:rPr>
              <w:t>89</w:t>
            </w: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40" w:type="dxa"/>
            <w:vAlign w:val="bottom"/>
          </w:tcPr>
          <w:p>
            <w:pPr>
              <w:jc w:val="right"/>
              <w:ind w:right="68"/>
              <w:spacing w:after="0"/>
              <w:rPr>
                <w:sz w:val="20"/>
                <w:szCs w:val="20"/>
                <w:color w:val="auto"/>
              </w:rPr>
            </w:pPr>
            <w:r>
              <w:rPr>
                <w:rFonts w:ascii="Arial" w:cs="Arial" w:eastAsia="Arial" w:hAnsi="Arial"/>
                <w:sz w:val="14"/>
                <w:szCs w:val="14"/>
                <w:color w:val="auto"/>
              </w:rPr>
              <w:t>132</w:t>
            </w:r>
          </w:p>
        </w:tc>
      </w:tr>
      <w:tr>
        <w:trPr>
          <w:trHeight w:val="163"/>
        </w:trPr>
        <w:tc>
          <w:tcPr>
            <w:tcW w:w="5120" w:type="dxa"/>
            <w:vAlign w:val="bottom"/>
            <w:shd w:val="clear" w:color="auto" w:fill="CCEEFF"/>
          </w:tcPr>
          <w:p>
            <w:pPr>
              <w:ind w:left="120"/>
              <w:spacing w:after="0"/>
              <w:rPr>
                <w:sz w:val="20"/>
                <w:szCs w:val="20"/>
                <w:color w:val="auto"/>
              </w:rPr>
            </w:pPr>
            <w:r>
              <w:rPr>
                <w:rFonts w:ascii="Arial" w:cs="Arial" w:eastAsia="Arial" w:hAnsi="Arial"/>
                <w:sz w:val="14"/>
                <w:szCs w:val="14"/>
                <w:color w:val="auto"/>
                <w:w w:val="98"/>
              </w:rPr>
              <w:t>Unrealized gain (loss) on investment securities measured at fair value through net</w:t>
            </w:r>
          </w:p>
        </w:tc>
        <w:tc>
          <w:tcPr>
            <w:tcW w:w="22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r>
      <w:tr>
        <w:trPr>
          <w:trHeight w:val="194"/>
        </w:trPr>
        <w:tc>
          <w:tcPr>
            <w:tcW w:w="5120" w:type="dxa"/>
            <w:vAlign w:val="bottom"/>
            <w:shd w:val="clear" w:color="auto" w:fill="CCEEFF"/>
          </w:tcPr>
          <w:p>
            <w:pPr>
              <w:ind w:left="120"/>
              <w:spacing w:after="0"/>
              <w:rPr>
                <w:sz w:val="20"/>
                <w:szCs w:val="20"/>
                <w:color w:val="auto"/>
              </w:rPr>
            </w:pPr>
            <w:r>
              <w:rPr>
                <w:rFonts w:ascii="Arial" w:cs="Arial" w:eastAsia="Arial" w:hAnsi="Arial"/>
                <w:sz w:val="14"/>
                <w:szCs w:val="14"/>
                <w:color w:val="auto"/>
              </w:rPr>
              <w:t>income, net</w:t>
            </w:r>
          </w:p>
        </w:tc>
        <w:tc>
          <w:tcPr>
            <w:tcW w:w="220" w:type="dxa"/>
            <w:vAlign w:val="bottom"/>
            <w:shd w:val="clear" w:color="auto" w:fill="CCEEFF"/>
          </w:tcPr>
          <w:p>
            <w:pPr>
              <w:spacing w:after="0"/>
              <w:rPr>
                <w:sz w:val="16"/>
                <w:szCs w:val="16"/>
                <w:color w:val="auto"/>
              </w:rPr>
            </w:pPr>
          </w:p>
        </w:tc>
        <w:tc>
          <w:tcPr>
            <w:tcW w:w="9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679</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197</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(160)</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355</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9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759</w:t>
            </w:r>
          </w:p>
        </w:tc>
      </w:tr>
      <w:tr>
        <w:trPr>
          <w:trHeight w:val="197"/>
        </w:trPr>
        <w:tc>
          <w:tcPr>
            <w:tcW w:w="5120" w:type="dxa"/>
            <w:vAlign w:val="bottom"/>
            <w:tcBorders>
              <w:bottom w:val="single" w:sz="8" w:color="CCEEFF"/>
            </w:tcBorders>
          </w:tcPr>
          <w:p>
            <w:pPr>
              <w:ind w:left="140"/>
              <w:spacing w:after="0"/>
              <w:rPr>
                <w:sz w:val="20"/>
                <w:szCs w:val="20"/>
                <w:color w:val="auto"/>
              </w:rPr>
            </w:pPr>
            <w:r>
              <w:rPr>
                <w:rFonts w:ascii="Arial" w:cs="Arial" w:eastAsia="Arial" w:hAnsi="Arial"/>
                <w:sz w:val="14"/>
                <w:szCs w:val="14"/>
                <w:color w:val="auto"/>
              </w:rPr>
              <w:t>Gain (loss) on derivative instruments and other securities, net</w:t>
            </w:r>
          </w:p>
        </w:tc>
        <w:tc>
          <w:tcPr>
            <w:tcW w:w="22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(385)</w:t>
            </w:r>
          </w:p>
        </w:tc>
        <w:tc>
          <w:tcPr>
            <w:tcW w:w="10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(3,154)</w:t>
            </w:r>
          </w:p>
        </w:tc>
        <w:tc>
          <w:tcPr>
            <w:tcW w:w="10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662</w:t>
            </w:r>
          </w:p>
        </w:tc>
        <w:tc>
          <w:tcPr>
            <w:tcW w:w="12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(548)</w:t>
            </w:r>
          </w:p>
        </w:tc>
        <w:tc>
          <w:tcPr>
            <w:tcW w:w="12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(1,438)</w:t>
            </w:r>
          </w:p>
        </w:tc>
      </w:tr>
      <w:tr>
        <w:trPr>
          <w:trHeight w:val="202"/>
        </w:trPr>
        <w:tc>
          <w:tcPr>
            <w:tcW w:w="5120" w:type="dxa"/>
            <w:vAlign w:val="bottom"/>
            <w:shd w:val="clear" w:color="auto" w:fill="CCEEFF"/>
          </w:tcPr>
          <w:p>
            <w:pPr>
              <w:ind w:left="340"/>
              <w:spacing w:after="0"/>
              <w:rPr>
                <w:sz w:val="20"/>
                <w:szCs w:val="20"/>
                <w:color w:val="auto"/>
              </w:rPr>
            </w:pPr>
            <w:r>
              <w:rPr>
                <w:rFonts w:ascii="Arial" w:cs="Arial" w:eastAsia="Arial" w:hAnsi="Arial"/>
                <w:sz w:val="14"/>
                <w:szCs w:val="14"/>
                <w:color w:val="auto"/>
              </w:rPr>
              <w:t>Total other gain (loss), net</w:t>
            </w:r>
          </w:p>
        </w:tc>
        <w:tc>
          <w:tcPr>
            <w:tcW w:w="22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447</w:t>
            </w:r>
          </w:p>
        </w:tc>
        <w:tc>
          <w:tcPr>
            <w:tcW w:w="10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(2,463)</w:t>
            </w:r>
          </w:p>
        </w:tc>
        <w:tc>
          <w:tcPr>
            <w:tcW w:w="1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609</w:t>
            </w:r>
          </w:p>
        </w:tc>
        <w:tc>
          <w:tcPr>
            <w:tcW w:w="12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(104)</w:t>
            </w:r>
          </w:p>
        </w:tc>
        <w:tc>
          <w:tcPr>
            <w:tcW w:w="12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(547)</w:t>
            </w:r>
          </w:p>
        </w:tc>
      </w:tr>
      <w:tr>
        <w:trPr>
          <w:trHeight w:val="177"/>
        </w:trPr>
        <w:tc>
          <w:tcPr>
            <w:tcW w:w="5120" w:type="dxa"/>
            <w:vAlign w:val="bottom"/>
          </w:tcPr>
          <w:p>
            <w:pPr>
              <w:ind w:left="20"/>
              <w:spacing w:after="0"/>
              <w:rPr>
                <w:sz w:val="20"/>
                <w:szCs w:val="20"/>
                <w:color w:val="auto"/>
              </w:rPr>
            </w:pPr>
            <w:r>
              <w:rPr>
                <w:rFonts w:ascii="Arial" w:cs="Arial" w:eastAsia="Arial" w:hAnsi="Arial"/>
                <w:sz w:val="14"/>
                <w:szCs w:val="14"/>
                <w:b w:val="1"/>
                <w:bCs w:val="1"/>
                <w:color w:val="auto"/>
              </w:rPr>
              <w:t>Expenses:</w:t>
            </w:r>
          </w:p>
        </w:tc>
        <w:tc>
          <w:tcPr>
            <w:tcW w:w="22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940" w:type="dxa"/>
            <w:vAlign w:val="bottom"/>
          </w:tcPr>
          <w:p>
            <w:pPr>
              <w:spacing w:after="0"/>
              <w:rPr>
                <w:sz w:val="15"/>
                <w:szCs w:val="15"/>
                <w:color w:val="auto"/>
              </w:rPr>
            </w:pPr>
          </w:p>
        </w:tc>
      </w:tr>
      <w:tr>
        <w:trPr>
          <w:trHeight w:val="208"/>
        </w:trPr>
        <w:tc>
          <w:tcPr>
            <w:tcW w:w="5120" w:type="dxa"/>
            <w:vAlign w:val="bottom"/>
            <w:shd w:val="clear" w:color="auto" w:fill="CCEEFF"/>
          </w:tcPr>
          <w:p>
            <w:pPr>
              <w:ind w:left="120"/>
              <w:spacing w:after="0"/>
              <w:rPr>
                <w:sz w:val="20"/>
                <w:szCs w:val="20"/>
                <w:color w:val="auto"/>
              </w:rPr>
            </w:pPr>
            <w:r>
              <w:rPr>
                <w:rFonts w:ascii="Arial" w:cs="Arial" w:eastAsia="Arial" w:hAnsi="Arial"/>
                <w:sz w:val="14"/>
                <w:szCs w:val="14"/>
                <w:color w:val="auto"/>
              </w:rPr>
              <w:t>Compensation and benefits</w:t>
            </w:r>
          </w:p>
        </w:tc>
        <w:tc>
          <w:tcPr>
            <w:tcW w:w="22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13</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13</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16</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10</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11</w:t>
            </w:r>
          </w:p>
        </w:tc>
      </w:tr>
      <w:tr>
        <w:trPr>
          <w:trHeight w:val="197"/>
        </w:trPr>
        <w:tc>
          <w:tcPr>
            <w:tcW w:w="5120" w:type="dxa"/>
            <w:vAlign w:val="bottom"/>
            <w:tcBorders>
              <w:bottom w:val="single" w:sz="8" w:color="CCEEFF"/>
            </w:tcBorders>
          </w:tcPr>
          <w:p>
            <w:pPr>
              <w:ind w:left="120"/>
              <w:spacing w:after="0"/>
              <w:rPr>
                <w:sz w:val="20"/>
                <w:szCs w:val="20"/>
                <w:color w:val="auto"/>
              </w:rPr>
            </w:pPr>
            <w:r>
              <w:rPr>
                <w:rFonts w:ascii="Arial" w:cs="Arial" w:eastAsia="Arial" w:hAnsi="Arial"/>
                <w:sz w:val="14"/>
                <w:szCs w:val="14"/>
                <w:color w:val="auto"/>
              </w:rPr>
              <w:t>Other operating expense</w:t>
            </w:r>
          </w:p>
        </w:tc>
        <w:tc>
          <w:tcPr>
            <w:tcW w:w="22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11</w:t>
            </w:r>
          </w:p>
        </w:tc>
        <w:tc>
          <w:tcPr>
            <w:tcW w:w="10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10</w:t>
            </w:r>
          </w:p>
        </w:tc>
        <w:tc>
          <w:tcPr>
            <w:tcW w:w="10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9</w:t>
            </w:r>
          </w:p>
        </w:tc>
        <w:tc>
          <w:tcPr>
            <w:tcW w:w="12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9</w:t>
            </w:r>
          </w:p>
        </w:tc>
        <w:tc>
          <w:tcPr>
            <w:tcW w:w="12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9</w:t>
            </w:r>
          </w:p>
        </w:tc>
      </w:tr>
      <w:tr>
        <w:trPr>
          <w:trHeight w:val="202"/>
        </w:trPr>
        <w:tc>
          <w:tcPr>
            <w:tcW w:w="5120" w:type="dxa"/>
            <w:vAlign w:val="bottom"/>
            <w:shd w:val="clear" w:color="auto" w:fill="CCEEFF"/>
          </w:tcPr>
          <w:p>
            <w:pPr>
              <w:ind w:left="380"/>
              <w:spacing w:after="0"/>
              <w:rPr>
                <w:sz w:val="20"/>
                <w:szCs w:val="20"/>
                <w:color w:val="auto"/>
              </w:rPr>
            </w:pPr>
            <w:r>
              <w:rPr>
                <w:rFonts w:ascii="Arial" w:cs="Arial" w:eastAsia="Arial" w:hAnsi="Arial"/>
                <w:sz w:val="14"/>
                <w:szCs w:val="14"/>
                <w:color w:val="auto"/>
              </w:rPr>
              <w:t>Total operating expense</w:t>
            </w:r>
          </w:p>
        </w:tc>
        <w:tc>
          <w:tcPr>
            <w:tcW w:w="22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24</w:t>
            </w:r>
          </w:p>
        </w:tc>
        <w:tc>
          <w:tcPr>
            <w:tcW w:w="10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23</w:t>
            </w:r>
          </w:p>
        </w:tc>
        <w:tc>
          <w:tcPr>
            <w:tcW w:w="1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25</w:t>
            </w:r>
          </w:p>
        </w:tc>
        <w:tc>
          <w:tcPr>
            <w:tcW w:w="12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19</w:t>
            </w:r>
          </w:p>
        </w:tc>
        <w:tc>
          <w:tcPr>
            <w:tcW w:w="12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20</w:t>
            </w:r>
          </w:p>
        </w:tc>
      </w:tr>
      <w:tr>
        <w:trPr>
          <w:trHeight w:val="190"/>
        </w:trPr>
        <w:tc>
          <w:tcPr>
            <w:tcW w:w="5120" w:type="dxa"/>
            <w:vAlign w:val="bottom"/>
          </w:tcPr>
          <w:p>
            <w:pPr>
              <w:ind w:left="20"/>
              <w:spacing w:after="0"/>
              <w:rPr>
                <w:sz w:val="20"/>
                <w:szCs w:val="20"/>
                <w:color w:val="auto"/>
              </w:rPr>
            </w:pPr>
            <w:r>
              <w:rPr>
                <w:rFonts w:ascii="Arial" w:cs="Arial" w:eastAsia="Arial" w:hAnsi="Arial"/>
                <w:sz w:val="14"/>
                <w:szCs w:val="14"/>
                <w:b w:val="1"/>
                <w:bCs w:val="1"/>
                <w:color w:val="auto"/>
              </w:rPr>
              <w:t>Net income (loss)</w:t>
            </w:r>
          </w:p>
        </w:tc>
        <w:tc>
          <w:tcPr>
            <w:tcW w:w="220" w:type="dxa"/>
            <w:vAlign w:val="bottom"/>
          </w:tcPr>
          <w:p>
            <w:pPr>
              <w:spacing w:after="0"/>
              <w:rPr>
                <w:sz w:val="16"/>
                <w:szCs w:val="16"/>
                <w:color w:val="auto"/>
              </w:rPr>
            </w:pPr>
          </w:p>
        </w:tc>
        <w:tc>
          <w:tcPr>
            <w:tcW w:w="920" w:type="dxa"/>
            <w:vAlign w:val="bottom"/>
          </w:tcPr>
          <w:p>
            <w:pPr>
              <w:jc w:val="right"/>
              <w:ind w:right="68"/>
              <w:spacing w:after="0"/>
              <w:rPr>
                <w:sz w:val="20"/>
                <w:szCs w:val="20"/>
                <w:color w:val="auto"/>
              </w:rPr>
            </w:pPr>
            <w:r>
              <w:rPr>
                <w:rFonts w:ascii="Arial" w:cs="Arial" w:eastAsia="Arial" w:hAnsi="Arial"/>
                <w:sz w:val="14"/>
                <w:szCs w:val="14"/>
                <w:color w:val="auto"/>
              </w:rPr>
              <w:t>718</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(2,421)</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0" w:type="dxa"/>
            <w:vAlign w:val="bottom"/>
          </w:tcPr>
          <w:p>
            <w:pPr>
              <w:jc w:val="right"/>
              <w:ind w:right="68"/>
              <w:spacing w:after="0"/>
              <w:rPr>
                <w:sz w:val="20"/>
                <w:szCs w:val="20"/>
                <w:color w:val="auto"/>
              </w:rPr>
            </w:pPr>
            <w:r>
              <w:rPr>
                <w:rFonts w:ascii="Arial" w:cs="Arial" w:eastAsia="Arial" w:hAnsi="Arial"/>
                <w:sz w:val="14"/>
                <w:szCs w:val="14"/>
                <w:color w:val="auto"/>
              </w:rPr>
              <w:t>871</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(4)</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(444)</w:t>
            </w:r>
          </w:p>
        </w:tc>
      </w:tr>
      <w:tr>
        <w:trPr>
          <w:trHeight w:val="208"/>
        </w:trPr>
        <w:tc>
          <w:tcPr>
            <w:tcW w:w="5120" w:type="dxa"/>
            <w:vAlign w:val="bottom"/>
            <w:shd w:val="clear" w:color="auto" w:fill="CCEEFF"/>
          </w:tcPr>
          <w:p>
            <w:pPr>
              <w:ind w:left="120"/>
              <w:spacing w:after="0"/>
              <w:rPr>
                <w:sz w:val="20"/>
                <w:szCs w:val="20"/>
                <w:color w:val="auto"/>
              </w:rPr>
            </w:pPr>
            <w:r>
              <w:rPr>
                <w:rFonts w:ascii="Arial" w:cs="Arial" w:eastAsia="Arial" w:hAnsi="Arial"/>
                <w:sz w:val="14"/>
                <w:szCs w:val="14"/>
                <w:color w:val="auto"/>
              </w:rPr>
              <w:t>Dividend on preferred stock</w:t>
            </w:r>
          </w:p>
        </w:tc>
        <w:tc>
          <w:tcPr>
            <w:tcW w:w="22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25</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21</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18</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13</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13</w:t>
            </w:r>
          </w:p>
        </w:tc>
      </w:tr>
      <w:tr>
        <w:trPr>
          <w:trHeight w:val="197"/>
        </w:trPr>
        <w:tc>
          <w:tcPr>
            <w:tcW w:w="5120" w:type="dxa"/>
            <w:vAlign w:val="bottom"/>
            <w:tcBorders>
              <w:bottom w:val="single" w:sz="8" w:color="CCEEFF"/>
            </w:tcBorders>
          </w:tcPr>
          <w:p>
            <w:pPr>
              <w:ind w:left="120"/>
              <w:spacing w:after="0"/>
              <w:rPr>
                <w:sz w:val="20"/>
                <w:szCs w:val="20"/>
                <w:color w:val="auto"/>
              </w:rPr>
            </w:pPr>
            <w:r>
              <w:rPr>
                <w:rFonts w:ascii="Arial" w:cs="Arial" w:eastAsia="Arial" w:hAnsi="Arial"/>
                <w:sz w:val="14"/>
                <w:szCs w:val="14"/>
                <w:color w:val="auto"/>
              </w:rPr>
              <w:t>Issuance costs of redeemed preferred stock</w:t>
            </w:r>
          </w:p>
        </w:tc>
        <w:tc>
          <w:tcPr>
            <w:tcW w:w="22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6</w:t>
            </w:r>
          </w:p>
        </w:tc>
        <w:tc>
          <w:tcPr>
            <w:tcW w:w="12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r>
      <w:tr>
        <w:trPr>
          <w:trHeight w:val="222"/>
        </w:trPr>
        <w:tc>
          <w:tcPr>
            <w:tcW w:w="512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Net income (loss) available (attributable) to common stockholders</w:t>
            </w: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693</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(2,442)</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847</w:t>
            </w: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(17)</w:t>
            </w: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(457)</w:t>
            </w:r>
          </w:p>
        </w:tc>
      </w:tr>
      <w:tr>
        <w:trPr>
          <w:trHeight w:val="20"/>
        </w:trPr>
        <w:tc>
          <w:tcPr>
            <w:tcW w:w="5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r>
      <w:tr>
        <w:trPr>
          <w:trHeight w:val="163"/>
        </w:trPr>
        <w:tc>
          <w:tcPr>
            <w:tcW w:w="5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40" w:type="dxa"/>
            <w:vAlign w:val="bottom"/>
          </w:tcPr>
          <w:p>
            <w:pPr>
              <w:spacing w:after="0"/>
              <w:rPr>
                <w:sz w:val="14"/>
                <w:szCs w:val="14"/>
                <w:color w:val="auto"/>
              </w:rPr>
            </w:pPr>
          </w:p>
        </w:tc>
      </w:tr>
      <w:tr>
        <w:trPr>
          <w:trHeight w:val="203"/>
        </w:trPr>
        <w:tc>
          <w:tcPr>
            <w:tcW w:w="512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Net income (loss)</w:t>
            </w: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718</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(2,421)</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871</w:t>
            </w: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w:t>
            </w: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(444)</w:t>
            </w:r>
          </w:p>
        </w:tc>
      </w:tr>
      <w:tr>
        <w:trPr>
          <w:trHeight w:val="157"/>
        </w:trPr>
        <w:tc>
          <w:tcPr>
            <w:tcW w:w="5120" w:type="dxa"/>
            <w:vAlign w:val="bottom"/>
          </w:tcPr>
          <w:p>
            <w:pPr>
              <w:ind w:left="120"/>
              <w:spacing w:after="0" w:line="157" w:lineRule="exact"/>
              <w:rPr>
                <w:sz w:val="20"/>
                <w:szCs w:val="20"/>
                <w:color w:val="auto"/>
              </w:rPr>
            </w:pPr>
            <w:r>
              <w:rPr>
                <w:rFonts w:ascii="Arial" w:cs="Arial" w:eastAsia="Arial" w:hAnsi="Arial"/>
                <w:sz w:val="14"/>
                <w:szCs w:val="14"/>
                <w:color w:val="auto"/>
              </w:rPr>
              <w:t>Unrealized gain on investment securities measured at fair value through other</w:t>
            </w:r>
          </w:p>
        </w:tc>
        <w:tc>
          <w:tcPr>
            <w:tcW w:w="2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940" w:type="dxa"/>
            <w:vAlign w:val="bottom"/>
          </w:tcPr>
          <w:p>
            <w:pPr>
              <w:spacing w:after="0"/>
              <w:rPr>
                <w:sz w:val="13"/>
                <w:szCs w:val="13"/>
                <w:color w:val="auto"/>
              </w:rPr>
            </w:pPr>
          </w:p>
        </w:tc>
      </w:tr>
      <w:tr>
        <w:trPr>
          <w:trHeight w:val="188"/>
        </w:trPr>
        <w:tc>
          <w:tcPr>
            <w:tcW w:w="5120" w:type="dxa"/>
            <w:vAlign w:val="bottom"/>
            <w:tcBorders>
              <w:bottom w:val="single" w:sz="8" w:color="CCEEFF"/>
            </w:tcBorders>
          </w:tcPr>
          <w:p>
            <w:pPr>
              <w:ind w:left="120"/>
              <w:spacing w:after="0"/>
              <w:rPr>
                <w:sz w:val="20"/>
                <w:szCs w:val="20"/>
                <w:color w:val="auto"/>
              </w:rPr>
            </w:pPr>
            <w:r>
              <w:rPr>
                <w:rFonts w:ascii="Arial" w:cs="Arial" w:eastAsia="Arial" w:hAnsi="Arial"/>
                <w:sz w:val="14"/>
                <w:szCs w:val="14"/>
                <w:color w:val="auto"/>
              </w:rPr>
              <w:t>comprehensive income (loss), net</w:t>
            </w:r>
          </w:p>
        </w:tc>
        <w:tc>
          <w:tcPr>
            <w:tcW w:w="22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203</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464</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15</w:t>
            </w: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246</w:t>
            </w: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379</w:t>
            </w:r>
          </w:p>
        </w:tc>
      </w:tr>
      <w:tr>
        <w:trPr>
          <w:trHeight w:val="202"/>
        </w:trPr>
        <w:tc>
          <w:tcPr>
            <w:tcW w:w="512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Comprehensive income (loss)</w:t>
            </w:r>
          </w:p>
        </w:tc>
        <w:tc>
          <w:tcPr>
            <w:tcW w:w="220" w:type="dxa"/>
            <w:vAlign w:val="bottom"/>
            <w:shd w:val="clear" w:color="auto" w:fill="CCEEFF"/>
          </w:tcPr>
          <w:p>
            <w:pPr>
              <w:spacing w:after="0"/>
              <w:rPr>
                <w:sz w:val="17"/>
                <w:szCs w:val="17"/>
                <w:color w:val="auto"/>
              </w:rPr>
            </w:pPr>
          </w:p>
        </w:tc>
        <w:tc>
          <w:tcPr>
            <w:tcW w:w="9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921</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(1,957)</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886</w:t>
            </w: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242</w:t>
            </w: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(65)</w:t>
            </w:r>
          </w:p>
        </w:tc>
      </w:tr>
      <w:tr>
        <w:trPr>
          <w:trHeight w:val="197"/>
        </w:trPr>
        <w:tc>
          <w:tcPr>
            <w:tcW w:w="5120" w:type="dxa"/>
            <w:vAlign w:val="bottom"/>
          </w:tcPr>
          <w:p>
            <w:pPr>
              <w:ind w:left="120"/>
              <w:spacing w:after="0"/>
              <w:rPr>
                <w:sz w:val="20"/>
                <w:szCs w:val="20"/>
                <w:color w:val="auto"/>
              </w:rPr>
            </w:pPr>
            <w:r>
              <w:rPr>
                <w:rFonts w:ascii="Arial" w:cs="Arial" w:eastAsia="Arial" w:hAnsi="Arial"/>
                <w:sz w:val="14"/>
                <w:szCs w:val="14"/>
                <w:color w:val="auto"/>
              </w:rPr>
              <w:t>Dividend on preferred stock</w:t>
            </w:r>
          </w:p>
        </w:tc>
        <w:tc>
          <w:tcPr>
            <w:tcW w:w="220" w:type="dxa"/>
            <w:vAlign w:val="bottom"/>
          </w:tcPr>
          <w:p>
            <w:pPr>
              <w:spacing w:after="0"/>
              <w:rPr>
                <w:sz w:val="17"/>
                <w:szCs w:val="17"/>
                <w:color w:val="auto"/>
              </w:rPr>
            </w:pPr>
          </w:p>
        </w:tc>
        <w:tc>
          <w:tcPr>
            <w:tcW w:w="920" w:type="dxa"/>
            <w:vAlign w:val="bottom"/>
          </w:tcPr>
          <w:p>
            <w:pPr>
              <w:jc w:val="right"/>
              <w:ind w:right="68"/>
              <w:spacing w:after="0"/>
              <w:rPr>
                <w:sz w:val="20"/>
                <w:szCs w:val="20"/>
                <w:color w:val="auto"/>
              </w:rPr>
            </w:pPr>
            <w:r>
              <w:rPr>
                <w:rFonts w:ascii="Arial" w:cs="Arial" w:eastAsia="Arial" w:hAnsi="Arial"/>
                <w:sz w:val="14"/>
                <w:szCs w:val="14"/>
                <w:color w:val="auto"/>
              </w:rPr>
              <w:t>25</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60" w:type="dxa"/>
            <w:vAlign w:val="bottom"/>
          </w:tcPr>
          <w:p>
            <w:pPr>
              <w:jc w:val="right"/>
              <w:ind w:right="68"/>
              <w:spacing w:after="0"/>
              <w:rPr>
                <w:sz w:val="20"/>
                <w:szCs w:val="20"/>
                <w:color w:val="auto"/>
              </w:rPr>
            </w:pPr>
            <w:r>
              <w:rPr>
                <w:rFonts w:ascii="Arial" w:cs="Arial" w:eastAsia="Arial" w:hAnsi="Arial"/>
                <w:sz w:val="14"/>
                <w:szCs w:val="14"/>
                <w:color w:val="auto"/>
              </w:rPr>
              <w:t>21</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jc w:val="right"/>
              <w:ind w:right="68"/>
              <w:spacing w:after="0"/>
              <w:rPr>
                <w:sz w:val="20"/>
                <w:szCs w:val="20"/>
                <w:color w:val="auto"/>
              </w:rPr>
            </w:pPr>
            <w:r>
              <w:rPr>
                <w:rFonts w:ascii="Arial" w:cs="Arial" w:eastAsia="Arial" w:hAnsi="Arial"/>
                <w:sz w:val="14"/>
                <w:szCs w:val="14"/>
                <w:color w:val="auto"/>
              </w:rPr>
              <w:t>18</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ind w:right="68"/>
              <w:spacing w:after="0"/>
              <w:rPr>
                <w:sz w:val="20"/>
                <w:szCs w:val="20"/>
                <w:color w:val="auto"/>
              </w:rPr>
            </w:pPr>
            <w:r>
              <w:rPr>
                <w:rFonts w:ascii="Arial" w:cs="Arial" w:eastAsia="Arial" w:hAnsi="Arial"/>
                <w:sz w:val="14"/>
                <w:szCs w:val="14"/>
                <w:color w:val="auto"/>
              </w:rPr>
              <w:t>13</w:t>
            </w: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40" w:type="dxa"/>
            <w:vAlign w:val="bottom"/>
          </w:tcPr>
          <w:p>
            <w:pPr>
              <w:jc w:val="right"/>
              <w:ind w:right="68"/>
              <w:spacing w:after="0"/>
              <w:rPr>
                <w:sz w:val="20"/>
                <w:szCs w:val="20"/>
                <w:color w:val="auto"/>
              </w:rPr>
            </w:pPr>
            <w:r>
              <w:rPr>
                <w:rFonts w:ascii="Arial" w:cs="Arial" w:eastAsia="Arial" w:hAnsi="Arial"/>
                <w:sz w:val="14"/>
                <w:szCs w:val="14"/>
                <w:color w:val="auto"/>
              </w:rPr>
              <w:t>13</w:t>
            </w:r>
          </w:p>
        </w:tc>
      </w:tr>
      <w:tr>
        <w:trPr>
          <w:trHeight w:val="203"/>
        </w:trPr>
        <w:tc>
          <w:tcPr>
            <w:tcW w:w="5120" w:type="dxa"/>
            <w:vAlign w:val="bottom"/>
            <w:shd w:val="clear" w:color="auto" w:fill="CCEEFF"/>
          </w:tcPr>
          <w:p>
            <w:pPr>
              <w:ind w:left="120"/>
              <w:spacing w:after="0"/>
              <w:rPr>
                <w:sz w:val="20"/>
                <w:szCs w:val="20"/>
                <w:color w:val="auto"/>
              </w:rPr>
            </w:pPr>
            <w:r>
              <w:rPr>
                <w:rFonts w:ascii="Arial" w:cs="Arial" w:eastAsia="Arial" w:hAnsi="Arial"/>
                <w:sz w:val="14"/>
                <w:szCs w:val="14"/>
                <w:color w:val="auto"/>
              </w:rPr>
              <w:t>Issuance costs of redeemed preferred stock</w:t>
            </w:r>
          </w:p>
        </w:tc>
        <w:tc>
          <w:tcPr>
            <w:tcW w:w="22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6</w:t>
            </w:r>
          </w:p>
        </w:tc>
        <w:tc>
          <w:tcPr>
            <w:tcW w:w="12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r>
      <w:tr>
        <w:trPr>
          <w:trHeight w:val="202"/>
        </w:trPr>
        <w:tc>
          <w:tcPr>
            <w:tcW w:w="5120" w:type="dxa"/>
            <w:vAlign w:val="bottom"/>
          </w:tcPr>
          <w:p>
            <w:pPr>
              <w:ind w:left="20"/>
              <w:spacing w:after="0"/>
              <w:rPr>
                <w:sz w:val="20"/>
                <w:szCs w:val="20"/>
                <w:color w:val="auto"/>
              </w:rPr>
            </w:pPr>
            <w:r>
              <w:rPr>
                <w:rFonts w:ascii="Arial" w:cs="Arial" w:eastAsia="Arial" w:hAnsi="Arial"/>
                <w:sz w:val="14"/>
                <w:szCs w:val="14"/>
                <w:b w:val="1"/>
                <w:bCs w:val="1"/>
                <w:color w:val="auto"/>
                <w:w w:val="97"/>
              </w:rPr>
              <w:t>Comprehensive income (loss) available (attributable) to common stockholders</w:t>
            </w: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920" w:type="dxa"/>
            <w:vAlign w:val="bottom"/>
          </w:tcPr>
          <w:p>
            <w:pPr>
              <w:jc w:val="right"/>
              <w:ind w:right="68"/>
              <w:spacing w:after="0"/>
              <w:rPr>
                <w:sz w:val="20"/>
                <w:szCs w:val="20"/>
                <w:color w:val="auto"/>
              </w:rPr>
            </w:pPr>
            <w:r>
              <w:rPr>
                <w:rFonts w:ascii="Arial" w:cs="Arial" w:eastAsia="Arial" w:hAnsi="Arial"/>
                <w:sz w:val="14"/>
                <w:szCs w:val="14"/>
                <w:color w:val="auto"/>
              </w:rPr>
              <w:t>896</w:t>
            </w:r>
          </w:p>
        </w:tc>
        <w:tc>
          <w:tcPr>
            <w:tcW w:w="100" w:type="dxa"/>
            <w:vAlign w:val="bottom"/>
          </w:tcPr>
          <w:p>
            <w:pPr>
              <w:spacing w:after="0"/>
              <w:rPr>
                <w:sz w:val="17"/>
                <w:szCs w:val="17"/>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(1,978)</w:t>
            </w:r>
          </w:p>
        </w:tc>
        <w:tc>
          <w:tcPr>
            <w:tcW w:w="2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68"/>
              <w:spacing w:after="0"/>
              <w:rPr>
                <w:sz w:val="20"/>
                <w:szCs w:val="20"/>
                <w:color w:val="auto"/>
              </w:rPr>
            </w:pPr>
            <w:r>
              <w:rPr>
                <w:rFonts w:ascii="Arial" w:cs="Arial" w:eastAsia="Arial" w:hAnsi="Arial"/>
                <w:sz w:val="14"/>
                <w:szCs w:val="14"/>
                <w:color w:val="auto"/>
              </w:rPr>
              <w:t>862</w:t>
            </w:r>
          </w:p>
        </w:tc>
        <w:tc>
          <w:tcPr>
            <w:tcW w:w="120" w:type="dxa"/>
            <w:vAlign w:val="bottom"/>
          </w:tcPr>
          <w:p>
            <w:pPr>
              <w:spacing w:after="0"/>
              <w:rPr>
                <w:sz w:val="17"/>
                <w:szCs w:val="17"/>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00" w:type="dxa"/>
            <w:vAlign w:val="bottom"/>
          </w:tcPr>
          <w:p>
            <w:pPr>
              <w:jc w:val="right"/>
              <w:ind w:right="68"/>
              <w:spacing w:after="0"/>
              <w:rPr>
                <w:sz w:val="20"/>
                <w:szCs w:val="20"/>
                <w:color w:val="auto"/>
              </w:rPr>
            </w:pPr>
            <w:r>
              <w:rPr>
                <w:rFonts w:ascii="Arial" w:cs="Arial" w:eastAsia="Arial" w:hAnsi="Arial"/>
                <w:sz w:val="14"/>
                <w:szCs w:val="14"/>
                <w:color w:val="auto"/>
              </w:rPr>
              <w:t>229</w:t>
            </w:r>
          </w:p>
        </w:tc>
        <w:tc>
          <w:tcPr>
            <w:tcW w:w="120" w:type="dxa"/>
            <w:vAlign w:val="bottom"/>
          </w:tcPr>
          <w:p>
            <w:pPr>
              <w:spacing w:after="0"/>
              <w:rPr>
                <w:sz w:val="17"/>
                <w:szCs w:val="17"/>
                <w:color w:val="auto"/>
              </w:rPr>
            </w:pPr>
          </w:p>
        </w:tc>
        <w:tc>
          <w:tcPr>
            <w:tcW w:w="200" w:type="dxa"/>
            <w:vAlign w:val="bottom"/>
          </w:tcPr>
          <w:p>
            <w:pPr>
              <w:jc w:val="right"/>
              <w:ind w:right="48"/>
              <w:spacing w:after="0"/>
              <w:rPr>
                <w:sz w:val="20"/>
                <w:szCs w:val="20"/>
                <w:color w:val="auto"/>
              </w:rPr>
            </w:pPr>
            <w:r>
              <w:rPr>
                <w:rFonts w:ascii="Arial" w:cs="Arial" w:eastAsia="Arial" w:hAnsi="Arial"/>
                <w:sz w:val="14"/>
                <w:szCs w:val="14"/>
                <w:color w:val="auto"/>
                <w:w w:val="76"/>
              </w:rPr>
              <w:t>$</w:t>
            </w: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(78)</w:t>
            </w:r>
          </w:p>
        </w:tc>
      </w:tr>
      <w:tr>
        <w:trPr>
          <w:trHeight w:val="20"/>
        </w:trPr>
        <w:tc>
          <w:tcPr>
            <w:tcW w:w="5120" w:type="dxa"/>
            <w:vAlign w:val="bottom"/>
            <w:tcBorders>
              <w:bottom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r>
      <w:tr>
        <w:trPr>
          <w:trHeight w:val="183"/>
        </w:trPr>
        <w:tc>
          <w:tcPr>
            <w:tcW w:w="512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9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0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0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940" w:type="dxa"/>
            <w:vAlign w:val="bottom"/>
            <w:shd w:val="clear" w:color="auto" w:fill="CCEEFF"/>
          </w:tcPr>
          <w:p>
            <w:pPr>
              <w:spacing w:after="0"/>
              <w:rPr>
                <w:sz w:val="15"/>
                <w:szCs w:val="15"/>
                <w:color w:val="auto"/>
              </w:rPr>
            </w:pPr>
          </w:p>
        </w:tc>
      </w:tr>
      <w:tr>
        <w:trPr>
          <w:trHeight w:val="203"/>
        </w:trPr>
        <w:tc>
          <w:tcPr>
            <w:tcW w:w="5120" w:type="dxa"/>
            <w:vAlign w:val="bottom"/>
          </w:tcPr>
          <w:p>
            <w:pPr>
              <w:ind w:left="20"/>
              <w:spacing w:after="0"/>
              <w:rPr>
                <w:sz w:val="20"/>
                <w:szCs w:val="20"/>
                <w:color w:val="auto"/>
              </w:rPr>
            </w:pPr>
            <w:r>
              <w:rPr>
                <w:rFonts w:ascii="Arial" w:cs="Arial" w:eastAsia="Arial" w:hAnsi="Arial"/>
                <w:sz w:val="14"/>
                <w:szCs w:val="14"/>
                <w:b w:val="1"/>
                <w:bCs w:val="1"/>
                <w:color w:val="auto"/>
              </w:rPr>
              <w:t>Weighted average number of common shares outstanding - basic</w:t>
            </w:r>
          </w:p>
        </w:tc>
        <w:tc>
          <w:tcPr>
            <w:tcW w:w="22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560.3</w:t>
            </w:r>
          </w:p>
        </w:tc>
        <w:tc>
          <w:tcPr>
            <w:tcW w:w="100" w:type="dxa"/>
            <w:vAlign w:val="bottom"/>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548.0</w:t>
            </w:r>
          </w:p>
        </w:tc>
        <w:tc>
          <w:tcPr>
            <w:tcW w:w="100" w:type="dxa"/>
            <w:vAlign w:val="bottom"/>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541.4</w:t>
            </w:r>
          </w:p>
        </w:tc>
        <w:tc>
          <w:tcPr>
            <w:tcW w:w="120" w:type="dxa"/>
            <w:vAlign w:val="bottom"/>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546.4</w:t>
            </w:r>
          </w:p>
        </w:tc>
        <w:tc>
          <w:tcPr>
            <w:tcW w:w="120" w:type="dxa"/>
            <w:vAlign w:val="bottom"/>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537.8</w:t>
            </w:r>
          </w:p>
        </w:tc>
      </w:tr>
      <w:tr>
        <w:trPr>
          <w:trHeight w:val="20"/>
        </w:trPr>
        <w:tc>
          <w:tcPr>
            <w:tcW w:w="512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r>
        <w:trPr>
          <w:trHeight w:val="222"/>
        </w:trPr>
        <w:tc>
          <w:tcPr>
            <w:tcW w:w="51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Weighted average number of common shares outstanding - diluted</w:t>
            </w:r>
          </w:p>
        </w:tc>
        <w:tc>
          <w:tcPr>
            <w:tcW w:w="22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560.8</w:t>
            </w:r>
          </w:p>
        </w:tc>
        <w:tc>
          <w:tcPr>
            <w:tcW w:w="10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548.0</w:t>
            </w:r>
          </w:p>
        </w:tc>
        <w:tc>
          <w:tcPr>
            <w:tcW w:w="10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542.6</w:t>
            </w:r>
          </w:p>
        </w:tc>
        <w:tc>
          <w:tcPr>
            <w:tcW w:w="12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546.4</w:t>
            </w:r>
          </w:p>
        </w:tc>
        <w:tc>
          <w:tcPr>
            <w:tcW w:w="12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537.8</w:t>
            </w:r>
          </w:p>
        </w:tc>
      </w:tr>
      <w:tr>
        <w:trPr>
          <w:trHeight w:val="20"/>
        </w:trPr>
        <w:tc>
          <w:tcPr>
            <w:tcW w:w="5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r>
      <w:tr>
        <w:trPr>
          <w:trHeight w:val="176"/>
        </w:trPr>
        <w:tc>
          <w:tcPr>
            <w:tcW w:w="5120" w:type="dxa"/>
            <w:vAlign w:val="bottom"/>
          </w:tcPr>
          <w:p>
            <w:pPr>
              <w:ind w:left="20"/>
              <w:spacing w:after="0"/>
              <w:rPr>
                <w:sz w:val="20"/>
                <w:szCs w:val="20"/>
                <w:color w:val="auto"/>
              </w:rPr>
            </w:pPr>
            <w:r>
              <w:rPr>
                <w:rFonts w:ascii="Arial" w:cs="Arial" w:eastAsia="Arial" w:hAnsi="Arial"/>
                <w:sz w:val="14"/>
                <w:szCs w:val="14"/>
                <w:b w:val="1"/>
                <w:bCs w:val="1"/>
                <w:color w:val="auto"/>
              </w:rPr>
              <w:t>Net income (loss) per common share - basic</w:t>
            </w: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920" w:type="dxa"/>
            <w:vAlign w:val="bottom"/>
          </w:tcPr>
          <w:p>
            <w:pPr>
              <w:jc w:val="right"/>
              <w:ind w:right="68"/>
              <w:spacing w:after="0"/>
              <w:rPr>
                <w:sz w:val="20"/>
                <w:szCs w:val="20"/>
                <w:color w:val="auto"/>
              </w:rPr>
            </w:pPr>
            <w:r>
              <w:rPr>
                <w:rFonts w:ascii="Arial" w:cs="Arial" w:eastAsia="Arial" w:hAnsi="Arial"/>
                <w:sz w:val="14"/>
                <w:szCs w:val="14"/>
                <w:color w:val="auto"/>
              </w:rPr>
              <w:t>1.24</w:t>
            </w:r>
          </w:p>
        </w:tc>
        <w:tc>
          <w:tcPr>
            <w:tcW w:w="100" w:type="dxa"/>
            <w:vAlign w:val="bottom"/>
          </w:tcPr>
          <w:p>
            <w:pPr>
              <w:spacing w:after="0"/>
              <w:rPr>
                <w:sz w:val="15"/>
                <w:szCs w:val="15"/>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(4.46)</w:t>
            </w:r>
          </w:p>
        </w:tc>
        <w:tc>
          <w:tcPr>
            <w:tcW w:w="2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68"/>
              <w:spacing w:after="0"/>
              <w:rPr>
                <w:sz w:val="20"/>
                <w:szCs w:val="20"/>
                <w:color w:val="auto"/>
              </w:rPr>
            </w:pPr>
            <w:r>
              <w:rPr>
                <w:rFonts w:ascii="Arial" w:cs="Arial" w:eastAsia="Arial" w:hAnsi="Arial"/>
                <w:sz w:val="14"/>
                <w:szCs w:val="14"/>
                <w:color w:val="auto"/>
              </w:rPr>
              <w:t>1.56</w:t>
            </w:r>
          </w:p>
        </w:tc>
        <w:tc>
          <w:tcPr>
            <w:tcW w:w="120" w:type="dxa"/>
            <w:vAlign w:val="bottom"/>
          </w:tcPr>
          <w:p>
            <w:pPr>
              <w:spacing w:after="0"/>
              <w:rPr>
                <w:sz w:val="15"/>
                <w:szCs w:val="15"/>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(0.03)</w:t>
            </w:r>
          </w:p>
        </w:tc>
        <w:tc>
          <w:tcPr>
            <w:tcW w:w="120" w:type="dxa"/>
            <w:vAlign w:val="bottom"/>
          </w:tcPr>
          <w:p>
            <w:pPr>
              <w:spacing w:after="0"/>
              <w:rPr>
                <w:sz w:val="15"/>
                <w:szCs w:val="15"/>
                <w:color w:val="auto"/>
              </w:rPr>
            </w:pPr>
          </w:p>
        </w:tc>
        <w:tc>
          <w:tcPr>
            <w:tcW w:w="200" w:type="dxa"/>
            <w:vAlign w:val="bottom"/>
          </w:tcPr>
          <w:p>
            <w:pPr>
              <w:jc w:val="right"/>
              <w:ind w:right="48"/>
              <w:spacing w:after="0"/>
              <w:rPr>
                <w:sz w:val="20"/>
                <w:szCs w:val="20"/>
                <w:color w:val="auto"/>
              </w:rPr>
            </w:pPr>
            <w:r>
              <w:rPr>
                <w:rFonts w:ascii="Arial" w:cs="Arial" w:eastAsia="Arial" w:hAnsi="Arial"/>
                <w:sz w:val="14"/>
                <w:szCs w:val="14"/>
                <w:color w:val="auto"/>
                <w:w w:val="76"/>
              </w:rPr>
              <w:t>$</w:t>
            </w: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(0.85)</w:t>
            </w:r>
          </w:p>
        </w:tc>
      </w:tr>
      <w:tr>
        <w:trPr>
          <w:trHeight w:val="20"/>
        </w:trPr>
        <w:tc>
          <w:tcPr>
            <w:tcW w:w="5120" w:type="dxa"/>
            <w:vAlign w:val="bottom"/>
            <w:tcBorders>
              <w:bottom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r>
      <w:tr>
        <w:trPr>
          <w:trHeight w:val="217"/>
        </w:trPr>
        <w:tc>
          <w:tcPr>
            <w:tcW w:w="51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Net income (loss) per common share - diluted</w:t>
            </w: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1.24</w:t>
            </w:r>
          </w:p>
        </w:tc>
        <w:tc>
          <w:tcPr>
            <w:tcW w:w="10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(4.46)</w:t>
            </w:r>
          </w:p>
        </w:tc>
        <w:tc>
          <w:tcPr>
            <w:tcW w:w="10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1.56</w:t>
            </w:r>
          </w:p>
        </w:tc>
        <w:tc>
          <w:tcPr>
            <w:tcW w:w="12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(0.03)</w:t>
            </w:r>
          </w:p>
        </w:tc>
        <w:tc>
          <w:tcPr>
            <w:tcW w:w="12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9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(0.85)</w:t>
            </w:r>
          </w:p>
        </w:tc>
      </w:tr>
      <w:tr>
        <w:trPr>
          <w:trHeight w:val="20"/>
        </w:trPr>
        <w:tc>
          <w:tcPr>
            <w:tcW w:w="5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r>
        <w:trPr>
          <w:trHeight w:val="176"/>
        </w:trPr>
        <w:tc>
          <w:tcPr>
            <w:tcW w:w="5120" w:type="dxa"/>
            <w:vAlign w:val="bottom"/>
          </w:tcPr>
          <w:p>
            <w:pPr>
              <w:ind w:left="20"/>
              <w:spacing w:after="0"/>
              <w:rPr>
                <w:sz w:val="20"/>
                <w:szCs w:val="20"/>
                <w:color w:val="auto"/>
              </w:rPr>
            </w:pPr>
            <w:r>
              <w:rPr>
                <w:rFonts w:ascii="Arial" w:cs="Arial" w:eastAsia="Arial" w:hAnsi="Arial"/>
                <w:sz w:val="14"/>
                <w:szCs w:val="14"/>
                <w:b w:val="1"/>
                <w:bCs w:val="1"/>
                <w:color w:val="auto"/>
              </w:rPr>
              <w:t>Comprehensive income (loss) per common share - basic</w:t>
            </w: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920" w:type="dxa"/>
            <w:vAlign w:val="bottom"/>
          </w:tcPr>
          <w:p>
            <w:pPr>
              <w:jc w:val="right"/>
              <w:ind w:right="68"/>
              <w:spacing w:after="0"/>
              <w:rPr>
                <w:sz w:val="20"/>
                <w:szCs w:val="20"/>
                <w:color w:val="auto"/>
              </w:rPr>
            </w:pPr>
            <w:r>
              <w:rPr>
                <w:rFonts w:ascii="Arial" w:cs="Arial" w:eastAsia="Arial" w:hAnsi="Arial"/>
                <w:sz w:val="14"/>
                <w:szCs w:val="14"/>
                <w:color w:val="auto"/>
              </w:rPr>
              <w:t>1.60</w:t>
            </w:r>
          </w:p>
        </w:tc>
        <w:tc>
          <w:tcPr>
            <w:tcW w:w="100" w:type="dxa"/>
            <w:vAlign w:val="bottom"/>
          </w:tcPr>
          <w:p>
            <w:pPr>
              <w:spacing w:after="0"/>
              <w:rPr>
                <w:sz w:val="15"/>
                <w:szCs w:val="15"/>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(3.61)</w:t>
            </w:r>
          </w:p>
        </w:tc>
        <w:tc>
          <w:tcPr>
            <w:tcW w:w="2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68"/>
              <w:spacing w:after="0"/>
              <w:rPr>
                <w:sz w:val="20"/>
                <w:szCs w:val="20"/>
                <w:color w:val="auto"/>
              </w:rPr>
            </w:pPr>
            <w:r>
              <w:rPr>
                <w:rFonts w:ascii="Arial" w:cs="Arial" w:eastAsia="Arial" w:hAnsi="Arial"/>
                <w:sz w:val="14"/>
                <w:szCs w:val="14"/>
                <w:color w:val="auto"/>
              </w:rPr>
              <w:t>1.59</w:t>
            </w:r>
          </w:p>
        </w:tc>
        <w:tc>
          <w:tcPr>
            <w:tcW w:w="120" w:type="dxa"/>
            <w:vAlign w:val="bottom"/>
          </w:tcPr>
          <w:p>
            <w:pPr>
              <w:spacing w:after="0"/>
              <w:rPr>
                <w:sz w:val="15"/>
                <w:szCs w:val="15"/>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00" w:type="dxa"/>
            <w:vAlign w:val="bottom"/>
          </w:tcPr>
          <w:p>
            <w:pPr>
              <w:jc w:val="right"/>
              <w:ind w:right="68"/>
              <w:spacing w:after="0"/>
              <w:rPr>
                <w:sz w:val="20"/>
                <w:szCs w:val="20"/>
                <w:color w:val="auto"/>
              </w:rPr>
            </w:pPr>
            <w:r>
              <w:rPr>
                <w:rFonts w:ascii="Arial" w:cs="Arial" w:eastAsia="Arial" w:hAnsi="Arial"/>
                <w:sz w:val="14"/>
                <w:szCs w:val="14"/>
                <w:color w:val="auto"/>
              </w:rPr>
              <w:t>0.42</w:t>
            </w:r>
          </w:p>
        </w:tc>
        <w:tc>
          <w:tcPr>
            <w:tcW w:w="120" w:type="dxa"/>
            <w:vAlign w:val="bottom"/>
          </w:tcPr>
          <w:p>
            <w:pPr>
              <w:spacing w:after="0"/>
              <w:rPr>
                <w:sz w:val="15"/>
                <w:szCs w:val="15"/>
                <w:color w:val="auto"/>
              </w:rPr>
            </w:pPr>
          </w:p>
        </w:tc>
        <w:tc>
          <w:tcPr>
            <w:tcW w:w="200" w:type="dxa"/>
            <w:vAlign w:val="bottom"/>
          </w:tcPr>
          <w:p>
            <w:pPr>
              <w:jc w:val="right"/>
              <w:ind w:right="48"/>
              <w:spacing w:after="0"/>
              <w:rPr>
                <w:sz w:val="20"/>
                <w:szCs w:val="20"/>
                <w:color w:val="auto"/>
              </w:rPr>
            </w:pPr>
            <w:r>
              <w:rPr>
                <w:rFonts w:ascii="Arial" w:cs="Arial" w:eastAsia="Arial" w:hAnsi="Arial"/>
                <w:sz w:val="14"/>
                <w:szCs w:val="14"/>
                <w:color w:val="auto"/>
                <w:w w:val="76"/>
              </w:rPr>
              <w:t>$</w:t>
            </w: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(0.15)</w:t>
            </w:r>
          </w:p>
        </w:tc>
      </w:tr>
      <w:tr>
        <w:trPr>
          <w:trHeight w:val="20"/>
        </w:trPr>
        <w:tc>
          <w:tcPr>
            <w:tcW w:w="5120" w:type="dxa"/>
            <w:vAlign w:val="bottom"/>
            <w:tcBorders>
              <w:bottom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r>
      <w:tr>
        <w:trPr>
          <w:trHeight w:val="217"/>
        </w:trPr>
        <w:tc>
          <w:tcPr>
            <w:tcW w:w="51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Comprehensive income (loss) per common share - diluted</w:t>
            </w: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1.60</w:t>
            </w:r>
          </w:p>
        </w:tc>
        <w:tc>
          <w:tcPr>
            <w:tcW w:w="10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(3.61)</w:t>
            </w:r>
          </w:p>
        </w:tc>
        <w:tc>
          <w:tcPr>
            <w:tcW w:w="10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1.59</w:t>
            </w:r>
          </w:p>
        </w:tc>
        <w:tc>
          <w:tcPr>
            <w:tcW w:w="12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0.42</w:t>
            </w:r>
          </w:p>
        </w:tc>
        <w:tc>
          <w:tcPr>
            <w:tcW w:w="12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9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(0.15)</w:t>
            </w:r>
          </w:p>
        </w:tc>
      </w:tr>
      <w:tr>
        <w:trPr>
          <w:trHeight w:val="20"/>
        </w:trPr>
        <w:tc>
          <w:tcPr>
            <w:tcW w:w="5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r>
        <w:trPr>
          <w:trHeight w:val="177"/>
        </w:trPr>
        <w:tc>
          <w:tcPr>
            <w:tcW w:w="5120" w:type="dxa"/>
            <w:vAlign w:val="bottom"/>
          </w:tcPr>
          <w:p>
            <w:pPr>
              <w:ind w:left="20"/>
              <w:spacing w:after="0"/>
              <w:rPr>
                <w:sz w:val="20"/>
                <w:szCs w:val="20"/>
                <w:color w:val="auto"/>
              </w:rPr>
            </w:pPr>
            <w:r>
              <w:rPr>
                <w:rFonts w:ascii="Arial" w:cs="Arial" w:eastAsia="Arial" w:hAnsi="Arial"/>
                <w:sz w:val="14"/>
                <w:szCs w:val="14"/>
                <w:b w:val="1"/>
                <w:bCs w:val="1"/>
                <w:color w:val="auto"/>
              </w:rPr>
              <w:t>Dividends declared per common share</w:t>
            </w: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920" w:type="dxa"/>
            <w:vAlign w:val="bottom"/>
          </w:tcPr>
          <w:p>
            <w:pPr>
              <w:jc w:val="right"/>
              <w:ind w:right="68"/>
              <w:spacing w:after="0"/>
              <w:rPr>
                <w:sz w:val="20"/>
                <w:szCs w:val="20"/>
                <w:color w:val="auto"/>
              </w:rPr>
            </w:pPr>
            <w:r>
              <w:rPr>
                <w:rFonts w:ascii="Arial" w:cs="Arial" w:eastAsia="Arial" w:hAnsi="Arial"/>
                <w:sz w:val="14"/>
                <w:szCs w:val="14"/>
                <w:color w:val="auto"/>
              </w:rPr>
              <w:t>0.36</w:t>
            </w:r>
          </w:p>
        </w:tc>
        <w:tc>
          <w:tcPr>
            <w:tcW w:w="100" w:type="dxa"/>
            <w:vAlign w:val="bottom"/>
          </w:tcPr>
          <w:p>
            <w:pPr>
              <w:spacing w:after="0"/>
              <w:rPr>
                <w:sz w:val="15"/>
                <w:szCs w:val="15"/>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68"/>
              <w:spacing w:after="0"/>
              <w:rPr>
                <w:sz w:val="20"/>
                <w:szCs w:val="20"/>
                <w:color w:val="auto"/>
              </w:rPr>
            </w:pPr>
            <w:r>
              <w:rPr>
                <w:rFonts w:ascii="Arial" w:cs="Arial" w:eastAsia="Arial" w:hAnsi="Arial"/>
                <w:sz w:val="14"/>
                <w:szCs w:val="14"/>
                <w:color w:val="auto"/>
              </w:rPr>
              <w:t>0.48</w:t>
            </w:r>
          </w:p>
        </w:tc>
        <w:tc>
          <w:tcPr>
            <w:tcW w:w="2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68"/>
              <w:spacing w:after="0"/>
              <w:rPr>
                <w:sz w:val="20"/>
                <w:szCs w:val="20"/>
                <w:color w:val="auto"/>
              </w:rPr>
            </w:pPr>
            <w:r>
              <w:rPr>
                <w:rFonts w:ascii="Arial" w:cs="Arial" w:eastAsia="Arial" w:hAnsi="Arial"/>
                <w:sz w:val="14"/>
                <w:szCs w:val="14"/>
                <w:color w:val="auto"/>
              </w:rPr>
              <w:t>0.48</w:t>
            </w:r>
          </w:p>
        </w:tc>
        <w:tc>
          <w:tcPr>
            <w:tcW w:w="120" w:type="dxa"/>
            <w:vAlign w:val="bottom"/>
          </w:tcPr>
          <w:p>
            <w:pPr>
              <w:spacing w:after="0"/>
              <w:rPr>
                <w:sz w:val="15"/>
                <w:szCs w:val="15"/>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00" w:type="dxa"/>
            <w:vAlign w:val="bottom"/>
          </w:tcPr>
          <w:p>
            <w:pPr>
              <w:jc w:val="right"/>
              <w:ind w:right="68"/>
              <w:spacing w:after="0"/>
              <w:rPr>
                <w:sz w:val="20"/>
                <w:szCs w:val="20"/>
                <w:color w:val="auto"/>
              </w:rPr>
            </w:pPr>
            <w:r>
              <w:rPr>
                <w:rFonts w:ascii="Arial" w:cs="Arial" w:eastAsia="Arial" w:hAnsi="Arial"/>
                <w:sz w:val="14"/>
                <w:szCs w:val="14"/>
                <w:color w:val="auto"/>
              </w:rPr>
              <w:t>0.48</w:t>
            </w:r>
          </w:p>
        </w:tc>
        <w:tc>
          <w:tcPr>
            <w:tcW w:w="120" w:type="dxa"/>
            <w:vAlign w:val="bottom"/>
          </w:tcPr>
          <w:p>
            <w:pPr>
              <w:spacing w:after="0"/>
              <w:rPr>
                <w:sz w:val="15"/>
                <w:szCs w:val="15"/>
                <w:color w:val="auto"/>
              </w:rPr>
            </w:pPr>
          </w:p>
        </w:tc>
        <w:tc>
          <w:tcPr>
            <w:tcW w:w="200" w:type="dxa"/>
            <w:vAlign w:val="bottom"/>
          </w:tcPr>
          <w:p>
            <w:pPr>
              <w:jc w:val="right"/>
              <w:ind w:right="48"/>
              <w:spacing w:after="0"/>
              <w:rPr>
                <w:sz w:val="20"/>
                <w:szCs w:val="20"/>
                <w:color w:val="auto"/>
              </w:rPr>
            </w:pPr>
            <w:r>
              <w:rPr>
                <w:rFonts w:ascii="Arial" w:cs="Arial" w:eastAsia="Arial" w:hAnsi="Arial"/>
                <w:sz w:val="14"/>
                <w:szCs w:val="14"/>
                <w:color w:val="auto"/>
                <w:w w:val="76"/>
              </w:rPr>
              <w:t>$</w:t>
            </w:r>
          </w:p>
        </w:tc>
        <w:tc>
          <w:tcPr>
            <w:tcW w:w="940" w:type="dxa"/>
            <w:vAlign w:val="bottom"/>
          </w:tcPr>
          <w:p>
            <w:pPr>
              <w:jc w:val="right"/>
              <w:ind w:right="68"/>
              <w:spacing w:after="0"/>
              <w:rPr>
                <w:sz w:val="20"/>
                <w:szCs w:val="20"/>
                <w:color w:val="auto"/>
              </w:rPr>
            </w:pPr>
            <w:r>
              <w:rPr>
                <w:rFonts w:ascii="Arial" w:cs="Arial" w:eastAsia="Arial" w:hAnsi="Arial"/>
                <w:sz w:val="14"/>
                <w:szCs w:val="14"/>
                <w:color w:val="auto"/>
              </w:rPr>
              <w:t>0.50</w:t>
            </w:r>
          </w:p>
        </w:tc>
      </w:tr>
      <w:tr>
        <w:trPr>
          <w:trHeight w:val="20"/>
        </w:trPr>
        <w:tc>
          <w:tcPr>
            <w:tcW w:w="51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r>
    </w:tbl>
    <w:p>
      <w:pPr>
        <w:sectPr>
          <w:pgSz w:w="11900" w:h="16838" w:orient="portrait"/>
          <w:cols w:equalWidth="0" w:num="1">
            <w:col w:w="11240"/>
          </w:cols>
          <w:pgMar w:left="320" w:top="147" w:right="339" w:bottom="1440" w:gutter="0" w:footer="0" w:header="0"/>
        </w:sectPr>
      </w:pPr>
    </w:p>
    <w:bookmarkStart w:id="12" w:name="page13"/>
    <w:bookmarkEnd w:id="12"/>
    <w:p>
      <w:pPr>
        <w:spacing w:after="0"/>
        <w:rPr>
          <w:sz w:val="20"/>
          <w:szCs w:val="20"/>
          <w:color w:val="auto"/>
        </w:rPr>
      </w:pPr>
      <w:r>
        <w:rPr>
          <w:rFonts w:ascii="Arial" w:cs="Arial" w:eastAsia="Arial" w:hAnsi="Arial"/>
          <w:sz w:val="22"/>
          <w:szCs w:val="22"/>
          <w:color w:val="auto"/>
        </w:rPr>
        <w:t>AGNC Investment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July 27, 2020</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10</w:t>
      </w:r>
    </w:p>
    <w:p>
      <w:pPr>
        <w:spacing w:after="0" w:line="200" w:lineRule="exact"/>
        <w:rPr>
          <w:sz w:val="20"/>
          <w:szCs w:val="20"/>
          <w:color w:val="auto"/>
        </w:rPr>
      </w:pPr>
    </w:p>
    <w:p>
      <w:pPr>
        <w:spacing w:after="0" w:line="277"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AGNC INVESTMENT CORP.</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 xml:space="preserve">RECONCILIATION OF GAAP NET INTEREST INCOME TO NET SPREAD AND DOLLAR ROLL INCOME (NON-GAAP MEASURE) </w:t>
      </w:r>
      <w:r>
        <w:rPr>
          <w:rFonts w:ascii="Arial" w:cs="Arial" w:eastAsia="Arial" w:hAnsi="Arial"/>
          <w:sz w:val="9"/>
          <w:szCs w:val="9"/>
          <w:color w:val="auto"/>
        </w:rPr>
        <w:t>2</w:t>
      </w:r>
    </w:p>
    <w:p>
      <w:pPr>
        <w:spacing w:after="0" w:line="42"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(in millions, except per share data)</w:t>
      </w:r>
    </w:p>
    <w:p>
      <w:pPr>
        <w:spacing w:after="0" w:line="42"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(unaudited)</w:t>
      </w:r>
    </w:p>
    <w:p>
      <w:pPr>
        <w:spacing w:after="0" w:line="100"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554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gridSpan w:val="4"/>
          </w:tcPr>
          <w:p>
            <w:pPr>
              <w:jc w:val="center"/>
              <w:spacing w:after="0"/>
              <w:rPr>
                <w:sz w:val="20"/>
                <w:szCs w:val="20"/>
                <w:color w:val="auto"/>
              </w:rPr>
            </w:pPr>
            <w:r>
              <w:rPr>
                <w:rFonts w:ascii="Arial" w:cs="Arial" w:eastAsia="Arial" w:hAnsi="Arial"/>
                <w:sz w:val="13"/>
                <w:szCs w:val="13"/>
                <w:color w:val="auto"/>
                <w:w w:val="87"/>
              </w:rPr>
              <w:t>Three Months Ended</w:t>
            </w:r>
          </w:p>
        </w:tc>
        <w:tc>
          <w:tcPr>
            <w:tcW w:w="14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22"/>
        </w:trPr>
        <w:tc>
          <w:tcPr>
            <w:tcW w:w="55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960" w:type="dxa"/>
            <w:vAlign w:val="bottom"/>
            <w:gridSpan w:val="2"/>
          </w:tcPr>
          <w:p>
            <w:pPr>
              <w:ind w:left="120"/>
              <w:spacing w:after="0" w:line="122" w:lineRule="exact"/>
              <w:rPr>
                <w:sz w:val="20"/>
                <w:szCs w:val="20"/>
                <w:color w:val="auto"/>
              </w:rPr>
            </w:pPr>
            <w:r>
              <w:rPr>
                <w:rFonts w:ascii="Arial" w:cs="Arial" w:eastAsia="Arial" w:hAnsi="Arial"/>
                <w:sz w:val="13"/>
                <w:szCs w:val="13"/>
                <w:color w:val="auto"/>
              </w:rPr>
              <w:t>June 30,</w:t>
            </w:r>
          </w:p>
        </w:tc>
        <w:tc>
          <w:tcPr>
            <w:tcW w:w="180" w:type="dxa"/>
            <w:vAlign w:val="bottom"/>
          </w:tcPr>
          <w:p>
            <w:pPr>
              <w:spacing w:after="0"/>
              <w:rPr>
                <w:sz w:val="10"/>
                <w:szCs w:val="10"/>
                <w:color w:val="auto"/>
              </w:rPr>
            </w:pPr>
          </w:p>
        </w:tc>
        <w:tc>
          <w:tcPr>
            <w:tcW w:w="880" w:type="dxa"/>
            <w:vAlign w:val="bottom"/>
          </w:tcPr>
          <w:p>
            <w:pPr>
              <w:jc w:val="right"/>
              <w:ind w:right="209"/>
              <w:spacing w:after="0" w:line="122" w:lineRule="exact"/>
              <w:rPr>
                <w:sz w:val="20"/>
                <w:szCs w:val="20"/>
                <w:color w:val="auto"/>
              </w:rPr>
            </w:pPr>
            <w:r>
              <w:rPr>
                <w:rFonts w:ascii="Arial" w:cs="Arial" w:eastAsia="Arial" w:hAnsi="Arial"/>
                <w:sz w:val="13"/>
                <w:szCs w:val="13"/>
                <w:color w:val="auto"/>
              </w:rPr>
              <w:t>March 31,</w:t>
            </w: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20" w:type="dxa"/>
            <w:vAlign w:val="bottom"/>
            <w:gridSpan w:val="2"/>
          </w:tcPr>
          <w:p>
            <w:pPr>
              <w:jc w:val="center"/>
              <w:ind w:right="240"/>
              <w:spacing w:after="0" w:line="122" w:lineRule="exact"/>
              <w:rPr>
                <w:sz w:val="20"/>
                <w:szCs w:val="20"/>
                <w:color w:val="auto"/>
              </w:rPr>
            </w:pPr>
            <w:r>
              <w:rPr>
                <w:rFonts w:ascii="Arial" w:cs="Arial" w:eastAsia="Arial" w:hAnsi="Arial"/>
                <w:sz w:val="13"/>
                <w:szCs w:val="13"/>
                <w:color w:val="auto"/>
                <w:w w:val="85"/>
              </w:rPr>
              <w:t>December 31,</w:t>
            </w:r>
          </w:p>
        </w:tc>
        <w:tc>
          <w:tcPr>
            <w:tcW w:w="140" w:type="dxa"/>
            <w:vAlign w:val="bottom"/>
          </w:tcPr>
          <w:p>
            <w:pPr>
              <w:spacing w:after="0"/>
              <w:rPr>
                <w:sz w:val="10"/>
                <w:szCs w:val="10"/>
                <w:color w:val="auto"/>
              </w:rPr>
            </w:pPr>
          </w:p>
        </w:tc>
        <w:tc>
          <w:tcPr>
            <w:tcW w:w="1020" w:type="dxa"/>
            <w:vAlign w:val="bottom"/>
            <w:gridSpan w:val="2"/>
          </w:tcPr>
          <w:p>
            <w:pPr>
              <w:ind w:left="20"/>
              <w:spacing w:after="0" w:line="122" w:lineRule="exact"/>
              <w:rPr>
                <w:sz w:val="20"/>
                <w:szCs w:val="20"/>
                <w:color w:val="auto"/>
              </w:rPr>
            </w:pPr>
            <w:r>
              <w:rPr>
                <w:rFonts w:ascii="Arial" w:cs="Arial" w:eastAsia="Arial" w:hAnsi="Arial"/>
                <w:sz w:val="13"/>
                <w:szCs w:val="13"/>
                <w:color w:val="auto"/>
              </w:rPr>
              <w:t>September 30,</w:t>
            </w:r>
          </w:p>
        </w:tc>
        <w:tc>
          <w:tcPr>
            <w:tcW w:w="220" w:type="dxa"/>
            <w:vAlign w:val="bottom"/>
          </w:tcPr>
          <w:p>
            <w:pPr>
              <w:spacing w:after="0"/>
              <w:rPr>
                <w:sz w:val="10"/>
                <w:szCs w:val="10"/>
                <w:color w:val="auto"/>
              </w:rPr>
            </w:pPr>
          </w:p>
        </w:tc>
        <w:tc>
          <w:tcPr>
            <w:tcW w:w="840" w:type="dxa"/>
            <w:vAlign w:val="bottom"/>
          </w:tcPr>
          <w:p>
            <w:pPr>
              <w:jc w:val="right"/>
              <w:ind w:right="249"/>
              <w:spacing w:after="0" w:line="122" w:lineRule="exact"/>
              <w:rPr>
                <w:sz w:val="20"/>
                <w:szCs w:val="20"/>
                <w:color w:val="auto"/>
              </w:rPr>
            </w:pPr>
            <w:r>
              <w:rPr>
                <w:rFonts w:ascii="Arial" w:cs="Arial" w:eastAsia="Arial" w:hAnsi="Arial"/>
                <w:sz w:val="13"/>
                <w:szCs w:val="13"/>
                <w:color w:val="auto"/>
              </w:rPr>
              <w:t>June 30,</w:t>
            </w:r>
          </w:p>
        </w:tc>
        <w:tc>
          <w:tcPr>
            <w:tcW w:w="0" w:type="dxa"/>
            <w:vAlign w:val="bottom"/>
          </w:tcPr>
          <w:p>
            <w:pPr>
              <w:spacing w:after="0"/>
              <w:rPr>
                <w:sz w:val="1"/>
                <w:szCs w:val="1"/>
                <w:color w:val="auto"/>
              </w:rPr>
            </w:pPr>
          </w:p>
        </w:tc>
      </w:tr>
      <w:tr>
        <w:trPr>
          <w:trHeight w:val="169"/>
        </w:trPr>
        <w:tc>
          <w:tcPr>
            <w:tcW w:w="5540" w:type="dxa"/>
            <w:vAlign w:val="bottom"/>
            <w:tcBorders>
              <w:bottom w:val="single" w:sz="8" w:color="CCEEFF"/>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right"/>
              <w:ind w:right="329"/>
              <w:spacing w:after="0"/>
              <w:rPr>
                <w:sz w:val="20"/>
                <w:szCs w:val="20"/>
                <w:color w:val="auto"/>
              </w:rPr>
            </w:pPr>
            <w:r>
              <w:rPr>
                <w:rFonts w:ascii="Arial" w:cs="Arial" w:eastAsia="Arial" w:hAnsi="Arial"/>
                <w:sz w:val="13"/>
                <w:szCs w:val="13"/>
                <w:color w:val="auto"/>
              </w:rPr>
              <w:t>2020</w:t>
            </w:r>
          </w:p>
        </w:tc>
        <w:tc>
          <w:tcPr>
            <w:tcW w:w="10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jc w:val="right"/>
              <w:ind w:right="329"/>
              <w:spacing w:after="0"/>
              <w:rPr>
                <w:sz w:val="20"/>
                <w:szCs w:val="20"/>
                <w:color w:val="auto"/>
              </w:rPr>
            </w:pPr>
            <w:r>
              <w:rPr>
                <w:rFonts w:ascii="Arial" w:cs="Arial" w:eastAsia="Arial" w:hAnsi="Arial"/>
                <w:sz w:val="13"/>
                <w:szCs w:val="13"/>
                <w:color w:val="auto"/>
              </w:rPr>
              <w:t>2020</w:t>
            </w:r>
          </w:p>
        </w:tc>
        <w:tc>
          <w:tcPr>
            <w:tcW w:w="100" w:type="dxa"/>
            <w:vAlign w:val="bottom"/>
            <w:tcBorders>
              <w:bottom w:val="single" w:sz="8" w:color="CCEEFF"/>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center"/>
              <w:ind w:right="69"/>
              <w:spacing w:after="0"/>
              <w:rPr>
                <w:sz w:val="20"/>
                <w:szCs w:val="20"/>
                <w:color w:val="auto"/>
              </w:rPr>
            </w:pPr>
            <w:r>
              <w:rPr>
                <w:rFonts w:ascii="Arial" w:cs="Arial" w:eastAsia="Arial" w:hAnsi="Arial"/>
                <w:sz w:val="13"/>
                <w:szCs w:val="13"/>
                <w:color w:val="auto"/>
                <w:w w:val="89"/>
              </w:rPr>
              <w:t>2019</w:t>
            </w:r>
          </w:p>
        </w:tc>
        <w:tc>
          <w:tcPr>
            <w:tcW w:w="100" w:type="dxa"/>
            <w:vAlign w:val="bottom"/>
            <w:tcBorders>
              <w:bottom w:val="single" w:sz="8" w:color="CCEEFF"/>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right"/>
              <w:ind w:right="329"/>
              <w:spacing w:after="0"/>
              <w:rPr>
                <w:sz w:val="20"/>
                <w:szCs w:val="20"/>
                <w:color w:val="auto"/>
              </w:rPr>
            </w:pPr>
            <w:r>
              <w:rPr>
                <w:rFonts w:ascii="Arial" w:cs="Arial" w:eastAsia="Arial" w:hAnsi="Arial"/>
                <w:sz w:val="13"/>
                <w:szCs w:val="13"/>
                <w:color w:val="auto"/>
              </w:rPr>
              <w:t>2019</w:t>
            </w:r>
          </w:p>
        </w:tc>
        <w:tc>
          <w:tcPr>
            <w:tcW w:w="100" w:type="dxa"/>
            <w:vAlign w:val="bottom"/>
            <w:tcBorders>
              <w:bottom w:val="single" w:sz="8" w:color="CCEEFF"/>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right"/>
              <w:ind w:right="329"/>
              <w:spacing w:after="0"/>
              <w:rPr>
                <w:sz w:val="20"/>
                <w:szCs w:val="20"/>
                <w:color w:val="auto"/>
              </w:rPr>
            </w:pPr>
            <w:r>
              <w:rPr>
                <w:rFonts w:ascii="Arial" w:cs="Arial" w:eastAsia="Arial" w:hAnsi="Arial"/>
                <w:sz w:val="13"/>
                <w:szCs w:val="13"/>
                <w:color w:val="auto"/>
              </w:rPr>
              <w:t>2019</w:t>
            </w:r>
          </w:p>
        </w:tc>
        <w:tc>
          <w:tcPr>
            <w:tcW w:w="0" w:type="dxa"/>
            <w:vAlign w:val="bottom"/>
          </w:tcPr>
          <w:p>
            <w:pPr>
              <w:spacing w:after="0"/>
              <w:rPr>
                <w:sz w:val="1"/>
                <w:szCs w:val="1"/>
                <w:color w:val="auto"/>
              </w:rPr>
            </w:pPr>
          </w:p>
        </w:tc>
      </w:tr>
      <w:tr>
        <w:trPr>
          <w:trHeight w:val="189"/>
        </w:trPr>
        <w:tc>
          <w:tcPr>
            <w:tcW w:w="5540" w:type="dxa"/>
            <w:vAlign w:val="bottom"/>
            <w:shd w:val="clear" w:color="auto" w:fill="CCEEFF"/>
          </w:tcPr>
          <w:p>
            <w:pPr>
              <w:ind w:left="20"/>
              <w:spacing w:after="0"/>
              <w:rPr>
                <w:sz w:val="20"/>
                <w:szCs w:val="20"/>
                <w:color w:val="auto"/>
              </w:rPr>
            </w:pPr>
            <w:r>
              <w:rPr>
                <w:rFonts w:ascii="Arial" w:cs="Arial" w:eastAsia="Arial" w:hAnsi="Arial"/>
                <w:sz w:val="14"/>
                <w:szCs w:val="14"/>
                <w:color w:val="auto"/>
              </w:rPr>
              <w:t>GAAP net interest income:</w:t>
            </w:r>
          </w:p>
        </w:tc>
        <w:tc>
          <w:tcPr>
            <w:tcW w:w="20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9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9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8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97"/>
        </w:trPr>
        <w:tc>
          <w:tcPr>
            <w:tcW w:w="5540" w:type="dxa"/>
            <w:vAlign w:val="bottom"/>
          </w:tcPr>
          <w:p>
            <w:pPr>
              <w:ind w:left="120"/>
              <w:spacing w:after="0"/>
              <w:rPr>
                <w:sz w:val="20"/>
                <w:szCs w:val="20"/>
                <w:color w:val="auto"/>
              </w:rPr>
            </w:pPr>
            <w:r>
              <w:rPr>
                <w:rFonts w:ascii="Arial" w:cs="Arial" w:eastAsia="Arial" w:hAnsi="Arial"/>
                <w:sz w:val="14"/>
                <w:szCs w:val="14"/>
                <w:color w:val="auto"/>
              </w:rPr>
              <w:t>Interest income</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69"/>
              <w:spacing w:after="0"/>
              <w:rPr>
                <w:sz w:val="20"/>
                <w:szCs w:val="20"/>
                <w:color w:val="auto"/>
              </w:rPr>
            </w:pPr>
            <w:r>
              <w:rPr>
                <w:rFonts w:ascii="Arial" w:cs="Arial" w:eastAsia="Arial" w:hAnsi="Arial"/>
                <w:sz w:val="14"/>
                <w:szCs w:val="14"/>
                <w:color w:val="auto"/>
              </w:rPr>
              <w:t>429</w:t>
            </w:r>
          </w:p>
        </w:tc>
        <w:tc>
          <w:tcPr>
            <w:tcW w:w="100" w:type="dxa"/>
            <w:vAlign w:val="bottom"/>
          </w:tcPr>
          <w:p>
            <w:pPr>
              <w:spacing w:after="0"/>
              <w:rPr>
                <w:sz w:val="17"/>
                <w:szCs w:val="17"/>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69"/>
              <w:spacing w:after="0"/>
              <w:rPr>
                <w:sz w:val="20"/>
                <w:szCs w:val="20"/>
                <w:color w:val="auto"/>
              </w:rPr>
            </w:pPr>
            <w:r>
              <w:rPr>
                <w:rFonts w:ascii="Arial" w:cs="Arial" w:eastAsia="Arial" w:hAnsi="Arial"/>
                <w:sz w:val="14"/>
                <w:szCs w:val="14"/>
                <w:color w:val="auto"/>
              </w:rPr>
              <w:t>491</w:t>
            </w:r>
          </w:p>
        </w:tc>
        <w:tc>
          <w:tcPr>
            <w:tcW w:w="240" w:type="dxa"/>
            <w:vAlign w:val="bottom"/>
            <w:gridSpan w:val="2"/>
          </w:tcPr>
          <w:p>
            <w:pPr>
              <w:jc w:val="right"/>
              <w:ind w:right="40"/>
              <w:spacing w:after="0"/>
              <w:rPr>
                <w:sz w:val="20"/>
                <w:szCs w:val="20"/>
                <w:color w:val="auto"/>
              </w:rPr>
            </w:pPr>
            <w:r>
              <w:rPr>
                <w:rFonts w:ascii="Arial" w:cs="Arial" w:eastAsia="Arial" w:hAnsi="Arial"/>
                <w:sz w:val="14"/>
                <w:szCs w:val="14"/>
                <w:color w:val="auto"/>
              </w:rPr>
              <w:t>$</w:t>
            </w:r>
          </w:p>
        </w:tc>
        <w:tc>
          <w:tcPr>
            <w:tcW w:w="920" w:type="dxa"/>
            <w:vAlign w:val="bottom"/>
          </w:tcPr>
          <w:p>
            <w:pPr>
              <w:jc w:val="right"/>
              <w:ind w:right="69"/>
              <w:spacing w:after="0"/>
              <w:rPr>
                <w:sz w:val="20"/>
                <w:szCs w:val="20"/>
                <w:color w:val="auto"/>
              </w:rPr>
            </w:pPr>
            <w:r>
              <w:rPr>
                <w:rFonts w:ascii="Arial" w:cs="Arial" w:eastAsia="Arial" w:hAnsi="Arial"/>
                <w:sz w:val="14"/>
                <w:szCs w:val="14"/>
                <w:color w:val="auto"/>
              </w:rPr>
              <w:t>768</w:t>
            </w:r>
          </w:p>
        </w:tc>
        <w:tc>
          <w:tcPr>
            <w:tcW w:w="100" w:type="dxa"/>
            <w:vAlign w:val="bottom"/>
          </w:tcPr>
          <w:p>
            <w:pPr>
              <w:spacing w:after="0"/>
              <w:rPr>
                <w:sz w:val="17"/>
                <w:szCs w:val="17"/>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20" w:type="dxa"/>
            <w:vAlign w:val="bottom"/>
          </w:tcPr>
          <w:p>
            <w:pPr>
              <w:jc w:val="right"/>
              <w:ind w:right="69"/>
              <w:spacing w:after="0"/>
              <w:rPr>
                <w:sz w:val="20"/>
                <w:szCs w:val="20"/>
                <w:color w:val="auto"/>
              </w:rPr>
            </w:pPr>
            <w:r>
              <w:rPr>
                <w:rFonts w:ascii="Arial" w:cs="Arial" w:eastAsia="Arial" w:hAnsi="Arial"/>
                <w:sz w:val="14"/>
                <w:szCs w:val="14"/>
                <w:color w:val="auto"/>
              </w:rPr>
              <w:t>676</w:t>
            </w:r>
          </w:p>
        </w:tc>
        <w:tc>
          <w:tcPr>
            <w:tcW w:w="100" w:type="dxa"/>
            <w:vAlign w:val="bottom"/>
          </w:tcPr>
          <w:p>
            <w:pPr>
              <w:spacing w:after="0"/>
              <w:rPr>
                <w:sz w:val="17"/>
                <w:szCs w:val="17"/>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40" w:type="dxa"/>
            <w:vAlign w:val="bottom"/>
          </w:tcPr>
          <w:p>
            <w:pPr>
              <w:jc w:val="right"/>
              <w:ind w:right="69"/>
              <w:spacing w:after="0"/>
              <w:rPr>
                <w:sz w:val="20"/>
                <w:szCs w:val="20"/>
                <w:color w:val="auto"/>
              </w:rPr>
            </w:pPr>
            <w:r>
              <w:rPr>
                <w:rFonts w:ascii="Arial" w:cs="Arial" w:eastAsia="Arial" w:hAnsi="Arial"/>
                <w:sz w:val="14"/>
                <w:szCs w:val="14"/>
                <w:color w:val="auto"/>
              </w:rPr>
              <w:t>693</w:t>
            </w:r>
          </w:p>
        </w:tc>
        <w:tc>
          <w:tcPr>
            <w:tcW w:w="0" w:type="dxa"/>
            <w:vAlign w:val="bottom"/>
          </w:tcPr>
          <w:p>
            <w:pPr>
              <w:spacing w:after="0"/>
              <w:rPr>
                <w:sz w:val="1"/>
                <w:szCs w:val="1"/>
                <w:color w:val="auto"/>
              </w:rPr>
            </w:pPr>
          </w:p>
        </w:tc>
      </w:tr>
      <w:tr>
        <w:trPr>
          <w:trHeight w:val="203"/>
        </w:trPr>
        <w:tc>
          <w:tcPr>
            <w:tcW w:w="5540" w:type="dxa"/>
            <w:vAlign w:val="bottom"/>
            <w:shd w:val="clear" w:color="auto" w:fill="CCEEFF"/>
          </w:tcPr>
          <w:p>
            <w:pPr>
              <w:ind w:left="120"/>
              <w:spacing w:after="0"/>
              <w:rPr>
                <w:sz w:val="20"/>
                <w:szCs w:val="20"/>
                <w:color w:val="auto"/>
              </w:rPr>
            </w:pPr>
            <w:r>
              <w:rPr>
                <w:rFonts w:ascii="Arial" w:cs="Arial" w:eastAsia="Arial" w:hAnsi="Arial"/>
                <w:sz w:val="14"/>
                <w:szCs w:val="14"/>
                <w:color w:val="auto"/>
              </w:rPr>
              <w:t>Interest expense</w:t>
            </w:r>
          </w:p>
        </w:tc>
        <w:tc>
          <w:tcPr>
            <w:tcW w:w="200" w:type="dxa"/>
            <w:vAlign w:val="bottom"/>
            <w:tcBorders>
              <w:bottom w:val="single" w:sz="8" w:color="auto"/>
            </w:tcBorders>
            <w:shd w:val="clear" w:color="auto" w:fill="CCEEFF"/>
          </w:tcPr>
          <w:p>
            <w:pPr>
              <w:spacing w:after="0"/>
              <w:rPr>
                <w:sz w:val="17"/>
                <w:szCs w:val="17"/>
                <w:color w:val="auto"/>
              </w:rPr>
            </w:pPr>
          </w:p>
        </w:tc>
        <w:tc>
          <w:tcPr>
            <w:tcW w:w="86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134</w:t>
            </w:r>
          </w:p>
        </w:tc>
        <w:tc>
          <w:tcPr>
            <w:tcW w:w="10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88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426</w:t>
            </w:r>
          </w:p>
        </w:tc>
        <w:tc>
          <w:tcPr>
            <w:tcW w:w="1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481</w:t>
            </w:r>
          </w:p>
        </w:tc>
        <w:tc>
          <w:tcPr>
            <w:tcW w:w="1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557</w:t>
            </w:r>
          </w:p>
        </w:tc>
        <w:tc>
          <w:tcPr>
            <w:tcW w:w="100" w:type="dxa"/>
            <w:vAlign w:val="bottom"/>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84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570</w:t>
            </w:r>
          </w:p>
        </w:tc>
        <w:tc>
          <w:tcPr>
            <w:tcW w:w="0" w:type="dxa"/>
            <w:vAlign w:val="bottom"/>
          </w:tcPr>
          <w:p>
            <w:pPr>
              <w:spacing w:after="0"/>
              <w:rPr>
                <w:sz w:val="1"/>
                <w:szCs w:val="1"/>
                <w:color w:val="auto"/>
              </w:rPr>
            </w:pPr>
          </w:p>
        </w:tc>
      </w:tr>
      <w:tr>
        <w:trPr>
          <w:trHeight w:val="196"/>
        </w:trPr>
        <w:tc>
          <w:tcPr>
            <w:tcW w:w="5540" w:type="dxa"/>
            <w:vAlign w:val="bottom"/>
          </w:tcPr>
          <w:p>
            <w:pPr>
              <w:ind w:left="20"/>
              <w:spacing w:after="0"/>
              <w:rPr>
                <w:sz w:val="20"/>
                <w:szCs w:val="20"/>
                <w:color w:val="auto"/>
              </w:rPr>
            </w:pPr>
            <w:r>
              <w:rPr>
                <w:rFonts w:ascii="Arial" w:cs="Arial" w:eastAsia="Arial" w:hAnsi="Arial"/>
                <w:sz w:val="14"/>
                <w:szCs w:val="14"/>
                <w:color w:val="auto"/>
              </w:rPr>
              <w:t>GAAP net interest income</w:t>
            </w:r>
          </w:p>
        </w:tc>
        <w:tc>
          <w:tcPr>
            <w:tcW w:w="200" w:type="dxa"/>
            <w:vAlign w:val="bottom"/>
          </w:tcPr>
          <w:p>
            <w:pPr>
              <w:spacing w:after="0"/>
              <w:rPr>
                <w:sz w:val="17"/>
                <w:szCs w:val="17"/>
                <w:color w:val="auto"/>
              </w:rPr>
            </w:pPr>
          </w:p>
        </w:tc>
        <w:tc>
          <w:tcPr>
            <w:tcW w:w="860" w:type="dxa"/>
            <w:vAlign w:val="bottom"/>
          </w:tcPr>
          <w:p>
            <w:pPr>
              <w:jc w:val="right"/>
              <w:ind w:right="69"/>
              <w:spacing w:after="0"/>
              <w:rPr>
                <w:sz w:val="20"/>
                <w:szCs w:val="20"/>
                <w:color w:val="auto"/>
              </w:rPr>
            </w:pPr>
            <w:r>
              <w:rPr>
                <w:rFonts w:ascii="Arial" w:cs="Arial" w:eastAsia="Arial" w:hAnsi="Arial"/>
                <w:sz w:val="14"/>
                <w:szCs w:val="14"/>
                <w:color w:val="auto"/>
              </w:rPr>
              <w:t>295</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80" w:type="dxa"/>
            <w:vAlign w:val="bottom"/>
          </w:tcPr>
          <w:p>
            <w:pPr>
              <w:jc w:val="right"/>
              <w:ind w:right="69"/>
              <w:spacing w:after="0"/>
              <w:rPr>
                <w:sz w:val="20"/>
                <w:szCs w:val="20"/>
                <w:color w:val="auto"/>
              </w:rPr>
            </w:pPr>
            <w:r>
              <w:rPr>
                <w:rFonts w:ascii="Arial" w:cs="Arial" w:eastAsia="Arial" w:hAnsi="Arial"/>
                <w:sz w:val="14"/>
                <w:szCs w:val="14"/>
                <w:color w:val="auto"/>
              </w:rPr>
              <w:t>65</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20" w:type="dxa"/>
            <w:vAlign w:val="bottom"/>
          </w:tcPr>
          <w:p>
            <w:pPr>
              <w:jc w:val="right"/>
              <w:ind w:right="69"/>
              <w:spacing w:after="0"/>
              <w:rPr>
                <w:sz w:val="20"/>
                <w:szCs w:val="20"/>
                <w:color w:val="auto"/>
              </w:rPr>
            </w:pPr>
            <w:r>
              <w:rPr>
                <w:rFonts w:ascii="Arial" w:cs="Arial" w:eastAsia="Arial" w:hAnsi="Arial"/>
                <w:sz w:val="14"/>
                <w:szCs w:val="14"/>
                <w:color w:val="auto"/>
              </w:rPr>
              <w:t>287</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20" w:type="dxa"/>
            <w:vAlign w:val="bottom"/>
          </w:tcPr>
          <w:p>
            <w:pPr>
              <w:jc w:val="right"/>
              <w:ind w:right="69"/>
              <w:spacing w:after="0"/>
              <w:rPr>
                <w:sz w:val="20"/>
                <w:szCs w:val="20"/>
                <w:color w:val="auto"/>
              </w:rPr>
            </w:pPr>
            <w:r>
              <w:rPr>
                <w:rFonts w:ascii="Arial" w:cs="Arial" w:eastAsia="Arial" w:hAnsi="Arial"/>
                <w:sz w:val="14"/>
                <w:szCs w:val="14"/>
                <w:color w:val="auto"/>
              </w:rPr>
              <w:t>119</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40" w:type="dxa"/>
            <w:vAlign w:val="bottom"/>
          </w:tcPr>
          <w:p>
            <w:pPr>
              <w:jc w:val="right"/>
              <w:ind w:right="69"/>
              <w:spacing w:after="0"/>
              <w:rPr>
                <w:sz w:val="20"/>
                <w:szCs w:val="20"/>
                <w:color w:val="auto"/>
              </w:rPr>
            </w:pPr>
            <w:r>
              <w:rPr>
                <w:rFonts w:ascii="Arial" w:cs="Arial" w:eastAsia="Arial" w:hAnsi="Arial"/>
                <w:sz w:val="14"/>
                <w:szCs w:val="14"/>
                <w:color w:val="auto"/>
              </w:rPr>
              <w:t>123</w:t>
            </w:r>
          </w:p>
        </w:tc>
        <w:tc>
          <w:tcPr>
            <w:tcW w:w="0" w:type="dxa"/>
            <w:vAlign w:val="bottom"/>
          </w:tcPr>
          <w:p>
            <w:pPr>
              <w:spacing w:after="0"/>
              <w:rPr>
                <w:sz w:val="1"/>
                <w:szCs w:val="1"/>
                <w:color w:val="auto"/>
              </w:rPr>
            </w:pPr>
          </w:p>
        </w:tc>
      </w:tr>
      <w:tr>
        <w:trPr>
          <w:trHeight w:val="209"/>
        </w:trPr>
        <w:tc>
          <w:tcPr>
            <w:tcW w:w="55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 xml:space="preserve">TBA dollar roll income, net </w:t>
            </w:r>
            <w:r>
              <w:rPr>
                <w:rFonts w:ascii="Arial" w:cs="Arial" w:eastAsia="Arial" w:hAnsi="Arial"/>
                <w:sz w:val="9"/>
                <w:szCs w:val="9"/>
                <w:color w:val="auto"/>
              </w:rPr>
              <w:t>3,4</w:t>
            </w:r>
          </w:p>
        </w:tc>
        <w:tc>
          <w:tcPr>
            <w:tcW w:w="200" w:type="dxa"/>
            <w:vAlign w:val="bottom"/>
            <w:shd w:val="clear" w:color="auto" w:fill="CCEEFF"/>
          </w:tcPr>
          <w:p>
            <w:pPr>
              <w:spacing w:after="0"/>
              <w:rPr>
                <w:sz w:val="18"/>
                <w:szCs w:val="18"/>
                <w:color w:val="auto"/>
              </w:rPr>
            </w:pPr>
          </w:p>
        </w:tc>
        <w:tc>
          <w:tcPr>
            <w:tcW w:w="86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78</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8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16</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24</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29</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22</w:t>
            </w:r>
          </w:p>
        </w:tc>
        <w:tc>
          <w:tcPr>
            <w:tcW w:w="0" w:type="dxa"/>
            <w:vAlign w:val="bottom"/>
          </w:tcPr>
          <w:p>
            <w:pPr>
              <w:spacing w:after="0"/>
              <w:rPr>
                <w:sz w:val="1"/>
                <w:szCs w:val="1"/>
                <w:color w:val="auto"/>
              </w:rPr>
            </w:pPr>
          </w:p>
        </w:tc>
      </w:tr>
      <w:tr>
        <w:trPr>
          <w:trHeight w:val="196"/>
        </w:trPr>
        <w:tc>
          <w:tcPr>
            <w:tcW w:w="5540" w:type="dxa"/>
            <w:vAlign w:val="bottom"/>
          </w:tcPr>
          <w:p>
            <w:pPr>
              <w:ind w:left="140"/>
              <w:spacing w:after="0"/>
              <w:rPr>
                <w:sz w:val="20"/>
                <w:szCs w:val="20"/>
                <w:color w:val="auto"/>
              </w:rPr>
            </w:pPr>
            <w:r>
              <w:rPr>
                <w:rFonts w:ascii="Arial" w:cs="Arial" w:eastAsia="Arial" w:hAnsi="Arial"/>
                <w:sz w:val="14"/>
                <w:szCs w:val="14"/>
                <w:color w:val="auto"/>
              </w:rPr>
              <w:t xml:space="preserve">Interest rate swap periodic income (cost), net </w:t>
            </w:r>
            <w:r>
              <w:rPr>
                <w:rFonts w:ascii="Arial" w:cs="Arial" w:eastAsia="Arial" w:hAnsi="Arial"/>
                <w:sz w:val="9"/>
                <w:szCs w:val="9"/>
                <w:color w:val="auto"/>
              </w:rPr>
              <w:t>3,8</w:t>
            </w:r>
          </w:p>
        </w:tc>
        <w:tc>
          <w:tcPr>
            <w:tcW w:w="200" w:type="dxa"/>
            <w:vAlign w:val="bottom"/>
          </w:tcPr>
          <w:p>
            <w:pPr>
              <w:spacing w:after="0"/>
              <w:rPr>
                <w:sz w:val="17"/>
                <w:szCs w:val="17"/>
                <w:color w:val="auto"/>
              </w:rPr>
            </w:pPr>
          </w:p>
        </w:tc>
        <w:tc>
          <w:tcPr>
            <w:tcW w:w="860" w:type="dxa"/>
            <w:vAlign w:val="bottom"/>
          </w:tcPr>
          <w:p>
            <w:pPr>
              <w:jc w:val="right"/>
              <w:ind w:right="49"/>
              <w:spacing w:after="0"/>
              <w:rPr>
                <w:sz w:val="20"/>
                <w:szCs w:val="20"/>
                <w:color w:val="auto"/>
              </w:rPr>
            </w:pPr>
            <w:r>
              <w:rPr>
                <w:rFonts w:ascii="Arial" w:cs="Arial" w:eastAsia="Arial" w:hAnsi="Arial"/>
                <w:sz w:val="14"/>
                <w:szCs w:val="14"/>
                <w:color w:val="auto"/>
              </w:rPr>
              <w:t>(59)</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80" w:type="dxa"/>
            <w:vAlign w:val="bottom"/>
          </w:tcPr>
          <w:p>
            <w:pPr>
              <w:jc w:val="right"/>
              <w:ind w:right="69"/>
              <w:spacing w:after="0"/>
              <w:rPr>
                <w:sz w:val="20"/>
                <w:szCs w:val="20"/>
                <w:color w:val="auto"/>
              </w:rPr>
            </w:pPr>
            <w:r>
              <w:rPr>
                <w:rFonts w:ascii="Arial" w:cs="Arial" w:eastAsia="Arial" w:hAnsi="Arial"/>
                <w:sz w:val="14"/>
                <w:szCs w:val="14"/>
                <w:color w:val="auto"/>
              </w:rPr>
              <w:t>31</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20" w:type="dxa"/>
            <w:vAlign w:val="bottom"/>
          </w:tcPr>
          <w:p>
            <w:pPr>
              <w:jc w:val="right"/>
              <w:ind w:right="69"/>
              <w:spacing w:after="0"/>
              <w:rPr>
                <w:sz w:val="20"/>
                <w:szCs w:val="20"/>
                <w:color w:val="auto"/>
              </w:rPr>
            </w:pPr>
            <w:r>
              <w:rPr>
                <w:rFonts w:ascii="Arial" w:cs="Arial" w:eastAsia="Arial" w:hAnsi="Arial"/>
                <w:sz w:val="14"/>
                <w:szCs w:val="14"/>
                <w:color w:val="auto"/>
              </w:rPr>
              <w:t>85</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20" w:type="dxa"/>
            <w:vAlign w:val="bottom"/>
          </w:tcPr>
          <w:p>
            <w:pPr>
              <w:jc w:val="right"/>
              <w:ind w:right="69"/>
              <w:spacing w:after="0"/>
              <w:rPr>
                <w:sz w:val="20"/>
                <w:szCs w:val="20"/>
                <w:color w:val="auto"/>
              </w:rPr>
            </w:pPr>
            <w:r>
              <w:rPr>
                <w:rFonts w:ascii="Arial" w:cs="Arial" w:eastAsia="Arial" w:hAnsi="Arial"/>
                <w:sz w:val="14"/>
                <w:szCs w:val="14"/>
                <w:color w:val="auto"/>
              </w:rPr>
              <w:t>146</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40" w:type="dxa"/>
            <w:vAlign w:val="bottom"/>
          </w:tcPr>
          <w:p>
            <w:pPr>
              <w:jc w:val="right"/>
              <w:ind w:right="69"/>
              <w:spacing w:after="0"/>
              <w:rPr>
                <w:sz w:val="20"/>
                <w:szCs w:val="20"/>
                <w:color w:val="auto"/>
              </w:rPr>
            </w:pPr>
            <w:r>
              <w:rPr>
                <w:rFonts w:ascii="Arial" w:cs="Arial" w:eastAsia="Arial" w:hAnsi="Arial"/>
                <w:sz w:val="14"/>
                <w:szCs w:val="14"/>
                <w:color w:val="auto"/>
              </w:rPr>
              <w:t>88</w:t>
            </w:r>
          </w:p>
        </w:tc>
        <w:tc>
          <w:tcPr>
            <w:tcW w:w="0" w:type="dxa"/>
            <w:vAlign w:val="bottom"/>
          </w:tcPr>
          <w:p>
            <w:pPr>
              <w:spacing w:after="0"/>
              <w:rPr>
                <w:sz w:val="1"/>
                <w:szCs w:val="1"/>
                <w:color w:val="auto"/>
              </w:rPr>
            </w:pPr>
          </w:p>
        </w:tc>
      </w:tr>
      <w:tr>
        <w:trPr>
          <w:trHeight w:val="203"/>
        </w:trPr>
        <w:tc>
          <w:tcPr>
            <w:tcW w:w="55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 xml:space="preserve">Other interest and dividend income </w:t>
            </w:r>
            <w:r>
              <w:rPr>
                <w:rFonts w:ascii="Arial" w:cs="Arial" w:eastAsia="Arial" w:hAnsi="Arial"/>
                <w:sz w:val="9"/>
                <w:szCs w:val="9"/>
                <w:color w:val="auto"/>
              </w:rPr>
              <w:t>3</w:t>
            </w:r>
          </w:p>
        </w:tc>
        <w:tc>
          <w:tcPr>
            <w:tcW w:w="200" w:type="dxa"/>
            <w:vAlign w:val="bottom"/>
            <w:tcBorders>
              <w:bottom w:val="single" w:sz="8" w:color="auto"/>
            </w:tcBorders>
            <w:shd w:val="clear" w:color="auto" w:fill="CCEEFF"/>
          </w:tcPr>
          <w:p>
            <w:pPr>
              <w:spacing w:after="0"/>
              <w:rPr>
                <w:sz w:val="17"/>
                <w:szCs w:val="17"/>
                <w:color w:val="auto"/>
              </w:rPr>
            </w:pPr>
          </w:p>
        </w:tc>
        <w:tc>
          <w:tcPr>
            <w:tcW w:w="86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88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2</w:t>
            </w:r>
          </w:p>
        </w:tc>
        <w:tc>
          <w:tcPr>
            <w:tcW w:w="1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3</w:t>
            </w:r>
          </w:p>
        </w:tc>
        <w:tc>
          <w:tcPr>
            <w:tcW w:w="1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4</w:t>
            </w:r>
          </w:p>
        </w:tc>
        <w:tc>
          <w:tcPr>
            <w:tcW w:w="100" w:type="dxa"/>
            <w:vAlign w:val="bottom"/>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84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4</w:t>
            </w:r>
          </w:p>
        </w:tc>
        <w:tc>
          <w:tcPr>
            <w:tcW w:w="0" w:type="dxa"/>
            <w:vAlign w:val="bottom"/>
          </w:tcPr>
          <w:p>
            <w:pPr>
              <w:spacing w:after="0"/>
              <w:rPr>
                <w:sz w:val="1"/>
                <w:szCs w:val="1"/>
                <w:color w:val="auto"/>
              </w:rPr>
            </w:pPr>
          </w:p>
        </w:tc>
      </w:tr>
      <w:tr>
        <w:trPr>
          <w:trHeight w:val="196"/>
        </w:trPr>
        <w:tc>
          <w:tcPr>
            <w:tcW w:w="5540" w:type="dxa"/>
            <w:vAlign w:val="bottom"/>
          </w:tcPr>
          <w:p>
            <w:pPr>
              <w:ind w:left="20"/>
              <w:spacing w:after="0"/>
              <w:rPr>
                <w:sz w:val="20"/>
                <w:szCs w:val="20"/>
                <w:color w:val="auto"/>
              </w:rPr>
            </w:pPr>
            <w:r>
              <w:rPr>
                <w:rFonts w:ascii="Arial" w:cs="Arial" w:eastAsia="Arial" w:hAnsi="Arial"/>
                <w:sz w:val="14"/>
                <w:szCs w:val="14"/>
                <w:color w:val="auto"/>
              </w:rPr>
              <w:t>Adjusted net interest and dollar roll income</w:t>
            </w:r>
          </w:p>
        </w:tc>
        <w:tc>
          <w:tcPr>
            <w:tcW w:w="200" w:type="dxa"/>
            <w:vAlign w:val="bottom"/>
          </w:tcPr>
          <w:p>
            <w:pPr>
              <w:spacing w:after="0"/>
              <w:rPr>
                <w:sz w:val="17"/>
                <w:szCs w:val="17"/>
                <w:color w:val="auto"/>
              </w:rPr>
            </w:pPr>
          </w:p>
        </w:tc>
        <w:tc>
          <w:tcPr>
            <w:tcW w:w="860" w:type="dxa"/>
            <w:vAlign w:val="bottom"/>
          </w:tcPr>
          <w:p>
            <w:pPr>
              <w:jc w:val="right"/>
              <w:ind w:right="69"/>
              <w:spacing w:after="0"/>
              <w:rPr>
                <w:sz w:val="20"/>
                <w:szCs w:val="20"/>
                <w:color w:val="auto"/>
              </w:rPr>
            </w:pPr>
            <w:r>
              <w:rPr>
                <w:rFonts w:ascii="Arial" w:cs="Arial" w:eastAsia="Arial" w:hAnsi="Arial"/>
                <w:sz w:val="14"/>
                <w:szCs w:val="14"/>
                <w:color w:val="auto"/>
              </w:rPr>
              <w:t>315</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80" w:type="dxa"/>
            <w:vAlign w:val="bottom"/>
          </w:tcPr>
          <w:p>
            <w:pPr>
              <w:jc w:val="right"/>
              <w:ind w:right="69"/>
              <w:spacing w:after="0"/>
              <w:rPr>
                <w:sz w:val="20"/>
                <w:szCs w:val="20"/>
                <w:color w:val="auto"/>
              </w:rPr>
            </w:pPr>
            <w:r>
              <w:rPr>
                <w:rFonts w:ascii="Arial" w:cs="Arial" w:eastAsia="Arial" w:hAnsi="Arial"/>
                <w:sz w:val="14"/>
                <w:szCs w:val="14"/>
                <w:color w:val="auto"/>
              </w:rPr>
              <w:t>114</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20" w:type="dxa"/>
            <w:vAlign w:val="bottom"/>
          </w:tcPr>
          <w:p>
            <w:pPr>
              <w:jc w:val="right"/>
              <w:ind w:right="69"/>
              <w:spacing w:after="0"/>
              <w:rPr>
                <w:sz w:val="20"/>
                <w:szCs w:val="20"/>
                <w:color w:val="auto"/>
              </w:rPr>
            </w:pPr>
            <w:r>
              <w:rPr>
                <w:rFonts w:ascii="Arial" w:cs="Arial" w:eastAsia="Arial" w:hAnsi="Arial"/>
                <w:sz w:val="14"/>
                <w:szCs w:val="14"/>
                <w:color w:val="auto"/>
              </w:rPr>
              <w:t>399</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20" w:type="dxa"/>
            <w:vAlign w:val="bottom"/>
          </w:tcPr>
          <w:p>
            <w:pPr>
              <w:jc w:val="right"/>
              <w:ind w:right="69"/>
              <w:spacing w:after="0"/>
              <w:rPr>
                <w:sz w:val="20"/>
                <w:szCs w:val="20"/>
                <w:color w:val="auto"/>
              </w:rPr>
            </w:pPr>
            <w:r>
              <w:rPr>
                <w:rFonts w:ascii="Arial" w:cs="Arial" w:eastAsia="Arial" w:hAnsi="Arial"/>
                <w:sz w:val="14"/>
                <w:szCs w:val="14"/>
                <w:color w:val="auto"/>
              </w:rPr>
              <w:t>298</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40" w:type="dxa"/>
            <w:vAlign w:val="bottom"/>
          </w:tcPr>
          <w:p>
            <w:pPr>
              <w:jc w:val="right"/>
              <w:ind w:right="69"/>
              <w:spacing w:after="0"/>
              <w:rPr>
                <w:sz w:val="20"/>
                <w:szCs w:val="20"/>
                <w:color w:val="auto"/>
              </w:rPr>
            </w:pPr>
            <w:r>
              <w:rPr>
                <w:rFonts w:ascii="Arial" w:cs="Arial" w:eastAsia="Arial" w:hAnsi="Arial"/>
                <w:sz w:val="14"/>
                <w:szCs w:val="14"/>
                <w:color w:val="auto"/>
              </w:rPr>
              <w:t>237</w:t>
            </w:r>
          </w:p>
        </w:tc>
        <w:tc>
          <w:tcPr>
            <w:tcW w:w="0" w:type="dxa"/>
            <w:vAlign w:val="bottom"/>
          </w:tcPr>
          <w:p>
            <w:pPr>
              <w:spacing w:after="0"/>
              <w:rPr>
                <w:sz w:val="1"/>
                <w:szCs w:val="1"/>
                <w:color w:val="auto"/>
              </w:rPr>
            </w:pPr>
          </w:p>
        </w:tc>
      </w:tr>
      <w:tr>
        <w:trPr>
          <w:trHeight w:val="203"/>
        </w:trPr>
        <w:tc>
          <w:tcPr>
            <w:tcW w:w="5540" w:type="dxa"/>
            <w:vAlign w:val="bottom"/>
            <w:shd w:val="clear" w:color="auto" w:fill="CCEEFF"/>
          </w:tcPr>
          <w:p>
            <w:pPr>
              <w:ind w:left="120"/>
              <w:spacing w:after="0"/>
              <w:rPr>
                <w:sz w:val="20"/>
                <w:szCs w:val="20"/>
                <w:color w:val="auto"/>
              </w:rPr>
            </w:pPr>
            <w:r>
              <w:rPr>
                <w:rFonts w:ascii="Arial" w:cs="Arial" w:eastAsia="Arial" w:hAnsi="Arial"/>
                <w:sz w:val="14"/>
                <w:szCs w:val="14"/>
                <w:color w:val="auto"/>
              </w:rPr>
              <w:t>Operating expense</w:t>
            </w:r>
          </w:p>
        </w:tc>
        <w:tc>
          <w:tcPr>
            <w:tcW w:w="200" w:type="dxa"/>
            <w:vAlign w:val="bottom"/>
            <w:tcBorders>
              <w:bottom w:val="single" w:sz="8" w:color="auto"/>
            </w:tcBorders>
            <w:shd w:val="clear" w:color="auto" w:fill="CCEEFF"/>
          </w:tcPr>
          <w:p>
            <w:pPr>
              <w:spacing w:after="0"/>
              <w:rPr>
                <w:sz w:val="17"/>
                <w:szCs w:val="17"/>
                <w:color w:val="auto"/>
              </w:rPr>
            </w:pPr>
          </w:p>
        </w:tc>
        <w:tc>
          <w:tcPr>
            <w:tcW w:w="860" w:type="dxa"/>
            <w:vAlign w:val="bottom"/>
            <w:tcBorders>
              <w:bottom w:val="single" w:sz="8" w:color="auto"/>
            </w:tcBorders>
            <w:shd w:val="clear" w:color="auto" w:fill="CCEEFF"/>
          </w:tcPr>
          <w:p>
            <w:pPr>
              <w:jc w:val="right"/>
              <w:ind w:right="49"/>
              <w:spacing w:after="0"/>
              <w:rPr>
                <w:sz w:val="20"/>
                <w:szCs w:val="20"/>
                <w:color w:val="auto"/>
              </w:rPr>
            </w:pPr>
            <w:r>
              <w:rPr>
                <w:rFonts w:ascii="Arial" w:cs="Arial" w:eastAsia="Arial" w:hAnsi="Arial"/>
                <w:sz w:val="14"/>
                <w:szCs w:val="14"/>
                <w:color w:val="auto"/>
              </w:rPr>
              <w:t>(24)</w:t>
            </w:r>
          </w:p>
        </w:tc>
        <w:tc>
          <w:tcPr>
            <w:tcW w:w="10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880" w:type="dxa"/>
            <w:vAlign w:val="bottom"/>
            <w:tcBorders>
              <w:bottom w:val="single" w:sz="8" w:color="auto"/>
            </w:tcBorders>
            <w:shd w:val="clear" w:color="auto" w:fill="CCEEFF"/>
          </w:tcPr>
          <w:p>
            <w:pPr>
              <w:jc w:val="right"/>
              <w:ind w:right="49"/>
              <w:spacing w:after="0"/>
              <w:rPr>
                <w:sz w:val="20"/>
                <w:szCs w:val="20"/>
                <w:color w:val="auto"/>
              </w:rPr>
            </w:pPr>
            <w:r>
              <w:rPr>
                <w:rFonts w:ascii="Arial" w:cs="Arial" w:eastAsia="Arial" w:hAnsi="Arial"/>
                <w:sz w:val="14"/>
                <w:szCs w:val="14"/>
                <w:color w:val="auto"/>
              </w:rPr>
              <w:t>(23)</w:t>
            </w:r>
          </w:p>
        </w:tc>
        <w:tc>
          <w:tcPr>
            <w:tcW w:w="1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(25)</w:t>
            </w:r>
          </w:p>
        </w:tc>
        <w:tc>
          <w:tcPr>
            <w:tcW w:w="1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(19)</w:t>
            </w:r>
          </w:p>
        </w:tc>
        <w:tc>
          <w:tcPr>
            <w:tcW w:w="100" w:type="dxa"/>
            <w:vAlign w:val="bottom"/>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84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(20)</w:t>
            </w:r>
          </w:p>
        </w:tc>
        <w:tc>
          <w:tcPr>
            <w:tcW w:w="0" w:type="dxa"/>
            <w:vAlign w:val="bottom"/>
          </w:tcPr>
          <w:p>
            <w:pPr>
              <w:spacing w:after="0"/>
              <w:rPr>
                <w:sz w:val="1"/>
                <w:szCs w:val="1"/>
                <w:color w:val="auto"/>
              </w:rPr>
            </w:pPr>
          </w:p>
        </w:tc>
      </w:tr>
      <w:tr>
        <w:trPr>
          <w:trHeight w:val="196"/>
        </w:trPr>
        <w:tc>
          <w:tcPr>
            <w:tcW w:w="5540" w:type="dxa"/>
            <w:vAlign w:val="bottom"/>
          </w:tcPr>
          <w:p>
            <w:pPr>
              <w:ind w:left="20"/>
              <w:spacing w:after="0"/>
              <w:rPr>
                <w:sz w:val="20"/>
                <w:szCs w:val="20"/>
                <w:color w:val="auto"/>
              </w:rPr>
            </w:pPr>
            <w:r>
              <w:rPr>
                <w:rFonts w:ascii="Arial" w:cs="Arial" w:eastAsia="Arial" w:hAnsi="Arial"/>
                <w:sz w:val="14"/>
                <w:szCs w:val="14"/>
                <w:color w:val="auto"/>
              </w:rPr>
              <w:t>Net spread and dollar roll income</w:t>
            </w:r>
          </w:p>
        </w:tc>
        <w:tc>
          <w:tcPr>
            <w:tcW w:w="200" w:type="dxa"/>
            <w:vAlign w:val="bottom"/>
          </w:tcPr>
          <w:p>
            <w:pPr>
              <w:spacing w:after="0"/>
              <w:rPr>
                <w:sz w:val="17"/>
                <w:szCs w:val="17"/>
                <w:color w:val="auto"/>
              </w:rPr>
            </w:pPr>
          </w:p>
        </w:tc>
        <w:tc>
          <w:tcPr>
            <w:tcW w:w="860" w:type="dxa"/>
            <w:vAlign w:val="bottom"/>
          </w:tcPr>
          <w:p>
            <w:pPr>
              <w:jc w:val="right"/>
              <w:ind w:right="69"/>
              <w:spacing w:after="0"/>
              <w:rPr>
                <w:sz w:val="20"/>
                <w:szCs w:val="20"/>
                <w:color w:val="auto"/>
              </w:rPr>
            </w:pPr>
            <w:r>
              <w:rPr>
                <w:rFonts w:ascii="Arial" w:cs="Arial" w:eastAsia="Arial" w:hAnsi="Arial"/>
                <w:sz w:val="14"/>
                <w:szCs w:val="14"/>
                <w:color w:val="auto"/>
              </w:rPr>
              <w:t>291</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80" w:type="dxa"/>
            <w:vAlign w:val="bottom"/>
          </w:tcPr>
          <w:p>
            <w:pPr>
              <w:jc w:val="right"/>
              <w:ind w:right="69"/>
              <w:spacing w:after="0"/>
              <w:rPr>
                <w:sz w:val="20"/>
                <w:szCs w:val="20"/>
                <w:color w:val="auto"/>
              </w:rPr>
            </w:pPr>
            <w:r>
              <w:rPr>
                <w:rFonts w:ascii="Arial" w:cs="Arial" w:eastAsia="Arial" w:hAnsi="Arial"/>
                <w:sz w:val="14"/>
                <w:szCs w:val="14"/>
                <w:color w:val="auto"/>
              </w:rPr>
              <w:t>91</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20" w:type="dxa"/>
            <w:vAlign w:val="bottom"/>
          </w:tcPr>
          <w:p>
            <w:pPr>
              <w:jc w:val="right"/>
              <w:ind w:right="69"/>
              <w:spacing w:after="0"/>
              <w:rPr>
                <w:sz w:val="20"/>
                <w:szCs w:val="20"/>
                <w:color w:val="auto"/>
              </w:rPr>
            </w:pPr>
            <w:r>
              <w:rPr>
                <w:rFonts w:ascii="Arial" w:cs="Arial" w:eastAsia="Arial" w:hAnsi="Arial"/>
                <w:sz w:val="14"/>
                <w:szCs w:val="14"/>
                <w:color w:val="auto"/>
              </w:rPr>
              <w:t>374</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20" w:type="dxa"/>
            <w:vAlign w:val="bottom"/>
          </w:tcPr>
          <w:p>
            <w:pPr>
              <w:jc w:val="right"/>
              <w:ind w:right="69"/>
              <w:spacing w:after="0"/>
              <w:rPr>
                <w:sz w:val="20"/>
                <w:szCs w:val="20"/>
                <w:color w:val="auto"/>
              </w:rPr>
            </w:pPr>
            <w:r>
              <w:rPr>
                <w:rFonts w:ascii="Arial" w:cs="Arial" w:eastAsia="Arial" w:hAnsi="Arial"/>
                <w:sz w:val="14"/>
                <w:szCs w:val="14"/>
                <w:color w:val="auto"/>
              </w:rPr>
              <w:t>279</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40" w:type="dxa"/>
            <w:vAlign w:val="bottom"/>
          </w:tcPr>
          <w:p>
            <w:pPr>
              <w:jc w:val="right"/>
              <w:ind w:right="69"/>
              <w:spacing w:after="0"/>
              <w:rPr>
                <w:sz w:val="20"/>
                <w:szCs w:val="20"/>
                <w:color w:val="auto"/>
              </w:rPr>
            </w:pPr>
            <w:r>
              <w:rPr>
                <w:rFonts w:ascii="Arial" w:cs="Arial" w:eastAsia="Arial" w:hAnsi="Arial"/>
                <w:sz w:val="14"/>
                <w:szCs w:val="14"/>
                <w:color w:val="auto"/>
              </w:rPr>
              <w:t>217</w:t>
            </w:r>
          </w:p>
        </w:tc>
        <w:tc>
          <w:tcPr>
            <w:tcW w:w="0" w:type="dxa"/>
            <w:vAlign w:val="bottom"/>
          </w:tcPr>
          <w:p>
            <w:pPr>
              <w:spacing w:after="0"/>
              <w:rPr>
                <w:sz w:val="1"/>
                <w:szCs w:val="1"/>
                <w:color w:val="auto"/>
              </w:rPr>
            </w:pPr>
          </w:p>
        </w:tc>
      </w:tr>
      <w:tr>
        <w:trPr>
          <w:trHeight w:val="203"/>
        </w:trPr>
        <w:tc>
          <w:tcPr>
            <w:tcW w:w="5540" w:type="dxa"/>
            <w:vAlign w:val="bottom"/>
            <w:shd w:val="clear" w:color="auto" w:fill="CCEEFF"/>
          </w:tcPr>
          <w:p>
            <w:pPr>
              <w:ind w:left="120"/>
              <w:spacing w:after="0"/>
              <w:rPr>
                <w:sz w:val="20"/>
                <w:szCs w:val="20"/>
                <w:color w:val="auto"/>
              </w:rPr>
            </w:pPr>
            <w:r>
              <w:rPr>
                <w:rFonts w:ascii="Arial" w:cs="Arial" w:eastAsia="Arial" w:hAnsi="Arial"/>
                <w:sz w:val="14"/>
                <w:szCs w:val="14"/>
                <w:color w:val="auto"/>
              </w:rPr>
              <w:t>Dividend on preferred stock</w:t>
            </w:r>
          </w:p>
        </w:tc>
        <w:tc>
          <w:tcPr>
            <w:tcW w:w="200" w:type="dxa"/>
            <w:vAlign w:val="bottom"/>
            <w:tcBorders>
              <w:bottom w:val="single" w:sz="8" w:color="auto"/>
            </w:tcBorders>
            <w:shd w:val="clear" w:color="auto" w:fill="CCEEFF"/>
          </w:tcPr>
          <w:p>
            <w:pPr>
              <w:spacing w:after="0"/>
              <w:rPr>
                <w:sz w:val="17"/>
                <w:szCs w:val="17"/>
                <w:color w:val="auto"/>
              </w:rPr>
            </w:pPr>
          </w:p>
        </w:tc>
        <w:tc>
          <w:tcPr>
            <w:tcW w:w="86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25</w:t>
            </w:r>
          </w:p>
        </w:tc>
        <w:tc>
          <w:tcPr>
            <w:tcW w:w="10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88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21</w:t>
            </w:r>
          </w:p>
        </w:tc>
        <w:tc>
          <w:tcPr>
            <w:tcW w:w="1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18</w:t>
            </w:r>
          </w:p>
        </w:tc>
        <w:tc>
          <w:tcPr>
            <w:tcW w:w="1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13</w:t>
            </w:r>
          </w:p>
        </w:tc>
        <w:tc>
          <w:tcPr>
            <w:tcW w:w="100" w:type="dxa"/>
            <w:vAlign w:val="bottom"/>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84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13</w:t>
            </w:r>
          </w:p>
        </w:tc>
        <w:tc>
          <w:tcPr>
            <w:tcW w:w="0" w:type="dxa"/>
            <w:vAlign w:val="bottom"/>
          </w:tcPr>
          <w:p>
            <w:pPr>
              <w:spacing w:after="0"/>
              <w:rPr>
                <w:sz w:val="1"/>
                <w:szCs w:val="1"/>
                <w:color w:val="auto"/>
              </w:rPr>
            </w:pPr>
          </w:p>
        </w:tc>
      </w:tr>
      <w:tr>
        <w:trPr>
          <w:trHeight w:val="196"/>
        </w:trPr>
        <w:tc>
          <w:tcPr>
            <w:tcW w:w="5540" w:type="dxa"/>
            <w:vAlign w:val="bottom"/>
          </w:tcPr>
          <w:p>
            <w:pPr>
              <w:ind w:left="20"/>
              <w:spacing w:after="0"/>
              <w:rPr>
                <w:sz w:val="20"/>
                <w:szCs w:val="20"/>
                <w:color w:val="auto"/>
              </w:rPr>
            </w:pPr>
            <w:r>
              <w:rPr>
                <w:rFonts w:ascii="Arial" w:cs="Arial" w:eastAsia="Arial" w:hAnsi="Arial"/>
                <w:sz w:val="14"/>
                <w:szCs w:val="14"/>
                <w:color w:val="auto"/>
              </w:rPr>
              <w:t>Net spread and dollar roll income available to common stockholders</w:t>
            </w:r>
          </w:p>
        </w:tc>
        <w:tc>
          <w:tcPr>
            <w:tcW w:w="200" w:type="dxa"/>
            <w:vAlign w:val="bottom"/>
          </w:tcPr>
          <w:p>
            <w:pPr>
              <w:spacing w:after="0"/>
              <w:rPr>
                <w:sz w:val="17"/>
                <w:szCs w:val="17"/>
                <w:color w:val="auto"/>
              </w:rPr>
            </w:pPr>
          </w:p>
        </w:tc>
        <w:tc>
          <w:tcPr>
            <w:tcW w:w="860" w:type="dxa"/>
            <w:vAlign w:val="bottom"/>
          </w:tcPr>
          <w:p>
            <w:pPr>
              <w:jc w:val="right"/>
              <w:ind w:right="69"/>
              <w:spacing w:after="0"/>
              <w:rPr>
                <w:sz w:val="20"/>
                <w:szCs w:val="20"/>
                <w:color w:val="auto"/>
              </w:rPr>
            </w:pPr>
            <w:r>
              <w:rPr>
                <w:rFonts w:ascii="Arial" w:cs="Arial" w:eastAsia="Arial" w:hAnsi="Arial"/>
                <w:sz w:val="14"/>
                <w:szCs w:val="14"/>
                <w:color w:val="auto"/>
              </w:rPr>
              <w:t>266</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80" w:type="dxa"/>
            <w:vAlign w:val="bottom"/>
          </w:tcPr>
          <w:p>
            <w:pPr>
              <w:jc w:val="right"/>
              <w:ind w:right="69"/>
              <w:spacing w:after="0"/>
              <w:rPr>
                <w:sz w:val="20"/>
                <w:szCs w:val="20"/>
                <w:color w:val="auto"/>
              </w:rPr>
            </w:pPr>
            <w:r>
              <w:rPr>
                <w:rFonts w:ascii="Arial" w:cs="Arial" w:eastAsia="Arial" w:hAnsi="Arial"/>
                <w:sz w:val="14"/>
                <w:szCs w:val="14"/>
                <w:color w:val="auto"/>
              </w:rPr>
              <w:t>70</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20" w:type="dxa"/>
            <w:vAlign w:val="bottom"/>
          </w:tcPr>
          <w:p>
            <w:pPr>
              <w:jc w:val="right"/>
              <w:ind w:right="69"/>
              <w:spacing w:after="0"/>
              <w:rPr>
                <w:sz w:val="20"/>
                <w:szCs w:val="20"/>
                <w:color w:val="auto"/>
              </w:rPr>
            </w:pPr>
            <w:r>
              <w:rPr>
                <w:rFonts w:ascii="Arial" w:cs="Arial" w:eastAsia="Arial" w:hAnsi="Arial"/>
                <w:sz w:val="14"/>
                <w:szCs w:val="14"/>
                <w:color w:val="auto"/>
              </w:rPr>
              <w:t>356</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20" w:type="dxa"/>
            <w:vAlign w:val="bottom"/>
          </w:tcPr>
          <w:p>
            <w:pPr>
              <w:jc w:val="right"/>
              <w:ind w:right="69"/>
              <w:spacing w:after="0"/>
              <w:rPr>
                <w:sz w:val="20"/>
                <w:szCs w:val="20"/>
                <w:color w:val="auto"/>
              </w:rPr>
            </w:pPr>
            <w:r>
              <w:rPr>
                <w:rFonts w:ascii="Arial" w:cs="Arial" w:eastAsia="Arial" w:hAnsi="Arial"/>
                <w:sz w:val="14"/>
                <w:szCs w:val="14"/>
                <w:color w:val="auto"/>
              </w:rPr>
              <w:t>266</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40" w:type="dxa"/>
            <w:vAlign w:val="bottom"/>
          </w:tcPr>
          <w:p>
            <w:pPr>
              <w:jc w:val="right"/>
              <w:ind w:right="69"/>
              <w:spacing w:after="0"/>
              <w:rPr>
                <w:sz w:val="20"/>
                <w:szCs w:val="20"/>
                <w:color w:val="auto"/>
              </w:rPr>
            </w:pPr>
            <w:r>
              <w:rPr>
                <w:rFonts w:ascii="Arial" w:cs="Arial" w:eastAsia="Arial" w:hAnsi="Arial"/>
                <w:sz w:val="14"/>
                <w:szCs w:val="14"/>
                <w:color w:val="auto"/>
              </w:rPr>
              <w:t>204</w:t>
            </w:r>
          </w:p>
        </w:tc>
        <w:tc>
          <w:tcPr>
            <w:tcW w:w="0" w:type="dxa"/>
            <w:vAlign w:val="bottom"/>
          </w:tcPr>
          <w:p>
            <w:pPr>
              <w:spacing w:after="0"/>
              <w:rPr>
                <w:sz w:val="1"/>
                <w:szCs w:val="1"/>
                <w:color w:val="auto"/>
              </w:rPr>
            </w:pPr>
          </w:p>
        </w:tc>
      </w:tr>
      <w:tr>
        <w:trPr>
          <w:trHeight w:val="208"/>
        </w:trPr>
        <w:tc>
          <w:tcPr>
            <w:tcW w:w="5540" w:type="dxa"/>
            <w:vAlign w:val="bottom"/>
            <w:shd w:val="clear" w:color="auto" w:fill="CCEEFF"/>
          </w:tcPr>
          <w:p>
            <w:pPr>
              <w:ind w:left="100"/>
              <w:spacing w:after="0"/>
              <w:rPr>
                <w:sz w:val="20"/>
                <w:szCs w:val="20"/>
                <w:color w:val="auto"/>
              </w:rPr>
            </w:pPr>
            <w:r>
              <w:rPr>
                <w:rFonts w:ascii="Arial" w:cs="Arial" w:eastAsia="Arial" w:hAnsi="Arial"/>
                <w:sz w:val="14"/>
                <w:szCs w:val="14"/>
                <w:color w:val="auto"/>
                <w:w w:val="96"/>
              </w:rPr>
              <w:t xml:space="preserve">Estimated "catch-up" premium amortization cost (benefit) due to change in CPR forecast </w:t>
            </w:r>
            <w:r>
              <w:rPr>
                <w:rFonts w:ascii="Arial" w:cs="Arial" w:eastAsia="Arial" w:hAnsi="Arial"/>
                <w:sz w:val="9"/>
                <w:szCs w:val="9"/>
                <w:color w:val="auto"/>
                <w:w w:val="96"/>
              </w:rPr>
              <w:t>11</w:t>
            </w:r>
          </w:p>
        </w:tc>
        <w:tc>
          <w:tcPr>
            <w:tcW w:w="20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57</w:t>
            </w:r>
          </w:p>
        </w:tc>
        <w:tc>
          <w:tcPr>
            <w:tcW w:w="10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243</w:t>
            </w:r>
          </w:p>
        </w:tc>
        <w:tc>
          <w:tcPr>
            <w:tcW w:w="10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(48)</w:t>
            </w:r>
          </w:p>
        </w:tc>
        <w:tc>
          <w:tcPr>
            <w:tcW w:w="10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55</w:t>
            </w:r>
          </w:p>
        </w:tc>
        <w:tc>
          <w:tcPr>
            <w:tcW w:w="10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58</w:t>
            </w:r>
          </w:p>
        </w:tc>
        <w:tc>
          <w:tcPr>
            <w:tcW w:w="0" w:type="dxa"/>
            <w:vAlign w:val="bottom"/>
          </w:tcPr>
          <w:p>
            <w:pPr>
              <w:spacing w:after="0"/>
              <w:rPr>
                <w:sz w:val="1"/>
                <w:szCs w:val="1"/>
                <w:color w:val="auto"/>
              </w:rPr>
            </w:pPr>
          </w:p>
        </w:tc>
      </w:tr>
      <w:tr>
        <w:trPr>
          <w:trHeight w:val="137"/>
        </w:trPr>
        <w:tc>
          <w:tcPr>
            <w:tcW w:w="5540" w:type="dxa"/>
            <w:vAlign w:val="bottom"/>
          </w:tcPr>
          <w:p>
            <w:pPr>
              <w:ind w:left="20"/>
              <w:spacing w:after="0" w:line="137" w:lineRule="exact"/>
              <w:rPr>
                <w:sz w:val="20"/>
                <w:szCs w:val="20"/>
                <w:color w:val="auto"/>
              </w:rPr>
            </w:pPr>
            <w:r>
              <w:rPr>
                <w:rFonts w:ascii="Arial" w:cs="Arial" w:eastAsia="Arial" w:hAnsi="Arial"/>
                <w:sz w:val="14"/>
                <w:szCs w:val="14"/>
                <w:color w:val="auto"/>
                <w:w w:val="98"/>
              </w:rPr>
              <w:t>Net spread and dollar roll income, excluding "catch-up" premium amortization, available to</w:t>
            </w:r>
          </w:p>
        </w:tc>
        <w:tc>
          <w:tcPr>
            <w:tcW w:w="200" w:type="dxa"/>
            <w:vAlign w:val="bottom"/>
            <w:vMerge w:val="restart"/>
          </w:tcPr>
          <w:p>
            <w:pPr>
              <w:jc w:val="right"/>
              <w:ind w:right="28"/>
              <w:spacing w:after="0"/>
              <w:rPr>
                <w:sz w:val="20"/>
                <w:szCs w:val="20"/>
                <w:color w:val="auto"/>
              </w:rPr>
            </w:pPr>
            <w:r>
              <w:rPr>
                <w:rFonts w:ascii="Arial" w:cs="Arial" w:eastAsia="Arial" w:hAnsi="Arial"/>
                <w:sz w:val="14"/>
                <w:szCs w:val="14"/>
                <w:color w:val="auto"/>
              </w:rPr>
              <w:t>$</w:t>
            </w:r>
          </w:p>
        </w:tc>
        <w:tc>
          <w:tcPr>
            <w:tcW w:w="860" w:type="dxa"/>
            <w:vAlign w:val="bottom"/>
            <w:vMerge w:val="restart"/>
          </w:tcPr>
          <w:p>
            <w:pPr>
              <w:jc w:val="right"/>
              <w:ind w:right="69"/>
              <w:spacing w:after="0"/>
              <w:rPr>
                <w:sz w:val="20"/>
                <w:szCs w:val="20"/>
                <w:color w:val="auto"/>
              </w:rPr>
            </w:pPr>
            <w:r>
              <w:rPr>
                <w:rFonts w:ascii="Arial" w:cs="Arial" w:eastAsia="Arial" w:hAnsi="Arial"/>
                <w:sz w:val="14"/>
                <w:szCs w:val="14"/>
                <w:color w:val="auto"/>
              </w:rPr>
              <w:t>323</w:t>
            </w:r>
          </w:p>
        </w:tc>
        <w:tc>
          <w:tcPr>
            <w:tcW w:w="100" w:type="dxa"/>
            <w:vAlign w:val="bottom"/>
          </w:tcPr>
          <w:p>
            <w:pPr>
              <w:spacing w:after="0"/>
              <w:rPr>
                <w:sz w:val="11"/>
                <w:szCs w:val="11"/>
                <w:color w:val="auto"/>
              </w:rPr>
            </w:pPr>
          </w:p>
        </w:tc>
        <w:tc>
          <w:tcPr>
            <w:tcW w:w="180" w:type="dxa"/>
            <w:vAlign w:val="bottom"/>
            <w:vMerge w:val="restart"/>
          </w:tcPr>
          <w:p>
            <w:pPr>
              <w:jc w:val="right"/>
              <w:ind w:right="8"/>
              <w:spacing w:after="0"/>
              <w:rPr>
                <w:sz w:val="20"/>
                <w:szCs w:val="20"/>
                <w:color w:val="auto"/>
              </w:rPr>
            </w:pPr>
            <w:r>
              <w:rPr>
                <w:rFonts w:ascii="Arial" w:cs="Arial" w:eastAsia="Arial" w:hAnsi="Arial"/>
                <w:sz w:val="14"/>
                <w:szCs w:val="14"/>
                <w:color w:val="auto"/>
              </w:rPr>
              <w:t>$</w:t>
            </w:r>
          </w:p>
        </w:tc>
        <w:tc>
          <w:tcPr>
            <w:tcW w:w="880" w:type="dxa"/>
            <w:vAlign w:val="bottom"/>
            <w:vMerge w:val="restart"/>
          </w:tcPr>
          <w:p>
            <w:pPr>
              <w:jc w:val="right"/>
              <w:ind w:right="69"/>
              <w:spacing w:after="0"/>
              <w:rPr>
                <w:sz w:val="20"/>
                <w:szCs w:val="20"/>
                <w:color w:val="auto"/>
              </w:rPr>
            </w:pPr>
            <w:r>
              <w:rPr>
                <w:rFonts w:ascii="Arial" w:cs="Arial" w:eastAsia="Arial" w:hAnsi="Arial"/>
                <w:sz w:val="14"/>
                <w:szCs w:val="14"/>
                <w:color w:val="auto"/>
              </w:rPr>
              <w:t>313</w:t>
            </w:r>
          </w:p>
        </w:tc>
        <w:tc>
          <w:tcPr>
            <w:tcW w:w="240" w:type="dxa"/>
            <w:vAlign w:val="bottom"/>
            <w:gridSpan w:val="2"/>
            <w:vMerge w:val="restart"/>
          </w:tcPr>
          <w:p>
            <w:pPr>
              <w:jc w:val="right"/>
              <w:ind w:right="40"/>
              <w:spacing w:after="0"/>
              <w:rPr>
                <w:sz w:val="20"/>
                <w:szCs w:val="20"/>
                <w:color w:val="auto"/>
              </w:rPr>
            </w:pPr>
            <w:r>
              <w:rPr>
                <w:rFonts w:ascii="Arial" w:cs="Arial" w:eastAsia="Arial" w:hAnsi="Arial"/>
                <w:sz w:val="14"/>
                <w:szCs w:val="14"/>
                <w:color w:val="auto"/>
              </w:rPr>
              <w:t>$</w:t>
            </w:r>
          </w:p>
        </w:tc>
        <w:tc>
          <w:tcPr>
            <w:tcW w:w="920" w:type="dxa"/>
            <w:vAlign w:val="bottom"/>
            <w:vMerge w:val="restart"/>
          </w:tcPr>
          <w:p>
            <w:pPr>
              <w:jc w:val="right"/>
              <w:ind w:right="69"/>
              <w:spacing w:after="0"/>
              <w:rPr>
                <w:sz w:val="20"/>
                <w:szCs w:val="20"/>
                <w:color w:val="auto"/>
              </w:rPr>
            </w:pPr>
            <w:r>
              <w:rPr>
                <w:rFonts w:ascii="Arial" w:cs="Arial" w:eastAsia="Arial" w:hAnsi="Arial"/>
                <w:sz w:val="14"/>
                <w:szCs w:val="14"/>
                <w:color w:val="auto"/>
              </w:rPr>
              <w:t>308</w:t>
            </w:r>
          </w:p>
        </w:tc>
        <w:tc>
          <w:tcPr>
            <w:tcW w:w="100" w:type="dxa"/>
            <w:vAlign w:val="bottom"/>
          </w:tcPr>
          <w:p>
            <w:pPr>
              <w:spacing w:after="0"/>
              <w:rPr>
                <w:sz w:val="11"/>
                <w:szCs w:val="11"/>
                <w:color w:val="auto"/>
              </w:rPr>
            </w:pPr>
          </w:p>
        </w:tc>
        <w:tc>
          <w:tcPr>
            <w:tcW w:w="14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920" w:type="dxa"/>
            <w:vAlign w:val="bottom"/>
            <w:vMerge w:val="restart"/>
          </w:tcPr>
          <w:p>
            <w:pPr>
              <w:jc w:val="right"/>
              <w:ind w:right="69"/>
              <w:spacing w:after="0"/>
              <w:rPr>
                <w:sz w:val="20"/>
                <w:szCs w:val="20"/>
                <w:color w:val="auto"/>
              </w:rPr>
            </w:pPr>
            <w:r>
              <w:rPr>
                <w:rFonts w:ascii="Arial" w:cs="Arial" w:eastAsia="Arial" w:hAnsi="Arial"/>
                <w:sz w:val="14"/>
                <w:szCs w:val="14"/>
                <w:color w:val="auto"/>
              </w:rPr>
              <w:t>321</w:t>
            </w:r>
          </w:p>
        </w:tc>
        <w:tc>
          <w:tcPr>
            <w:tcW w:w="100" w:type="dxa"/>
            <w:vAlign w:val="bottom"/>
          </w:tcPr>
          <w:p>
            <w:pPr>
              <w:spacing w:after="0"/>
              <w:rPr>
                <w:sz w:val="11"/>
                <w:szCs w:val="11"/>
                <w:color w:val="auto"/>
              </w:rPr>
            </w:pPr>
          </w:p>
        </w:tc>
        <w:tc>
          <w:tcPr>
            <w:tcW w:w="220" w:type="dxa"/>
            <w:vAlign w:val="bottom"/>
            <w:vMerge w:val="restart"/>
          </w:tcPr>
          <w:p>
            <w:pPr>
              <w:jc w:val="right"/>
              <w:ind w:right="48"/>
              <w:spacing w:after="0"/>
              <w:rPr>
                <w:sz w:val="20"/>
                <w:szCs w:val="20"/>
                <w:color w:val="auto"/>
              </w:rPr>
            </w:pPr>
            <w:r>
              <w:rPr>
                <w:rFonts w:ascii="Arial" w:cs="Arial" w:eastAsia="Arial" w:hAnsi="Arial"/>
                <w:sz w:val="14"/>
                <w:szCs w:val="14"/>
                <w:color w:val="auto"/>
              </w:rPr>
              <w:t>$</w:t>
            </w:r>
          </w:p>
        </w:tc>
        <w:tc>
          <w:tcPr>
            <w:tcW w:w="840" w:type="dxa"/>
            <w:vAlign w:val="bottom"/>
            <w:vMerge w:val="restart"/>
          </w:tcPr>
          <w:p>
            <w:pPr>
              <w:jc w:val="right"/>
              <w:ind w:right="69"/>
              <w:spacing w:after="0"/>
              <w:rPr>
                <w:sz w:val="20"/>
                <w:szCs w:val="20"/>
                <w:color w:val="auto"/>
              </w:rPr>
            </w:pPr>
            <w:r>
              <w:rPr>
                <w:rFonts w:ascii="Arial" w:cs="Arial" w:eastAsia="Arial" w:hAnsi="Arial"/>
                <w:sz w:val="14"/>
                <w:szCs w:val="14"/>
                <w:color w:val="auto"/>
              </w:rPr>
              <w:t>262</w:t>
            </w:r>
          </w:p>
        </w:tc>
        <w:tc>
          <w:tcPr>
            <w:tcW w:w="0" w:type="dxa"/>
            <w:vAlign w:val="bottom"/>
          </w:tcPr>
          <w:p>
            <w:pPr>
              <w:spacing w:after="0"/>
              <w:rPr>
                <w:sz w:val="1"/>
                <w:szCs w:val="1"/>
                <w:color w:val="auto"/>
              </w:rPr>
            </w:pPr>
          </w:p>
        </w:tc>
      </w:tr>
      <w:tr>
        <w:trPr>
          <w:trHeight w:val="167"/>
        </w:trPr>
        <w:tc>
          <w:tcPr>
            <w:tcW w:w="5540" w:type="dxa"/>
            <w:vAlign w:val="bottom"/>
          </w:tcPr>
          <w:p>
            <w:pPr>
              <w:ind w:left="20"/>
              <w:spacing w:after="0"/>
              <w:rPr>
                <w:sz w:val="20"/>
                <w:szCs w:val="20"/>
                <w:color w:val="auto"/>
              </w:rPr>
            </w:pPr>
            <w:r>
              <w:rPr>
                <w:rFonts w:ascii="Arial" w:cs="Arial" w:eastAsia="Arial" w:hAnsi="Arial"/>
                <w:sz w:val="14"/>
                <w:szCs w:val="14"/>
                <w:color w:val="auto"/>
              </w:rPr>
              <w:t>common stockholders</w:t>
            </w:r>
          </w:p>
        </w:tc>
        <w:tc>
          <w:tcPr>
            <w:tcW w:w="200" w:type="dxa"/>
            <w:vAlign w:val="bottom"/>
            <w:vMerge w:val="continue"/>
          </w:tcPr>
          <w:p>
            <w:pPr>
              <w:spacing w:after="0"/>
              <w:rPr>
                <w:sz w:val="14"/>
                <w:szCs w:val="14"/>
                <w:color w:val="auto"/>
              </w:rPr>
            </w:pPr>
          </w:p>
        </w:tc>
        <w:tc>
          <w:tcPr>
            <w:tcW w:w="86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vMerge w:val="continue"/>
          </w:tcPr>
          <w:p>
            <w:pPr>
              <w:spacing w:after="0"/>
              <w:rPr>
                <w:sz w:val="14"/>
                <w:szCs w:val="14"/>
                <w:color w:val="auto"/>
              </w:rPr>
            </w:pPr>
          </w:p>
        </w:tc>
        <w:tc>
          <w:tcPr>
            <w:tcW w:w="880" w:type="dxa"/>
            <w:vAlign w:val="bottom"/>
            <w:vMerge w:val="continue"/>
          </w:tcPr>
          <w:p>
            <w:pPr>
              <w:spacing w:after="0"/>
              <w:rPr>
                <w:sz w:val="14"/>
                <w:szCs w:val="14"/>
                <w:color w:val="auto"/>
              </w:rPr>
            </w:pPr>
          </w:p>
        </w:tc>
        <w:tc>
          <w:tcPr>
            <w:tcW w:w="240" w:type="dxa"/>
            <w:vAlign w:val="bottom"/>
            <w:gridSpan w:val="2"/>
            <w:vMerge w:val="continue"/>
          </w:tcPr>
          <w:p>
            <w:pPr>
              <w:spacing w:after="0"/>
              <w:rPr>
                <w:sz w:val="14"/>
                <w:szCs w:val="14"/>
                <w:color w:val="auto"/>
              </w:rPr>
            </w:pPr>
          </w:p>
        </w:tc>
        <w:tc>
          <w:tcPr>
            <w:tcW w:w="92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vMerge w:val="continue"/>
          </w:tcPr>
          <w:p>
            <w:pPr>
              <w:spacing w:after="0"/>
              <w:rPr>
                <w:sz w:val="14"/>
                <w:szCs w:val="14"/>
                <w:color w:val="auto"/>
              </w:rPr>
            </w:pPr>
          </w:p>
        </w:tc>
        <w:tc>
          <w:tcPr>
            <w:tcW w:w="92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220" w:type="dxa"/>
            <w:vAlign w:val="bottom"/>
            <w:vMerge w:val="continue"/>
          </w:tcPr>
          <w:p>
            <w:pPr>
              <w:spacing w:after="0"/>
              <w:rPr>
                <w:sz w:val="14"/>
                <w:szCs w:val="14"/>
                <w:color w:val="auto"/>
              </w:rPr>
            </w:pPr>
          </w:p>
        </w:tc>
        <w:tc>
          <w:tcPr>
            <w:tcW w:w="84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5540" w:type="dxa"/>
            <w:vAlign w:val="bottom"/>
            <w:tcBorders>
              <w:bottom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554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9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9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84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5540" w:type="dxa"/>
            <w:vAlign w:val="bottom"/>
          </w:tcPr>
          <w:p>
            <w:pPr>
              <w:ind w:left="20"/>
              <w:spacing w:after="0"/>
              <w:rPr>
                <w:sz w:val="20"/>
                <w:szCs w:val="20"/>
                <w:color w:val="auto"/>
              </w:rPr>
            </w:pPr>
            <w:r>
              <w:rPr>
                <w:rFonts w:ascii="Arial" w:cs="Arial" w:eastAsia="Arial" w:hAnsi="Arial"/>
                <w:sz w:val="14"/>
                <w:szCs w:val="14"/>
                <w:color w:val="auto"/>
              </w:rPr>
              <w:t>Weighted average number of common shares outstanding - basic</w:t>
            </w:r>
          </w:p>
        </w:tc>
        <w:tc>
          <w:tcPr>
            <w:tcW w:w="20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ind w:right="69"/>
              <w:spacing w:after="0"/>
              <w:rPr>
                <w:sz w:val="20"/>
                <w:szCs w:val="20"/>
                <w:color w:val="auto"/>
              </w:rPr>
            </w:pPr>
            <w:r>
              <w:rPr>
                <w:rFonts w:ascii="Arial" w:cs="Arial" w:eastAsia="Arial" w:hAnsi="Arial"/>
                <w:sz w:val="14"/>
                <w:szCs w:val="14"/>
                <w:color w:val="auto"/>
              </w:rPr>
              <w:t>560.3</w:t>
            </w:r>
          </w:p>
        </w:tc>
        <w:tc>
          <w:tcPr>
            <w:tcW w:w="100" w:type="dxa"/>
            <w:vAlign w:val="bottom"/>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880" w:type="dxa"/>
            <w:vAlign w:val="bottom"/>
            <w:tcBorders>
              <w:bottom w:val="single" w:sz="8" w:color="auto"/>
            </w:tcBorders>
          </w:tcPr>
          <w:p>
            <w:pPr>
              <w:jc w:val="right"/>
              <w:ind w:right="69"/>
              <w:spacing w:after="0"/>
              <w:rPr>
                <w:sz w:val="20"/>
                <w:szCs w:val="20"/>
                <w:color w:val="auto"/>
              </w:rPr>
            </w:pPr>
            <w:r>
              <w:rPr>
                <w:rFonts w:ascii="Arial" w:cs="Arial" w:eastAsia="Arial" w:hAnsi="Arial"/>
                <w:sz w:val="14"/>
                <w:szCs w:val="14"/>
                <w:color w:val="auto"/>
              </w:rPr>
              <w:t>548.0</w:t>
            </w:r>
          </w:p>
        </w:tc>
        <w:tc>
          <w:tcPr>
            <w:tcW w:w="100" w:type="dxa"/>
            <w:vAlign w:val="bottom"/>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ind w:right="69"/>
              <w:spacing w:after="0"/>
              <w:rPr>
                <w:sz w:val="20"/>
                <w:szCs w:val="20"/>
                <w:color w:val="auto"/>
              </w:rPr>
            </w:pPr>
            <w:r>
              <w:rPr>
                <w:rFonts w:ascii="Arial" w:cs="Arial" w:eastAsia="Arial" w:hAnsi="Arial"/>
                <w:sz w:val="14"/>
                <w:szCs w:val="14"/>
                <w:color w:val="auto"/>
              </w:rPr>
              <w:t>541.4</w:t>
            </w:r>
          </w:p>
        </w:tc>
        <w:tc>
          <w:tcPr>
            <w:tcW w:w="100" w:type="dxa"/>
            <w:vAlign w:val="bottom"/>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ind w:right="69"/>
              <w:spacing w:after="0"/>
              <w:rPr>
                <w:sz w:val="20"/>
                <w:szCs w:val="20"/>
                <w:color w:val="auto"/>
              </w:rPr>
            </w:pPr>
            <w:r>
              <w:rPr>
                <w:rFonts w:ascii="Arial" w:cs="Arial" w:eastAsia="Arial" w:hAnsi="Arial"/>
                <w:sz w:val="14"/>
                <w:szCs w:val="14"/>
                <w:color w:val="auto"/>
              </w:rPr>
              <w:t>546.4</w:t>
            </w:r>
          </w:p>
        </w:tc>
        <w:tc>
          <w:tcPr>
            <w:tcW w:w="10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840" w:type="dxa"/>
            <w:vAlign w:val="bottom"/>
            <w:tcBorders>
              <w:bottom w:val="single" w:sz="8" w:color="auto"/>
            </w:tcBorders>
          </w:tcPr>
          <w:p>
            <w:pPr>
              <w:jc w:val="right"/>
              <w:ind w:right="69"/>
              <w:spacing w:after="0"/>
              <w:rPr>
                <w:sz w:val="20"/>
                <w:szCs w:val="20"/>
                <w:color w:val="auto"/>
              </w:rPr>
            </w:pPr>
            <w:r>
              <w:rPr>
                <w:rFonts w:ascii="Arial" w:cs="Arial" w:eastAsia="Arial" w:hAnsi="Arial"/>
                <w:sz w:val="14"/>
                <w:szCs w:val="14"/>
                <w:color w:val="auto"/>
              </w:rPr>
              <w:t>537.8</w:t>
            </w:r>
          </w:p>
        </w:tc>
        <w:tc>
          <w:tcPr>
            <w:tcW w:w="0" w:type="dxa"/>
            <w:vAlign w:val="bottom"/>
          </w:tcPr>
          <w:p>
            <w:pPr>
              <w:spacing w:after="0"/>
              <w:rPr>
                <w:sz w:val="1"/>
                <w:szCs w:val="1"/>
                <w:color w:val="auto"/>
              </w:rPr>
            </w:pPr>
          </w:p>
        </w:tc>
      </w:tr>
      <w:tr>
        <w:trPr>
          <w:trHeight w:val="20"/>
        </w:trPr>
        <w:tc>
          <w:tcPr>
            <w:tcW w:w="554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55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Weighted average number of common shares outstanding - diluted</w:t>
            </w:r>
          </w:p>
        </w:tc>
        <w:tc>
          <w:tcPr>
            <w:tcW w:w="20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560.8</w:t>
            </w:r>
          </w:p>
        </w:tc>
        <w:tc>
          <w:tcPr>
            <w:tcW w:w="10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549.2</w:t>
            </w:r>
          </w:p>
        </w:tc>
        <w:tc>
          <w:tcPr>
            <w:tcW w:w="10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542.6</w:t>
            </w:r>
          </w:p>
        </w:tc>
        <w:tc>
          <w:tcPr>
            <w:tcW w:w="10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547.1</w:t>
            </w:r>
          </w:p>
        </w:tc>
        <w:tc>
          <w:tcPr>
            <w:tcW w:w="10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538.4</w:t>
            </w:r>
          </w:p>
        </w:tc>
        <w:tc>
          <w:tcPr>
            <w:tcW w:w="0" w:type="dxa"/>
            <w:vAlign w:val="bottom"/>
          </w:tcPr>
          <w:p>
            <w:pPr>
              <w:spacing w:after="0"/>
              <w:rPr>
                <w:sz w:val="1"/>
                <w:szCs w:val="1"/>
                <w:color w:val="auto"/>
              </w:rPr>
            </w:pPr>
          </w:p>
        </w:tc>
      </w:tr>
      <w:tr>
        <w:trPr>
          <w:trHeight w:val="20"/>
        </w:trPr>
        <w:tc>
          <w:tcPr>
            <w:tcW w:w="55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7"/>
        </w:trPr>
        <w:tc>
          <w:tcPr>
            <w:tcW w:w="5540" w:type="dxa"/>
            <w:vAlign w:val="bottom"/>
          </w:tcPr>
          <w:p>
            <w:pPr>
              <w:ind w:left="20"/>
              <w:spacing w:after="0"/>
              <w:rPr>
                <w:sz w:val="20"/>
                <w:szCs w:val="20"/>
                <w:color w:val="auto"/>
              </w:rPr>
            </w:pPr>
            <w:r>
              <w:rPr>
                <w:rFonts w:ascii="Arial" w:cs="Arial" w:eastAsia="Arial" w:hAnsi="Arial"/>
                <w:sz w:val="14"/>
                <w:szCs w:val="14"/>
                <w:color w:val="auto"/>
              </w:rPr>
              <w:t>Net spread and dollar roll income per common share - basic</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69"/>
              <w:spacing w:after="0"/>
              <w:rPr>
                <w:sz w:val="20"/>
                <w:szCs w:val="20"/>
                <w:color w:val="auto"/>
              </w:rPr>
            </w:pPr>
            <w:r>
              <w:rPr>
                <w:rFonts w:ascii="Arial" w:cs="Arial" w:eastAsia="Arial" w:hAnsi="Arial"/>
                <w:sz w:val="14"/>
                <w:szCs w:val="14"/>
                <w:color w:val="auto"/>
              </w:rPr>
              <w:t>0.47</w:t>
            </w:r>
          </w:p>
        </w:tc>
        <w:tc>
          <w:tcPr>
            <w:tcW w:w="100" w:type="dxa"/>
            <w:vAlign w:val="bottom"/>
          </w:tcPr>
          <w:p>
            <w:pPr>
              <w:spacing w:after="0"/>
              <w:rPr>
                <w:sz w:val="15"/>
                <w:szCs w:val="15"/>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69"/>
              <w:spacing w:after="0"/>
              <w:rPr>
                <w:sz w:val="20"/>
                <w:szCs w:val="20"/>
                <w:color w:val="auto"/>
              </w:rPr>
            </w:pPr>
            <w:r>
              <w:rPr>
                <w:rFonts w:ascii="Arial" w:cs="Arial" w:eastAsia="Arial" w:hAnsi="Arial"/>
                <w:sz w:val="14"/>
                <w:szCs w:val="14"/>
                <w:color w:val="auto"/>
              </w:rPr>
              <w:t>0.13</w:t>
            </w:r>
          </w:p>
        </w:tc>
        <w:tc>
          <w:tcPr>
            <w:tcW w:w="240" w:type="dxa"/>
            <w:vAlign w:val="bottom"/>
            <w:gridSpan w:val="2"/>
          </w:tcPr>
          <w:p>
            <w:pPr>
              <w:jc w:val="right"/>
              <w:ind w:right="40"/>
              <w:spacing w:after="0"/>
              <w:rPr>
                <w:sz w:val="20"/>
                <w:szCs w:val="20"/>
                <w:color w:val="auto"/>
              </w:rPr>
            </w:pPr>
            <w:r>
              <w:rPr>
                <w:rFonts w:ascii="Arial" w:cs="Arial" w:eastAsia="Arial" w:hAnsi="Arial"/>
                <w:sz w:val="14"/>
                <w:szCs w:val="14"/>
                <w:color w:val="auto"/>
              </w:rPr>
              <w:t>$</w:t>
            </w:r>
          </w:p>
        </w:tc>
        <w:tc>
          <w:tcPr>
            <w:tcW w:w="920" w:type="dxa"/>
            <w:vAlign w:val="bottom"/>
          </w:tcPr>
          <w:p>
            <w:pPr>
              <w:jc w:val="right"/>
              <w:ind w:right="69"/>
              <w:spacing w:after="0"/>
              <w:rPr>
                <w:sz w:val="20"/>
                <w:szCs w:val="20"/>
                <w:color w:val="auto"/>
              </w:rPr>
            </w:pPr>
            <w:r>
              <w:rPr>
                <w:rFonts w:ascii="Arial" w:cs="Arial" w:eastAsia="Arial" w:hAnsi="Arial"/>
                <w:sz w:val="14"/>
                <w:szCs w:val="14"/>
                <w:color w:val="auto"/>
              </w:rPr>
              <w:t>0.66</w:t>
            </w:r>
          </w:p>
        </w:tc>
        <w:tc>
          <w:tcPr>
            <w:tcW w:w="10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20" w:type="dxa"/>
            <w:vAlign w:val="bottom"/>
          </w:tcPr>
          <w:p>
            <w:pPr>
              <w:jc w:val="right"/>
              <w:ind w:right="69"/>
              <w:spacing w:after="0"/>
              <w:rPr>
                <w:sz w:val="20"/>
                <w:szCs w:val="20"/>
                <w:color w:val="auto"/>
              </w:rPr>
            </w:pPr>
            <w:r>
              <w:rPr>
                <w:rFonts w:ascii="Arial" w:cs="Arial" w:eastAsia="Arial" w:hAnsi="Arial"/>
                <w:sz w:val="14"/>
                <w:szCs w:val="14"/>
                <w:color w:val="auto"/>
              </w:rPr>
              <w:t>0.49</w:t>
            </w:r>
          </w:p>
        </w:tc>
        <w:tc>
          <w:tcPr>
            <w:tcW w:w="100" w:type="dxa"/>
            <w:vAlign w:val="bottom"/>
          </w:tcPr>
          <w:p>
            <w:pPr>
              <w:spacing w:after="0"/>
              <w:rPr>
                <w:sz w:val="15"/>
                <w:szCs w:val="15"/>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40" w:type="dxa"/>
            <w:vAlign w:val="bottom"/>
          </w:tcPr>
          <w:p>
            <w:pPr>
              <w:jc w:val="right"/>
              <w:ind w:right="69"/>
              <w:spacing w:after="0"/>
              <w:rPr>
                <w:sz w:val="20"/>
                <w:szCs w:val="20"/>
                <w:color w:val="auto"/>
              </w:rPr>
            </w:pPr>
            <w:r>
              <w:rPr>
                <w:rFonts w:ascii="Arial" w:cs="Arial" w:eastAsia="Arial" w:hAnsi="Arial"/>
                <w:sz w:val="14"/>
                <w:szCs w:val="14"/>
                <w:color w:val="auto"/>
              </w:rPr>
              <w:t>0.38</w:t>
            </w:r>
          </w:p>
        </w:tc>
        <w:tc>
          <w:tcPr>
            <w:tcW w:w="0" w:type="dxa"/>
            <w:vAlign w:val="bottom"/>
          </w:tcPr>
          <w:p>
            <w:pPr>
              <w:spacing w:after="0"/>
              <w:rPr>
                <w:sz w:val="1"/>
                <w:szCs w:val="1"/>
                <w:color w:val="auto"/>
              </w:rPr>
            </w:pPr>
          </w:p>
        </w:tc>
      </w:tr>
      <w:tr>
        <w:trPr>
          <w:trHeight w:val="20"/>
        </w:trPr>
        <w:tc>
          <w:tcPr>
            <w:tcW w:w="5540" w:type="dxa"/>
            <w:vAlign w:val="bottom"/>
            <w:tcBorders>
              <w:bottom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554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spread and dollar roll income per common share - diluted</w:t>
            </w: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0.47</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0.13</w:t>
            </w:r>
          </w:p>
        </w:tc>
        <w:tc>
          <w:tcPr>
            <w:tcW w:w="240" w:type="dxa"/>
            <w:vAlign w:val="bottom"/>
            <w:gridSpan w:val="2"/>
            <w:shd w:val="clear" w:color="auto" w:fill="CCEEFF"/>
          </w:tcPr>
          <w:p>
            <w:pPr>
              <w:jc w:val="right"/>
              <w:ind w:right="40"/>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0.66</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0.49</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4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0.38</w:t>
            </w:r>
          </w:p>
        </w:tc>
        <w:tc>
          <w:tcPr>
            <w:tcW w:w="0" w:type="dxa"/>
            <w:vAlign w:val="bottom"/>
          </w:tcPr>
          <w:p>
            <w:pPr>
              <w:spacing w:after="0"/>
              <w:rPr>
                <w:sz w:val="1"/>
                <w:szCs w:val="1"/>
                <w:color w:val="auto"/>
              </w:rPr>
            </w:pPr>
          </w:p>
        </w:tc>
      </w:tr>
      <w:tr>
        <w:trPr>
          <w:trHeight w:val="20"/>
        </w:trPr>
        <w:tc>
          <w:tcPr>
            <w:tcW w:w="5540" w:type="dxa"/>
            <w:vAlign w:val="bottom"/>
            <w:tcBorders>
              <w:top w:val="single" w:sz="8" w:color="CCEEFF"/>
              <w:bottom w:val="single" w:sz="8" w:color="CCEEFF"/>
            </w:tcBorders>
            <w:vMerge w:val="restart"/>
          </w:tcPr>
          <w:p>
            <w:pPr>
              <w:ind w:left="20"/>
              <w:spacing w:after="0" w:line="144" w:lineRule="exact"/>
              <w:rPr>
                <w:sz w:val="20"/>
                <w:szCs w:val="20"/>
                <w:color w:val="auto"/>
              </w:rPr>
            </w:pPr>
            <w:r>
              <w:rPr>
                <w:rFonts w:ascii="Arial" w:cs="Arial" w:eastAsia="Arial" w:hAnsi="Arial"/>
                <w:sz w:val="14"/>
                <w:szCs w:val="14"/>
                <w:color w:val="auto"/>
                <w:w w:val="97"/>
              </w:rPr>
              <w:t>Net spread and dollar roll income, excluding "catch-up" premium amortization, per common</w:t>
            </w:r>
          </w:p>
        </w:tc>
        <w:tc>
          <w:tcPr>
            <w:tcW w:w="2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4"/>
        </w:trPr>
        <w:tc>
          <w:tcPr>
            <w:tcW w:w="5540" w:type="dxa"/>
            <w:vAlign w:val="bottom"/>
            <w:vMerge w:val="continue"/>
          </w:tcPr>
          <w:p>
            <w:pPr>
              <w:spacing w:after="0"/>
              <w:rPr>
                <w:sz w:val="9"/>
                <w:szCs w:val="9"/>
                <w:color w:val="auto"/>
              </w:rPr>
            </w:pPr>
          </w:p>
        </w:tc>
        <w:tc>
          <w:tcPr>
            <w:tcW w:w="200" w:type="dxa"/>
            <w:vAlign w:val="bottom"/>
            <w:vMerge w:val="restart"/>
          </w:tcPr>
          <w:p>
            <w:pPr>
              <w:jc w:val="right"/>
              <w:ind w:right="28"/>
              <w:spacing w:after="0"/>
              <w:rPr>
                <w:sz w:val="20"/>
                <w:szCs w:val="20"/>
                <w:color w:val="auto"/>
              </w:rPr>
            </w:pPr>
            <w:r>
              <w:rPr>
                <w:rFonts w:ascii="Arial" w:cs="Arial" w:eastAsia="Arial" w:hAnsi="Arial"/>
                <w:sz w:val="14"/>
                <w:szCs w:val="14"/>
                <w:color w:val="auto"/>
              </w:rPr>
              <w:t>$</w:t>
            </w:r>
          </w:p>
        </w:tc>
        <w:tc>
          <w:tcPr>
            <w:tcW w:w="860" w:type="dxa"/>
            <w:vAlign w:val="bottom"/>
            <w:vMerge w:val="restart"/>
          </w:tcPr>
          <w:p>
            <w:pPr>
              <w:jc w:val="right"/>
              <w:ind w:right="69"/>
              <w:spacing w:after="0"/>
              <w:rPr>
                <w:sz w:val="20"/>
                <w:szCs w:val="20"/>
                <w:color w:val="auto"/>
              </w:rPr>
            </w:pPr>
            <w:r>
              <w:rPr>
                <w:rFonts w:ascii="Arial" w:cs="Arial" w:eastAsia="Arial" w:hAnsi="Arial"/>
                <w:sz w:val="14"/>
                <w:szCs w:val="14"/>
                <w:color w:val="auto"/>
              </w:rPr>
              <w:t>0.58</w:t>
            </w:r>
          </w:p>
        </w:tc>
        <w:tc>
          <w:tcPr>
            <w:tcW w:w="100" w:type="dxa"/>
            <w:vAlign w:val="bottom"/>
          </w:tcPr>
          <w:p>
            <w:pPr>
              <w:spacing w:after="0"/>
              <w:rPr>
                <w:sz w:val="9"/>
                <w:szCs w:val="9"/>
                <w:color w:val="auto"/>
              </w:rPr>
            </w:pPr>
          </w:p>
        </w:tc>
        <w:tc>
          <w:tcPr>
            <w:tcW w:w="180" w:type="dxa"/>
            <w:vAlign w:val="bottom"/>
            <w:vMerge w:val="restart"/>
          </w:tcPr>
          <w:p>
            <w:pPr>
              <w:jc w:val="right"/>
              <w:ind w:right="8"/>
              <w:spacing w:after="0"/>
              <w:rPr>
                <w:sz w:val="20"/>
                <w:szCs w:val="20"/>
                <w:color w:val="auto"/>
              </w:rPr>
            </w:pPr>
            <w:r>
              <w:rPr>
                <w:rFonts w:ascii="Arial" w:cs="Arial" w:eastAsia="Arial" w:hAnsi="Arial"/>
                <w:sz w:val="14"/>
                <w:szCs w:val="14"/>
                <w:color w:val="auto"/>
              </w:rPr>
              <w:t>$</w:t>
            </w:r>
          </w:p>
        </w:tc>
        <w:tc>
          <w:tcPr>
            <w:tcW w:w="880" w:type="dxa"/>
            <w:vAlign w:val="bottom"/>
            <w:vMerge w:val="restart"/>
          </w:tcPr>
          <w:p>
            <w:pPr>
              <w:jc w:val="right"/>
              <w:ind w:right="69"/>
              <w:spacing w:after="0"/>
              <w:rPr>
                <w:sz w:val="20"/>
                <w:szCs w:val="20"/>
                <w:color w:val="auto"/>
              </w:rPr>
            </w:pPr>
            <w:r>
              <w:rPr>
                <w:rFonts w:ascii="Arial" w:cs="Arial" w:eastAsia="Arial" w:hAnsi="Arial"/>
                <w:sz w:val="14"/>
                <w:szCs w:val="14"/>
                <w:color w:val="auto"/>
              </w:rPr>
              <w:t>0.57</w:t>
            </w:r>
          </w:p>
        </w:tc>
        <w:tc>
          <w:tcPr>
            <w:tcW w:w="240" w:type="dxa"/>
            <w:vAlign w:val="bottom"/>
            <w:gridSpan w:val="2"/>
            <w:vMerge w:val="restart"/>
          </w:tcPr>
          <w:p>
            <w:pPr>
              <w:jc w:val="right"/>
              <w:ind w:right="40"/>
              <w:spacing w:after="0"/>
              <w:rPr>
                <w:sz w:val="20"/>
                <w:szCs w:val="20"/>
                <w:color w:val="auto"/>
              </w:rPr>
            </w:pPr>
            <w:r>
              <w:rPr>
                <w:rFonts w:ascii="Arial" w:cs="Arial" w:eastAsia="Arial" w:hAnsi="Arial"/>
                <w:sz w:val="14"/>
                <w:szCs w:val="14"/>
                <w:color w:val="auto"/>
              </w:rPr>
              <w:t>$</w:t>
            </w:r>
          </w:p>
        </w:tc>
        <w:tc>
          <w:tcPr>
            <w:tcW w:w="920" w:type="dxa"/>
            <w:vAlign w:val="bottom"/>
            <w:vMerge w:val="restart"/>
          </w:tcPr>
          <w:p>
            <w:pPr>
              <w:jc w:val="right"/>
              <w:ind w:right="69"/>
              <w:spacing w:after="0"/>
              <w:rPr>
                <w:sz w:val="20"/>
                <w:szCs w:val="20"/>
                <w:color w:val="auto"/>
              </w:rPr>
            </w:pPr>
            <w:r>
              <w:rPr>
                <w:rFonts w:ascii="Arial" w:cs="Arial" w:eastAsia="Arial" w:hAnsi="Arial"/>
                <w:sz w:val="14"/>
                <w:szCs w:val="14"/>
                <w:color w:val="auto"/>
              </w:rPr>
              <w:t>0.57</w:t>
            </w:r>
          </w:p>
        </w:tc>
        <w:tc>
          <w:tcPr>
            <w:tcW w:w="100" w:type="dxa"/>
            <w:vAlign w:val="bottom"/>
          </w:tcPr>
          <w:p>
            <w:pPr>
              <w:spacing w:after="0"/>
              <w:rPr>
                <w:sz w:val="9"/>
                <w:szCs w:val="9"/>
                <w:color w:val="auto"/>
              </w:rPr>
            </w:pPr>
          </w:p>
        </w:tc>
        <w:tc>
          <w:tcPr>
            <w:tcW w:w="14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920" w:type="dxa"/>
            <w:vAlign w:val="bottom"/>
            <w:vMerge w:val="restart"/>
          </w:tcPr>
          <w:p>
            <w:pPr>
              <w:jc w:val="right"/>
              <w:ind w:right="69"/>
              <w:spacing w:after="0"/>
              <w:rPr>
                <w:sz w:val="20"/>
                <w:szCs w:val="20"/>
                <w:color w:val="auto"/>
              </w:rPr>
            </w:pPr>
            <w:r>
              <w:rPr>
                <w:rFonts w:ascii="Arial" w:cs="Arial" w:eastAsia="Arial" w:hAnsi="Arial"/>
                <w:sz w:val="14"/>
                <w:szCs w:val="14"/>
                <w:color w:val="auto"/>
              </w:rPr>
              <w:t>0.59</w:t>
            </w:r>
          </w:p>
        </w:tc>
        <w:tc>
          <w:tcPr>
            <w:tcW w:w="100" w:type="dxa"/>
            <w:vAlign w:val="bottom"/>
          </w:tcPr>
          <w:p>
            <w:pPr>
              <w:spacing w:after="0"/>
              <w:rPr>
                <w:sz w:val="9"/>
                <w:szCs w:val="9"/>
                <w:color w:val="auto"/>
              </w:rPr>
            </w:pPr>
          </w:p>
        </w:tc>
        <w:tc>
          <w:tcPr>
            <w:tcW w:w="220" w:type="dxa"/>
            <w:vAlign w:val="bottom"/>
            <w:vMerge w:val="restart"/>
          </w:tcPr>
          <w:p>
            <w:pPr>
              <w:jc w:val="right"/>
              <w:ind w:right="48"/>
              <w:spacing w:after="0"/>
              <w:rPr>
                <w:sz w:val="20"/>
                <w:szCs w:val="20"/>
                <w:color w:val="auto"/>
              </w:rPr>
            </w:pPr>
            <w:r>
              <w:rPr>
                <w:rFonts w:ascii="Arial" w:cs="Arial" w:eastAsia="Arial" w:hAnsi="Arial"/>
                <w:sz w:val="14"/>
                <w:szCs w:val="14"/>
                <w:color w:val="auto"/>
              </w:rPr>
              <w:t>$</w:t>
            </w:r>
          </w:p>
        </w:tc>
        <w:tc>
          <w:tcPr>
            <w:tcW w:w="840" w:type="dxa"/>
            <w:vAlign w:val="bottom"/>
            <w:vMerge w:val="restart"/>
          </w:tcPr>
          <w:p>
            <w:pPr>
              <w:jc w:val="right"/>
              <w:ind w:right="69"/>
              <w:spacing w:after="0"/>
              <w:rPr>
                <w:sz w:val="20"/>
                <w:szCs w:val="20"/>
                <w:color w:val="auto"/>
              </w:rPr>
            </w:pPr>
            <w:r>
              <w:rPr>
                <w:rFonts w:ascii="Arial" w:cs="Arial" w:eastAsia="Arial" w:hAnsi="Arial"/>
                <w:sz w:val="14"/>
                <w:szCs w:val="14"/>
                <w:color w:val="auto"/>
              </w:rPr>
              <w:t>0.49</w:t>
            </w:r>
          </w:p>
        </w:tc>
        <w:tc>
          <w:tcPr>
            <w:tcW w:w="0" w:type="dxa"/>
            <w:vAlign w:val="bottom"/>
          </w:tcPr>
          <w:p>
            <w:pPr>
              <w:spacing w:after="0"/>
              <w:rPr>
                <w:sz w:val="1"/>
                <w:szCs w:val="1"/>
                <w:color w:val="auto"/>
              </w:rPr>
            </w:pPr>
          </w:p>
        </w:tc>
      </w:tr>
      <w:tr>
        <w:trPr>
          <w:trHeight w:val="167"/>
        </w:trPr>
        <w:tc>
          <w:tcPr>
            <w:tcW w:w="5540" w:type="dxa"/>
            <w:vAlign w:val="bottom"/>
          </w:tcPr>
          <w:p>
            <w:pPr>
              <w:ind w:left="20"/>
              <w:spacing w:after="0"/>
              <w:rPr>
                <w:sz w:val="20"/>
                <w:szCs w:val="20"/>
                <w:color w:val="auto"/>
              </w:rPr>
            </w:pPr>
            <w:r>
              <w:rPr>
                <w:rFonts w:ascii="Arial" w:cs="Arial" w:eastAsia="Arial" w:hAnsi="Arial"/>
                <w:sz w:val="14"/>
                <w:szCs w:val="14"/>
                <w:color w:val="auto"/>
              </w:rPr>
              <w:t>share - basic</w:t>
            </w:r>
          </w:p>
        </w:tc>
        <w:tc>
          <w:tcPr>
            <w:tcW w:w="200" w:type="dxa"/>
            <w:vAlign w:val="bottom"/>
            <w:vMerge w:val="continue"/>
          </w:tcPr>
          <w:p>
            <w:pPr>
              <w:spacing w:after="0"/>
              <w:rPr>
                <w:sz w:val="14"/>
                <w:szCs w:val="14"/>
                <w:color w:val="auto"/>
              </w:rPr>
            </w:pPr>
          </w:p>
        </w:tc>
        <w:tc>
          <w:tcPr>
            <w:tcW w:w="86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vMerge w:val="continue"/>
          </w:tcPr>
          <w:p>
            <w:pPr>
              <w:spacing w:after="0"/>
              <w:rPr>
                <w:sz w:val="14"/>
                <w:szCs w:val="14"/>
                <w:color w:val="auto"/>
              </w:rPr>
            </w:pPr>
          </w:p>
        </w:tc>
        <w:tc>
          <w:tcPr>
            <w:tcW w:w="880" w:type="dxa"/>
            <w:vAlign w:val="bottom"/>
            <w:vMerge w:val="continue"/>
          </w:tcPr>
          <w:p>
            <w:pPr>
              <w:spacing w:after="0"/>
              <w:rPr>
                <w:sz w:val="14"/>
                <w:szCs w:val="14"/>
                <w:color w:val="auto"/>
              </w:rPr>
            </w:pPr>
          </w:p>
        </w:tc>
        <w:tc>
          <w:tcPr>
            <w:tcW w:w="240" w:type="dxa"/>
            <w:vAlign w:val="bottom"/>
            <w:gridSpan w:val="2"/>
            <w:vMerge w:val="continue"/>
          </w:tcPr>
          <w:p>
            <w:pPr>
              <w:spacing w:after="0"/>
              <w:rPr>
                <w:sz w:val="14"/>
                <w:szCs w:val="14"/>
                <w:color w:val="auto"/>
              </w:rPr>
            </w:pPr>
          </w:p>
        </w:tc>
        <w:tc>
          <w:tcPr>
            <w:tcW w:w="92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vMerge w:val="continue"/>
          </w:tcPr>
          <w:p>
            <w:pPr>
              <w:spacing w:after="0"/>
              <w:rPr>
                <w:sz w:val="14"/>
                <w:szCs w:val="14"/>
                <w:color w:val="auto"/>
              </w:rPr>
            </w:pPr>
          </w:p>
        </w:tc>
        <w:tc>
          <w:tcPr>
            <w:tcW w:w="92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220" w:type="dxa"/>
            <w:vAlign w:val="bottom"/>
            <w:vMerge w:val="continue"/>
          </w:tcPr>
          <w:p>
            <w:pPr>
              <w:spacing w:after="0"/>
              <w:rPr>
                <w:sz w:val="14"/>
                <w:szCs w:val="14"/>
                <w:color w:val="auto"/>
              </w:rPr>
            </w:pPr>
          </w:p>
        </w:tc>
        <w:tc>
          <w:tcPr>
            <w:tcW w:w="84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5540" w:type="dxa"/>
            <w:vAlign w:val="bottom"/>
            <w:tcBorders>
              <w:bottom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4"/>
        </w:trPr>
        <w:tc>
          <w:tcPr>
            <w:tcW w:w="5540" w:type="dxa"/>
            <w:vAlign w:val="bottom"/>
            <w:shd w:val="clear" w:color="auto" w:fill="CCEEFF"/>
          </w:tcPr>
          <w:p>
            <w:pPr>
              <w:ind w:left="20"/>
              <w:spacing w:after="0" w:line="124" w:lineRule="exact"/>
              <w:rPr>
                <w:sz w:val="20"/>
                <w:szCs w:val="20"/>
                <w:color w:val="auto"/>
              </w:rPr>
            </w:pPr>
            <w:r>
              <w:rPr>
                <w:rFonts w:ascii="Arial" w:cs="Arial" w:eastAsia="Arial" w:hAnsi="Arial"/>
                <w:sz w:val="14"/>
                <w:szCs w:val="14"/>
                <w:color w:val="auto"/>
                <w:w w:val="97"/>
              </w:rPr>
              <w:t>Net spread and dollar roll income, excluding "catch-up" premium amortization, per common</w:t>
            </w:r>
          </w:p>
        </w:tc>
        <w:tc>
          <w:tcPr>
            <w:tcW w:w="20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60" w:type="dxa"/>
            <w:vAlign w:val="bottom"/>
            <w:vMerge w:val="restart"/>
            <w:shd w:val="clear" w:color="auto" w:fill="CCEEFF"/>
          </w:tcPr>
          <w:p>
            <w:pPr>
              <w:jc w:val="right"/>
              <w:ind w:right="69"/>
              <w:spacing w:after="0"/>
              <w:rPr>
                <w:sz w:val="20"/>
                <w:szCs w:val="20"/>
                <w:color w:val="auto"/>
              </w:rPr>
            </w:pPr>
            <w:r>
              <w:rPr>
                <w:rFonts w:ascii="Arial" w:cs="Arial" w:eastAsia="Arial" w:hAnsi="Arial"/>
                <w:sz w:val="14"/>
                <w:szCs w:val="14"/>
                <w:color w:val="auto"/>
              </w:rPr>
              <w:t>0.58</w:t>
            </w:r>
          </w:p>
        </w:tc>
        <w:tc>
          <w:tcPr>
            <w:tcW w:w="100" w:type="dxa"/>
            <w:vAlign w:val="bottom"/>
            <w:shd w:val="clear" w:color="auto" w:fill="CCEEFF"/>
          </w:tcPr>
          <w:p>
            <w:pPr>
              <w:spacing w:after="0"/>
              <w:rPr>
                <w:sz w:val="10"/>
                <w:szCs w:val="10"/>
                <w:color w:val="auto"/>
              </w:rPr>
            </w:pPr>
          </w:p>
        </w:tc>
        <w:tc>
          <w:tcPr>
            <w:tcW w:w="18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880" w:type="dxa"/>
            <w:vAlign w:val="bottom"/>
            <w:vMerge w:val="restart"/>
            <w:shd w:val="clear" w:color="auto" w:fill="CCEEFF"/>
          </w:tcPr>
          <w:p>
            <w:pPr>
              <w:jc w:val="right"/>
              <w:ind w:right="69"/>
              <w:spacing w:after="0"/>
              <w:rPr>
                <w:sz w:val="20"/>
                <w:szCs w:val="20"/>
                <w:color w:val="auto"/>
              </w:rPr>
            </w:pPr>
            <w:r>
              <w:rPr>
                <w:rFonts w:ascii="Arial" w:cs="Arial" w:eastAsia="Arial" w:hAnsi="Arial"/>
                <w:sz w:val="14"/>
                <w:szCs w:val="14"/>
                <w:color w:val="auto"/>
              </w:rPr>
              <w:t>0.57</w:t>
            </w:r>
          </w:p>
        </w:tc>
        <w:tc>
          <w:tcPr>
            <w:tcW w:w="240" w:type="dxa"/>
            <w:vAlign w:val="bottom"/>
            <w:gridSpan w:val="2"/>
            <w:vMerge w:val="restart"/>
            <w:shd w:val="clear" w:color="auto" w:fill="CCEEFF"/>
          </w:tcPr>
          <w:p>
            <w:pPr>
              <w:jc w:val="right"/>
              <w:ind w:right="40"/>
              <w:spacing w:after="0"/>
              <w:rPr>
                <w:sz w:val="20"/>
                <w:szCs w:val="20"/>
                <w:color w:val="auto"/>
              </w:rPr>
            </w:pPr>
            <w:r>
              <w:rPr>
                <w:rFonts w:ascii="Arial" w:cs="Arial" w:eastAsia="Arial" w:hAnsi="Arial"/>
                <w:sz w:val="14"/>
                <w:szCs w:val="14"/>
                <w:color w:val="auto"/>
              </w:rPr>
              <w:t>$</w:t>
            </w:r>
          </w:p>
        </w:tc>
        <w:tc>
          <w:tcPr>
            <w:tcW w:w="920" w:type="dxa"/>
            <w:vAlign w:val="bottom"/>
            <w:vMerge w:val="restart"/>
            <w:shd w:val="clear" w:color="auto" w:fill="CCEEFF"/>
          </w:tcPr>
          <w:p>
            <w:pPr>
              <w:jc w:val="right"/>
              <w:ind w:right="69"/>
              <w:spacing w:after="0"/>
              <w:rPr>
                <w:sz w:val="20"/>
                <w:szCs w:val="20"/>
                <w:color w:val="auto"/>
              </w:rPr>
            </w:pPr>
            <w:r>
              <w:rPr>
                <w:rFonts w:ascii="Arial" w:cs="Arial" w:eastAsia="Arial" w:hAnsi="Arial"/>
                <w:sz w:val="14"/>
                <w:szCs w:val="14"/>
                <w:color w:val="auto"/>
              </w:rPr>
              <w:t>0.57</w:t>
            </w:r>
          </w:p>
        </w:tc>
        <w:tc>
          <w:tcPr>
            <w:tcW w:w="100" w:type="dxa"/>
            <w:vAlign w:val="bottom"/>
            <w:shd w:val="clear" w:color="auto" w:fill="CCEEFF"/>
          </w:tcPr>
          <w:p>
            <w:pPr>
              <w:spacing w:after="0"/>
              <w:rPr>
                <w:sz w:val="10"/>
                <w:szCs w:val="10"/>
                <w:color w:val="auto"/>
              </w:rPr>
            </w:pPr>
          </w:p>
        </w:tc>
        <w:tc>
          <w:tcPr>
            <w:tcW w:w="1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20" w:type="dxa"/>
            <w:vAlign w:val="bottom"/>
            <w:vMerge w:val="restart"/>
            <w:shd w:val="clear" w:color="auto" w:fill="CCEEFF"/>
          </w:tcPr>
          <w:p>
            <w:pPr>
              <w:jc w:val="right"/>
              <w:ind w:right="69"/>
              <w:spacing w:after="0"/>
              <w:rPr>
                <w:sz w:val="20"/>
                <w:szCs w:val="20"/>
                <w:color w:val="auto"/>
              </w:rPr>
            </w:pPr>
            <w:r>
              <w:rPr>
                <w:rFonts w:ascii="Arial" w:cs="Arial" w:eastAsia="Arial" w:hAnsi="Arial"/>
                <w:sz w:val="14"/>
                <w:szCs w:val="14"/>
                <w:color w:val="auto"/>
              </w:rPr>
              <w:t>0.59</w:t>
            </w:r>
          </w:p>
        </w:tc>
        <w:tc>
          <w:tcPr>
            <w:tcW w:w="100" w:type="dxa"/>
            <w:vAlign w:val="bottom"/>
            <w:shd w:val="clear" w:color="auto" w:fill="CCEEFF"/>
          </w:tcPr>
          <w:p>
            <w:pPr>
              <w:spacing w:after="0"/>
              <w:rPr>
                <w:sz w:val="10"/>
                <w:szCs w:val="10"/>
                <w:color w:val="auto"/>
              </w:rPr>
            </w:pPr>
          </w:p>
        </w:tc>
        <w:tc>
          <w:tcPr>
            <w:tcW w:w="22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40" w:type="dxa"/>
            <w:vAlign w:val="bottom"/>
            <w:vMerge w:val="restart"/>
            <w:shd w:val="clear" w:color="auto" w:fill="CCEEFF"/>
          </w:tcPr>
          <w:p>
            <w:pPr>
              <w:jc w:val="right"/>
              <w:ind w:right="69"/>
              <w:spacing w:after="0"/>
              <w:rPr>
                <w:sz w:val="20"/>
                <w:szCs w:val="20"/>
                <w:color w:val="auto"/>
              </w:rPr>
            </w:pPr>
            <w:r>
              <w:rPr>
                <w:rFonts w:ascii="Arial" w:cs="Arial" w:eastAsia="Arial" w:hAnsi="Arial"/>
                <w:sz w:val="14"/>
                <w:szCs w:val="14"/>
                <w:color w:val="auto"/>
              </w:rPr>
              <w:t>0.49</w:t>
            </w:r>
          </w:p>
        </w:tc>
        <w:tc>
          <w:tcPr>
            <w:tcW w:w="0" w:type="dxa"/>
            <w:vAlign w:val="bottom"/>
          </w:tcPr>
          <w:p>
            <w:pPr>
              <w:spacing w:after="0"/>
              <w:rPr>
                <w:sz w:val="1"/>
                <w:szCs w:val="1"/>
                <w:color w:val="auto"/>
              </w:rPr>
            </w:pPr>
          </w:p>
        </w:tc>
      </w:tr>
      <w:tr>
        <w:trPr>
          <w:trHeight w:val="187"/>
        </w:trPr>
        <w:tc>
          <w:tcPr>
            <w:tcW w:w="5540" w:type="dxa"/>
            <w:vAlign w:val="bottom"/>
            <w:shd w:val="clear" w:color="auto" w:fill="CCEEFF"/>
          </w:tcPr>
          <w:p>
            <w:pPr>
              <w:ind w:left="20"/>
              <w:spacing w:after="0"/>
              <w:rPr>
                <w:sz w:val="20"/>
                <w:szCs w:val="20"/>
                <w:color w:val="auto"/>
              </w:rPr>
            </w:pPr>
            <w:r>
              <w:rPr>
                <w:rFonts w:ascii="Arial" w:cs="Arial" w:eastAsia="Arial" w:hAnsi="Arial"/>
                <w:sz w:val="14"/>
                <w:szCs w:val="14"/>
                <w:color w:val="auto"/>
              </w:rPr>
              <w:t>share - diluted</w:t>
            </w:r>
          </w:p>
        </w:tc>
        <w:tc>
          <w:tcPr>
            <w:tcW w:w="200" w:type="dxa"/>
            <w:vAlign w:val="bottom"/>
            <w:vMerge w:val="continue"/>
            <w:shd w:val="clear" w:color="auto" w:fill="CCEEFF"/>
          </w:tcPr>
          <w:p>
            <w:pPr>
              <w:spacing w:after="0"/>
              <w:rPr>
                <w:sz w:val="16"/>
                <w:szCs w:val="16"/>
                <w:color w:val="auto"/>
              </w:rPr>
            </w:pPr>
          </w:p>
        </w:tc>
        <w:tc>
          <w:tcPr>
            <w:tcW w:w="86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vMerge w:val="continue"/>
            <w:shd w:val="clear" w:color="auto" w:fill="CCEEFF"/>
          </w:tcPr>
          <w:p>
            <w:pPr>
              <w:spacing w:after="0"/>
              <w:rPr>
                <w:sz w:val="16"/>
                <w:szCs w:val="16"/>
                <w:color w:val="auto"/>
              </w:rPr>
            </w:pPr>
          </w:p>
        </w:tc>
        <w:tc>
          <w:tcPr>
            <w:tcW w:w="880" w:type="dxa"/>
            <w:vAlign w:val="bottom"/>
            <w:vMerge w:val="continue"/>
            <w:shd w:val="clear" w:color="auto" w:fill="CCEEFF"/>
          </w:tcPr>
          <w:p>
            <w:pPr>
              <w:spacing w:after="0"/>
              <w:rPr>
                <w:sz w:val="16"/>
                <w:szCs w:val="16"/>
                <w:color w:val="auto"/>
              </w:rPr>
            </w:pPr>
          </w:p>
        </w:tc>
        <w:tc>
          <w:tcPr>
            <w:tcW w:w="240" w:type="dxa"/>
            <w:vAlign w:val="bottom"/>
            <w:gridSpan w:val="2"/>
            <w:vMerge w:val="continue"/>
            <w:shd w:val="clear" w:color="auto" w:fill="CCEEFF"/>
          </w:tcPr>
          <w:p>
            <w:pPr>
              <w:spacing w:after="0"/>
              <w:rPr>
                <w:sz w:val="16"/>
                <w:szCs w:val="16"/>
                <w:color w:val="auto"/>
              </w:rPr>
            </w:pPr>
          </w:p>
        </w:tc>
        <w:tc>
          <w:tcPr>
            <w:tcW w:w="92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vMerge w:val="continue"/>
            <w:shd w:val="clear" w:color="auto" w:fill="CCEEFF"/>
          </w:tcPr>
          <w:p>
            <w:pPr>
              <w:spacing w:after="0"/>
              <w:rPr>
                <w:sz w:val="16"/>
                <w:szCs w:val="16"/>
                <w:color w:val="auto"/>
              </w:rPr>
            </w:pPr>
          </w:p>
        </w:tc>
        <w:tc>
          <w:tcPr>
            <w:tcW w:w="92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20" w:type="dxa"/>
            <w:vAlign w:val="bottom"/>
            <w:vMerge w:val="continue"/>
            <w:shd w:val="clear" w:color="auto" w:fill="CCEEFF"/>
          </w:tcPr>
          <w:p>
            <w:pPr>
              <w:spacing w:after="0"/>
              <w:rPr>
                <w:sz w:val="16"/>
                <w:szCs w:val="16"/>
                <w:color w:val="auto"/>
              </w:rPr>
            </w:pPr>
          </w:p>
        </w:tc>
        <w:tc>
          <w:tcPr>
            <w:tcW w:w="84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55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240"/>
          </w:cols>
          <w:pgMar w:left="320" w:top="147" w:right="339" w:bottom="1440" w:gutter="0" w:footer="0" w:header="0"/>
        </w:sectPr>
      </w:pPr>
    </w:p>
    <w:bookmarkStart w:id="13" w:name="page14"/>
    <w:bookmarkEnd w:id="13"/>
    <w:p>
      <w:pPr>
        <w:spacing w:after="0"/>
        <w:rPr>
          <w:sz w:val="20"/>
          <w:szCs w:val="20"/>
          <w:color w:val="auto"/>
        </w:rPr>
      </w:pPr>
      <w:r>
        <w:rPr>
          <w:rFonts w:ascii="Arial" w:cs="Arial" w:eastAsia="Arial" w:hAnsi="Arial"/>
          <w:sz w:val="22"/>
          <w:szCs w:val="22"/>
          <w:color w:val="auto"/>
        </w:rPr>
        <w:t>AGNC Investment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July 27, 2020</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11</w:t>
      </w:r>
    </w:p>
    <w:p>
      <w:pPr>
        <w:spacing w:after="0" w:line="200" w:lineRule="exact"/>
        <w:rPr>
          <w:sz w:val="20"/>
          <w:szCs w:val="20"/>
          <w:color w:val="auto"/>
        </w:rPr>
      </w:pPr>
    </w:p>
    <w:p>
      <w:pPr>
        <w:spacing w:after="0" w:line="277" w:lineRule="exact"/>
        <w:rPr>
          <w:sz w:val="20"/>
          <w:szCs w:val="20"/>
          <w:color w:val="auto"/>
        </w:rPr>
      </w:pPr>
    </w:p>
    <w:p>
      <w:pPr>
        <w:jc w:val="center"/>
        <w:ind w:right="-339"/>
        <w:spacing w:after="0"/>
        <w:rPr>
          <w:sz w:val="20"/>
          <w:szCs w:val="20"/>
          <w:color w:val="auto"/>
        </w:rPr>
      </w:pPr>
      <w:r>
        <w:rPr>
          <w:rFonts w:ascii="Arial" w:cs="Arial" w:eastAsia="Arial" w:hAnsi="Arial"/>
          <w:sz w:val="14"/>
          <w:szCs w:val="14"/>
          <w:color w:val="auto"/>
        </w:rPr>
        <w:t>AGNC INVESTMENT CORP.</w:t>
      </w:r>
    </w:p>
    <w:p>
      <w:pPr>
        <w:spacing w:after="0" w:line="28" w:lineRule="exact"/>
        <w:rPr>
          <w:sz w:val="20"/>
          <w:szCs w:val="20"/>
          <w:color w:val="auto"/>
        </w:rPr>
      </w:pPr>
    </w:p>
    <w:p>
      <w:pPr>
        <w:jc w:val="center"/>
        <w:ind w:right="-339"/>
        <w:spacing w:after="0"/>
        <w:rPr>
          <w:sz w:val="20"/>
          <w:szCs w:val="20"/>
          <w:color w:val="auto"/>
        </w:rPr>
      </w:pPr>
      <w:r>
        <w:rPr>
          <w:rFonts w:ascii="Arial" w:cs="Arial" w:eastAsia="Arial" w:hAnsi="Arial"/>
          <w:sz w:val="14"/>
          <w:szCs w:val="14"/>
          <w:color w:val="auto"/>
        </w:rPr>
        <w:t xml:space="preserve">RECONCILIATION OF GAAP NET INCOME TO ESTIMATED TAXABLE INCOME (NON-GAAP MEASURE) </w:t>
      </w:r>
      <w:r>
        <w:rPr>
          <w:rFonts w:ascii="Arial" w:cs="Arial" w:eastAsia="Arial" w:hAnsi="Arial"/>
          <w:sz w:val="9"/>
          <w:szCs w:val="9"/>
          <w:color w:val="auto"/>
        </w:rPr>
        <w:t>2</w:t>
      </w:r>
    </w:p>
    <w:p>
      <w:pPr>
        <w:spacing w:after="0" w:line="42" w:lineRule="exact"/>
        <w:rPr>
          <w:sz w:val="20"/>
          <w:szCs w:val="20"/>
          <w:color w:val="auto"/>
        </w:rPr>
      </w:pPr>
    </w:p>
    <w:p>
      <w:pPr>
        <w:jc w:val="center"/>
        <w:ind w:right="-339"/>
        <w:spacing w:after="0"/>
        <w:rPr>
          <w:sz w:val="20"/>
          <w:szCs w:val="20"/>
          <w:color w:val="auto"/>
        </w:rPr>
      </w:pPr>
      <w:r>
        <w:rPr>
          <w:rFonts w:ascii="Arial" w:cs="Arial" w:eastAsia="Arial" w:hAnsi="Arial"/>
          <w:sz w:val="14"/>
          <w:szCs w:val="14"/>
          <w:color w:val="auto"/>
        </w:rPr>
        <w:t>(in millions, except per share data)</w:t>
      </w:r>
    </w:p>
    <w:p>
      <w:pPr>
        <w:spacing w:after="0" w:line="42" w:lineRule="exact"/>
        <w:rPr>
          <w:sz w:val="20"/>
          <w:szCs w:val="20"/>
          <w:color w:val="auto"/>
        </w:rPr>
      </w:pPr>
    </w:p>
    <w:p>
      <w:pPr>
        <w:jc w:val="center"/>
        <w:ind w:right="-339"/>
        <w:spacing w:after="0"/>
        <w:rPr>
          <w:sz w:val="20"/>
          <w:szCs w:val="20"/>
          <w:color w:val="auto"/>
        </w:rPr>
      </w:pPr>
      <w:r>
        <w:rPr>
          <w:rFonts w:ascii="Arial" w:cs="Arial" w:eastAsia="Arial" w:hAnsi="Arial"/>
          <w:sz w:val="14"/>
          <w:szCs w:val="14"/>
          <w:color w:val="auto"/>
        </w:rPr>
        <w:t>(unaudited)</w:t>
      </w:r>
    </w:p>
    <w:p>
      <w:pPr>
        <w:spacing w:after="0" w:line="100" w:lineRule="exact"/>
        <w:rPr>
          <w:sz w:val="20"/>
          <w:szCs w:val="20"/>
          <w:color w:val="auto"/>
        </w:rPr>
      </w:pPr>
    </w:p>
    <w:tbl>
      <w:tblPr>
        <w:tblLayout w:type="fixed"/>
        <w:tblInd w:w="340" w:type="dxa"/>
        <w:tblCellMar>
          <w:top w:w="0" w:type="dxa"/>
          <w:left w:w="0" w:type="dxa"/>
          <w:bottom w:w="0" w:type="dxa"/>
          <w:right w:w="0" w:type="dxa"/>
        </w:tblCellMar>
      </w:tblPr>
      <w:tr>
        <w:trPr>
          <w:trHeight w:val="170"/>
        </w:trPr>
        <w:tc>
          <w:tcPr>
            <w:tcW w:w="544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1220" w:type="dxa"/>
            <w:vAlign w:val="bottom"/>
            <w:tcBorders>
              <w:bottom w:val="single" w:sz="8" w:color="auto"/>
            </w:tcBorders>
            <w:gridSpan w:val="4"/>
          </w:tcPr>
          <w:p>
            <w:pPr>
              <w:jc w:val="center"/>
              <w:spacing w:after="0"/>
              <w:rPr>
                <w:sz w:val="20"/>
                <w:szCs w:val="20"/>
                <w:color w:val="auto"/>
              </w:rPr>
            </w:pPr>
            <w:r>
              <w:rPr>
                <w:rFonts w:ascii="Arial" w:cs="Arial" w:eastAsia="Arial" w:hAnsi="Arial"/>
                <w:sz w:val="13"/>
                <w:szCs w:val="13"/>
                <w:color w:val="auto"/>
                <w:w w:val="87"/>
              </w:rPr>
              <w:t>Three Months Ended</w:t>
            </w:r>
          </w:p>
        </w:tc>
        <w:tc>
          <w:tcPr>
            <w:tcW w:w="1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r>
      <w:tr>
        <w:trPr>
          <w:trHeight w:val="122"/>
        </w:trPr>
        <w:tc>
          <w:tcPr>
            <w:tcW w:w="54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920" w:type="dxa"/>
            <w:vAlign w:val="bottom"/>
            <w:gridSpan w:val="2"/>
          </w:tcPr>
          <w:p>
            <w:pPr>
              <w:ind w:left="100"/>
              <w:spacing w:after="0" w:line="122" w:lineRule="exact"/>
              <w:rPr>
                <w:sz w:val="20"/>
                <w:szCs w:val="20"/>
                <w:color w:val="auto"/>
              </w:rPr>
            </w:pPr>
            <w:r>
              <w:rPr>
                <w:rFonts w:ascii="Arial" w:cs="Arial" w:eastAsia="Arial" w:hAnsi="Arial"/>
                <w:sz w:val="13"/>
                <w:szCs w:val="13"/>
                <w:color w:val="auto"/>
              </w:rPr>
              <w:t>June 30,</w:t>
            </w:r>
          </w:p>
        </w:tc>
        <w:tc>
          <w:tcPr>
            <w:tcW w:w="160" w:type="dxa"/>
            <w:vAlign w:val="bottom"/>
          </w:tcPr>
          <w:p>
            <w:pPr>
              <w:spacing w:after="0"/>
              <w:rPr>
                <w:sz w:val="10"/>
                <w:szCs w:val="10"/>
                <w:color w:val="auto"/>
              </w:rPr>
            </w:pPr>
          </w:p>
        </w:tc>
        <w:tc>
          <w:tcPr>
            <w:tcW w:w="840" w:type="dxa"/>
            <w:vAlign w:val="bottom"/>
          </w:tcPr>
          <w:p>
            <w:pPr>
              <w:jc w:val="right"/>
              <w:ind w:right="169"/>
              <w:spacing w:after="0" w:line="122" w:lineRule="exact"/>
              <w:rPr>
                <w:sz w:val="20"/>
                <w:szCs w:val="20"/>
                <w:color w:val="auto"/>
              </w:rPr>
            </w:pPr>
            <w:r>
              <w:rPr>
                <w:rFonts w:ascii="Arial" w:cs="Arial" w:eastAsia="Arial" w:hAnsi="Arial"/>
                <w:sz w:val="13"/>
                <w:szCs w:val="13"/>
                <w:color w:val="auto"/>
              </w:rPr>
              <w:t>March 31,</w:t>
            </w: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0" w:type="dxa"/>
            <w:vAlign w:val="bottom"/>
            <w:gridSpan w:val="2"/>
          </w:tcPr>
          <w:p>
            <w:pPr>
              <w:jc w:val="center"/>
              <w:ind w:right="220"/>
              <w:spacing w:after="0" w:line="122" w:lineRule="exact"/>
              <w:rPr>
                <w:sz w:val="20"/>
                <w:szCs w:val="20"/>
                <w:color w:val="auto"/>
              </w:rPr>
            </w:pPr>
            <w:r>
              <w:rPr>
                <w:rFonts w:ascii="Arial" w:cs="Arial" w:eastAsia="Arial" w:hAnsi="Arial"/>
                <w:sz w:val="13"/>
                <w:szCs w:val="13"/>
                <w:color w:val="auto"/>
                <w:w w:val="85"/>
              </w:rPr>
              <w:t>December 31,</w:t>
            </w:r>
          </w:p>
        </w:tc>
        <w:tc>
          <w:tcPr>
            <w:tcW w:w="100" w:type="dxa"/>
            <w:vAlign w:val="bottom"/>
          </w:tcPr>
          <w:p>
            <w:pPr>
              <w:spacing w:after="0"/>
              <w:rPr>
                <w:sz w:val="10"/>
                <w:szCs w:val="10"/>
                <w:color w:val="auto"/>
              </w:rPr>
            </w:pPr>
          </w:p>
        </w:tc>
        <w:tc>
          <w:tcPr>
            <w:tcW w:w="1000" w:type="dxa"/>
            <w:vAlign w:val="bottom"/>
            <w:gridSpan w:val="2"/>
          </w:tcPr>
          <w:p>
            <w:pPr>
              <w:ind w:left="20"/>
              <w:spacing w:after="0" w:line="122" w:lineRule="exact"/>
              <w:rPr>
                <w:sz w:val="20"/>
                <w:szCs w:val="20"/>
                <w:color w:val="auto"/>
              </w:rPr>
            </w:pPr>
            <w:r>
              <w:rPr>
                <w:rFonts w:ascii="Arial" w:cs="Arial" w:eastAsia="Arial" w:hAnsi="Arial"/>
                <w:sz w:val="13"/>
                <w:szCs w:val="13"/>
                <w:color w:val="auto"/>
              </w:rPr>
              <w:t>September 30,</w:t>
            </w:r>
          </w:p>
        </w:tc>
        <w:tc>
          <w:tcPr>
            <w:tcW w:w="200" w:type="dxa"/>
            <w:vAlign w:val="bottom"/>
          </w:tcPr>
          <w:p>
            <w:pPr>
              <w:spacing w:after="0"/>
              <w:rPr>
                <w:sz w:val="10"/>
                <w:szCs w:val="10"/>
                <w:color w:val="auto"/>
              </w:rPr>
            </w:pPr>
          </w:p>
        </w:tc>
        <w:tc>
          <w:tcPr>
            <w:tcW w:w="800" w:type="dxa"/>
            <w:vAlign w:val="bottom"/>
          </w:tcPr>
          <w:p>
            <w:pPr>
              <w:jc w:val="right"/>
              <w:ind w:right="229"/>
              <w:spacing w:after="0" w:line="122" w:lineRule="exact"/>
              <w:rPr>
                <w:sz w:val="20"/>
                <w:szCs w:val="20"/>
                <w:color w:val="auto"/>
              </w:rPr>
            </w:pPr>
            <w:r>
              <w:rPr>
                <w:rFonts w:ascii="Arial" w:cs="Arial" w:eastAsia="Arial" w:hAnsi="Arial"/>
                <w:sz w:val="13"/>
                <w:szCs w:val="13"/>
                <w:color w:val="auto"/>
                <w:w w:val="96"/>
              </w:rPr>
              <w:t>June 30,</w:t>
            </w:r>
          </w:p>
        </w:tc>
      </w:tr>
      <w:tr>
        <w:trPr>
          <w:trHeight w:val="169"/>
        </w:trPr>
        <w:tc>
          <w:tcPr>
            <w:tcW w:w="544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jc w:val="right"/>
              <w:ind w:right="309"/>
              <w:spacing w:after="0"/>
              <w:rPr>
                <w:sz w:val="20"/>
                <w:szCs w:val="20"/>
                <w:color w:val="auto"/>
              </w:rPr>
            </w:pPr>
            <w:r>
              <w:rPr>
                <w:rFonts w:ascii="Arial" w:cs="Arial" w:eastAsia="Arial" w:hAnsi="Arial"/>
                <w:sz w:val="13"/>
                <w:szCs w:val="13"/>
                <w:color w:val="auto"/>
              </w:rPr>
              <w:t>2020</w:t>
            </w:r>
          </w:p>
        </w:tc>
        <w:tc>
          <w:tcPr>
            <w:tcW w:w="10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right"/>
              <w:ind w:right="309"/>
              <w:spacing w:after="0"/>
              <w:rPr>
                <w:sz w:val="20"/>
                <w:szCs w:val="20"/>
                <w:color w:val="auto"/>
              </w:rPr>
            </w:pPr>
            <w:r>
              <w:rPr>
                <w:rFonts w:ascii="Arial" w:cs="Arial" w:eastAsia="Arial" w:hAnsi="Arial"/>
                <w:sz w:val="13"/>
                <w:szCs w:val="13"/>
                <w:color w:val="auto"/>
              </w:rPr>
              <w:t>2020</w:t>
            </w:r>
          </w:p>
        </w:tc>
        <w:tc>
          <w:tcPr>
            <w:tcW w:w="10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jc w:val="center"/>
              <w:ind w:right="29"/>
              <w:spacing w:after="0"/>
              <w:rPr>
                <w:sz w:val="20"/>
                <w:szCs w:val="20"/>
                <w:color w:val="auto"/>
              </w:rPr>
            </w:pPr>
            <w:r>
              <w:rPr>
                <w:rFonts w:ascii="Arial" w:cs="Arial" w:eastAsia="Arial" w:hAnsi="Arial"/>
                <w:sz w:val="13"/>
                <w:szCs w:val="13"/>
                <w:color w:val="auto"/>
                <w:w w:val="89"/>
              </w:rPr>
              <w:t>2019</w:t>
            </w:r>
          </w:p>
        </w:tc>
        <w:tc>
          <w:tcPr>
            <w:tcW w:w="12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jc w:val="right"/>
              <w:ind w:right="309"/>
              <w:spacing w:after="0"/>
              <w:rPr>
                <w:sz w:val="20"/>
                <w:szCs w:val="20"/>
                <w:color w:val="auto"/>
              </w:rPr>
            </w:pPr>
            <w:r>
              <w:rPr>
                <w:rFonts w:ascii="Arial" w:cs="Arial" w:eastAsia="Arial" w:hAnsi="Arial"/>
                <w:sz w:val="13"/>
                <w:szCs w:val="13"/>
                <w:color w:val="auto"/>
              </w:rPr>
              <w:t>2019</w:t>
            </w:r>
          </w:p>
        </w:tc>
        <w:tc>
          <w:tcPr>
            <w:tcW w:w="100" w:type="dxa"/>
            <w:vAlign w:val="bottom"/>
            <w:tcBorders>
              <w:bottom w:val="single" w:sz="8" w:color="CCEEFF"/>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right"/>
              <w:ind w:right="309"/>
              <w:spacing w:after="0"/>
              <w:rPr>
                <w:sz w:val="20"/>
                <w:szCs w:val="20"/>
                <w:color w:val="auto"/>
              </w:rPr>
            </w:pPr>
            <w:r>
              <w:rPr>
                <w:rFonts w:ascii="Arial" w:cs="Arial" w:eastAsia="Arial" w:hAnsi="Arial"/>
                <w:sz w:val="13"/>
                <w:szCs w:val="13"/>
                <w:color w:val="auto"/>
              </w:rPr>
              <w:t>2019</w:t>
            </w:r>
          </w:p>
        </w:tc>
      </w:tr>
      <w:tr>
        <w:trPr>
          <w:trHeight w:val="203"/>
        </w:trPr>
        <w:tc>
          <w:tcPr>
            <w:tcW w:w="544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income/(loss)</w:t>
            </w: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82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718</w:t>
            </w: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84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(2,421)</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871</w:t>
            </w: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(4)</w:t>
            </w: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(444)</w:t>
            </w:r>
          </w:p>
        </w:tc>
      </w:tr>
      <w:tr>
        <w:trPr>
          <w:trHeight w:val="197"/>
        </w:trPr>
        <w:tc>
          <w:tcPr>
            <w:tcW w:w="5440" w:type="dxa"/>
            <w:vAlign w:val="bottom"/>
          </w:tcPr>
          <w:p>
            <w:pPr>
              <w:ind w:left="20"/>
              <w:spacing w:after="0"/>
              <w:rPr>
                <w:sz w:val="20"/>
                <w:szCs w:val="20"/>
                <w:color w:val="auto"/>
              </w:rPr>
            </w:pPr>
            <w:r>
              <w:rPr>
                <w:rFonts w:ascii="Arial" w:cs="Arial" w:eastAsia="Arial" w:hAnsi="Arial"/>
                <w:sz w:val="14"/>
                <w:szCs w:val="14"/>
                <w:color w:val="auto"/>
              </w:rPr>
              <w:t>Book to tax differences:</w:t>
            </w:r>
          </w:p>
        </w:tc>
        <w:tc>
          <w:tcPr>
            <w:tcW w:w="18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0" w:type="dxa"/>
            <w:vAlign w:val="bottom"/>
          </w:tcPr>
          <w:p>
            <w:pPr>
              <w:spacing w:after="0"/>
              <w:rPr>
                <w:sz w:val="17"/>
                <w:szCs w:val="17"/>
                <w:color w:val="auto"/>
              </w:rPr>
            </w:pPr>
          </w:p>
        </w:tc>
      </w:tr>
      <w:tr>
        <w:trPr>
          <w:trHeight w:val="208"/>
        </w:trPr>
        <w:tc>
          <w:tcPr>
            <w:tcW w:w="5440" w:type="dxa"/>
            <w:vAlign w:val="bottom"/>
            <w:shd w:val="clear" w:color="auto" w:fill="CCEEFF"/>
          </w:tcPr>
          <w:p>
            <w:pPr>
              <w:ind w:left="120"/>
              <w:spacing w:after="0"/>
              <w:rPr>
                <w:sz w:val="20"/>
                <w:szCs w:val="20"/>
                <w:color w:val="auto"/>
              </w:rPr>
            </w:pPr>
            <w:r>
              <w:rPr>
                <w:rFonts w:ascii="Arial" w:cs="Arial" w:eastAsia="Arial" w:hAnsi="Arial"/>
                <w:sz w:val="14"/>
                <w:szCs w:val="14"/>
                <w:color w:val="auto"/>
              </w:rPr>
              <w:t>Premium amortization, net</w:t>
            </w:r>
          </w:p>
        </w:tc>
        <w:tc>
          <w:tcPr>
            <w:tcW w:w="18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22</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237</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(77)</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47</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67</w:t>
            </w:r>
          </w:p>
        </w:tc>
      </w:tr>
      <w:tr>
        <w:trPr>
          <w:trHeight w:val="197"/>
        </w:trPr>
        <w:tc>
          <w:tcPr>
            <w:tcW w:w="5440" w:type="dxa"/>
            <w:vAlign w:val="bottom"/>
          </w:tcPr>
          <w:p>
            <w:pPr>
              <w:ind w:left="120"/>
              <w:spacing w:after="0"/>
              <w:rPr>
                <w:sz w:val="20"/>
                <w:szCs w:val="20"/>
                <w:color w:val="auto"/>
              </w:rPr>
            </w:pPr>
            <w:r>
              <w:rPr>
                <w:rFonts w:ascii="Arial" w:cs="Arial" w:eastAsia="Arial" w:hAnsi="Arial"/>
                <w:sz w:val="14"/>
                <w:szCs w:val="14"/>
                <w:color w:val="auto"/>
              </w:rPr>
              <w:t>Realized gain/loss, net</w:t>
            </w:r>
          </w:p>
        </w:tc>
        <w:tc>
          <w:tcPr>
            <w:tcW w:w="180" w:type="dxa"/>
            <w:vAlign w:val="bottom"/>
          </w:tcPr>
          <w:p>
            <w:pPr>
              <w:spacing w:after="0"/>
              <w:rPr>
                <w:sz w:val="17"/>
                <w:szCs w:val="17"/>
                <w:color w:val="auto"/>
              </w:rPr>
            </w:pPr>
          </w:p>
        </w:tc>
        <w:tc>
          <w:tcPr>
            <w:tcW w:w="92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7"/>
                <w:szCs w:val="17"/>
                <w:color w:val="auto"/>
              </w:rPr>
            </w:pPr>
          </w:p>
        </w:tc>
        <w:tc>
          <w:tcPr>
            <w:tcW w:w="840" w:type="dxa"/>
            <w:vAlign w:val="bottom"/>
          </w:tcPr>
          <w:p>
            <w:pPr>
              <w:jc w:val="right"/>
              <w:ind w:right="69"/>
              <w:spacing w:after="0"/>
              <w:rPr>
                <w:sz w:val="20"/>
                <w:szCs w:val="20"/>
                <w:color w:val="auto"/>
              </w:rPr>
            </w:pPr>
            <w:r>
              <w:rPr>
                <w:rFonts w:ascii="Arial" w:cs="Arial" w:eastAsia="Arial" w:hAnsi="Arial"/>
                <w:sz w:val="14"/>
                <w:szCs w:val="14"/>
                <w:color w:val="auto"/>
              </w:rPr>
              <w:t>2,555</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80" w:type="dxa"/>
            <w:vAlign w:val="bottom"/>
          </w:tcPr>
          <w:p>
            <w:pPr>
              <w:jc w:val="right"/>
              <w:ind w:right="29"/>
              <w:spacing w:after="0"/>
              <w:rPr>
                <w:sz w:val="20"/>
                <w:szCs w:val="20"/>
                <w:color w:val="auto"/>
              </w:rPr>
            </w:pPr>
            <w:r>
              <w:rPr>
                <w:rFonts w:ascii="Arial" w:cs="Arial" w:eastAsia="Arial" w:hAnsi="Arial"/>
                <w:sz w:val="14"/>
                <w:szCs w:val="14"/>
                <w:color w:val="auto"/>
              </w:rPr>
              <w:t>(504)</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tcPr>
          <w:p>
            <w:pPr>
              <w:jc w:val="right"/>
              <w:ind w:right="89"/>
              <w:spacing w:after="0"/>
              <w:rPr>
                <w:sz w:val="20"/>
                <w:szCs w:val="20"/>
                <w:color w:val="auto"/>
              </w:rPr>
            </w:pPr>
            <w:r>
              <w:rPr>
                <w:rFonts w:ascii="Arial" w:cs="Arial" w:eastAsia="Arial" w:hAnsi="Arial"/>
                <w:sz w:val="14"/>
                <w:szCs w:val="14"/>
                <w:color w:val="auto"/>
              </w:rPr>
              <w:t>521</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0" w:type="dxa"/>
            <w:vAlign w:val="bottom"/>
          </w:tcPr>
          <w:p>
            <w:pPr>
              <w:jc w:val="right"/>
              <w:ind w:right="69"/>
              <w:spacing w:after="0"/>
              <w:rPr>
                <w:sz w:val="20"/>
                <w:szCs w:val="20"/>
                <w:color w:val="auto"/>
              </w:rPr>
            </w:pPr>
            <w:r>
              <w:rPr>
                <w:rFonts w:ascii="Arial" w:cs="Arial" w:eastAsia="Arial" w:hAnsi="Arial"/>
                <w:sz w:val="14"/>
                <w:szCs w:val="14"/>
                <w:color w:val="auto"/>
              </w:rPr>
              <w:t>886</w:t>
            </w:r>
          </w:p>
        </w:tc>
      </w:tr>
      <w:tr>
        <w:trPr>
          <w:trHeight w:val="208"/>
        </w:trPr>
        <w:tc>
          <w:tcPr>
            <w:tcW w:w="5440" w:type="dxa"/>
            <w:vAlign w:val="bottom"/>
            <w:shd w:val="clear" w:color="auto" w:fill="CCEEFF"/>
          </w:tcPr>
          <w:p>
            <w:pPr>
              <w:ind w:left="120"/>
              <w:spacing w:after="0"/>
              <w:rPr>
                <w:sz w:val="20"/>
                <w:szCs w:val="20"/>
                <w:color w:val="auto"/>
              </w:rPr>
            </w:pPr>
            <w:r>
              <w:rPr>
                <w:rFonts w:ascii="Arial" w:cs="Arial" w:eastAsia="Arial" w:hAnsi="Arial"/>
                <w:sz w:val="14"/>
                <w:szCs w:val="14"/>
                <w:color w:val="auto"/>
              </w:rPr>
              <w:t>Net capital loss/(utilization of net capital loss carryforward)</w:t>
            </w:r>
          </w:p>
        </w:tc>
        <w:tc>
          <w:tcPr>
            <w:tcW w:w="18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(426)</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32</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(130)</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34</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320</w:t>
            </w:r>
          </w:p>
        </w:tc>
      </w:tr>
      <w:tr>
        <w:trPr>
          <w:trHeight w:val="197"/>
        </w:trPr>
        <w:tc>
          <w:tcPr>
            <w:tcW w:w="5440" w:type="dxa"/>
            <w:vAlign w:val="bottom"/>
          </w:tcPr>
          <w:p>
            <w:pPr>
              <w:ind w:left="120"/>
              <w:spacing w:after="0"/>
              <w:rPr>
                <w:sz w:val="20"/>
                <w:szCs w:val="20"/>
                <w:color w:val="auto"/>
              </w:rPr>
            </w:pPr>
            <w:r>
              <w:rPr>
                <w:rFonts w:ascii="Arial" w:cs="Arial" w:eastAsia="Arial" w:hAnsi="Arial"/>
                <w:sz w:val="14"/>
                <w:szCs w:val="14"/>
                <w:color w:val="auto"/>
              </w:rPr>
              <w:t>Unrealized (gain)/loss, net</w:t>
            </w:r>
          </w:p>
        </w:tc>
        <w:tc>
          <w:tcPr>
            <w:tcW w:w="180" w:type="dxa"/>
            <w:vAlign w:val="bottom"/>
          </w:tcPr>
          <w:p>
            <w:pPr>
              <w:spacing w:after="0"/>
              <w:rPr>
                <w:sz w:val="17"/>
                <w:szCs w:val="17"/>
                <w:color w:val="auto"/>
              </w:rPr>
            </w:pPr>
          </w:p>
        </w:tc>
        <w:tc>
          <w:tcPr>
            <w:tcW w:w="820" w:type="dxa"/>
            <w:vAlign w:val="bottom"/>
          </w:tcPr>
          <w:p>
            <w:pPr>
              <w:jc w:val="right"/>
              <w:ind w:right="49"/>
              <w:spacing w:after="0"/>
              <w:rPr>
                <w:sz w:val="20"/>
                <w:szCs w:val="20"/>
                <w:color w:val="auto"/>
              </w:rPr>
            </w:pPr>
            <w:r>
              <w:rPr>
                <w:rFonts w:ascii="Arial" w:cs="Arial" w:eastAsia="Arial" w:hAnsi="Arial"/>
                <w:sz w:val="14"/>
                <w:szCs w:val="14"/>
                <w:color w:val="auto"/>
              </w:rPr>
              <w:t>(291)</w:t>
            </w: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40" w:type="dxa"/>
            <w:vAlign w:val="bottom"/>
          </w:tcPr>
          <w:p>
            <w:pPr>
              <w:jc w:val="right"/>
              <w:ind w:right="29"/>
              <w:spacing w:after="0"/>
              <w:rPr>
                <w:sz w:val="20"/>
                <w:szCs w:val="20"/>
                <w:color w:val="auto"/>
              </w:rPr>
            </w:pPr>
            <w:r>
              <w:rPr>
                <w:rFonts w:ascii="Arial" w:cs="Arial" w:eastAsia="Arial" w:hAnsi="Arial"/>
                <w:sz w:val="14"/>
                <w:szCs w:val="14"/>
                <w:color w:val="auto"/>
              </w:rPr>
              <w:t>(263)</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80" w:type="dxa"/>
            <w:vAlign w:val="bottom"/>
          </w:tcPr>
          <w:p>
            <w:pPr>
              <w:jc w:val="right"/>
              <w:ind w:right="29"/>
              <w:spacing w:after="0"/>
              <w:rPr>
                <w:sz w:val="20"/>
                <w:szCs w:val="20"/>
                <w:color w:val="auto"/>
              </w:rPr>
            </w:pPr>
            <w:r>
              <w:rPr>
                <w:rFonts w:ascii="Arial" w:cs="Arial" w:eastAsia="Arial" w:hAnsi="Arial"/>
                <w:sz w:val="14"/>
                <w:szCs w:val="14"/>
                <w:color w:val="auto"/>
              </w:rPr>
              <w:t>(47)</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tcPr>
          <w:p>
            <w:pPr>
              <w:jc w:val="right"/>
              <w:ind w:right="49"/>
              <w:spacing w:after="0"/>
              <w:rPr>
                <w:sz w:val="20"/>
                <w:szCs w:val="20"/>
                <w:color w:val="auto"/>
              </w:rPr>
            </w:pPr>
            <w:r>
              <w:rPr>
                <w:rFonts w:ascii="Arial" w:cs="Arial" w:eastAsia="Arial" w:hAnsi="Arial"/>
                <w:sz w:val="14"/>
                <w:szCs w:val="14"/>
                <w:color w:val="auto"/>
              </w:rPr>
              <w:t>(428)</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0" w:type="dxa"/>
            <w:vAlign w:val="bottom"/>
          </w:tcPr>
          <w:p>
            <w:pPr>
              <w:jc w:val="right"/>
              <w:ind w:right="29"/>
              <w:spacing w:after="0"/>
              <w:rPr>
                <w:sz w:val="20"/>
                <w:szCs w:val="20"/>
                <w:color w:val="auto"/>
              </w:rPr>
            </w:pPr>
            <w:r>
              <w:rPr>
                <w:rFonts w:ascii="Arial" w:cs="Arial" w:eastAsia="Arial" w:hAnsi="Arial"/>
                <w:sz w:val="14"/>
                <w:szCs w:val="14"/>
                <w:color w:val="auto"/>
              </w:rPr>
              <w:t>(644)</w:t>
            </w:r>
          </w:p>
        </w:tc>
      </w:tr>
      <w:tr>
        <w:trPr>
          <w:trHeight w:val="203"/>
        </w:trPr>
        <w:tc>
          <w:tcPr>
            <w:tcW w:w="5440" w:type="dxa"/>
            <w:vAlign w:val="bottom"/>
            <w:shd w:val="clear" w:color="auto" w:fill="CCEEFF"/>
          </w:tcPr>
          <w:p>
            <w:pPr>
              <w:ind w:left="120"/>
              <w:spacing w:after="0"/>
              <w:rPr>
                <w:sz w:val="20"/>
                <w:szCs w:val="20"/>
                <w:color w:val="auto"/>
              </w:rPr>
            </w:pPr>
            <w:r>
              <w:rPr>
                <w:rFonts w:ascii="Arial" w:cs="Arial" w:eastAsia="Arial" w:hAnsi="Arial"/>
                <w:sz w:val="14"/>
                <w:szCs w:val="14"/>
                <w:color w:val="auto"/>
              </w:rPr>
              <w:t>Other</w:t>
            </w:r>
          </w:p>
        </w:tc>
        <w:tc>
          <w:tcPr>
            <w:tcW w:w="180" w:type="dxa"/>
            <w:vAlign w:val="bottom"/>
            <w:tcBorders>
              <w:bottom w:val="single" w:sz="8" w:color="auto"/>
            </w:tcBorders>
            <w:shd w:val="clear" w:color="auto" w:fill="CCEEFF"/>
          </w:tcPr>
          <w:p>
            <w:pPr>
              <w:spacing w:after="0"/>
              <w:rPr>
                <w:sz w:val="17"/>
                <w:szCs w:val="17"/>
                <w:color w:val="auto"/>
              </w:rPr>
            </w:pPr>
          </w:p>
        </w:tc>
        <w:tc>
          <w:tcPr>
            <w:tcW w:w="820" w:type="dxa"/>
            <w:vAlign w:val="bottom"/>
            <w:tcBorders>
              <w:bottom w:val="single" w:sz="8" w:color="auto"/>
            </w:tcBorders>
            <w:shd w:val="clear" w:color="auto" w:fill="CCEEFF"/>
          </w:tcPr>
          <w:p>
            <w:pPr>
              <w:jc w:val="right"/>
              <w:ind w:right="49"/>
              <w:spacing w:after="0"/>
              <w:rPr>
                <w:sz w:val="20"/>
                <w:szCs w:val="20"/>
                <w:color w:val="auto"/>
              </w:rPr>
            </w:pPr>
            <w:r>
              <w:rPr>
                <w:rFonts w:ascii="Arial" w:cs="Arial" w:eastAsia="Arial" w:hAnsi="Arial"/>
                <w:sz w:val="14"/>
                <w:szCs w:val="14"/>
                <w:color w:val="auto"/>
              </w:rPr>
              <w:t>(2)</w:t>
            </w:r>
          </w:p>
        </w:tc>
        <w:tc>
          <w:tcPr>
            <w:tcW w:w="10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84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(8)</w:t>
            </w:r>
          </w:p>
        </w:tc>
        <w:tc>
          <w:tcPr>
            <w:tcW w:w="10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88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2</w:t>
            </w:r>
          </w:p>
        </w:tc>
        <w:tc>
          <w:tcPr>
            <w:tcW w:w="12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right"/>
              <w:ind w:right="49"/>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(1)</w:t>
            </w:r>
          </w:p>
        </w:tc>
      </w:tr>
      <w:tr>
        <w:trPr>
          <w:trHeight w:val="196"/>
        </w:trPr>
        <w:tc>
          <w:tcPr>
            <w:tcW w:w="5440" w:type="dxa"/>
            <w:vAlign w:val="bottom"/>
            <w:tcBorders>
              <w:bottom w:val="single" w:sz="8" w:color="CCEEFF"/>
            </w:tcBorders>
          </w:tcPr>
          <w:p>
            <w:pPr>
              <w:ind w:left="300"/>
              <w:spacing w:after="0"/>
              <w:rPr>
                <w:sz w:val="20"/>
                <w:szCs w:val="20"/>
                <w:color w:val="auto"/>
              </w:rPr>
            </w:pPr>
            <w:r>
              <w:rPr>
                <w:rFonts w:ascii="Arial" w:cs="Arial" w:eastAsia="Arial" w:hAnsi="Arial"/>
                <w:sz w:val="14"/>
                <w:szCs w:val="14"/>
                <w:color w:val="auto"/>
              </w:rPr>
              <w:t>Total book to tax differences</w:t>
            </w:r>
          </w:p>
        </w:tc>
        <w:tc>
          <w:tcPr>
            <w:tcW w:w="18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ind w:right="49"/>
              <w:spacing w:after="0"/>
              <w:rPr>
                <w:sz w:val="20"/>
                <w:szCs w:val="20"/>
                <w:color w:val="auto"/>
              </w:rPr>
            </w:pPr>
            <w:r>
              <w:rPr>
                <w:rFonts w:ascii="Arial" w:cs="Arial" w:eastAsia="Arial" w:hAnsi="Arial"/>
                <w:sz w:val="14"/>
                <w:szCs w:val="14"/>
                <w:color w:val="auto"/>
              </w:rPr>
              <w:t>(697)</w:t>
            </w:r>
          </w:p>
        </w:tc>
        <w:tc>
          <w:tcPr>
            <w:tcW w:w="10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840" w:type="dxa"/>
            <w:vAlign w:val="bottom"/>
            <w:tcBorders>
              <w:bottom w:val="single" w:sz="8" w:color="auto"/>
            </w:tcBorders>
          </w:tcPr>
          <w:p>
            <w:pPr>
              <w:jc w:val="right"/>
              <w:ind w:right="69"/>
              <w:spacing w:after="0"/>
              <w:rPr>
                <w:sz w:val="20"/>
                <w:szCs w:val="20"/>
                <w:color w:val="auto"/>
              </w:rPr>
            </w:pPr>
            <w:r>
              <w:rPr>
                <w:rFonts w:ascii="Arial" w:cs="Arial" w:eastAsia="Arial" w:hAnsi="Arial"/>
                <w:sz w:val="14"/>
                <w:szCs w:val="14"/>
                <w:color w:val="auto"/>
              </w:rPr>
              <w:t>2,553</w:t>
            </w:r>
          </w:p>
        </w:tc>
        <w:tc>
          <w:tcPr>
            <w:tcW w:w="10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88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(756)</w:t>
            </w:r>
          </w:p>
        </w:tc>
        <w:tc>
          <w:tcPr>
            <w:tcW w:w="12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ind w:right="89"/>
              <w:spacing w:after="0"/>
              <w:rPr>
                <w:sz w:val="20"/>
                <w:szCs w:val="20"/>
                <w:color w:val="auto"/>
              </w:rPr>
            </w:pPr>
            <w:r>
              <w:rPr>
                <w:rFonts w:ascii="Arial" w:cs="Arial" w:eastAsia="Arial" w:hAnsi="Arial"/>
                <w:sz w:val="14"/>
                <w:szCs w:val="14"/>
                <w:color w:val="auto"/>
              </w:rPr>
              <w:t>173</w:t>
            </w:r>
          </w:p>
        </w:tc>
        <w:tc>
          <w:tcPr>
            <w:tcW w:w="10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ind w:right="69"/>
              <w:spacing w:after="0"/>
              <w:rPr>
                <w:sz w:val="20"/>
                <w:szCs w:val="20"/>
                <w:color w:val="auto"/>
              </w:rPr>
            </w:pPr>
            <w:r>
              <w:rPr>
                <w:rFonts w:ascii="Arial" w:cs="Arial" w:eastAsia="Arial" w:hAnsi="Arial"/>
                <w:sz w:val="14"/>
                <w:szCs w:val="14"/>
                <w:color w:val="auto"/>
              </w:rPr>
              <w:t>628</w:t>
            </w:r>
          </w:p>
        </w:tc>
      </w:tr>
      <w:tr>
        <w:trPr>
          <w:trHeight w:val="202"/>
        </w:trPr>
        <w:tc>
          <w:tcPr>
            <w:tcW w:w="5440" w:type="dxa"/>
            <w:vAlign w:val="bottom"/>
            <w:shd w:val="clear" w:color="auto" w:fill="CCEEFF"/>
          </w:tcPr>
          <w:p>
            <w:pPr>
              <w:ind w:left="20"/>
              <w:spacing w:after="0"/>
              <w:rPr>
                <w:sz w:val="20"/>
                <w:szCs w:val="20"/>
                <w:color w:val="auto"/>
              </w:rPr>
            </w:pPr>
            <w:r>
              <w:rPr>
                <w:rFonts w:ascii="Arial" w:cs="Arial" w:eastAsia="Arial" w:hAnsi="Arial"/>
                <w:sz w:val="14"/>
                <w:szCs w:val="14"/>
                <w:color w:val="auto"/>
              </w:rPr>
              <w:t>Estimated REIT taxable income</w:t>
            </w:r>
          </w:p>
        </w:tc>
        <w:tc>
          <w:tcPr>
            <w:tcW w:w="180" w:type="dxa"/>
            <w:vAlign w:val="bottom"/>
            <w:shd w:val="clear" w:color="auto" w:fill="CCEEFF"/>
          </w:tcPr>
          <w:p>
            <w:pPr>
              <w:spacing w:after="0"/>
              <w:rPr>
                <w:sz w:val="17"/>
                <w:szCs w:val="17"/>
                <w:color w:val="auto"/>
              </w:rPr>
            </w:pPr>
          </w:p>
        </w:tc>
        <w:tc>
          <w:tcPr>
            <w:tcW w:w="82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21</w:t>
            </w: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4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132</w:t>
            </w: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8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115</w:t>
            </w: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0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169</w:t>
            </w: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184</w:t>
            </w:r>
          </w:p>
        </w:tc>
      </w:tr>
      <w:tr>
        <w:trPr>
          <w:trHeight w:val="197"/>
        </w:trPr>
        <w:tc>
          <w:tcPr>
            <w:tcW w:w="5440" w:type="dxa"/>
            <w:vAlign w:val="bottom"/>
            <w:tcBorders>
              <w:bottom w:val="single" w:sz="8" w:color="CCEEFF"/>
            </w:tcBorders>
          </w:tcPr>
          <w:p>
            <w:pPr>
              <w:ind w:left="120"/>
              <w:spacing w:after="0"/>
              <w:rPr>
                <w:sz w:val="20"/>
                <w:szCs w:val="20"/>
                <w:color w:val="auto"/>
              </w:rPr>
            </w:pPr>
            <w:r>
              <w:rPr>
                <w:rFonts w:ascii="Arial" w:cs="Arial" w:eastAsia="Arial" w:hAnsi="Arial"/>
                <w:sz w:val="14"/>
                <w:szCs w:val="14"/>
                <w:color w:val="auto"/>
              </w:rPr>
              <w:t>Dividend on preferred stock</w:t>
            </w:r>
          </w:p>
        </w:tc>
        <w:tc>
          <w:tcPr>
            <w:tcW w:w="18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ind w:right="89"/>
              <w:spacing w:after="0"/>
              <w:rPr>
                <w:sz w:val="20"/>
                <w:szCs w:val="20"/>
                <w:color w:val="auto"/>
              </w:rPr>
            </w:pPr>
            <w:r>
              <w:rPr>
                <w:rFonts w:ascii="Arial" w:cs="Arial" w:eastAsia="Arial" w:hAnsi="Arial"/>
                <w:sz w:val="14"/>
                <w:szCs w:val="14"/>
                <w:color w:val="auto"/>
              </w:rPr>
              <w:t>25</w:t>
            </w:r>
          </w:p>
        </w:tc>
        <w:tc>
          <w:tcPr>
            <w:tcW w:w="10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840" w:type="dxa"/>
            <w:vAlign w:val="bottom"/>
            <w:tcBorders>
              <w:bottom w:val="single" w:sz="8" w:color="auto"/>
            </w:tcBorders>
          </w:tcPr>
          <w:p>
            <w:pPr>
              <w:jc w:val="right"/>
              <w:ind w:right="69"/>
              <w:spacing w:after="0"/>
              <w:rPr>
                <w:sz w:val="20"/>
                <w:szCs w:val="20"/>
                <w:color w:val="auto"/>
              </w:rPr>
            </w:pPr>
            <w:r>
              <w:rPr>
                <w:rFonts w:ascii="Arial" w:cs="Arial" w:eastAsia="Arial" w:hAnsi="Arial"/>
                <w:sz w:val="14"/>
                <w:szCs w:val="14"/>
                <w:color w:val="auto"/>
              </w:rPr>
              <w:t>21</w:t>
            </w:r>
          </w:p>
        </w:tc>
        <w:tc>
          <w:tcPr>
            <w:tcW w:w="10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880" w:type="dxa"/>
            <w:vAlign w:val="bottom"/>
            <w:tcBorders>
              <w:bottom w:val="single" w:sz="8" w:color="auto"/>
            </w:tcBorders>
          </w:tcPr>
          <w:p>
            <w:pPr>
              <w:jc w:val="right"/>
              <w:ind w:right="69"/>
              <w:spacing w:after="0"/>
              <w:rPr>
                <w:sz w:val="20"/>
                <w:szCs w:val="20"/>
                <w:color w:val="auto"/>
              </w:rPr>
            </w:pPr>
            <w:r>
              <w:rPr>
                <w:rFonts w:ascii="Arial" w:cs="Arial" w:eastAsia="Arial" w:hAnsi="Arial"/>
                <w:sz w:val="14"/>
                <w:szCs w:val="14"/>
                <w:color w:val="auto"/>
              </w:rPr>
              <w:t>18</w:t>
            </w:r>
          </w:p>
        </w:tc>
        <w:tc>
          <w:tcPr>
            <w:tcW w:w="12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ind w:right="89"/>
              <w:spacing w:after="0"/>
              <w:rPr>
                <w:sz w:val="20"/>
                <w:szCs w:val="20"/>
                <w:color w:val="auto"/>
              </w:rPr>
            </w:pPr>
            <w:r>
              <w:rPr>
                <w:rFonts w:ascii="Arial" w:cs="Arial" w:eastAsia="Arial" w:hAnsi="Arial"/>
                <w:sz w:val="14"/>
                <w:szCs w:val="14"/>
                <w:color w:val="auto"/>
              </w:rPr>
              <w:t>13</w:t>
            </w:r>
          </w:p>
        </w:tc>
        <w:tc>
          <w:tcPr>
            <w:tcW w:w="10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ind w:right="69"/>
              <w:spacing w:after="0"/>
              <w:rPr>
                <w:sz w:val="20"/>
                <w:szCs w:val="20"/>
                <w:color w:val="auto"/>
              </w:rPr>
            </w:pPr>
            <w:r>
              <w:rPr>
                <w:rFonts w:ascii="Arial" w:cs="Arial" w:eastAsia="Arial" w:hAnsi="Arial"/>
                <w:sz w:val="14"/>
                <w:szCs w:val="14"/>
                <w:color w:val="auto"/>
              </w:rPr>
              <w:t>13</w:t>
            </w:r>
          </w:p>
        </w:tc>
      </w:tr>
      <w:tr>
        <w:trPr>
          <w:trHeight w:val="222"/>
        </w:trPr>
        <w:tc>
          <w:tcPr>
            <w:tcW w:w="5440" w:type="dxa"/>
            <w:vAlign w:val="bottom"/>
            <w:shd w:val="clear" w:color="auto" w:fill="CCEEFF"/>
          </w:tcPr>
          <w:p>
            <w:pPr>
              <w:ind w:left="20"/>
              <w:spacing w:after="0"/>
              <w:rPr>
                <w:sz w:val="20"/>
                <w:szCs w:val="20"/>
                <w:color w:val="auto"/>
              </w:rPr>
            </w:pPr>
            <w:r>
              <w:rPr>
                <w:rFonts w:ascii="Arial" w:cs="Arial" w:eastAsia="Arial" w:hAnsi="Arial"/>
                <w:sz w:val="14"/>
                <w:szCs w:val="14"/>
                <w:color w:val="auto"/>
              </w:rPr>
              <w:t>Estimated REIT taxable income (loss), net of preferred stock dividend</w:t>
            </w: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82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(4)</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84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111</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97</w:t>
            </w: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156</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171</w:t>
            </w:r>
          </w:p>
        </w:tc>
      </w:tr>
      <w:tr>
        <w:trPr>
          <w:trHeight w:val="20"/>
        </w:trPr>
        <w:tc>
          <w:tcPr>
            <w:tcW w:w="544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r>
      <w:tr>
        <w:trPr>
          <w:trHeight w:val="177"/>
        </w:trPr>
        <w:tc>
          <w:tcPr>
            <w:tcW w:w="5440" w:type="dxa"/>
            <w:vAlign w:val="bottom"/>
          </w:tcPr>
          <w:p>
            <w:pPr>
              <w:ind w:left="20"/>
              <w:spacing w:after="0"/>
              <w:rPr>
                <w:sz w:val="20"/>
                <w:szCs w:val="20"/>
                <w:color w:val="auto"/>
              </w:rPr>
            </w:pPr>
            <w:r>
              <w:rPr>
                <w:rFonts w:ascii="Arial" w:cs="Arial" w:eastAsia="Arial" w:hAnsi="Arial"/>
                <w:sz w:val="14"/>
                <w:szCs w:val="14"/>
                <w:color w:val="auto"/>
              </w:rPr>
              <w:t>Weighted average number of common shares outstanding - basic</w:t>
            </w:r>
          </w:p>
        </w:tc>
        <w:tc>
          <w:tcPr>
            <w:tcW w:w="18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jc w:val="right"/>
              <w:ind w:right="89"/>
              <w:spacing w:after="0"/>
              <w:rPr>
                <w:sz w:val="20"/>
                <w:szCs w:val="20"/>
                <w:color w:val="auto"/>
              </w:rPr>
            </w:pPr>
            <w:r>
              <w:rPr>
                <w:rFonts w:ascii="Arial" w:cs="Arial" w:eastAsia="Arial" w:hAnsi="Arial"/>
                <w:sz w:val="14"/>
                <w:szCs w:val="14"/>
                <w:color w:val="auto"/>
              </w:rPr>
              <w:t>560.3</w:t>
            </w:r>
          </w:p>
        </w:tc>
        <w:tc>
          <w:tcPr>
            <w:tcW w:w="100" w:type="dxa"/>
            <w:vAlign w:val="bottom"/>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jc w:val="right"/>
              <w:ind w:right="69"/>
              <w:spacing w:after="0"/>
              <w:rPr>
                <w:sz w:val="20"/>
                <w:szCs w:val="20"/>
                <w:color w:val="auto"/>
              </w:rPr>
            </w:pPr>
            <w:r>
              <w:rPr>
                <w:rFonts w:ascii="Arial" w:cs="Arial" w:eastAsia="Arial" w:hAnsi="Arial"/>
                <w:sz w:val="14"/>
                <w:szCs w:val="14"/>
                <w:color w:val="auto"/>
              </w:rPr>
              <w:t>548.0</w:t>
            </w:r>
          </w:p>
        </w:tc>
        <w:tc>
          <w:tcPr>
            <w:tcW w:w="10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jc w:val="right"/>
              <w:ind w:right="69"/>
              <w:spacing w:after="0"/>
              <w:rPr>
                <w:sz w:val="20"/>
                <w:szCs w:val="20"/>
                <w:color w:val="auto"/>
              </w:rPr>
            </w:pPr>
            <w:r>
              <w:rPr>
                <w:rFonts w:ascii="Arial" w:cs="Arial" w:eastAsia="Arial" w:hAnsi="Arial"/>
                <w:sz w:val="14"/>
                <w:szCs w:val="14"/>
                <w:color w:val="auto"/>
              </w:rPr>
              <w:t>541.4</w:t>
            </w:r>
          </w:p>
        </w:tc>
        <w:tc>
          <w:tcPr>
            <w:tcW w:w="12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ind w:right="89"/>
              <w:spacing w:after="0"/>
              <w:rPr>
                <w:sz w:val="20"/>
                <w:szCs w:val="20"/>
                <w:color w:val="auto"/>
              </w:rPr>
            </w:pPr>
            <w:r>
              <w:rPr>
                <w:rFonts w:ascii="Arial" w:cs="Arial" w:eastAsia="Arial" w:hAnsi="Arial"/>
                <w:sz w:val="14"/>
                <w:szCs w:val="14"/>
                <w:color w:val="auto"/>
              </w:rPr>
              <w:t>546.4</w:t>
            </w:r>
          </w:p>
        </w:tc>
        <w:tc>
          <w:tcPr>
            <w:tcW w:w="100" w:type="dxa"/>
            <w:vAlign w:val="bottom"/>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right"/>
              <w:ind w:right="69"/>
              <w:spacing w:after="0"/>
              <w:rPr>
                <w:sz w:val="20"/>
                <w:szCs w:val="20"/>
                <w:color w:val="auto"/>
              </w:rPr>
            </w:pPr>
            <w:r>
              <w:rPr>
                <w:rFonts w:ascii="Arial" w:cs="Arial" w:eastAsia="Arial" w:hAnsi="Arial"/>
                <w:sz w:val="14"/>
                <w:szCs w:val="14"/>
                <w:color w:val="auto"/>
              </w:rPr>
              <w:t>537.8</w:t>
            </w:r>
          </w:p>
        </w:tc>
      </w:tr>
      <w:tr>
        <w:trPr>
          <w:trHeight w:val="20"/>
        </w:trPr>
        <w:tc>
          <w:tcPr>
            <w:tcW w:w="544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r>
        <w:trPr>
          <w:trHeight w:val="222"/>
        </w:trPr>
        <w:tc>
          <w:tcPr>
            <w:tcW w:w="5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Weighted average number of common shares outstanding - diluted</w:t>
            </w:r>
          </w:p>
        </w:tc>
        <w:tc>
          <w:tcPr>
            <w:tcW w:w="18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ind w:right="89"/>
              <w:spacing w:after="0"/>
              <w:rPr>
                <w:sz w:val="20"/>
                <w:szCs w:val="20"/>
                <w:color w:val="auto"/>
              </w:rPr>
            </w:pPr>
            <w:r>
              <w:rPr>
                <w:rFonts w:ascii="Arial" w:cs="Arial" w:eastAsia="Arial" w:hAnsi="Arial"/>
                <w:sz w:val="14"/>
                <w:szCs w:val="14"/>
                <w:color w:val="auto"/>
              </w:rPr>
              <w:t>560.3</w:t>
            </w:r>
          </w:p>
        </w:tc>
        <w:tc>
          <w:tcPr>
            <w:tcW w:w="10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549.2</w:t>
            </w:r>
          </w:p>
        </w:tc>
        <w:tc>
          <w:tcPr>
            <w:tcW w:w="10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542.6</w:t>
            </w:r>
          </w:p>
        </w:tc>
        <w:tc>
          <w:tcPr>
            <w:tcW w:w="12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ind w:right="89"/>
              <w:spacing w:after="0"/>
              <w:rPr>
                <w:sz w:val="20"/>
                <w:szCs w:val="20"/>
                <w:color w:val="auto"/>
              </w:rPr>
            </w:pPr>
            <w:r>
              <w:rPr>
                <w:rFonts w:ascii="Arial" w:cs="Arial" w:eastAsia="Arial" w:hAnsi="Arial"/>
                <w:sz w:val="14"/>
                <w:szCs w:val="14"/>
                <w:color w:val="auto"/>
              </w:rPr>
              <w:t>547.1</w:t>
            </w:r>
          </w:p>
        </w:tc>
        <w:tc>
          <w:tcPr>
            <w:tcW w:w="10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538.4</w:t>
            </w:r>
          </w:p>
        </w:tc>
      </w:tr>
      <w:tr>
        <w:trPr>
          <w:trHeight w:val="20"/>
        </w:trPr>
        <w:tc>
          <w:tcPr>
            <w:tcW w:w="544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r>
      <w:tr>
        <w:trPr>
          <w:trHeight w:val="177"/>
        </w:trPr>
        <w:tc>
          <w:tcPr>
            <w:tcW w:w="5440" w:type="dxa"/>
            <w:vAlign w:val="bottom"/>
          </w:tcPr>
          <w:p>
            <w:pPr>
              <w:ind w:left="20"/>
              <w:spacing w:after="0"/>
              <w:rPr>
                <w:sz w:val="20"/>
                <w:szCs w:val="20"/>
                <w:color w:val="auto"/>
              </w:rPr>
            </w:pPr>
            <w:r>
              <w:rPr>
                <w:rFonts w:ascii="Arial" w:cs="Arial" w:eastAsia="Arial" w:hAnsi="Arial"/>
                <w:sz w:val="14"/>
                <w:szCs w:val="14"/>
                <w:color w:val="auto"/>
              </w:rPr>
              <w:t>Estimated REIT taxable income (loss) per common share - basic</w:t>
            </w:r>
          </w:p>
        </w:tc>
        <w:tc>
          <w:tcPr>
            <w:tcW w:w="180" w:type="dxa"/>
            <w:vAlign w:val="bottom"/>
          </w:tcPr>
          <w:p>
            <w:pPr>
              <w:jc w:val="right"/>
              <w:ind w:right="28"/>
              <w:spacing w:after="0"/>
              <w:rPr>
                <w:sz w:val="20"/>
                <w:szCs w:val="20"/>
                <w:color w:val="auto"/>
              </w:rPr>
            </w:pPr>
            <w:r>
              <w:rPr>
                <w:rFonts w:ascii="Arial" w:cs="Arial" w:eastAsia="Arial" w:hAnsi="Arial"/>
                <w:sz w:val="14"/>
                <w:szCs w:val="14"/>
                <w:color w:val="auto"/>
                <w:w w:val="76"/>
              </w:rPr>
              <w:t>$</w:t>
            </w:r>
          </w:p>
        </w:tc>
        <w:tc>
          <w:tcPr>
            <w:tcW w:w="820" w:type="dxa"/>
            <w:vAlign w:val="bottom"/>
          </w:tcPr>
          <w:p>
            <w:pPr>
              <w:jc w:val="right"/>
              <w:ind w:right="49"/>
              <w:spacing w:after="0"/>
              <w:rPr>
                <w:sz w:val="20"/>
                <w:szCs w:val="20"/>
                <w:color w:val="auto"/>
              </w:rPr>
            </w:pPr>
            <w:r>
              <w:rPr>
                <w:rFonts w:ascii="Arial" w:cs="Arial" w:eastAsia="Arial" w:hAnsi="Arial"/>
                <w:sz w:val="14"/>
                <w:szCs w:val="14"/>
                <w:color w:val="auto"/>
              </w:rPr>
              <w:t>(0.01)</w:t>
            </w:r>
          </w:p>
        </w:tc>
        <w:tc>
          <w:tcPr>
            <w:tcW w:w="100" w:type="dxa"/>
            <w:vAlign w:val="bottom"/>
          </w:tcPr>
          <w:p>
            <w:pPr>
              <w:spacing w:after="0"/>
              <w:rPr>
                <w:sz w:val="15"/>
                <w:szCs w:val="15"/>
                <w:color w:val="auto"/>
              </w:rPr>
            </w:pPr>
          </w:p>
        </w:tc>
        <w:tc>
          <w:tcPr>
            <w:tcW w:w="160" w:type="dxa"/>
            <w:vAlign w:val="bottom"/>
          </w:tcPr>
          <w:p>
            <w:pPr>
              <w:jc w:val="right"/>
              <w:ind w:right="8"/>
              <w:spacing w:after="0"/>
              <w:rPr>
                <w:sz w:val="20"/>
                <w:szCs w:val="20"/>
                <w:color w:val="auto"/>
              </w:rPr>
            </w:pPr>
            <w:r>
              <w:rPr>
                <w:rFonts w:ascii="Arial" w:cs="Arial" w:eastAsia="Arial" w:hAnsi="Arial"/>
                <w:sz w:val="14"/>
                <w:szCs w:val="14"/>
                <w:color w:val="auto"/>
                <w:w w:val="76"/>
              </w:rPr>
              <w:t>$</w:t>
            </w:r>
          </w:p>
        </w:tc>
        <w:tc>
          <w:tcPr>
            <w:tcW w:w="840" w:type="dxa"/>
            <w:vAlign w:val="bottom"/>
          </w:tcPr>
          <w:p>
            <w:pPr>
              <w:jc w:val="right"/>
              <w:ind w:right="69"/>
              <w:spacing w:after="0"/>
              <w:rPr>
                <w:sz w:val="20"/>
                <w:szCs w:val="20"/>
                <w:color w:val="auto"/>
              </w:rPr>
            </w:pPr>
            <w:r>
              <w:rPr>
                <w:rFonts w:ascii="Arial" w:cs="Arial" w:eastAsia="Arial" w:hAnsi="Arial"/>
                <w:sz w:val="14"/>
                <w:szCs w:val="14"/>
                <w:color w:val="auto"/>
              </w:rPr>
              <w:t>0.20</w:t>
            </w:r>
          </w:p>
        </w:tc>
        <w:tc>
          <w:tcPr>
            <w:tcW w:w="2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69"/>
              <w:spacing w:after="0"/>
              <w:rPr>
                <w:sz w:val="20"/>
                <w:szCs w:val="20"/>
                <w:color w:val="auto"/>
              </w:rPr>
            </w:pPr>
            <w:r>
              <w:rPr>
                <w:rFonts w:ascii="Arial" w:cs="Arial" w:eastAsia="Arial" w:hAnsi="Arial"/>
                <w:sz w:val="14"/>
                <w:szCs w:val="14"/>
                <w:color w:val="auto"/>
              </w:rPr>
              <w:t>0.18</w:t>
            </w:r>
          </w:p>
        </w:tc>
        <w:tc>
          <w:tcPr>
            <w:tcW w:w="120" w:type="dxa"/>
            <w:vAlign w:val="bottom"/>
          </w:tcPr>
          <w:p>
            <w:pPr>
              <w:spacing w:after="0"/>
              <w:rPr>
                <w:sz w:val="15"/>
                <w:szCs w:val="15"/>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tcPr>
          <w:p>
            <w:pPr>
              <w:jc w:val="right"/>
              <w:ind w:right="89"/>
              <w:spacing w:after="0"/>
              <w:rPr>
                <w:sz w:val="20"/>
                <w:szCs w:val="20"/>
                <w:color w:val="auto"/>
              </w:rPr>
            </w:pPr>
            <w:r>
              <w:rPr>
                <w:rFonts w:ascii="Arial" w:cs="Arial" w:eastAsia="Arial" w:hAnsi="Arial"/>
                <w:sz w:val="14"/>
                <w:szCs w:val="14"/>
                <w:color w:val="auto"/>
              </w:rPr>
              <w:t>0.29</w:t>
            </w:r>
          </w:p>
        </w:tc>
        <w:tc>
          <w:tcPr>
            <w:tcW w:w="100" w:type="dxa"/>
            <w:vAlign w:val="bottom"/>
          </w:tcPr>
          <w:p>
            <w:pPr>
              <w:spacing w:after="0"/>
              <w:rPr>
                <w:sz w:val="15"/>
                <w:szCs w:val="15"/>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69"/>
              <w:spacing w:after="0"/>
              <w:rPr>
                <w:sz w:val="20"/>
                <w:szCs w:val="20"/>
                <w:color w:val="auto"/>
              </w:rPr>
            </w:pPr>
            <w:r>
              <w:rPr>
                <w:rFonts w:ascii="Arial" w:cs="Arial" w:eastAsia="Arial" w:hAnsi="Arial"/>
                <w:sz w:val="14"/>
                <w:szCs w:val="14"/>
                <w:color w:val="auto"/>
              </w:rPr>
              <w:t>0.32</w:t>
            </w:r>
          </w:p>
        </w:tc>
      </w:tr>
      <w:tr>
        <w:trPr>
          <w:trHeight w:val="20"/>
        </w:trPr>
        <w:tc>
          <w:tcPr>
            <w:tcW w:w="5440" w:type="dxa"/>
            <w:vAlign w:val="bottom"/>
            <w:tcBorders>
              <w:bottom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r>
      <w:tr>
        <w:trPr>
          <w:trHeight w:val="216"/>
        </w:trPr>
        <w:tc>
          <w:tcPr>
            <w:tcW w:w="5440" w:type="dxa"/>
            <w:vAlign w:val="bottom"/>
            <w:shd w:val="clear" w:color="auto" w:fill="CCEEFF"/>
          </w:tcPr>
          <w:p>
            <w:pPr>
              <w:ind w:left="20"/>
              <w:spacing w:after="0"/>
              <w:rPr>
                <w:sz w:val="20"/>
                <w:szCs w:val="20"/>
                <w:color w:val="auto"/>
              </w:rPr>
            </w:pPr>
            <w:r>
              <w:rPr>
                <w:rFonts w:ascii="Arial" w:cs="Arial" w:eastAsia="Arial" w:hAnsi="Arial"/>
                <w:sz w:val="14"/>
                <w:szCs w:val="14"/>
                <w:color w:val="auto"/>
              </w:rPr>
              <w:t>Estimated REIT taxable income (loss) per common share - diluted</w:t>
            </w: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82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(0.01)</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84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0.20</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0.18</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0.29</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0.32</w:t>
            </w:r>
          </w:p>
        </w:tc>
      </w:tr>
      <w:tr>
        <w:trPr>
          <w:trHeight w:val="20"/>
        </w:trPr>
        <w:tc>
          <w:tcPr>
            <w:tcW w:w="544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r>
      <w:tr>
        <w:trPr>
          <w:trHeight w:val="271"/>
        </w:trPr>
        <w:tc>
          <w:tcPr>
            <w:tcW w:w="544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8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8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9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800" w:type="dxa"/>
            <w:vAlign w:val="bottom"/>
          </w:tcPr>
          <w:p>
            <w:pPr>
              <w:spacing w:after="0"/>
              <w:rPr>
                <w:sz w:val="23"/>
                <w:szCs w:val="23"/>
                <w:color w:val="auto"/>
              </w:rPr>
            </w:pPr>
          </w:p>
        </w:tc>
      </w:tr>
      <w:tr>
        <w:trPr>
          <w:trHeight w:val="203"/>
        </w:trPr>
        <w:tc>
          <w:tcPr>
            <w:tcW w:w="5440" w:type="dxa"/>
            <w:vAlign w:val="bottom"/>
            <w:shd w:val="clear" w:color="auto" w:fill="CCEEFF"/>
          </w:tcPr>
          <w:p>
            <w:pPr>
              <w:ind w:left="20"/>
              <w:spacing w:after="0"/>
              <w:rPr>
                <w:sz w:val="20"/>
                <w:szCs w:val="20"/>
                <w:color w:val="auto"/>
              </w:rPr>
            </w:pPr>
            <w:r>
              <w:rPr>
                <w:rFonts w:ascii="Arial" w:cs="Arial" w:eastAsia="Arial" w:hAnsi="Arial"/>
                <w:sz w:val="14"/>
                <w:szCs w:val="14"/>
                <w:color w:val="auto"/>
              </w:rPr>
              <w:t>Beginning cumulative non-deductible net capital loss</w:t>
            </w: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82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426</w:t>
            </w: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84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394</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524</w:t>
            </w: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490</w:t>
            </w: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170</w:t>
            </w:r>
          </w:p>
        </w:tc>
      </w:tr>
      <w:tr>
        <w:trPr>
          <w:trHeight w:val="197"/>
        </w:trPr>
        <w:tc>
          <w:tcPr>
            <w:tcW w:w="544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Increase (decrease) in net capital loss carryforward</w:t>
            </w:r>
          </w:p>
        </w:tc>
        <w:tc>
          <w:tcPr>
            <w:tcW w:w="18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ind w:right="49"/>
              <w:spacing w:after="0"/>
              <w:rPr>
                <w:sz w:val="20"/>
                <w:szCs w:val="20"/>
                <w:color w:val="auto"/>
              </w:rPr>
            </w:pPr>
            <w:r>
              <w:rPr>
                <w:rFonts w:ascii="Arial" w:cs="Arial" w:eastAsia="Arial" w:hAnsi="Arial"/>
                <w:sz w:val="14"/>
                <w:szCs w:val="14"/>
                <w:color w:val="auto"/>
              </w:rPr>
              <w:t>(426)</w:t>
            </w:r>
          </w:p>
        </w:tc>
        <w:tc>
          <w:tcPr>
            <w:tcW w:w="10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840" w:type="dxa"/>
            <w:vAlign w:val="bottom"/>
            <w:tcBorders>
              <w:bottom w:val="single" w:sz="8" w:color="auto"/>
            </w:tcBorders>
          </w:tcPr>
          <w:p>
            <w:pPr>
              <w:jc w:val="right"/>
              <w:ind w:right="69"/>
              <w:spacing w:after="0"/>
              <w:rPr>
                <w:sz w:val="20"/>
                <w:szCs w:val="20"/>
                <w:color w:val="auto"/>
              </w:rPr>
            </w:pPr>
            <w:r>
              <w:rPr>
                <w:rFonts w:ascii="Arial" w:cs="Arial" w:eastAsia="Arial" w:hAnsi="Arial"/>
                <w:sz w:val="14"/>
                <w:szCs w:val="14"/>
                <w:color w:val="auto"/>
              </w:rPr>
              <w:t>32</w:t>
            </w:r>
          </w:p>
        </w:tc>
        <w:tc>
          <w:tcPr>
            <w:tcW w:w="10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88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(130)</w:t>
            </w:r>
          </w:p>
        </w:tc>
        <w:tc>
          <w:tcPr>
            <w:tcW w:w="12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ind w:right="89"/>
              <w:spacing w:after="0"/>
              <w:rPr>
                <w:sz w:val="20"/>
                <w:szCs w:val="20"/>
                <w:color w:val="auto"/>
              </w:rPr>
            </w:pPr>
            <w:r>
              <w:rPr>
                <w:rFonts w:ascii="Arial" w:cs="Arial" w:eastAsia="Arial" w:hAnsi="Arial"/>
                <w:sz w:val="14"/>
                <w:szCs w:val="14"/>
                <w:color w:val="auto"/>
              </w:rPr>
              <w:t>34</w:t>
            </w:r>
          </w:p>
        </w:tc>
        <w:tc>
          <w:tcPr>
            <w:tcW w:w="10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ind w:right="69"/>
              <w:spacing w:after="0"/>
              <w:rPr>
                <w:sz w:val="20"/>
                <w:szCs w:val="20"/>
                <w:color w:val="auto"/>
              </w:rPr>
            </w:pPr>
            <w:r>
              <w:rPr>
                <w:rFonts w:ascii="Arial" w:cs="Arial" w:eastAsia="Arial" w:hAnsi="Arial"/>
                <w:sz w:val="14"/>
                <w:szCs w:val="14"/>
                <w:color w:val="auto"/>
              </w:rPr>
              <w:t>320</w:t>
            </w:r>
          </w:p>
        </w:tc>
      </w:tr>
      <w:tr>
        <w:trPr>
          <w:trHeight w:val="222"/>
        </w:trPr>
        <w:tc>
          <w:tcPr>
            <w:tcW w:w="5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Ending cumulative non-deductible net capital loss</w:t>
            </w:r>
          </w:p>
        </w:tc>
        <w:tc>
          <w:tcPr>
            <w:tcW w:w="1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820" w:type="dxa"/>
            <w:vAlign w:val="bottom"/>
            <w:tcBorders>
              <w:bottom w:val="single" w:sz="8" w:color="auto"/>
            </w:tcBorders>
            <w:shd w:val="clear" w:color="auto" w:fill="CCEEFF"/>
          </w:tcPr>
          <w:p>
            <w:pPr>
              <w:jc w:val="right"/>
              <w:ind w:right="89"/>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84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426</w:t>
            </w: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394</w:t>
            </w:r>
          </w:p>
        </w:tc>
        <w:tc>
          <w:tcPr>
            <w:tcW w:w="12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tcBorders>
              <w:bottom w:val="single" w:sz="8" w:color="auto"/>
            </w:tcBorders>
            <w:shd w:val="clear" w:color="auto" w:fill="CCEEFF"/>
          </w:tcPr>
          <w:p>
            <w:pPr>
              <w:jc w:val="right"/>
              <w:ind w:right="89"/>
              <w:spacing w:after="0"/>
              <w:rPr>
                <w:sz w:val="20"/>
                <w:szCs w:val="20"/>
                <w:color w:val="auto"/>
              </w:rPr>
            </w:pPr>
            <w:r>
              <w:rPr>
                <w:rFonts w:ascii="Arial" w:cs="Arial" w:eastAsia="Arial" w:hAnsi="Arial"/>
                <w:sz w:val="14"/>
                <w:szCs w:val="14"/>
                <w:color w:val="auto"/>
              </w:rPr>
              <w:t>524</w:t>
            </w:r>
          </w:p>
        </w:tc>
        <w:tc>
          <w:tcPr>
            <w:tcW w:w="10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490</w:t>
            </w:r>
          </w:p>
        </w:tc>
      </w:tr>
      <w:tr>
        <w:trPr>
          <w:trHeight w:val="20"/>
        </w:trPr>
        <w:tc>
          <w:tcPr>
            <w:tcW w:w="54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r>
        <w:trPr>
          <w:trHeight w:val="177"/>
        </w:trPr>
        <w:tc>
          <w:tcPr>
            <w:tcW w:w="5440" w:type="dxa"/>
            <w:vAlign w:val="bottom"/>
          </w:tcPr>
          <w:p>
            <w:pPr>
              <w:ind w:left="20"/>
              <w:spacing w:after="0"/>
              <w:rPr>
                <w:sz w:val="20"/>
                <w:szCs w:val="20"/>
                <w:color w:val="auto"/>
              </w:rPr>
            </w:pPr>
            <w:r>
              <w:rPr>
                <w:rFonts w:ascii="Arial" w:cs="Arial" w:eastAsia="Arial" w:hAnsi="Arial"/>
                <w:sz w:val="14"/>
                <w:szCs w:val="14"/>
                <w:color w:val="auto"/>
              </w:rPr>
              <w:t>Ending cumulative non-deductible net capital loss per common share</w:t>
            </w:r>
          </w:p>
        </w:tc>
        <w:tc>
          <w:tcPr>
            <w:tcW w:w="180" w:type="dxa"/>
            <w:vAlign w:val="bottom"/>
          </w:tcPr>
          <w:p>
            <w:pPr>
              <w:jc w:val="right"/>
              <w:ind w:right="28"/>
              <w:spacing w:after="0"/>
              <w:rPr>
                <w:sz w:val="20"/>
                <w:szCs w:val="20"/>
                <w:color w:val="auto"/>
              </w:rPr>
            </w:pPr>
            <w:r>
              <w:rPr>
                <w:rFonts w:ascii="Arial" w:cs="Arial" w:eastAsia="Arial" w:hAnsi="Arial"/>
                <w:sz w:val="14"/>
                <w:szCs w:val="14"/>
                <w:color w:val="auto"/>
                <w:w w:val="76"/>
              </w:rPr>
              <w:t>$</w:t>
            </w:r>
          </w:p>
        </w:tc>
        <w:tc>
          <w:tcPr>
            <w:tcW w:w="92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60" w:type="dxa"/>
            <w:vAlign w:val="bottom"/>
          </w:tcPr>
          <w:p>
            <w:pPr>
              <w:jc w:val="right"/>
              <w:ind w:right="8"/>
              <w:spacing w:after="0"/>
              <w:rPr>
                <w:sz w:val="20"/>
                <w:szCs w:val="20"/>
                <w:color w:val="auto"/>
              </w:rPr>
            </w:pPr>
            <w:r>
              <w:rPr>
                <w:rFonts w:ascii="Arial" w:cs="Arial" w:eastAsia="Arial" w:hAnsi="Arial"/>
                <w:sz w:val="14"/>
                <w:szCs w:val="14"/>
                <w:color w:val="auto"/>
                <w:w w:val="76"/>
              </w:rPr>
              <w:t>$</w:t>
            </w:r>
          </w:p>
        </w:tc>
        <w:tc>
          <w:tcPr>
            <w:tcW w:w="840" w:type="dxa"/>
            <w:vAlign w:val="bottom"/>
          </w:tcPr>
          <w:p>
            <w:pPr>
              <w:jc w:val="right"/>
              <w:ind w:right="69"/>
              <w:spacing w:after="0"/>
              <w:rPr>
                <w:sz w:val="20"/>
                <w:szCs w:val="20"/>
                <w:color w:val="auto"/>
              </w:rPr>
            </w:pPr>
            <w:r>
              <w:rPr>
                <w:rFonts w:ascii="Arial" w:cs="Arial" w:eastAsia="Arial" w:hAnsi="Arial"/>
                <w:sz w:val="14"/>
                <w:szCs w:val="14"/>
                <w:color w:val="auto"/>
              </w:rPr>
              <w:t>0.75</w:t>
            </w:r>
          </w:p>
        </w:tc>
        <w:tc>
          <w:tcPr>
            <w:tcW w:w="2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69"/>
              <w:spacing w:after="0"/>
              <w:rPr>
                <w:sz w:val="20"/>
                <w:szCs w:val="20"/>
                <w:color w:val="auto"/>
              </w:rPr>
            </w:pPr>
            <w:r>
              <w:rPr>
                <w:rFonts w:ascii="Arial" w:cs="Arial" w:eastAsia="Arial" w:hAnsi="Arial"/>
                <w:sz w:val="14"/>
                <w:szCs w:val="14"/>
                <w:color w:val="auto"/>
              </w:rPr>
              <w:t>0.73</w:t>
            </w:r>
          </w:p>
        </w:tc>
        <w:tc>
          <w:tcPr>
            <w:tcW w:w="120" w:type="dxa"/>
            <w:vAlign w:val="bottom"/>
          </w:tcPr>
          <w:p>
            <w:pPr>
              <w:spacing w:after="0"/>
              <w:rPr>
                <w:sz w:val="15"/>
                <w:szCs w:val="15"/>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tcPr>
          <w:p>
            <w:pPr>
              <w:jc w:val="right"/>
              <w:ind w:right="89"/>
              <w:spacing w:after="0"/>
              <w:rPr>
                <w:sz w:val="20"/>
                <w:szCs w:val="20"/>
                <w:color w:val="auto"/>
              </w:rPr>
            </w:pPr>
            <w:r>
              <w:rPr>
                <w:rFonts w:ascii="Arial" w:cs="Arial" w:eastAsia="Arial" w:hAnsi="Arial"/>
                <w:sz w:val="14"/>
                <w:szCs w:val="14"/>
                <w:color w:val="auto"/>
              </w:rPr>
              <w:t>0.97</w:t>
            </w:r>
          </w:p>
        </w:tc>
        <w:tc>
          <w:tcPr>
            <w:tcW w:w="100" w:type="dxa"/>
            <w:vAlign w:val="bottom"/>
          </w:tcPr>
          <w:p>
            <w:pPr>
              <w:spacing w:after="0"/>
              <w:rPr>
                <w:sz w:val="15"/>
                <w:szCs w:val="15"/>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69"/>
              <w:spacing w:after="0"/>
              <w:rPr>
                <w:sz w:val="20"/>
                <w:szCs w:val="20"/>
                <w:color w:val="auto"/>
              </w:rPr>
            </w:pPr>
            <w:r>
              <w:rPr>
                <w:rFonts w:ascii="Arial" w:cs="Arial" w:eastAsia="Arial" w:hAnsi="Arial"/>
                <w:sz w:val="14"/>
                <w:szCs w:val="14"/>
                <w:color w:val="auto"/>
              </w:rPr>
              <w:t>0.89</w:t>
            </w:r>
          </w:p>
        </w:tc>
      </w:tr>
      <w:tr>
        <w:trPr>
          <w:trHeight w:val="20"/>
        </w:trPr>
        <w:tc>
          <w:tcPr>
            <w:tcW w:w="544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r>
    </w:tbl>
    <w:p>
      <w:pPr>
        <w:sectPr>
          <w:pgSz w:w="11900" w:h="16838" w:orient="portrait"/>
          <w:cols w:equalWidth="0" w:num="1">
            <w:col w:w="11200"/>
          </w:cols>
          <w:pgMar w:left="320" w:top="147" w:right="379" w:bottom="1440" w:gutter="0" w:footer="0" w:header="0"/>
        </w:sectPr>
      </w:pPr>
    </w:p>
    <w:bookmarkStart w:id="14" w:name="page15"/>
    <w:bookmarkEnd w:id="14"/>
    <w:p>
      <w:pPr>
        <w:spacing w:after="0"/>
        <w:rPr>
          <w:sz w:val="20"/>
          <w:szCs w:val="20"/>
          <w:color w:val="auto"/>
        </w:rPr>
      </w:pPr>
      <w:r>
        <w:rPr>
          <w:rFonts w:ascii="Arial" w:cs="Arial" w:eastAsia="Arial" w:hAnsi="Arial"/>
          <w:sz w:val="22"/>
          <w:szCs w:val="22"/>
          <w:color w:val="auto"/>
        </w:rPr>
        <w:t>AGNC Investment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July 27, 2020</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12</w:t>
      </w:r>
    </w:p>
    <w:p>
      <w:pPr>
        <w:spacing w:after="0" w:line="200" w:lineRule="exact"/>
        <w:rPr>
          <w:sz w:val="20"/>
          <w:szCs w:val="20"/>
          <w:color w:val="auto"/>
        </w:rPr>
      </w:pPr>
    </w:p>
    <w:p>
      <w:pPr>
        <w:spacing w:after="0" w:line="277" w:lineRule="exact"/>
        <w:rPr>
          <w:sz w:val="20"/>
          <w:szCs w:val="20"/>
          <w:color w:val="auto"/>
        </w:rPr>
      </w:pPr>
    </w:p>
    <w:p>
      <w:pPr>
        <w:jc w:val="center"/>
        <w:ind w:right="-319"/>
        <w:spacing w:after="0"/>
        <w:rPr>
          <w:sz w:val="20"/>
          <w:szCs w:val="20"/>
          <w:color w:val="auto"/>
        </w:rPr>
      </w:pPr>
      <w:r>
        <w:rPr>
          <w:rFonts w:ascii="Arial" w:cs="Arial" w:eastAsia="Arial" w:hAnsi="Arial"/>
          <w:sz w:val="14"/>
          <w:szCs w:val="14"/>
          <w:color w:val="auto"/>
        </w:rPr>
        <w:t>AGNC INVESTMENT CORP.</w:t>
      </w:r>
    </w:p>
    <w:p>
      <w:pPr>
        <w:spacing w:after="0" w:line="28" w:lineRule="exact"/>
        <w:rPr>
          <w:sz w:val="20"/>
          <w:szCs w:val="20"/>
          <w:color w:val="auto"/>
        </w:rPr>
      </w:pPr>
    </w:p>
    <w:p>
      <w:pPr>
        <w:jc w:val="center"/>
        <w:ind w:right="-319"/>
        <w:spacing w:after="0"/>
        <w:rPr>
          <w:sz w:val="20"/>
          <w:szCs w:val="20"/>
          <w:color w:val="auto"/>
        </w:rPr>
      </w:pPr>
      <w:r>
        <w:rPr>
          <w:rFonts w:ascii="Arial" w:cs="Arial" w:eastAsia="Arial" w:hAnsi="Arial"/>
          <w:sz w:val="14"/>
          <w:szCs w:val="14"/>
          <w:color w:val="auto"/>
        </w:rPr>
        <w:t xml:space="preserve">NET INTEREST SPREAD COMPONENTS BY FUNDING SOURCE </w:t>
      </w:r>
      <w:r>
        <w:rPr>
          <w:rFonts w:ascii="Arial" w:cs="Arial" w:eastAsia="Arial" w:hAnsi="Arial"/>
          <w:sz w:val="9"/>
          <w:szCs w:val="9"/>
          <w:color w:val="auto"/>
        </w:rPr>
        <w:t>2</w:t>
      </w:r>
    </w:p>
    <w:p>
      <w:pPr>
        <w:spacing w:after="0" w:line="42" w:lineRule="exact"/>
        <w:rPr>
          <w:sz w:val="20"/>
          <w:szCs w:val="20"/>
          <w:color w:val="auto"/>
        </w:rPr>
      </w:pPr>
    </w:p>
    <w:p>
      <w:pPr>
        <w:jc w:val="center"/>
        <w:ind w:right="-319"/>
        <w:spacing w:after="0"/>
        <w:rPr>
          <w:sz w:val="20"/>
          <w:szCs w:val="20"/>
          <w:color w:val="auto"/>
        </w:rPr>
      </w:pPr>
      <w:r>
        <w:rPr>
          <w:rFonts w:ascii="Arial" w:cs="Arial" w:eastAsia="Arial" w:hAnsi="Arial"/>
          <w:sz w:val="14"/>
          <w:szCs w:val="14"/>
          <w:color w:val="auto"/>
        </w:rPr>
        <w:t>(in millions, except per share data)</w:t>
      </w:r>
    </w:p>
    <w:p>
      <w:pPr>
        <w:spacing w:after="0" w:line="42" w:lineRule="exact"/>
        <w:rPr>
          <w:sz w:val="20"/>
          <w:szCs w:val="20"/>
          <w:color w:val="auto"/>
        </w:rPr>
      </w:pPr>
    </w:p>
    <w:p>
      <w:pPr>
        <w:jc w:val="center"/>
        <w:ind w:right="-319"/>
        <w:spacing w:after="0"/>
        <w:rPr>
          <w:sz w:val="20"/>
          <w:szCs w:val="20"/>
          <w:color w:val="auto"/>
        </w:rPr>
      </w:pPr>
      <w:r>
        <w:rPr>
          <w:rFonts w:ascii="Arial" w:cs="Arial" w:eastAsia="Arial" w:hAnsi="Arial"/>
          <w:sz w:val="14"/>
          <w:szCs w:val="14"/>
          <w:color w:val="auto"/>
        </w:rPr>
        <w:t>(unaudited)</w:t>
      </w:r>
    </w:p>
    <w:p>
      <w:pPr>
        <w:spacing w:after="0" w:line="100" w:lineRule="exact"/>
        <w:rPr>
          <w:sz w:val="20"/>
          <w:szCs w:val="20"/>
          <w:color w:val="auto"/>
        </w:rPr>
      </w:pPr>
    </w:p>
    <w:tbl>
      <w:tblPr>
        <w:tblLayout w:type="fixed"/>
        <w:tblInd w:w="340" w:type="dxa"/>
        <w:tblCellMar>
          <w:top w:w="0" w:type="dxa"/>
          <w:left w:w="0" w:type="dxa"/>
          <w:bottom w:w="0" w:type="dxa"/>
          <w:right w:w="0" w:type="dxa"/>
        </w:tblCellMar>
      </w:tblPr>
      <w:tr>
        <w:trPr>
          <w:trHeight w:val="170"/>
        </w:trPr>
        <w:tc>
          <w:tcPr>
            <w:tcW w:w="510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gridSpan w:val="5"/>
          </w:tcPr>
          <w:p>
            <w:pPr>
              <w:spacing w:after="0"/>
              <w:rPr>
                <w:sz w:val="20"/>
                <w:szCs w:val="20"/>
                <w:color w:val="auto"/>
              </w:rPr>
            </w:pPr>
            <w:r>
              <w:rPr>
                <w:rFonts w:ascii="Arial" w:cs="Arial" w:eastAsia="Arial" w:hAnsi="Arial"/>
                <w:sz w:val="13"/>
                <w:szCs w:val="13"/>
                <w:color w:val="auto"/>
              </w:rPr>
              <w:t>Three Months Ended</w:t>
            </w:r>
          </w:p>
        </w:tc>
        <w:tc>
          <w:tcPr>
            <w:tcW w:w="7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22"/>
        </w:trPr>
        <w:tc>
          <w:tcPr>
            <w:tcW w:w="51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700" w:type="dxa"/>
            <w:vAlign w:val="bottom"/>
          </w:tcPr>
          <w:p>
            <w:pPr>
              <w:jc w:val="right"/>
              <w:ind w:right="109"/>
              <w:spacing w:after="0" w:line="122" w:lineRule="exact"/>
              <w:rPr>
                <w:sz w:val="20"/>
                <w:szCs w:val="20"/>
                <w:color w:val="auto"/>
              </w:rPr>
            </w:pPr>
            <w:r>
              <w:rPr>
                <w:rFonts w:ascii="Arial" w:cs="Arial" w:eastAsia="Arial" w:hAnsi="Arial"/>
                <w:sz w:val="13"/>
                <w:szCs w:val="13"/>
                <w:color w:val="auto"/>
              </w:rPr>
              <w:t>June 30,</w:t>
            </w: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740" w:type="dxa"/>
            <w:vAlign w:val="bottom"/>
          </w:tcPr>
          <w:p>
            <w:pPr>
              <w:jc w:val="right"/>
              <w:ind w:right="49"/>
              <w:spacing w:after="0" w:line="122" w:lineRule="exact"/>
              <w:rPr>
                <w:sz w:val="20"/>
                <w:szCs w:val="20"/>
                <w:color w:val="auto"/>
              </w:rPr>
            </w:pPr>
            <w:r>
              <w:rPr>
                <w:rFonts w:ascii="Arial" w:cs="Arial" w:eastAsia="Arial" w:hAnsi="Arial"/>
                <w:sz w:val="13"/>
                <w:szCs w:val="13"/>
                <w:color w:val="auto"/>
              </w:rPr>
              <w:t>March 31,</w:t>
            </w:r>
          </w:p>
        </w:tc>
        <w:tc>
          <w:tcPr>
            <w:tcW w:w="1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80" w:type="dxa"/>
            <w:vAlign w:val="bottom"/>
          </w:tcPr>
          <w:p>
            <w:pPr>
              <w:jc w:val="right"/>
              <w:spacing w:after="0" w:line="122" w:lineRule="exact"/>
              <w:rPr>
                <w:sz w:val="20"/>
                <w:szCs w:val="20"/>
                <w:color w:val="auto"/>
              </w:rPr>
            </w:pPr>
            <w:r>
              <w:rPr>
                <w:rFonts w:ascii="Arial" w:cs="Arial" w:eastAsia="Arial" w:hAnsi="Arial"/>
                <w:sz w:val="13"/>
                <w:szCs w:val="13"/>
                <w:color w:val="auto"/>
                <w:w w:val="90"/>
              </w:rPr>
              <w:t>December 31,</w:t>
            </w: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780" w:type="dxa"/>
            <w:vAlign w:val="bottom"/>
          </w:tcPr>
          <w:p>
            <w:pPr>
              <w:jc w:val="right"/>
              <w:spacing w:after="0" w:line="122" w:lineRule="exact"/>
              <w:rPr>
                <w:sz w:val="20"/>
                <w:szCs w:val="20"/>
                <w:color w:val="auto"/>
              </w:rPr>
            </w:pPr>
            <w:r>
              <w:rPr>
                <w:rFonts w:ascii="Arial" w:cs="Arial" w:eastAsia="Arial" w:hAnsi="Arial"/>
                <w:sz w:val="13"/>
                <w:szCs w:val="13"/>
                <w:color w:val="auto"/>
                <w:w w:val="86"/>
              </w:rPr>
              <w:t>September 30,</w:t>
            </w: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700" w:type="dxa"/>
            <w:vAlign w:val="bottom"/>
          </w:tcPr>
          <w:p>
            <w:pPr>
              <w:jc w:val="right"/>
              <w:ind w:right="89"/>
              <w:spacing w:after="0" w:line="122" w:lineRule="exact"/>
              <w:rPr>
                <w:sz w:val="20"/>
                <w:szCs w:val="20"/>
                <w:color w:val="auto"/>
              </w:rPr>
            </w:pPr>
            <w:r>
              <w:rPr>
                <w:rFonts w:ascii="Arial" w:cs="Arial" w:eastAsia="Arial" w:hAnsi="Arial"/>
                <w:sz w:val="13"/>
                <w:szCs w:val="13"/>
                <w:color w:val="auto"/>
              </w:rPr>
              <w:t>June 30,</w:t>
            </w: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9"/>
        </w:trPr>
        <w:tc>
          <w:tcPr>
            <w:tcW w:w="510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189"/>
              <w:spacing w:after="0"/>
              <w:rPr>
                <w:sz w:val="20"/>
                <w:szCs w:val="20"/>
                <w:color w:val="auto"/>
              </w:rPr>
            </w:pPr>
            <w:r>
              <w:rPr>
                <w:rFonts w:ascii="Arial" w:cs="Arial" w:eastAsia="Arial" w:hAnsi="Arial"/>
                <w:sz w:val="13"/>
                <w:szCs w:val="13"/>
                <w:color w:val="auto"/>
              </w:rPr>
              <w:t>2020</w:t>
            </w:r>
          </w:p>
        </w:tc>
        <w:tc>
          <w:tcPr>
            <w:tcW w:w="14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189"/>
              <w:spacing w:after="0"/>
              <w:rPr>
                <w:sz w:val="20"/>
                <w:szCs w:val="20"/>
                <w:color w:val="auto"/>
              </w:rPr>
            </w:pPr>
            <w:r>
              <w:rPr>
                <w:rFonts w:ascii="Arial" w:cs="Arial" w:eastAsia="Arial" w:hAnsi="Arial"/>
                <w:sz w:val="13"/>
                <w:szCs w:val="13"/>
                <w:color w:val="auto"/>
              </w:rPr>
              <w:t>2020</w:t>
            </w:r>
          </w:p>
        </w:tc>
        <w:tc>
          <w:tcPr>
            <w:tcW w:w="14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ind w:right="189"/>
              <w:spacing w:after="0"/>
              <w:rPr>
                <w:sz w:val="20"/>
                <w:szCs w:val="20"/>
                <w:color w:val="auto"/>
              </w:rPr>
            </w:pPr>
            <w:r>
              <w:rPr>
                <w:rFonts w:ascii="Arial" w:cs="Arial" w:eastAsia="Arial" w:hAnsi="Arial"/>
                <w:sz w:val="13"/>
                <w:szCs w:val="13"/>
                <w:color w:val="auto"/>
              </w:rPr>
              <w:t>2019</w:t>
            </w:r>
          </w:p>
        </w:tc>
        <w:tc>
          <w:tcPr>
            <w:tcW w:w="1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ind w:right="189"/>
              <w:spacing w:after="0"/>
              <w:rPr>
                <w:sz w:val="20"/>
                <w:szCs w:val="20"/>
                <w:color w:val="auto"/>
              </w:rPr>
            </w:pPr>
            <w:r>
              <w:rPr>
                <w:rFonts w:ascii="Arial" w:cs="Arial" w:eastAsia="Arial" w:hAnsi="Arial"/>
                <w:sz w:val="13"/>
                <w:szCs w:val="13"/>
                <w:color w:val="auto"/>
              </w:rPr>
              <w:t>2019</w:t>
            </w:r>
          </w:p>
        </w:tc>
        <w:tc>
          <w:tcPr>
            <w:tcW w:w="1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169"/>
              <w:spacing w:after="0"/>
              <w:rPr>
                <w:sz w:val="20"/>
                <w:szCs w:val="20"/>
                <w:color w:val="auto"/>
              </w:rPr>
            </w:pPr>
            <w:r>
              <w:rPr>
                <w:rFonts w:ascii="Arial" w:cs="Arial" w:eastAsia="Arial" w:hAnsi="Arial"/>
                <w:sz w:val="13"/>
                <w:szCs w:val="13"/>
                <w:color w:val="auto"/>
              </w:rPr>
              <w:t>2019</w:t>
            </w:r>
          </w:p>
        </w:tc>
        <w:tc>
          <w:tcPr>
            <w:tcW w:w="16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39"/>
        </w:trPr>
        <w:tc>
          <w:tcPr>
            <w:tcW w:w="5100" w:type="dxa"/>
            <w:vAlign w:val="bottom"/>
          </w:tcPr>
          <w:p>
            <w:pPr>
              <w:ind w:left="20"/>
              <w:spacing w:after="0" w:line="139" w:lineRule="exact"/>
              <w:rPr>
                <w:sz w:val="20"/>
                <w:szCs w:val="20"/>
                <w:color w:val="auto"/>
              </w:rPr>
            </w:pPr>
            <w:r>
              <w:rPr>
                <w:rFonts w:ascii="Arial" w:cs="Arial" w:eastAsia="Arial" w:hAnsi="Arial"/>
                <w:sz w:val="14"/>
                <w:szCs w:val="14"/>
                <w:b w:val="1"/>
                <w:bCs w:val="1"/>
                <w:color w:val="auto"/>
              </w:rPr>
              <w:t>Adjusted net interest and dollar roll income, excluding "catch-up" premium</w:t>
            </w:r>
          </w:p>
        </w:tc>
        <w:tc>
          <w:tcPr>
            <w:tcW w:w="2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2"/>
        </w:trPr>
        <w:tc>
          <w:tcPr>
            <w:tcW w:w="5100" w:type="dxa"/>
            <w:vAlign w:val="bottom"/>
          </w:tcPr>
          <w:p>
            <w:pPr>
              <w:ind w:left="20"/>
              <w:spacing w:after="0"/>
              <w:rPr>
                <w:sz w:val="20"/>
                <w:szCs w:val="20"/>
                <w:color w:val="auto"/>
              </w:rPr>
            </w:pPr>
            <w:r>
              <w:rPr>
                <w:rFonts w:ascii="Arial" w:cs="Arial" w:eastAsia="Arial" w:hAnsi="Arial"/>
                <w:sz w:val="14"/>
                <w:szCs w:val="14"/>
                <w:b w:val="1"/>
                <w:bCs w:val="1"/>
                <w:color w:val="auto"/>
              </w:rPr>
              <w:t>amortization:</w:t>
            </w:r>
          </w:p>
        </w:tc>
        <w:tc>
          <w:tcPr>
            <w:tcW w:w="2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5100" w:type="dxa"/>
            <w:vAlign w:val="bottom"/>
            <w:shd w:val="clear" w:color="auto" w:fill="CCEEFF"/>
          </w:tcPr>
          <w:p>
            <w:pPr>
              <w:ind w:left="120"/>
              <w:spacing w:after="0"/>
              <w:rPr>
                <w:sz w:val="20"/>
                <w:szCs w:val="20"/>
                <w:color w:val="auto"/>
              </w:rPr>
            </w:pPr>
            <w:r>
              <w:rPr>
                <w:rFonts w:ascii="Arial" w:cs="Arial" w:eastAsia="Arial" w:hAnsi="Arial"/>
                <w:sz w:val="14"/>
                <w:szCs w:val="14"/>
                <w:color w:val="auto"/>
              </w:rPr>
              <w:t>Economic interest income:</w:t>
            </w: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5100" w:type="dxa"/>
            <w:vAlign w:val="bottom"/>
          </w:tcPr>
          <w:p>
            <w:pPr>
              <w:ind w:left="220"/>
              <w:spacing w:after="0"/>
              <w:rPr>
                <w:sz w:val="20"/>
                <w:szCs w:val="20"/>
                <w:color w:val="auto"/>
              </w:rPr>
            </w:pPr>
            <w:r>
              <w:rPr>
                <w:rFonts w:ascii="Arial" w:cs="Arial" w:eastAsia="Arial" w:hAnsi="Arial"/>
                <w:sz w:val="14"/>
                <w:szCs w:val="14"/>
                <w:color w:val="auto"/>
              </w:rPr>
              <w:t xml:space="preserve">Investment securities - GAAP interest income </w:t>
            </w:r>
            <w:r>
              <w:rPr>
                <w:rFonts w:ascii="Arial" w:cs="Arial" w:eastAsia="Arial" w:hAnsi="Arial"/>
                <w:sz w:val="9"/>
                <w:szCs w:val="9"/>
                <w:color w:val="auto"/>
              </w:rPr>
              <w:t>12</w:t>
            </w: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700" w:type="dxa"/>
            <w:vAlign w:val="bottom"/>
          </w:tcPr>
          <w:p>
            <w:pPr>
              <w:jc w:val="right"/>
              <w:spacing w:after="0"/>
              <w:rPr>
                <w:sz w:val="20"/>
                <w:szCs w:val="20"/>
                <w:color w:val="auto"/>
              </w:rPr>
            </w:pPr>
            <w:r>
              <w:rPr>
                <w:rFonts w:ascii="Arial" w:cs="Arial" w:eastAsia="Arial" w:hAnsi="Arial"/>
                <w:sz w:val="14"/>
                <w:szCs w:val="14"/>
                <w:color w:val="auto"/>
              </w:rPr>
              <w:t>429</w:t>
            </w:r>
          </w:p>
        </w:tc>
        <w:tc>
          <w:tcPr>
            <w:tcW w:w="420" w:type="dxa"/>
            <w:vAlign w:val="bottom"/>
            <w:gridSpan w:val="3"/>
          </w:tcPr>
          <w:p>
            <w:pPr>
              <w:jc w:val="right"/>
              <w:ind w:right="80"/>
              <w:spacing w:after="0"/>
              <w:rPr>
                <w:sz w:val="20"/>
                <w:szCs w:val="20"/>
                <w:color w:val="auto"/>
              </w:rPr>
            </w:pPr>
            <w:r>
              <w:rPr>
                <w:rFonts w:ascii="Arial" w:cs="Arial" w:eastAsia="Arial" w:hAnsi="Arial"/>
                <w:sz w:val="14"/>
                <w:szCs w:val="14"/>
                <w:color w:val="auto"/>
              </w:rPr>
              <w:t>$</w:t>
            </w:r>
          </w:p>
        </w:tc>
        <w:tc>
          <w:tcPr>
            <w:tcW w:w="740" w:type="dxa"/>
            <w:vAlign w:val="bottom"/>
          </w:tcPr>
          <w:p>
            <w:pPr>
              <w:jc w:val="right"/>
              <w:spacing w:after="0"/>
              <w:rPr>
                <w:sz w:val="20"/>
                <w:szCs w:val="20"/>
                <w:color w:val="auto"/>
              </w:rPr>
            </w:pPr>
            <w:r>
              <w:rPr>
                <w:rFonts w:ascii="Arial" w:cs="Arial" w:eastAsia="Arial" w:hAnsi="Arial"/>
                <w:sz w:val="14"/>
                <w:szCs w:val="14"/>
                <w:color w:val="auto"/>
              </w:rPr>
              <w:t>491</w:t>
            </w: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20"/>
                <w:szCs w:val="20"/>
                <w:color w:val="auto"/>
              </w:rPr>
            </w:pPr>
            <w:r>
              <w:rPr>
                <w:rFonts w:ascii="Arial" w:cs="Arial" w:eastAsia="Arial" w:hAnsi="Arial"/>
                <w:sz w:val="14"/>
                <w:szCs w:val="14"/>
                <w:color w:val="auto"/>
              </w:rPr>
              <w:t>$</w:t>
            </w:r>
          </w:p>
        </w:tc>
        <w:tc>
          <w:tcPr>
            <w:tcW w:w="780" w:type="dxa"/>
            <w:vAlign w:val="bottom"/>
          </w:tcPr>
          <w:p>
            <w:pPr>
              <w:jc w:val="right"/>
              <w:spacing w:after="0"/>
              <w:rPr>
                <w:sz w:val="20"/>
                <w:szCs w:val="20"/>
                <w:color w:val="auto"/>
              </w:rPr>
            </w:pPr>
            <w:r>
              <w:rPr>
                <w:rFonts w:ascii="Arial" w:cs="Arial" w:eastAsia="Arial" w:hAnsi="Arial"/>
                <w:sz w:val="14"/>
                <w:szCs w:val="14"/>
                <w:color w:val="auto"/>
              </w:rPr>
              <w:t>768</w:t>
            </w:r>
          </w:p>
        </w:tc>
        <w:tc>
          <w:tcPr>
            <w:tcW w:w="400" w:type="dxa"/>
            <w:vAlign w:val="bottom"/>
            <w:gridSpan w:val="3"/>
          </w:tcPr>
          <w:p>
            <w:pPr>
              <w:jc w:val="right"/>
              <w:ind w:right="40"/>
              <w:spacing w:after="0"/>
              <w:rPr>
                <w:sz w:val="20"/>
                <w:szCs w:val="20"/>
                <w:color w:val="auto"/>
              </w:rPr>
            </w:pPr>
            <w:r>
              <w:rPr>
                <w:rFonts w:ascii="Arial" w:cs="Arial" w:eastAsia="Arial" w:hAnsi="Arial"/>
                <w:sz w:val="14"/>
                <w:szCs w:val="14"/>
                <w:color w:val="auto"/>
              </w:rPr>
              <w:t>$</w:t>
            </w:r>
          </w:p>
        </w:tc>
        <w:tc>
          <w:tcPr>
            <w:tcW w:w="780" w:type="dxa"/>
            <w:vAlign w:val="bottom"/>
          </w:tcPr>
          <w:p>
            <w:pPr>
              <w:jc w:val="right"/>
              <w:spacing w:after="0"/>
              <w:rPr>
                <w:sz w:val="20"/>
                <w:szCs w:val="20"/>
                <w:color w:val="auto"/>
              </w:rPr>
            </w:pPr>
            <w:r>
              <w:rPr>
                <w:rFonts w:ascii="Arial" w:cs="Arial" w:eastAsia="Arial" w:hAnsi="Arial"/>
                <w:sz w:val="14"/>
                <w:szCs w:val="14"/>
                <w:color w:val="auto"/>
              </w:rPr>
              <w:t>676</w:t>
            </w:r>
          </w:p>
        </w:tc>
        <w:tc>
          <w:tcPr>
            <w:tcW w:w="460" w:type="dxa"/>
            <w:vAlign w:val="bottom"/>
            <w:gridSpan w:val="3"/>
          </w:tcPr>
          <w:p>
            <w:pPr>
              <w:jc w:val="right"/>
              <w:ind w:right="120"/>
              <w:spacing w:after="0"/>
              <w:rPr>
                <w:sz w:val="20"/>
                <w:szCs w:val="20"/>
                <w:color w:val="auto"/>
              </w:rPr>
            </w:pPr>
            <w:r>
              <w:rPr>
                <w:rFonts w:ascii="Arial" w:cs="Arial" w:eastAsia="Arial" w:hAnsi="Arial"/>
                <w:sz w:val="14"/>
                <w:szCs w:val="14"/>
                <w:color w:val="auto"/>
              </w:rPr>
              <w:t>$</w:t>
            </w:r>
          </w:p>
        </w:tc>
        <w:tc>
          <w:tcPr>
            <w:tcW w:w="700" w:type="dxa"/>
            <w:vAlign w:val="bottom"/>
          </w:tcPr>
          <w:p>
            <w:pPr>
              <w:jc w:val="right"/>
              <w:spacing w:after="0"/>
              <w:rPr>
                <w:sz w:val="20"/>
                <w:szCs w:val="20"/>
                <w:color w:val="auto"/>
              </w:rPr>
            </w:pPr>
            <w:r>
              <w:rPr>
                <w:rFonts w:ascii="Arial" w:cs="Arial" w:eastAsia="Arial" w:hAnsi="Arial"/>
                <w:sz w:val="14"/>
                <w:szCs w:val="14"/>
                <w:color w:val="auto"/>
              </w:rPr>
              <w:t>693</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41"/>
        </w:trPr>
        <w:tc>
          <w:tcPr>
            <w:tcW w:w="5100" w:type="dxa"/>
            <w:vAlign w:val="bottom"/>
            <w:shd w:val="clear" w:color="auto" w:fill="CCEEFF"/>
          </w:tcPr>
          <w:p>
            <w:pPr>
              <w:ind w:left="220"/>
              <w:spacing w:after="0" w:line="141" w:lineRule="exact"/>
              <w:rPr>
                <w:sz w:val="20"/>
                <w:szCs w:val="20"/>
                <w:color w:val="auto"/>
              </w:rPr>
            </w:pPr>
            <w:r>
              <w:rPr>
                <w:rFonts w:ascii="Arial" w:cs="Arial" w:eastAsia="Arial" w:hAnsi="Arial"/>
                <w:sz w:val="14"/>
                <w:szCs w:val="14"/>
                <w:color w:val="auto"/>
                <w:w w:val="98"/>
              </w:rPr>
              <w:t>Estimated "catch-up" premium amortization cost (benefit) due to change in CPR</w:t>
            </w:r>
          </w:p>
        </w:tc>
        <w:tc>
          <w:tcPr>
            <w:tcW w:w="220" w:type="dxa"/>
            <w:vAlign w:val="bottom"/>
            <w:shd w:val="clear" w:color="auto" w:fill="CCEEFF"/>
          </w:tcPr>
          <w:p>
            <w:pPr>
              <w:spacing w:after="0"/>
              <w:rPr>
                <w:sz w:val="12"/>
                <w:szCs w:val="12"/>
                <w:color w:val="auto"/>
              </w:rPr>
            </w:pPr>
          </w:p>
        </w:tc>
        <w:tc>
          <w:tcPr>
            <w:tcW w:w="7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57</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7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243</w:t>
            </w:r>
          </w:p>
        </w:tc>
        <w:tc>
          <w:tcPr>
            <w:tcW w:w="1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(48)</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55</w:t>
            </w: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7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58</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89"/>
        </w:trPr>
        <w:tc>
          <w:tcPr>
            <w:tcW w:w="51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 xml:space="preserve">forecast </w:t>
            </w:r>
            <w:r>
              <w:rPr>
                <w:rFonts w:ascii="Arial" w:cs="Arial" w:eastAsia="Arial" w:hAnsi="Arial"/>
                <w:sz w:val="9"/>
                <w:szCs w:val="9"/>
                <w:color w:val="auto"/>
              </w:rPr>
              <w:t>11</w:t>
            </w:r>
          </w:p>
        </w:tc>
        <w:tc>
          <w:tcPr>
            <w:tcW w:w="220" w:type="dxa"/>
            <w:vAlign w:val="bottom"/>
            <w:shd w:val="clear" w:color="auto" w:fill="CCEEFF"/>
          </w:tcPr>
          <w:p>
            <w:pPr>
              <w:spacing w:after="0"/>
              <w:rPr>
                <w:sz w:val="16"/>
                <w:szCs w:val="16"/>
                <w:color w:val="auto"/>
              </w:rPr>
            </w:pPr>
          </w:p>
        </w:tc>
        <w:tc>
          <w:tcPr>
            <w:tcW w:w="700" w:type="dxa"/>
            <w:vAlign w:val="bottom"/>
            <w:vMerge w:val="continue"/>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740" w:type="dxa"/>
            <w:vAlign w:val="bottom"/>
            <w:vMerge w:val="continue"/>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80" w:type="dxa"/>
            <w:vAlign w:val="bottom"/>
            <w:vMerge w:val="continue"/>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80" w:type="dxa"/>
            <w:vAlign w:val="bottom"/>
            <w:vMerge w:val="continue"/>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00" w:type="dxa"/>
            <w:vAlign w:val="bottom"/>
            <w:vMerge w:val="continue"/>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97"/>
        </w:trPr>
        <w:tc>
          <w:tcPr>
            <w:tcW w:w="5100" w:type="dxa"/>
            <w:vAlign w:val="bottom"/>
            <w:tcBorders>
              <w:bottom w:val="single" w:sz="8" w:color="CCEEFF"/>
            </w:tcBorders>
          </w:tcPr>
          <w:p>
            <w:pPr>
              <w:ind w:left="220"/>
              <w:spacing w:after="0"/>
              <w:rPr>
                <w:sz w:val="20"/>
                <w:szCs w:val="20"/>
                <w:color w:val="auto"/>
              </w:rPr>
            </w:pPr>
            <w:r>
              <w:rPr>
                <w:rFonts w:ascii="Arial" w:cs="Arial" w:eastAsia="Arial" w:hAnsi="Arial"/>
                <w:sz w:val="14"/>
                <w:szCs w:val="14"/>
                <w:color w:val="auto"/>
              </w:rPr>
              <w:t xml:space="preserve">TBA dollar roll income - implied interest income </w:t>
            </w:r>
            <w:r>
              <w:rPr>
                <w:rFonts w:ascii="Arial" w:cs="Arial" w:eastAsia="Arial" w:hAnsi="Arial"/>
                <w:sz w:val="9"/>
                <w:szCs w:val="9"/>
                <w:color w:val="auto"/>
              </w:rPr>
              <w:t>3,6</w:t>
            </w:r>
          </w:p>
        </w:tc>
        <w:tc>
          <w:tcPr>
            <w:tcW w:w="22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74</w:t>
            </w:r>
          </w:p>
        </w:tc>
        <w:tc>
          <w:tcPr>
            <w:tcW w:w="140" w:type="dxa"/>
            <w:vAlign w:val="bottom"/>
            <w:tcBorders>
              <w:bottom w:val="single" w:sz="8" w:color="auto"/>
            </w:tcBorders>
          </w:tcPr>
          <w:p>
            <w:pPr>
              <w:spacing w:after="0"/>
              <w:rPr>
                <w:sz w:val="17"/>
                <w:szCs w:val="17"/>
                <w:color w:val="auto"/>
              </w:rPr>
            </w:pPr>
          </w:p>
        </w:tc>
        <w:tc>
          <w:tcPr>
            <w:tcW w:w="10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48</w:t>
            </w:r>
          </w:p>
        </w:tc>
        <w:tc>
          <w:tcPr>
            <w:tcW w:w="140" w:type="dxa"/>
            <w:vAlign w:val="bottom"/>
            <w:tcBorders>
              <w:bottom w:val="single" w:sz="8" w:color="auto"/>
            </w:tcBorders>
          </w:tcPr>
          <w:p>
            <w:pPr>
              <w:spacing w:after="0"/>
              <w:rPr>
                <w:sz w:val="17"/>
                <w:szCs w:val="17"/>
                <w:color w:val="auto"/>
              </w:rPr>
            </w:pPr>
          </w:p>
        </w:tc>
        <w:tc>
          <w:tcPr>
            <w:tcW w:w="12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58</w:t>
            </w:r>
          </w:p>
        </w:tc>
        <w:tc>
          <w:tcPr>
            <w:tcW w:w="160" w:type="dxa"/>
            <w:vAlign w:val="bottom"/>
            <w:tcBorders>
              <w:bottom w:val="single" w:sz="8" w:color="auto"/>
            </w:tcBorders>
          </w:tcPr>
          <w:p>
            <w:pPr>
              <w:spacing w:after="0"/>
              <w:rPr>
                <w:sz w:val="17"/>
                <w:szCs w:val="17"/>
                <w:color w:val="auto"/>
              </w:rPr>
            </w:pPr>
          </w:p>
        </w:tc>
        <w:tc>
          <w:tcPr>
            <w:tcW w:w="10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81</w:t>
            </w:r>
          </w:p>
        </w:tc>
        <w:tc>
          <w:tcPr>
            <w:tcW w:w="160" w:type="dxa"/>
            <w:vAlign w:val="bottom"/>
            <w:tcBorders>
              <w:bottom w:val="single" w:sz="8" w:color="auto"/>
            </w:tcBorders>
          </w:tcPr>
          <w:p>
            <w:pPr>
              <w:spacing w:after="0"/>
              <w:rPr>
                <w:sz w:val="17"/>
                <w:szCs w:val="17"/>
                <w:color w:val="auto"/>
              </w:rPr>
            </w:pPr>
          </w:p>
        </w:tc>
        <w:tc>
          <w:tcPr>
            <w:tcW w:w="10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96</w:t>
            </w:r>
          </w:p>
        </w:tc>
        <w:tc>
          <w:tcPr>
            <w:tcW w:w="16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2"/>
        </w:trPr>
        <w:tc>
          <w:tcPr>
            <w:tcW w:w="5100" w:type="dxa"/>
            <w:vAlign w:val="bottom"/>
            <w:shd w:val="clear" w:color="auto" w:fill="CCEEFF"/>
          </w:tcPr>
          <w:p>
            <w:pPr>
              <w:ind w:left="120"/>
              <w:spacing w:after="0"/>
              <w:rPr>
                <w:sz w:val="20"/>
                <w:szCs w:val="20"/>
                <w:color w:val="auto"/>
              </w:rPr>
            </w:pPr>
            <w:r>
              <w:rPr>
                <w:rFonts w:ascii="Arial" w:cs="Arial" w:eastAsia="Arial" w:hAnsi="Arial"/>
                <w:sz w:val="14"/>
                <w:szCs w:val="14"/>
                <w:color w:val="auto"/>
              </w:rPr>
              <w:t>Economic interest income, excluding "catch-up" premium amortization</w:t>
            </w:r>
          </w:p>
        </w:tc>
        <w:tc>
          <w:tcPr>
            <w:tcW w:w="220" w:type="dxa"/>
            <w:vAlign w:val="bottom"/>
            <w:tcBorders>
              <w:bottom w:val="single" w:sz="8" w:color="auto"/>
            </w:tcBorders>
            <w:shd w:val="clear" w:color="auto" w:fill="CCEEFF"/>
          </w:tcPr>
          <w:p>
            <w:pPr>
              <w:spacing w:after="0"/>
              <w:rPr>
                <w:sz w:val="17"/>
                <w:szCs w:val="17"/>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560</w:t>
            </w:r>
          </w:p>
        </w:tc>
        <w:tc>
          <w:tcPr>
            <w:tcW w:w="140" w:type="dxa"/>
            <w:vAlign w:val="bottom"/>
            <w:tcBorders>
              <w:bottom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782</w:t>
            </w:r>
          </w:p>
        </w:tc>
        <w:tc>
          <w:tcPr>
            <w:tcW w:w="140" w:type="dxa"/>
            <w:vAlign w:val="bottom"/>
            <w:tcBorders>
              <w:bottom w:val="single" w:sz="8" w:color="auto"/>
            </w:tcBorders>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778</w:t>
            </w:r>
          </w:p>
        </w:tc>
        <w:tc>
          <w:tcPr>
            <w:tcW w:w="160" w:type="dxa"/>
            <w:vAlign w:val="bottom"/>
            <w:tcBorders>
              <w:bottom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812</w:t>
            </w:r>
          </w:p>
        </w:tc>
        <w:tc>
          <w:tcPr>
            <w:tcW w:w="160" w:type="dxa"/>
            <w:vAlign w:val="bottom"/>
            <w:tcBorders>
              <w:bottom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847</w:t>
            </w:r>
          </w:p>
        </w:tc>
        <w:tc>
          <w:tcPr>
            <w:tcW w:w="160" w:type="dxa"/>
            <w:vAlign w:val="bottom"/>
            <w:tcBorders>
              <w:bottom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76"/>
        </w:trPr>
        <w:tc>
          <w:tcPr>
            <w:tcW w:w="5100" w:type="dxa"/>
            <w:vAlign w:val="bottom"/>
          </w:tcPr>
          <w:p>
            <w:pPr>
              <w:ind w:left="120"/>
              <w:spacing w:after="0"/>
              <w:rPr>
                <w:sz w:val="20"/>
                <w:szCs w:val="20"/>
                <w:color w:val="auto"/>
              </w:rPr>
            </w:pPr>
            <w:r>
              <w:rPr>
                <w:rFonts w:ascii="Arial" w:cs="Arial" w:eastAsia="Arial" w:hAnsi="Arial"/>
                <w:sz w:val="14"/>
                <w:szCs w:val="14"/>
                <w:color w:val="auto"/>
              </w:rPr>
              <w:t>Economic interest expense:</w:t>
            </w:r>
          </w:p>
        </w:tc>
        <w:tc>
          <w:tcPr>
            <w:tcW w:w="2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9"/>
        </w:trPr>
        <w:tc>
          <w:tcPr>
            <w:tcW w:w="5100" w:type="dxa"/>
            <w:vAlign w:val="bottom"/>
            <w:shd w:val="clear" w:color="auto" w:fill="CCEEFF"/>
          </w:tcPr>
          <w:p>
            <w:pPr>
              <w:ind w:left="200"/>
              <w:spacing w:after="0"/>
              <w:rPr>
                <w:sz w:val="20"/>
                <w:szCs w:val="20"/>
                <w:color w:val="auto"/>
              </w:rPr>
            </w:pPr>
            <w:r>
              <w:rPr>
                <w:rFonts w:ascii="Arial" w:cs="Arial" w:eastAsia="Arial" w:hAnsi="Arial"/>
                <w:sz w:val="14"/>
                <w:szCs w:val="14"/>
                <w:color w:val="auto"/>
              </w:rPr>
              <w:t>Repurchase agreements and other debt - GAAP interest expense</w:t>
            </w: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(134)</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(426)</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(481)</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(557)</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(570)</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5100" w:type="dxa"/>
            <w:vAlign w:val="bottom"/>
          </w:tcPr>
          <w:p>
            <w:pPr>
              <w:ind w:left="220"/>
              <w:spacing w:after="0"/>
              <w:rPr>
                <w:sz w:val="20"/>
                <w:szCs w:val="20"/>
                <w:color w:val="auto"/>
              </w:rPr>
            </w:pPr>
            <w:r>
              <w:rPr>
                <w:rFonts w:ascii="Arial" w:cs="Arial" w:eastAsia="Arial" w:hAnsi="Arial"/>
                <w:sz w:val="14"/>
                <w:szCs w:val="14"/>
                <w:color w:val="auto"/>
              </w:rPr>
              <w:t xml:space="preserve">TBA dollar roll income - implied interest (expense) benefit </w:t>
            </w:r>
            <w:r>
              <w:rPr>
                <w:rFonts w:ascii="Arial" w:cs="Arial" w:eastAsia="Arial" w:hAnsi="Arial"/>
                <w:sz w:val="9"/>
                <w:szCs w:val="9"/>
                <w:color w:val="auto"/>
              </w:rPr>
              <w:t>3,5</w:t>
            </w:r>
          </w:p>
        </w:tc>
        <w:tc>
          <w:tcPr>
            <w:tcW w:w="22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4</w:t>
            </w: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(32)</w:t>
            </w: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(34)</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(52)</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(74)</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1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 xml:space="preserve">Interest rate swap periodic income (cost), net </w:t>
            </w:r>
            <w:r>
              <w:rPr>
                <w:rFonts w:ascii="Arial" w:cs="Arial" w:eastAsia="Arial" w:hAnsi="Arial"/>
                <w:sz w:val="9"/>
                <w:szCs w:val="9"/>
                <w:color w:val="auto"/>
              </w:rPr>
              <w:t>3,8</w:t>
            </w:r>
          </w:p>
        </w:tc>
        <w:tc>
          <w:tcPr>
            <w:tcW w:w="220" w:type="dxa"/>
            <w:vAlign w:val="bottom"/>
            <w:tcBorders>
              <w:bottom w:val="single" w:sz="8" w:color="auto"/>
            </w:tcBorders>
            <w:shd w:val="clear" w:color="auto" w:fill="CCEEFF"/>
          </w:tcPr>
          <w:p>
            <w:pPr>
              <w:spacing w:after="0"/>
              <w:rPr>
                <w:sz w:val="17"/>
                <w:szCs w:val="17"/>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(59)</w:t>
            </w:r>
          </w:p>
        </w:tc>
        <w:tc>
          <w:tcPr>
            <w:tcW w:w="140" w:type="dxa"/>
            <w:vAlign w:val="bottom"/>
            <w:tcBorders>
              <w:bottom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31</w:t>
            </w:r>
          </w:p>
        </w:tc>
        <w:tc>
          <w:tcPr>
            <w:tcW w:w="140" w:type="dxa"/>
            <w:vAlign w:val="bottom"/>
            <w:tcBorders>
              <w:bottom w:val="single" w:sz="8" w:color="auto"/>
            </w:tcBorders>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85</w:t>
            </w:r>
          </w:p>
        </w:tc>
        <w:tc>
          <w:tcPr>
            <w:tcW w:w="160" w:type="dxa"/>
            <w:vAlign w:val="bottom"/>
            <w:tcBorders>
              <w:bottom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146</w:t>
            </w:r>
          </w:p>
        </w:tc>
        <w:tc>
          <w:tcPr>
            <w:tcW w:w="160" w:type="dxa"/>
            <w:vAlign w:val="bottom"/>
            <w:tcBorders>
              <w:bottom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88</w:t>
            </w:r>
          </w:p>
        </w:tc>
        <w:tc>
          <w:tcPr>
            <w:tcW w:w="160" w:type="dxa"/>
            <w:vAlign w:val="bottom"/>
            <w:tcBorders>
              <w:bottom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5100" w:type="dxa"/>
            <w:vAlign w:val="bottom"/>
            <w:tcBorders>
              <w:bottom w:val="single" w:sz="8" w:color="CCEEFF"/>
            </w:tcBorders>
          </w:tcPr>
          <w:p>
            <w:pPr>
              <w:ind w:left="120"/>
              <w:spacing w:after="0"/>
              <w:rPr>
                <w:sz w:val="20"/>
                <w:szCs w:val="20"/>
                <w:color w:val="auto"/>
              </w:rPr>
            </w:pPr>
            <w:r>
              <w:rPr>
                <w:rFonts w:ascii="Arial" w:cs="Arial" w:eastAsia="Arial" w:hAnsi="Arial"/>
                <w:sz w:val="14"/>
                <w:szCs w:val="14"/>
                <w:color w:val="auto"/>
              </w:rPr>
              <w:t>Economic interest expense</w:t>
            </w:r>
          </w:p>
        </w:tc>
        <w:tc>
          <w:tcPr>
            <w:tcW w:w="22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(189)</w:t>
            </w:r>
          </w:p>
        </w:tc>
        <w:tc>
          <w:tcPr>
            <w:tcW w:w="140" w:type="dxa"/>
            <w:vAlign w:val="bottom"/>
            <w:tcBorders>
              <w:bottom w:val="single" w:sz="8" w:color="auto"/>
            </w:tcBorders>
          </w:tcPr>
          <w:p>
            <w:pPr>
              <w:spacing w:after="0"/>
              <w:rPr>
                <w:sz w:val="17"/>
                <w:szCs w:val="17"/>
                <w:color w:val="auto"/>
              </w:rPr>
            </w:pPr>
          </w:p>
        </w:tc>
        <w:tc>
          <w:tcPr>
            <w:tcW w:w="10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(427)</w:t>
            </w:r>
          </w:p>
        </w:tc>
        <w:tc>
          <w:tcPr>
            <w:tcW w:w="140" w:type="dxa"/>
            <w:vAlign w:val="bottom"/>
            <w:tcBorders>
              <w:bottom w:val="single" w:sz="8" w:color="auto"/>
            </w:tcBorders>
          </w:tcPr>
          <w:p>
            <w:pPr>
              <w:spacing w:after="0"/>
              <w:rPr>
                <w:sz w:val="17"/>
                <w:szCs w:val="17"/>
                <w:color w:val="auto"/>
              </w:rPr>
            </w:pPr>
          </w:p>
        </w:tc>
        <w:tc>
          <w:tcPr>
            <w:tcW w:w="12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(430)</w:t>
            </w:r>
          </w:p>
        </w:tc>
        <w:tc>
          <w:tcPr>
            <w:tcW w:w="160" w:type="dxa"/>
            <w:vAlign w:val="bottom"/>
            <w:tcBorders>
              <w:bottom w:val="single" w:sz="8" w:color="auto"/>
            </w:tcBorders>
          </w:tcPr>
          <w:p>
            <w:pPr>
              <w:spacing w:after="0"/>
              <w:rPr>
                <w:sz w:val="17"/>
                <w:szCs w:val="17"/>
                <w:color w:val="auto"/>
              </w:rPr>
            </w:pPr>
          </w:p>
        </w:tc>
        <w:tc>
          <w:tcPr>
            <w:tcW w:w="10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(463)</w:t>
            </w:r>
          </w:p>
        </w:tc>
        <w:tc>
          <w:tcPr>
            <w:tcW w:w="160" w:type="dxa"/>
            <w:vAlign w:val="bottom"/>
            <w:tcBorders>
              <w:bottom w:val="single" w:sz="8" w:color="auto"/>
            </w:tcBorders>
          </w:tcPr>
          <w:p>
            <w:pPr>
              <w:spacing w:after="0"/>
              <w:rPr>
                <w:sz w:val="17"/>
                <w:szCs w:val="17"/>
                <w:color w:val="auto"/>
              </w:rPr>
            </w:pPr>
          </w:p>
        </w:tc>
        <w:tc>
          <w:tcPr>
            <w:tcW w:w="10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(556)</w:t>
            </w:r>
          </w:p>
        </w:tc>
        <w:tc>
          <w:tcPr>
            <w:tcW w:w="16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2"/>
        </w:trPr>
        <w:tc>
          <w:tcPr>
            <w:tcW w:w="51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 xml:space="preserve">Other interest and dividend income </w:t>
            </w:r>
            <w:r>
              <w:rPr>
                <w:rFonts w:ascii="Arial" w:cs="Arial" w:eastAsia="Arial" w:hAnsi="Arial"/>
                <w:sz w:val="9"/>
                <w:szCs w:val="9"/>
                <w:color w:val="auto"/>
              </w:rPr>
              <w:t>3</w:t>
            </w:r>
          </w:p>
        </w:tc>
        <w:tc>
          <w:tcPr>
            <w:tcW w:w="220" w:type="dxa"/>
            <w:vAlign w:val="bottom"/>
            <w:tcBorders>
              <w:bottom w:val="single" w:sz="8" w:color="auto"/>
            </w:tcBorders>
            <w:shd w:val="clear" w:color="auto" w:fill="CCEEFF"/>
          </w:tcPr>
          <w:p>
            <w:pPr>
              <w:spacing w:after="0"/>
              <w:rPr>
                <w:sz w:val="17"/>
                <w:szCs w:val="17"/>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140" w:type="dxa"/>
            <w:vAlign w:val="bottom"/>
            <w:tcBorders>
              <w:bottom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140" w:type="dxa"/>
            <w:vAlign w:val="bottom"/>
            <w:tcBorders>
              <w:bottom w:val="single" w:sz="8" w:color="auto"/>
            </w:tcBorders>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w:t>
            </w:r>
          </w:p>
        </w:tc>
        <w:tc>
          <w:tcPr>
            <w:tcW w:w="160" w:type="dxa"/>
            <w:vAlign w:val="bottom"/>
            <w:tcBorders>
              <w:bottom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w:t>
            </w:r>
          </w:p>
        </w:tc>
        <w:tc>
          <w:tcPr>
            <w:tcW w:w="160" w:type="dxa"/>
            <w:vAlign w:val="bottom"/>
            <w:tcBorders>
              <w:bottom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w:t>
            </w:r>
          </w:p>
        </w:tc>
        <w:tc>
          <w:tcPr>
            <w:tcW w:w="160" w:type="dxa"/>
            <w:vAlign w:val="bottom"/>
            <w:tcBorders>
              <w:bottom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37"/>
        </w:trPr>
        <w:tc>
          <w:tcPr>
            <w:tcW w:w="5100" w:type="dxa"/>
            <w:vAlign w:val="bottom"/>
          </w:tcPr>
          <w:p>
            <w:pPr>
              <w:ind w:left="120"/>
              <w:spacing w:after="0" w:line="137" w:lineRule="exact"/>
              <w:rPr>
                <w:sz w:val="20"/>
                <w:szCs w:val="20"/>
                <w:color w:val="auto"/>
              </w:rPr>
            </w:pPr>
            <w:r>
              <w:rPr>
                <w:rFonts w:ascii="Arial" w:cs="Arial" w:eastAsia="Arial" w:hAnsi="Arial"/>
                <w:sz w:val="14"/>
                <w:szCs w:val="14"/>
                <w:color w:val="auto"/>
              </w:rPr>
              <w:t>Adjusted net interest and dollar roll income, excluding "catch-up" premium</w:t>
            </w:r>
          </w:p>
        </w:tc>
        <w:tc>
          <w:tcPr>
            <w:tcW w:w="220" w:type="dxa"/>
            <w:vAlign w:val="bottom"/>
            <w:vMerge w:val="restart"/>
          </w:tcPr>
          <w:p>
            <w:pPr>
              <w:jc w:val="right"/>
              <w:ind w:right="48"/>
              <w:spacing w:after="0"/>
              <w:rPr>
                <w:sz w:val="20"/>
                <w:szCs w:val="20"/>
                <w:color w:val="auto"/>
              </w:rPr>
            </w:pPr>
            <w:r>
              <w:rPr>
                <w:rFonts w:ascii="Arial" w:cs="Arial" w:eastAsia="Arial" w:hAnsi="Arial"/>
                <w:sz w:val="14"/>
                <w:szCs w:val="14"/>
                <w:color w:val="auto"/>
              </w:rPr>
              <w:t>$</w:t>
            </w:r>
          </w:p>
        </w:tc>
        <w:tc>
          <w:tcPr>
            <w:tcW w:w="700" w:type="dxa"/>
            <w:vAlign w:val="bottom"/>
            <w:vMerge w:val="restart"/>
          </w:tcPr>
          <w:p>
            <w:pPr>
              <w:jc w:val="right"/>
              <w:spacing w:after="0"/>
              <w:rPr>
                <w:sz w:val="20"/>
                <w:szCs w:val="20"/>
                <w:color w:val="auto"/>
              </w:rPr>
            </w:pPr>
            <w:r>
              <w:rPr>
                <w:rFonts w:ascii="Arial" w:cs="Arial" w:eastAsia="Arial" w:hAnsi="Arial"/>
                <w:sz w:val="14"/>
                <w:szCs w:val="14"/>
                <w:color w:val="auto"/>
              </w:rPr>
              <w:t>372</w:t>
            </w:r>
          </w:p>
        </w:tc>
        <w:tc>
          <w:tcPr>
            <w:tcW w:w="420" w:type="dxa"/>
            <w:vAlign w:val="bottom"/>
            <w:gridSpan w:val="3"/>
            <w:vMerge w:val="restart"/>
          </w:tcPr>
          <w:p>
            <w:pPr>
              <w:jc w:val="right"/>
              <w:ind w:right="80"/>
              <w:spacing w:after="0"/>
              <w:rPr>
                <w:sz w:val="20"/>
                <w:szCs w:val="20"/>
                <w:color w:val="auto"/>
              </w:rPr>
            </w:pPr>
            <w:r>
              <w:rPr>
                <w:rFonts w:ascii="Arial" w:cs="Arial" w:eastAsia="Arial" w:hAnsi="Arial"/>
                <w:sz w:val="14"/>
                <w:szCs w:val="14"/>
                <w:color w:val="auto"/>
              </w:rPr>
              <w:t>$</w:t>
            </w:r>
          </w:p>
        </w:tc>
        <w:tc>
          <w:tcPr>
            <w:tcW w:w="740" w:type="dxa"/>
            <w:vAlign w:val="bottom"/>
            <w:vMerge w:val="restart"/>
          </w:tcPr>
          <w:p>
            <w:pPr>
              <w:jc w:val="right"/>
              <w:spacing w:after="0"/>
              <w:rPr>
                <w:sz w:val="20"/>
                <w:szCs w:val="20"/>
                <w:color w:val="auto"/>
              </w:rPr>
            </w:pPr>
            <w:r>
              <w:rPr>
                <w:rFonts w:ascii="Arial" w:cs="Arial" w:eastAsia="Arial" w:hAnsi="Arial"/>
                <w:sz w:val="14"/>
                <w:szCs w:val="14"/>
                <w:color w:val="auto"/>
              </w:rPr>
              <w:t>357</w:t>
            </w: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vMerge w:val="restart"/>
          </w:tcPr>
          <w:p>
            <w:pPr>
              <w:spacing w:after="0"/>
              <w:rPr>
                <w:sz w:val="20"/>
                <w:szCs w:val="20"/>
                <w:color w:val="auto"/>
              </w:rPr>
            </w:pPr>
            <w:r>
              <w:rPr>
                <w:rFonts w:ascii="Arial" w:cs="Arial" w:eastAsia="Arial" w:hAnsi="Arial"/>
                <w:sz w:val="14"/>
                <w:szCs w:val="14"/>
                <w:color w:val="auto"/>
              </w:rPr>
              <w:t>$</w:t>
            </w:r>
          </w:p>
        </w:tc>
        <w:tc>
          <w:tcPr>
            <w:tcW w:w="780" w:type="dxa"/>
            <w:vAlign w:val="bottom"/>
            <w:vMerge w:val="restart"/>
          </w:tcPr>
          <w:p>
            <w:pPr>
              <w:jc w:val="right"/>
              <w:spacing w:after="0"/>
              <w:rPr>
                <w:sz w:val="20"/>
                <w:szCs w:val="20"/>
                <w:color w:val="auto"/>
              </w:rPr>
            </w:pPr>
            <w:r>
              <w:rPr>
                <w:rFonts w:ascii="Arial" w:cs="Arial" w:eastAsia="Arial" w:hAnsi="Arial"/>
                <w:sz w:val="14"/>
                <w:szCs w:val="14"/>
                <w:color w:val="auto"/>
              </w:rPr>
              <w:t>351</w:t>
            </w:r>
          </w:p>
        </w:tc>
        <w:tc>
          <w:tcPr>
            <w:tcW w:w="400" w:type="dxa"/>
            <w:vAlign w:val="bottom"/>
            <w:gridSpan w:val="3"/>
            <w:vMerge w:val="restart"/>
          </w:tcPr>
          <w:p>
            <w:pPr>
              <w:jc w:val="right"/>
              <w:ind w:right="40"/>
              <w:spacing w:after="0"/>
              <w:rPr>
                <w:sz w:val="20"/>
                <w:szCs w:val="20"/>
                <w:color w:val="auto"/>
              </w:rPr>
            </w:pPr>
            <w:r>
              <w:rPr>
                <w:rFonts w:ascii="Arial" w:cs="Arial" w:eastAsia="Arial" w:hAnsi="Arial"/>
                <w:sz w:val="14"/>
                <w:szCs w:val="14"/>
                <w:color w:val="auto"/>
              </w:rPr>
              <w:t>$</w:t>
            </w:r>
          </w:p>
        </w:tc>
        <w:tc>
          <w:tcPr>
            <w:tcW w:w="780" w:type="dxa"/>
            <w:vAlign w:val="bottom"/>
            <w:vMerge w:val="restart"/>
          </w:tcPr>
          <w:p>
            <w:pPr>
              <w:jc w:val="right"/>
              <w:spacing w:after="0"/>
              <w:rPr>
                <w:sz w:val="20"/>
                <w:szCs w:val="20"/>
                <w:color w:val="auto"/>
              </w:rPr>
            </w:pPr>
            <w:r>
              <w:rPr>
                <w:rFonts w:ascii="Arial" w:cs="Arial" w:eastAsia="Arial" w:hAnsi="Arial"/>
                <w:sz w:val="14"/>
                <w:szCs w:val="14"/>
                <w:color w:val="auto"/>
              </w:rPr>
              <w:t>353</w:t>
            </w:r>
          </w:p>
        </w:tc>
        <w:tc>
          <w:tcPr>
            <w:tcW w:w="460" w:type="dxa"/>
            <w:vAlign w:val="bottom"/>
            <w:gridSpan w:val="3"/>
            <w:vMerge w:val="restart"/>
          </w:tcPr>
          <w:p>
            <w:pPr>
              <w:jc w:val="right"/>
              <w:ind w:right="120"/>
              <w:spacing w:after="0"/>
              <w:rPr>
                <w:sz w:val="20"/>
                <w:szCs w:val="20"/>
                <w:color w:val="auto"/>
              </w:rPr>
            </w:pPr>
            <w:r>
              <w:rPr>
                <w:rFonts w:ascii="Arial" w:cs="Arial" w:eastAsia="Arial" w:hAnsi="Arial"/>
                <w:sz w:val="14"/>
                <w:szCs w:val="14"/>
                <w:color w:val="auto"/>
              </w:rPr>
              <w:t>$</w:t>
            </w:r>
          </w:p>
        </w:tc>
        <w:tc>
          <w:tcPr>
            <w:tcW w:w="700" w:type="dxa"/>
            <w:vAlign w:val="bottom"/>
            <w:vMerge w:val="restart"/>
          </w:tcPr>
          <w:p>
            <w:pPr>
              <w:jc w:val="right"/>
              <w:spacing w:after="0"/>
              <w:rPr>
                <w:sz w:val="20"/>
                <w:szCs w:val="20"/>
                <w:color w:val="auto"/>
              </w:rPr>
            </w:pPr>
            <w:r>
              <w:rPr>
                <w:rFonts w:ascii="Arial" w:cs="Arial" w:eastAsia="Arial" w:hAnsi="Arial"/>
                <w:sz w:val="14"/>
                <w:szCs w:val="14"/>
                <w:color w:val="auto"/>
              </w:rPr>
              <w:t>295</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5100" w:type="dxa"/>
            <w:vAlign w:val="bottom"/>
          </w:tcPr>
          <w:p>
            <w:pPr>
              <w:ind w:left="120"/>
              <w:spacing w:after="0"/>
              <w:rPr>
                <w:sz w:val="20"/>
                <w:szCs w:val="20"/>
                <w:color w:val="auto"/>
              </w:rPr>
            </w:pPr>
            <w:r>
              <w:rPr>
                <w:rFonts w:ascii="Arial" w:cs="Arial" w:eastAsia="Arial" w:hAnsi="Arial"/>
                <w:sz w:val="14"/>
                <w:szCs w:val="14"/>
                <w:color w:val="auto"/>
              </w:rPr>
              <w:t>amortization</w:t>
            </w:r>
          </w:p>
        </w:tc>
        <w:tc>
          <w:tcPr>
            <w:tcW w:w="220" w:type="dxa"/>
            <w:vAlign w:val="bottom"/>
            <w:vMerge w:val="continue"/>
          </w:tcPr>
          <w:p>
            <w:pPr>
              <w:spacing w:after="0"/>
              <w:rPr>
                <w:sz w:val="14"/>
                <w:szCs w:val="14"/>
                <w:color w:val="auto"/>
              </w:rPr>
            </w:pPr>
          </w:p>
        </w:tc>
        <w:tc>
          <w:tcPr>
            <w:tcW w:w="700" w:type="dxa"/>
            <w:vAlign w:val="bottom"/>
            <w:vMerge w:val="continue"/>
          </w:tcPr>
          <w:p>
            <w:pPr>
              <w:spacing w:after="0"/>
              <w:rPr>
                <w:sz w:val="14"/>
                <w:szCs w:val="14"/>
                <w:color w:val="auto"/>
              </w:rPr>
            </w:pPr>
          </w:p>
        </w:tc>
        <w:tc>
          <w:tcPr>
            <w:tcW w:w="420" w:type="dxa"/>
            <w:vAlign w:val="bottom"/>
            <w:gridSpan w:val="3"/>
            <w:vMerge w:val="continue"/>
          </w:tcPr>
          <w:p>
            <w:pPr>
              <w:spacing w:after="0"/>
              <w:rPr>
                <w:sz w:val="14"/>
                <w:szCs w:val="14"/>
                <w:color w:val="auto"/>
              </w:rPr>
            </w:pPr>
          </w:p>
        </w:tc>
        <w:tc>
          <w:tcPr>
            <w:tcW w:w="74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400" w:type="dxa"/>
            <w:vAlign w:val="bottom"/>
            <w:gridSpan w:val="3"/>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460" w:type="dxa"/>
            <w:vAlign w:val="bottom"/>
            <w:gridSpan w:val="3"/>
            <w:vMerge w:val="continue"/>
          </w:tcPr>
          <w:p>
            <w:pPr>
              <w:spacing w:after="0"/>
              <w:rPr>
                <w:sz w:val="14"/>
                <w:szCs w:val="14"/>
                <w:color w:val="auto"/>
              </w:rPr>
            </w:pPr>
          </w:p>
        </w:tc>
        <w:tc>
          <w:tcPr>
            <w:tcW w:w="700" w:type="dxa"/>
            <w:vAlign w:val="bottom"/>
            <w:vMerge w:val="continue"/>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510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Net interest spread, excluding "catch-up" amortization:</w:t>
            </w:r>
          </w:p>
        </w:tc>
        <w:tc>
          <w:tcPr>
            <w:tcW w:w="2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379"/>
        </w:trPr>
        <w:tc>
          <w:tcPr>
            <w:tcW w:w="5100" w:type="dxa"/>
            <w:vAlign w:val="bottom"/>
            <w:vMerge w:val="continue"/>
          </w:tcPr>
          <w:p>
            <w:pPr>
              <w:spacing w:after="0"/>
              <w:rPr>
                <w:sz w:val="24"/>
                <w:szCs w:val="24"/>
                <w:color w:val="auto"/>
              </w:rPr>
            </w:pPr>
          </w:p>
        </w:tc>
        <w:tc>
          <w:tcPr>
            <w:tcW w:w="2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8"/>
        </w:trPr>
        <w:tc>
          <w:tcPr>
            <w:tcW w:w="5100" w:type="dxa"/>
            <w:vAlign w:val="bottom"/>
            <w:shd w:val="clear" w:color="auto" w:fill="CCEEFF"/>
          </w:tcPr>
          <w:p>
            <w:pPr>
              <w:ind w:left="120"/>
              <w:spacing w:after="0"/>
              <w:rPr>
                <w:sz w:val="20"/>
                <w:szCs w:val="20"/>
                <w:color w:val="auto"/>
              </w:rPr>
            </w:pPr>
            <w:r>
              <w:rPr>
                <w:rFonts w:ascii="Arial" w:cs="Arial" w:eastAsia="Arial" w:hAnsi="Arial"/>
                <w:sz w:val="14"/>
                <w:szCs w:val="14"/>
                <w:color w:val="auto"/>
              </w:rPr>
              <w:t>Average asset yield:</w:t>
            </w: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7"/>
        </w:trPr>
        <w:tc>
          <w:tcPr>
            <w:tcW w:w="5100" w:type="dxa"/>
            <w:vAlign w:val="bottom"/>
          </w:tcPr>
          <w:p>
            <w:pPr>
              <w:ind w:left="200"/>
              <w:spacing w:after="0"/>
              <w:rPr>
                <w:sz w:val="20"/>
                <w:szCs w:val="20"/>
                <w:color w:val="auto"/>
              </w:rPr>
            </w:pPr>
            <w:r>
              <w:rPr>
                <w:rFonts w:ascii="Arial" w:cs="Arial" w:eastAsia="Arial" w:hAnsi="Arial"/>
                <w:sz w:val="14"/>
                <w:szCs w:val="14"/>
                <w:color w:val="auto"/>
              </w:rPr>
              <w:t>Investment securities - average asset yield</w:t>
            </w:r>
          </w:p>
        </w:tc>
        <w:tc>
          <w:tcPr>
            <w:tcW w:w="22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2.39</w:t>
            </w:r>
          </w:p>
        </w:tc>
        <w:tc>
          <w:tcPr>
            <w:tcW w:w="140" w:type="dxa"/>
            <w:vAlign w:val="bottom"/>
          </w:tcPr>
          <w:p>
            <w:pPr>
              <w:jc w:val="right"/>
              <w:spacing w:after="0"/>
              <w:rPr>
                <w:sz w:val="20"/>
                <w:szCs w:val="20"/>
                <w:color w:val="auto"/>
              </w:rPr>
            </w:pPr>
            <w:r>
              <w:rPr>
                <w:rFonts w:ascii="Arial" w:cs="Arial" w:eastAsia="Arial" w:hAnsi="Arial"/>
                <w:sz w:val="14"/>
                <w:szCs w:val="14"/>
                <w:color w:val="auto"/>
                <w:w w:val="79"/>
              </w:rPr>
              <w:t>%</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2.01</w:t>
            </w:r>
          </w:p>
        </w:tc>
        <w:tc>
          <w:tcPr>
            <w:tcW w:w="140" w:type="dxa"/>
            <w:vAlign w:val="bottom"/>
          </w:tcPr>
          <w:p>
            <w:pPr>
              <w:jc w:val="right"/>
              <w:spacing w:after="0"/>
              <w:rPr>
                <w:sz w:val="20"/>
                <w:szCs w:val="20"/>
                <w:color w:val="auto"/>
              </w:rPr>
            </w:pPr>
            <w:r>
              <w:rPr>
                <w:rFonts w:ascii="Arial" w:cs="Arial" w:eastAsia="Arial" w:hAnsi="Arial"/>
                <w:sz w:val="14"/>
                <w:szCs w:val="14"/>
                <w:color w:val="auto"/>
                <w:w w:val="79"/>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3.28</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2.91</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2.99</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0" w:type="dxa"/>
            <w:vAlign w:val="bottom"/>
          </w:tcPr>
          <w:p>
            <w:pPr>
              <w:spacing w:after="0"/>
              <w:rPr>
                <w:sz w:val="1"/>
                <w:szCs w:val="1"/>
                <w:color w:val="auto"/>
              </w:rPr>
            </w:pPr>
          </w:p>
        </w:tc>
      </w:tr>
      <w:tr>
        <w:trPr>
          <w:trHeight w:val="163"/>
        </w:trPr>
        <w:tc>
          <w:tcPr>
            <w:tcW w:w="5100" w:type="dxa"/>
            <w:vAlign w:val="bottom"/>
            <w:shd w:val="clear" w:color="auto" w:fill="CCEEFF"/>
          </w:tcPr>
          <w:p>
            <w:pPr>
              <w:ind w:left="200"/>
              <w:spacing w:after="0"/>
              <w:rPr>
                <w:sz w:val="20"/>
                <w:szCs w:val="20"/>
                <w:color w:val="auto"/>
              </w:rPr>
            </w:pPr>
            <w:r>
              <w:rPr>
                <w:rFonts w:ascii="Arial" w:cs="Arial" w:eastAsia="Arial" w:hAnsi="Arial"/>
                <w:sz w:val="14"/>
                <w:szCs w:val="14"/>
                <w:color w:val="auto"/>
                <w:w w:val="98"/>
              </w:rPr>
              <w:t>Estimated "catch-up" premium amortization cost (benefit) due to change in CPR</w:t>
            </w:r>
          </w:p>
        </w:tc>
        <w:tc>
          <w:tcPr>
            <w:tcW w:w="22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74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5100" w:type="dxa"/>
            <w:vAlign w:val="bottom"/>
            <w:shd w:val="clear" w:color="auto" w:fill="CCEEFF"/>
          </w:tcPr>
          <w:p>
            <w:pPr>
              <w:ind w:left="200"/>
              <w:spacing w:after="0"/>
              <w:rPr>
                <w:sz w:val="20"/>
                <w:szCs w:val="20"/>
                <w:color w:val="auto"/>
              </w:rPr>
            </w:pPr>
            <w:r>
              <w:rPr>
                <w:rFonts w:ascii="Arial" w:cs="Arial" w:eastAsia="Arial" w:hAnsi="Arial"/>
                <w:sz w:val="14"/>
                <w:szCs w:val="14"/>
                <w:color w:val="auto"/>
              </w:rPr>
              <w:t>forecast</w:t>
            </w:r>
          </w:p>
        </w:tc>
        <w:tc>
          <w:tcPr>
            <w:tcW w:w="220" w:type="dxa"/>
            <w:vAlign w:val="bottom"/>
            <w:tcBorders>
              <w:bottom w:val="single" w:sz="8" w:color="auto"/>
            </w:tcBorders>
            <w:shd w:val="clear" w:color="auto" w:fill="CCEEFF"/>
          </w:tcPr>
          <w:p>
            <w:pPr>
              <w:spacing w:after="0"/>
              <w:rPr>
                <w:sz w:val="16"/>
                <w:szCs w:val="16"/>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0.32</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9"/>
              </w:rPr>
              <w:t>%</w:t>
            </w:r>
          </w:p>
        </w:tc>
        <w:tc>
          <w:tcPr>
            <w:tcW w:w="100" w:type="dxa"/>
            <w:vAlign w:val="bottom"/>
            <w:shd w:val="clear" w:color="auto" w:fill="CCEEFF"/>
          </w:tcPr>
          <w:p>
            <w:pPr>
              <w:spacing w:after="0"/>
              <w:rPr>
                <w:sz w:val="16"/>
                <w:szCs w:val="16"/>
                <w:color w:val="auto"/>
              </w:rPr>
            </w:pPr>
          </w:p>
        </w:tc>
        <w:tc>
          <w:tcPr>
            <w:tcW w:w="180" w:type="dxa"/>
            <w:vAlign w:val="bottom"/>
            <w:tcBorders>
              <w:bottom w:val="single" w:sz="8" w:color="auto"/>
            </w:tcBorders>
            <w:shd w:val="clear" w:color="auto" w:fill="CCEEFF"/>
          </w:tcPr>
          <w:p>
            <w:pPr>
              <w:spacing w:after="0"/>
              <w:rPr>
                <w:sz w:val="16"/>
                <w:szCs w:val="16"/>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0.99</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9"/>
              </w:rPr>
              <w:t>%</w:t>
            </w:r>
          </w:p>
        </w:tc>
        <w:tc>
          <w:tcPr>
            <w:tcW w:w="120" w:type="dxa"/>
            <w:vAlign w:val="bottom"/>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spacing w:after="0"/>
              <w:rPr>
                <w:sz w:val="16"/>
                <w:szCs w:val="16"/>
                <w:color w:val="auto"/>
              </w:rPr>
            </w:pPr>
          </w:p>
        </w:tc>
        <w:tc>
          <w:tcPr>
            <w:tcW w:w="94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4"/>
                <w:szCs w:val="14"/>
                <w:color w:val="auto"/>
              </w:rPr>
              <w:t>(0.20) %</w:t>
            </w: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0.24</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shd w:val="clear" w:color="auto" w:fill="CCEEFF"/>
          </w:tcPr>
          <w:p>
            <w:pPr>
              <w:spacing w:after="0"/>
              <w:rPr>
                <w:sz w:val="16"/>
                <w:szCs w:val="16"/>
                <w:color w:val="auto"/>
              </w:rPr>
            </w:pPr>
          </w:p>
        </w:tc>
        <w:tc>
          <w:tcPr>
            <w:tcW w:w="200" w:type="dxa"/>
            <w:vAlign w:val="bottom"/>
            <w:tcBorders>
              <w:bottom w:val="single" w:sz="8" w:color="auto"/>
            </w:tcBorders>
            <w:shd w:val="clear" w:color="auto" w:fill="CCEEFF"/>
          </w:tcPr>
          <w:p>
            <w:pPr>
              <w:spacing w:after="0"/>
              <w:rPr>
                <w:sz w:val="16"/>
                <w:szCs w:val="16"/>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0.25</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0" w:type="dxa"/>
            <w:vAlign w:val="bottom"/>
          </w:tcPr>
          <w:p>
            <w:pPr>
              <w:spacing w:after="0"/>
              <w:rPr>
                <w:sz w:val="1"/>
                <w:szCs w:val="1"/>
                <w:color w:val="auto"/>
              </w:rPr>
            </w:pPr>
          </w:p>
        </w:tc>
      </w:tr>
      <w:tr>
        <w:trPr>
          <w:trHeight w:val="137"/>
        </w:trPr>
        <w:tc>
          <w:tcPr>
            <w:tcW w:w="5100" w:type="dxa"/>
            <w:vAlign w:val="bottom"/>
          </w:tcPr>
          <w:p>
            <w:pPr>
              <w:ind w:left="200"/>
              <w:spacing w:after="0" w:line="137" w:lineRule="exact"/>
              <w:rPr>
                <w:sz w:val="20"/>
                <w:szCs w:val="20"/>
                <w:color w:val="auto"/>
              </w:rPr>
            </w:pPr>
            <w:r>
              <w:rPr>
                <w:rFonts w:ascii="Arial" w:cs="Arial" w:eastAsia="Arial" w:hAnsi="Arial"/>
                <w:sz w:val="14"/>
                <w:szCs w:val="14"/>
                <w:color w:val="auto"/>
              </w:rPr>
              <w:t>Investment securities average asset yield, excluding "catch-up" premium</w:t>
            </w:r>
          </w:p>
        </w:tc>
        <w:tc>
          <w:tcPr>
            <w:tcW w:w="2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8"/>
        </w:trPr>
        <w:tc>
          <w:tcPr>
            <w:tcW w:w="5100" w:type="dxa"/>
            <w:vAlign w:val="bottom"/>
          </w:tcPr>
          <w:p>
            <w:pPr>
              <w:ind w:left="200"/>
              <w:spacing w:after="0"/>
              <w:rPr>
                <w:sz w:val="20"/>
                <w:szCs w:val="20"/>
                <w:color w:val="auto"/>
              </w:rPr>
            </w:pPr>
            <w:r>
              <w:rPr>
                <w:rFonts w:ascii="Arial" w:cs="Arial" w:eastAsia="Arial" w:hAnsi="Arial"/>
                <w:sz w:val="14"/>
                <w:szCs w:val="14"/>
                <w:color w:val="auto"/>
              </w:rPr>
              <w:t>amortization</w:t>
            </w:r>
          </w:p>
        </w:tc>
        <w:tc>
          <w:tcPr>
            <w:tcW w:w="22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2.71</w:t>
            </w:r>
          </w:p>
        </w:tc>
        <w:tc>
          <w:tcPr>
            <w:tcW w:w="140" w:type="dxa"/>
            <w:vAlign w:val="bottom"/>
          </w:tcPr>
          <w:p>
            <w:pPr>
              <w:jc w:val="right"/>
              <w:spacing w:after="0"/>
              <w:rPr>
                <w:sz w:val="20"/>
                <w:szCs w:val="20"/>
                <w:color w:val="auto"/>
              </w:rPr>
            </w:pPr>
            <w:r>
              <w:rPr>
                <w:rFonts w:ascii="Arial" w:cs="Arial" w:eastAsia="Arial" w:hAnsi="Arial"/>
                <w:sz w:val="14"/>
                <w:szCs w:val="14"/>
                <w:color w:val="auto"/>
                <w:w w:val="79"/>
              </w:rPr>
              <w:t>%</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3.00</w:t>
            </w:r>
          </w:p>
        </w:tc>
        <w:tc>
          <w:tcPr>
            <w:tcW w:w="140" w:type="dxa"/>
            <w:vAlign w:val="bottom"/>
          </w:tcPr>
          <w:p>
            <w:pPr>
              <w:jc w:val="right"/>
              <w:spacing w:after="0"/>
              <w:rPr>
                <w:sz w:val="20"/>
                <w:szCs w:val="20"/>
                <w:color w:val="auto"/>
              </w:rPr>
            </w:pPr>
            <w:r>
              <w:rPr>
                <w:rFonts w:ascii="Arial" w:cs="Arial" w:eastAsia="Arial" w:hAnsi="Arial"/>
                <w:sz w:val="14"/>
                <w:szCs w:val="14"/>
                <w:color w:val="auto"/>
                <w:w w:val="79"/>
              </w:rPr>
              <w:t>%</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3.08</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3.15</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3.24</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0" w:type="dxa"/>
            <w:vAlign w:val="bottom"/>
          </w:tcPr>
          <w:p>
            <w:pPr>
              <w:spacing w:after="0"/>
              <w:rPr>
                <w:sz w:val="1"/>
                <w:szCs w:val="1"/>
                <w:color w:val="auto"/>
              </w:rPr>
            </w:pPr>
          </w:p>
        </w:tc>
      </w:tr>
      <w:tr>
        <w:trPr>
          <w:trHeight w:val="203"/>
        </w:trPr>
        <w:tc>
          <w:tcPr>
            <w:tcW w:w="51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 xml:space="preserve">TBA securities - average implied asset yield </w:t>
            </w:r>
            <w:r>
              <w:rPr>
                <w:rFonts w:ascii="Arial" w:cs="Arial" w:eastAsia="Arial" w:hAnsi="Arial"/>
                <w:sz w:val="9"/>
                <w:szCs w:val="9"/>
                <w:color w:val="auto"/>
              </w:rPr>
              <w:t>6</w:t>
            </w:r>
          </w:p>
        </w:tc>
        <w:tc>
          <w:tcPr>
            <w:tcW w:w="220" w:type="dxa"/>
            <w:vAlign w:val="bottom"/>
            <w:tcBorders>
              <w:bottom w:val="single" w:sz="8" w:color="auto"/>
            </w:tcBorders>
            <w:shd w:val="clear" w:color="auto" w:fill="CCEEFF"/>
          </w:tcPr>
          <w:p>
            <w:pPr>
              <w:spacing w:after="0"/>
              <w:rPr>
                <w:sz w:val="17"/>
                <w:szCs w:val="17"/>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1.90</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9"/>
              </w:rPr>
              <w:t>%</w:t>
            </w:r>
          </w:p>
        </w:tc>
        <w:tc>
          <w:tcPr>
            <w:tcW w:w="10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2.54</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9"/>
              </w:rPr>
              <w:t>%</w:t>
            </w:r>
          </w:p>
        </w:tc>
        <w:tc>
          <w:tcPr>
            <w:tcW w:w="12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3.29</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3.19</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3.21</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0" w:type="dxa"/>
            <w:vAlign w:val="bottom"/>
          </w:tcPr>
          <w:p>
            <w:pPr>
              <w:spacing w:after="0"/>
              <w:rPr>
                <w:sz w:val="1"/>
                <w:szCs w:val="1"/>
                <w:color w:val="auto"/>
              </w:rPr>
            </w:pPr>
          </w:p>
        </w:tc>
      </w:tr>
      <w:tr>
        <w:trPr>
          <w:trHeight w:val="196"/>
        </w:trPr>
        <w:tc>
          <w:tcPr>
            <w:tcW w:w="5100" w:type="dxa"/>
            <w:vAlign w:val="bottom"/>
            <w:tcBorders>
              <w:bottom w:val="single" w:sz="8" w:color="CCEEFF"/>
            </w:tcBorders>
          </w:tcPr>
          <w:p>
            <w:pPr>
              <w:ind w:left="140"/>
              <w:spacing w:after="0"/>
              <w:rPr>
                <w:sz w:val="20"/>
                <w:szCs w:val="20"/>
                <w:color w:val="auto"/>
              </w:rPr>
            </w:pPr>
            <w:r>
              <w:rPr>
                <w:rFonts w:ascii="Arial" w:cs="Arial" w:eastAsia="Arial" w:hAnsi="Arial"/>
                <w:sz w:val="14"/>
                <w:szCs w:val="14"/>
                <w:color w:val="auto"/>
              </w:rPr>
              <w:t xml:space="preserve">Average asset yield, excluding "catch-up" premium amortization </w:t>
            </w:r>
            <w:r>
              <w:rPr>
                <w:rFonts w:ascii="Arial" w:cs="Arial" w:eastAsia="Arial" w:hAnsi="Arial"/>
                <w:sz w:val="9"/>
                <w:szCs w:val="9"/>
                <w:color w:val="auto"/>
              </w:rPr>
              <w:t>7</w:t>
            </w:r>
          </w:p>
        </w:tc>
        <w:tc>
          <w:tcPr>
            <w:tcW w:w="22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2.56</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9"/>
              </w:rPr>
              <w:t>%</w:t>
            </w:r>
          </w:p>
        </w:tc>
        <w:tc>
          <w:tcPr>
            <w:tcW w:w="10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2.97</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9"/>
              </w:rPr>
              <w:t>%</w:t>
            </w:r>
          </w:p>
        </w:tc>
        <w:tc>
          <w:tcPr>
            <w:tcW w:w="12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3.09</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3.16</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3.24</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96"/>
              </w:rPr>
              <w:t>%</w:t>
            </w:r>
          </w:p>
        </w:tc>
        <w:tc>
          <w:tcPr>
            <w:tcW w:w="0" w:type="dxa"/>
            <w:vAlign w:val="bottom"/>
          </w:tcPr>
          <w:p>
            <w:pPr>
              <w:spacing w:after="0"/>
              <w:rPr>
                <w:sz w:val="1"/>
                <w:szCs w:val="1"/>
                <w:color w:val="auto"/>
              </w:rPr>
            </w:pPr>
          </w:p>
        </w:tc>
      </w:tr>
      <w:tr>
        <w:trPr>
          <w:trHeight w:val="188"/>
        </w:trPr>
        <w:tc>
          <w:tcPr>
            <w:tcW w:w="5100" w:type="dxa"/>
            <w:vAlign w:val="bottom"/>
            <w:shd w:val="clear" w:color="auto" w:fill="CCEEFF"/>
          </w:tcPr>
          <w:p>
            <w:pPr>
              <w:ind w:left="120"/>
              <w:spacing w:after="0"/>
              <w:rPr>
                <w:sz w:val="20"/>
                <w:szCs w:val="20"/>
                <w:color w:val="auto"/>
              </w:rPr>
            </w:pPr>
            <w:r>
              <w:rPr>
                <w:rFonts w:ascii="Arial" w:cs="Arial" w:eastAsia="Arial" w:hAnsi="Arial"/>
                <w:sz w:val="14"/>
                <w:szCs w:val="14"/>
                <w:color w:val="auto"/>
              </w:rPr>
              <w:t>Average total cost of funds:</w:t>
            </w:r>
          </w:p>
        </w:tc>
        <w:tc>
          <w:tcPr>
            <w:tcW w:w="22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97"/>
        </w:trPr>
        <w:tc>
          <w:tcPr>
            <w:tcW w:w="5100" w:type="dxa"/>
            <w:vAlign w:val="bottom"/>
          </w:tcPr>
          <w:p>
            <w:pPr>
              <w:ind w:left="200"/>
              <w:spacing w:after="0"/>
              <w:rPr>
                <w:sz w:val="20"/>
                <w:szCs w:val="20"/>
                <w:color w:val="auto"/>
              </w:rPr>
            </w:pPr>
            <w:r>
              <w:rPr>
                <w:rFonts w:ascii="Arial" w:cs="Arial" w:eastAsia="Arial" w:hAnsi="Arial"/>
                <w:sz w:val="14"/>
                <w:szCs w:val="14"/>
                <w:color w:val="auto"/>
              </w:rPr>
              <w:t>Repurchase agreements and other debt - average funding cost</w:t>
            </w:r>
          </w:p>
        </w:tc>
        <w:tc>
          <w:tcPr>
            <w:tcW w:w="22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0.76</w:t>
            </w:r>
          </w:p>
        </w:tc>
        <w:tc>
          <w:tcPr>
            <w:tcW w:w="140" w:type="dxa"/>
            <w:vAlign w:val="bottom"/>
          </w:tcPr>
          <w:p>
            <w:pPr>
              <w:jc w:val="right"/>
              <w:spacing w:after="0"/>
              <w:rPr>
                <w:sz w:val="20"/>
                <w:szCs w:val="20"/>
                <w:color w:val="auto"/>
              </w:rPr>
            </w:pPr>
            <w:r>
              <w:rPr>
                <w:rFonts w:ascii="Arial" w:cs="Arial" w:eastAsia="Arial" w:hAnsi="Arial"/>
                <w:sz w:val="14"/>
                <w:szCs w:val="14"/>
                <w:color w:val="auto"/>
                <w:w w:val="79"/>
              </w:rPr>
              <w:t>%</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1.80</w:t>
            </w:r>
          </w:p>
        </w:tc>
        <w:tc>
          <w:tcPr>
            <w:tcW w:w="140" w:type="dxa"/>
            <w:vAlign w:val="bottom"/>
          </w:tcPr>
          <w:p>
            <w:pPr>
              <w:jc w:val="right"/>
              <w:spacing w:after="0"/>
              <w:rPr>
                <w:sz w:val="20"/>
                <w:szCs w:val="20"/>
                <w:color w:val="auto"/>
              </w:rPr>
            </w:pPr>
            <w:r>
              <w:rPr>
                <w:rFonts w:ascii="Arial" w:cs="Arial" w:eastAsia="Arial" w:hAnsi="Arial"/>
                <w:sz w:val="14"/>
                <w:szCs w:val="14"/>
                <w:color w:val="auto"/>
                <w:w w:val="79"/>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2.12</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2.48</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2.62</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0" w:type="dxa"/>
            <w:vAlign w:val="bottom"/>
          </w:tcPr>
          <w:p>
            <w:pPr>
              <w:spacing w:after="0"/>
              <w:rPr>
                <w:sz w:val="1"/>
                <w:szCs w:val="1"/>
                <w:color w:val="auto"/>
              </w:rPr>
            </w:pPr>
          </w:p>
        </w:tc>
      </w:tr>
      <w:tr>
        <w:trPr>
          <w:trHeight w:val="202"/>
        </w:trPr>
        <w:tc>
          <w:tcPr>
            <w:tcW w:w="51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 xml:space="preserve">TBA securities - average implied funding cost (benefit) </w:t>
            </w:r>
            <w:r>
              <w:rPr>
                <w:rFonts w:ascii="Arial" w:cs="Arial" w:eastAsia="Arial" w:hAnsi="Arial"/>
                <w:sz w:val="9"/>
                <w:szCs w:val="9"/>
                <w:color w:val="auto"/>
              </w:rPr>
              <w:t>5</w:t>
            </w:r>
          </w:p>
        </w:tc>
        <w:tc>
          <w:tcPr>
            <w:tcW w:w="220" w:type="dxa"/>
            <w:vAlign w:val="bottom"/>
            <w:tcBorders>
              <w:bottom w:val="single" w:sz="8" w:color="auto"/>
            </w:tcBorders>
            <w:shd w:val="clear" w:color="auto" w:fill="CCEEFF"/>
          </w:tcPr>
          <w:p>
            <w:pPr>
              <w:spacing w:after="0"/>
              <w:rPr>
                <w:sz w:val="17"/>
                <w:szCs w:val="17"/>
                <w:color w:val="auto"/>
              </w:rPr>
            </w:pPr>
          </w:p>
        </w:tc>
        <w:tc>
          <w:tcPr>
            <w:tcW w:w="84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4"/>
                <w:szCs w:val="14"/>
                <w:color w:val="auto"/>
              </w:rPr>
              <w:t>(0.09) %</w:t>
            </w:r>
          </w:p>
        </w:tc>
        <w:tc>
          <w:tcPr>
            <w:tcW w:w="10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1.67</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9"/>
              </w:rPr>
              <w:t>%</w:t>
            </w:r>
          </w:p>
        </w:tc>
        <w:tc>
          <w:tcPr>
            <w:tcW w:w="12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1.88</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2.00</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2.47</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0" w:type="dxa"/>
            <w:vAlign w:val="bottom"/>
          </w:tcPr>
          <w:p>
            <w:pPr>
              <w:spacing w:after="0"/>
              <w:rPr>
                <w:sz w:val="1"/>
                <w:szCs w:val="1"/>
                <w:color w:val="auto"/>
              </w:rPr>
            </w:pPr>
          </w:p>
        </w:tc>
      </w:tr>
      <w:tr>
        <w:trPr>
          <w:trHeight w:val="196"/>
        </w:trPr>
        <w:tc>
          <w:tcPr>
            <w:tcW w:w="5100" w:type="dxa"/>
            <w:vAlign w:val="bottom"/>
          </w:tcPr>
          <w:p>
            <w:pPr>
              <w:ind w:left="220"/>
              <w:spacing w:after="0"/>
              <w:rPr>
                <w:sz w:val="20"/>
                <w:szCs w:val="20"/>
                <w:color w:val="auto"/>
              </w:rPr>
            </w:pPr>
            <w:r>
              <w:rPr>
                <w:rFonts w:ascii="Arial" w:cs="Arial" w:eastAsia="Arial" w:hAnsi="Arial"/>
                <w:sz w:val="14"/>
                <w:szCs w:val="14"/>
                <w:color w:val="auto"/>
              </w:rPr>
              <w:t xml:space="preserve">Average cost of funds, before interest rate swap periodic (income) cost, net </w:t>
            </w:r>
            <w:r>
              <w:rPr>
                <w:rFonts w:ascii="Arial" w:cs="Arial" w:eastAsia="Arial" w:hAnsi="Arial"/>
                <w:sz w:val="9"/>
                <w:szCs w:val="9"/>
                <w:color w:val="auto"/>
              </w:rPr>
              <w:t>7</w:t>
            </w:r>
          </w:p>
        </w:tc>
        <w:tc>
          <w:tcPr>
            <w:tcW w:w="22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0.61</w:t>
            </w:r>
          </w:p>
        </w:tc>
        <w:tc>
          <w:tcPr>
            <w:tcW w:w="140" w:type="dxa"/>
            <w:vAlign w:val="bottom"/>
          </w:tcPr>
          <w:p>
            <w:pPr>
              <w:jc w:val="right"/>
              <w:spacing w:after="0"/>
              <w:rPr>
                <w:sz w:val="20"/>
                <w:szCs w:val="20"/>
                <w:color w:val="auto"/>
              </w:rPr>
            </w:pPr>
            <w:r>
              <w:rPr>
                <w:rFonts w:ascii="Arial" w:cs="Arial" w:eastAsia="Arial" w:hAnsi="Arial"/>
                <w:sz w:val="14"/>
                <w:szCs w:val="14"/>
                <w:color w:val="auto"/>
                <w:w w:val="79"/>
              </w:rPr>
              <w:t>%</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1.79</w:t>
            </w:r>
          </w:p>
        </w:tc>
        <w:tc>
          <w:tcPr>
            <w:tcW w:w="140" w:type="dxa"/>
            <w:vAlign w:val="bottom"/>
          </w:tcPr>
          <w:p>
            <w:pPr>
              <w:jc w:val="right"/>
              <w:spacing w:after="0"/>
              <w:rPr>
                <w:sz w:val="20"/>
                <w:szCs w:val="20"/>
                <w:color w:val="auto"/>
              </w:rPr>
            </w:pPr>
            <w:r>
              <w:rPr>
                <w:rFonts w:ascii="Arial" w:cs="Arial" w:eastAsia="Arial" w:hAnsi="Arial"/>
                <w:sz w:val="14"/>
                <w:szCs w:val="14"/>
                <w:color w:val="auto"/>
                <w:w w:val="79"/>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2.10</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2.43</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2.60</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0" w:type="dxa"/>
            <w:vAlign w:val="bottom"/>
          </w:tcPr>
          <w:p>
            <w:pPr>
              <w:spacing w:after="0"/>
              <w:rPr>
                <w:sz w:val="1"/>
                <w:szCs w:val="1"/>
                <w:color w:val="auto"/>
              </w:rPr>
            </w:pPr>
          </w:p>
        </w:tc>
      </w:tr>
      <w:tr>
        <w:trPr>
          <w:trHeight w:val="203"/>
        </w:trPr>
        <w:tc>
          <w:tcPr>
            <w:tcW w:w="51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 xml:space="preserve">Interest rate swap periodic (income) cost, net </w:t>
            </w:r>
            <w:r>
              <w:rPr>
                <w:rFonts w:ascii="Arial" w:cs="Arial" w:eastAsia="Arial" w:hAnsi="Arial"/>
                <w:sz w:val="9"/>
                <w:szCs w:val="9"/>
                <w:color w:val="auto"/>
              </w:rPr>
              <w:t>10</w:t>
            </w:r>
          </w:p>
        </w:tc>
        <w:tc>
          <w:tcPr>
            <w:tcW w:w="220" w:type="dxa"/>
            <w:vAlign w:val="bottom"/>
            <w:tcBorders>
              <w:bottom w:val="single" w:sz="8" w:color="auto"/>
            </w:tcBorders>
            <w:shd w:val="clear" w:color="auto" w:fill="CCEEFF"/>
          </w:tcPr>
          <w:p>
            <w:pPr>
              <w:spacing w:after="0"/>
              <w:rPr>
                <w:sz w:val="17"/>
                <w:szCs w:val="17"/>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0.27</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9"/>
              </w:rPr>
              <w:t>%</w:t>
            </w:r>
          </w:p>
        </w:tc>
        <w:tc>
          <w:tcPr>
            <w:tcW w:w="10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88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4"/>
                <w:szCs w:val="14"/>
                <w:color w:val="auto"/>
              </w:rPr>
              <w:t>(0.12) %</w:t>
            </w:r>
          </w:p>
        </w:tc>
        <w:tc>
          <w:tcPr>
            <w:tcW w:w="12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4"/>
                <w:szCs w:val="14"/>
                <w:color w:val="auto"/>
              </w:rPr>
              <w:t>(0.34) %</w:t>
            </w:r>
          </w:p>
        </w:tc>
        <w:tc>
          <w:tcPr>
            <w:tcW w:w="1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4"/>
                <w:szCs w:val="14"/>
                <w:color w:val="auto"/>
              </w:rPr>
              <w:t>(0.58) %</w:t>
            </w:r>
          </w:p>
        </w:tc>
        <w:tc>
          <w:tcPr>
            <w:tcW w:w="10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86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4"/>
                <w:szCs w:val="14"/>
                <w:color w:val="auto"/>
              </w:rPr>
              <w:t>(0.36) %</w:t>
            </w:r>
          </w:p>
        </w:tc>
        <w:tc>
          <w:tcPr>
            <w:tcW w:w="0" w:type="dxa"/>
            <w:vAlign w:val="bottom"/>
          </w:tcPr>
          <w:p>
            <w:pPr>
              <w:spacing w:after="0"/>
              <w:rPr>
                <w:sz w:val="1"/>
                <w:szCs w:val="1"/>
                <w:color w:val="auto"/>
              </w:rPr>
            </w:pPr>
          </w:p>
        </w:tc>
      </w:tr>
      <w:tr>
        <w:trPr>
          <w:trHeight w:val="196"/>
        </w:trPr>
        <w:tc>
          <w:tcPr>
            <w:tcW w:w="5100" w:type="dxa"/>
            <w:vAlign w:val="bottom"/>
            <w:tcBorders>
              <w:bottom w:val="single" w:sz="8" w:color="CCEEFF"/>
            </w:tcBorders>
          </w:tcPr>
          <w:p>
            <w:pPr>
              <w:ind w:left="140"/>
              <w:spacing w:after="0"/>
              <w:rPr>
                <w:sz w:val="20"/>
                <w:szCs w:val="20"/>
                <w:color w:val="auto"/>
              </w:rPr>
            </w:pPr>
            <w:r>
              <w:rPr>
                <w:rFonts w:ascii="Arial" w:cs="Arial" w:eastAsia="Arial" w:hAnsi="Arial"/>
                <w:sz w:val="14"/>
                <w:szCs w:val="14"/>
                <w:color w:val="auto"/>
              </w:rPr>
              <w:t xml:space="preserve">Average total cost of funds </w:t>
            </w:r>
            <w:r>
              <w:rPr>
                <w:rFonts w:ascii="Arial" w:cs="Arial" w:eastAsia="Arial" w:hAnsi="Arial"/>
                <w:sz w:val="9"/>
                <w:szCs w:val="9"/>
                <w:color w:val="auto"/>
              </w:rPr>
              <w:t>9</w:t>
            </w:r>
          </w:p>
        </w:tc>
        <w:tc>
          <w:tcPr>
            <w:tcW w:w="22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0.88</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9"/>
              </w:rPr>
              <w:t>%</w:t>
            </w:r>
          </w:p>
        </w:tc>
        <w:tc>
          <w:tcPr>
            <w:tcW w:w="10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1.67</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9"/>
              </w:rPr>
              <w:t>%</w:t>
            </w:r>
          </w:p>
        </w:tc>
        <w:tc>
          <w:tcPr>
            <w:tcW w:w="12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1.76</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1.85</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2.24</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96"/>
              </w:rPr>
              <w:t>%</w:t>
            </w:r>
          </w:p>
        </w:tc>
        <w:tc>
          <w:tcPr>
            <w:tcW w:w="0" w:type="dxa"/>
            <w:vAlign w:val="bottom"/>
          </w:tcPr>
          <w:p>
            <w:pPr>
              <w:spacing w:after="0"/>
              <w:rPr>
                <w:sz w:val="1"/>
                <w:szCs w:val="1"/>
                <w:color w:val="auto"/>
              </w:rPr>
            </w:pPr>
          </w:p>
        </w:tc>
      </w:tr>
      <w:tr>
        <w:trPr>
          <w:trHeight w:val="227"/>
        </w:trPr>
        <w:tc>
          <w:tcPr>
            <w:tcW w:w="510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4"/>
                <w:szCs w:val="14"/>
                <w:color w:val="auto"/>
              </w:rPr>
              <w:t>Average net interest spread, excluding "catch-up" premium amortization</w:t>
            </w:r>
          </w:p>
        </w:tc>
        <w:tc>
          <w:tcPr>
            <w:tcW w:w="220" w:type="dxa"/>
            <w:vAlign w:val="bottom"/>
            <w:tcBorders>
              <w:bottom w:val="single" w:sz="8" w:color="auto"/>
            </w:tcBorders>
            <w:shd w:val="clear" w:color="auto" w:fill="CCEEFF"/>
          </w:tcPr>
          <w:p>
            <w:pPr>
              <w:spacing w:after="0"/>
              <w:rPr>
                <w:sz w:val="19"/>
                <w:szCs w:val="19"/>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1.68</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9"/>
              </w:rPr>
              <w:t>%</w:t>
            </w:r>
          </w:p>
        </w:tc>
        <w:tc>
          <w:tcPr>
            <w:tcW w:w="100" w:type="dxa"/>
            <w:vAlign w:val="bottom"/>
            <w:tcBorders>
              <w:bottom w:val="single" w:sz="8" w:color="CCEEFF"/>
            </w:tcBorders>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1.30</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9"/>
              </w:rPr>
              <w:t>%</w:t>
            </w:r>
          </w:p>
        </w:tc>
        <w:tc>
          <w:tcPr>
            <w:tcW w:w="12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1.33</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1.31</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1.00</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0" w:type="dxa"/>
            <w:vAlign w:val="bottom"/>
          </w:tcPr>
          <w:p>
            <w:pPr>
              <w:spacing w:after="0"/>
              <w:rPr>
                <w:sz w:val="1"/>
                <w:szCs w:val="1"/>
                <w:color w:val="auto"/>
              </w:rPr>
            </w:pPr>
          </w:p>
        </w:tc>
      </w:tr>
      <w:tr>
        <w:trPr>
          <w:trHeight w:val="20"/>
        </w:trPr>
        <w:tc>
          <w:tcPr>
            <w:tcW w:w="5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180"/>
          </w:cols>
          <w:pgMar w:left="320" w:top="147" w:right="399" w:bottom="1440" w:gutter="0" w:footer="0" w:header="0"/>
        </w:sectPr>
      </w:pPr>
    </w:p>
    <w:bookmarkStart w:id="15" w:name="page16"/>
    <w:bookmarkEnd w:id="15"/>
    <w:p>
      <w:pPr>
        <w:spacing w:after="0"/>
        <w:rPr>
          <w:sz w:val="20"/>
          <w:szCs w:val="20"/>
          <w:color w:val="auto"/>
        </w:rPr>
      </w:pPr>
      <w:r>
        <w:rPr>
          <w:rFonts w:ascii="Arial" w:cs="Arial" w:eastAsia="Arial" w:hAnsi="Arial"/>
          <w:sz w:val="22"/>
          <w:szCs w:val="22"/>
          <w:color w:val="auto"/>
        </w:rPr>
        <w:t>AGNC Investment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July 27, 2020</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13</w:t>
      </w:r>
    </w:p>
    <w:p>
      <w:pPr>
        <w:spacing w:after="0" w:line="200" w:lineRule="exact"/>
        <w:rPr>
          <w:sz w:val="20"/>
          <w:szCs w:val="20"/>
          <w:color w:val="auto"/>
        </w:rPr>
      </w:pPr>
    </w:p>
    <w:p>
      <w:pPr>
        <w:spacing w:after="0" w:line="277"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AGNC INVESTMENT CORP.</w:t>
      </w:r>
    </w:p>
    <w:p>
      <w:pPr>
        <w:spacing w:after="0" w:line="42"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KEY STATISTICS*</w:t>
      </w:r>
    </w:p>
    <w:p>
      <w:pPr>
        <w:spacing w:after="0" w:line="42"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(in millions, except per share data)</w:t>
      </w:r>
    </w:p>
    <w:p>
      <w:pPr>
        <w:spacing w:after="0" w:line="42"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(unaudited)</w:t>
      </w:r>
    </w:p>
    <w:p>
      <w:pPr>
        <w:spacing w:after="0" w:line="96"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49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500" w:type="dxa"/>
            <w:vAlign w:val="bottom"/>
            <w:gridSpan w:val="6"/>
          </w:tcPr>
          <w:p>
            <w:pPr>
              <w:jc w:val="center"/>
              <w:ind w:right="160"/>
              <w:spacing w:after="0"/>
              <w:rPr>
                <w:sz w:val="20"/>
                <w:szCs w:val="20"/>
                <w:color w:val="auto"/>
              </w:rPr>
            </w:pPr>
            <w:r>
              <w:rPr>
                <w:rFonts w:ascii="Arial" w:cs="Arial" w:eastAsia="Arial" w:hAnsi="Arial"/>
                <w:sz w:val="14"/>
                <w:szCs w:val="14"/>
                <w:color w:val="auto"/>
                <w:w w:val="93"/>
              </w:rPr>
              <w:t>Three Months Ended</w:t>
            </w:r>
          </w:p>
        </w:tc>
        <w:tc>
          <w:tcPr>
            <w:tcW w:w="8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7"/>
        </w:trPr>
        <w:tc>
          <w:tcPr>
            <w:tcW w:w="494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Key Balance Sheet Statistics:</w:t>
            </w:r>
          </w:p>
        </w:tc>
        <w:tc>
          <w:tcPr>
            <w:tcW w:w="220" w:type="dxa"/>
            <w:vAlign w:val="bottom"/>
          </w:tcPr>
          <w:p>
            <w:pPr>
              <w:spacing w:after="0"/>
              <w:rPr>
                <w:sz w:val="12"/>
                <w:szCs w:val="12"/>
                <w:color w:val="auto"/>
              </w:rPr>
            </w:pPr>
          </w:p>
        </w:tc>
        <w:tc>
          <w:tcPr>
            <w:tcW w:w="800" w:type="dxa"/>
            <w:vAlign w:val="bottom"/>
          </w:tcPr>
          <w:p>
            <w:pPr>
              <w:jc w:val="right"/>
              <w:ind w:right="128"/>
              <w:spacing w:after="0" w:line="147" w:lineRule="exact"/>
              <w:rPr>
                <w:sz w:val="20"/>
                <w:szCs w:val="20"/>
                <w:color w:val="auto"/>
              </w:rPr>
            </w:pPr>
            <w:r>
              <w:rPr>
                <w:rFonts w:ascii="Arial" w:cs="Arial" w:eastAsia="Arial" w:hAnsi="Arial"/>
                <w:sz w:val="14"/>
                <w:szCs w:val="14"/>
                <w:color w:val="auto"/>
              </w:rPr>
              <w:t>June 30,</w:t>
            </w: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40" w:type="dxa"/>
            <w:vAlign w:val="bottom"/>
          </w:tcPr>
          <w:p>
            <w:pPr>
              <w:jc w:val="right"/>
              <w:ind w:right="68"/>
              <w:spacing w:after="0" w:line="147" w:lineRule="exact"/>
              <w:rPr>
                <w:sz w:val="20"/>
                <w:szCs w:val="20"/>
                <w:color w:val="auto"/>
              </w:rPr>
            </w:pPr>
            <w:r>
              <w:rPr>
                <w:rFonts w:ascii="Arial" w:cs="Arial" w:eastAsia="Arial" w:hAnsi="Arial"/>
                <w:sz w:val="14"/>
                <w:szCs w:val="14"/>
                <w:color w:val="auto"/>
              </w:rPr>
              <w:t>March 31,</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jc w:val="center"/>
              <w:spacing w:after="0" w:line="147" w:lineRule="exact"/>
              <w:rPr>
                <w:sz w:val="20"/>
                <w:szCs w:val="20"/>
                <w:color w:val="auto"/>
              </w:rPr>
            </w:pPr>
            <w:r>
              <w:rPr>
                <w:rFonts w:ascii="Arial" w:cs="Arial" w:eastAsia="Arial" w:hAnsi="Arial"/>
                <w:sz w:val="14"/>
                <w:szCs w:val="14"/>
                <w:color w:val="auto"/>
                <w:w w:val="93"/>
              </w:rPr>
              <w:t>December 31,</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tcPr>
          <w:p>
            <w:pPr>
              <w:jc w:val="right"/>
              <w:spacing w:after="0" w:line="147" w:lineRule="exact"/>
              <w:rPr>
                <w:sz w:val="20"/>
                <w:szCs w:val="20"/>
                <w:color w:val="auto"/>
              </w:rPr>
            </w:pPr>
            <w:r>
              <w:rPr>
                <w:rFonts w:ascii="Arial" w:cs="Arial" w:eastAsia="Arial" w:hAnsi="Arial"/>
                <w:sz w:val="14"/>
                <w:szCs w:val="14"/>
                <w:color w:val="auto"/>
                <w:w w:val="93"/>
              </w:rPr>
              <w:t>September 30,</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tcPr>
          <w:p>
            <w:pPr>
              <w:jc w:val="right"/>
              <w:ind w:right="128"/>
              <w:spacing w:after="0" w:line="147" w:lineRule="exact"/>
              <w:rPr>
                <w:sz w:val="20"/>
                <w:szCs w:val="20"/>
                <w:color w:val="auto"/>
              </w:rPr>
            </w:pPr>
            <w:r>
              <w:rPr>
                <w:rFonts w:ascii="Arial" w:cs="Arial" w:eastAsia="Arial" w:hAnsi="Arial"/>
                <w:sz w:val="14"/>
                <w:szCs w:val="14"/>
                <w:color w:val="auto"/>
              </w:rPr>
              <w:t>June 30,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6"/>
        </w:trPr>
        <w:tc>
          <w:tcPr>
            <w:tcW w:w="4940" w:type="dxa"/>
            <w:vAlign w:val="bottom"/>
            <w:tcBorders>
              <w:bottom w:val="single" w:sz="8" w:color="CCEEFF"/>
            </w:tcBorders>
            <w:vMerge w:val="continue"/>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color w:val="auto"/>
              </w:rPr>
              <w:t>2020</w:t>
            </w:r>
          </w:p>
        </w:tc>
        <w:tc>
          <w:tcPr>
            <w:tcW w:w="14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color w:val="auto"/>
              </w:rPr>
              <w:t>2020</w:t>
            </w:r>
          </w:p>
        </w:tc>
        <w:tc>
          <w:tcPr>
            <w:tcW w:w="16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6"/>
              </w:rPr>
              <w:t>2019</w:t>
            </w:r>
          </w:p>
        </w:tc>
        <w:tc>
          <w:tcPr>
            <w:tcW w:w="16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89"/>
              </w:rPr>
              <w:t>2019</w:t>
            </w:r>
          </w:p>
        </w:tc>
        <w:tc>
          <w:tcPr>
            <w:tcW w:w="16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jc w:val="center"/>
              <w:ind w:right="8"/>
              <w:spacing w:after="0"/>
              <w:rPr>
                <w:sz w:val="20"/>
                <w:szCs w:val="20"/>
                <w:color w:val="auto"/>
              </w:rPr>
            </w:pPr>
            <w:r>
              <w:rPr>
                <w:rFonts w:ascii="Arial" w:cs="Arial" w:eastAsia="Arial" w:hAnsi="Arial"/>
                <w:sz w:val="14"/>
                <w:szCs w:val="14"/>
                <w:color w:val="auto"/>
                <w:w w:val="89"/>
              </w:rPr>
              <w:t>2019</w:t>
            </w:r>
          </w:p>
        </w:tc>
        <w:tc>
          <w:tcPr>
            <w:tcW w:w="1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72"/>
        </w:trPr>
        <w:tc>
          <w:tcPr>
            <w:tcW w:w="4940" w:type="dxa"/>
            <w:vAlign w:val="bottom"/>
            <w:shd w:val="clear" w:color="auto" w:fill="CCEEFF"/>
          </w:tcPr>
          <w:p>
            <w:pPr>
              <w:ind w:left="20"/>
              <w:spacing w:after="0"/>
              <w:rPr>
                <w:sz w:val="20"/>
                <w:szCs w:val="20"/>
                <w:color w:val="auto"/>
              </w:rPr>
            </w:pPr>
            <w:r>
              <w:rPr>
                <w:rFonts w:ascii="Arial" w:cs="Arial" w:eastAsia="Arial" w:hAnsi="Arial"/>
                <w:sz w:val="14"/>
                <w:szCs w:val="14"/>
                <w:color w:val="auto"/>
              </w:rPr>
              <w:t xml:space="preserve">Investment securities: </w:t>
            </w:r>
            <w:r>
              <w:rPr>
                <w:rFonts w:ascii="Arial" w:cs="Arial" w:eastAsia="Arial" w:hAnsi="Arial"/>
                <w:sz w:val="9"/>
                <w:szCs w:val="9"/>
                <w:color w:val="auto"/>
              </w:rPr>
              <w:t>12</w:t>
            </w:r>
          </w:p>
        </w:tc>
        <w:tc>
          <w:tcPr>
            <w:tcW w:w="22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4940" w:type="dxa"/>
            <w:vAlign w:val="bottom"/>
          </w:tcPr>
          <w:p>
            <w:pPr>
              <w:ind w:left="180"/>
              <w:spacing w:after="0"/>
              <w:rPr>
                <w:sz w:val="20"/>
                <w:szCs w:val="20"/>
                <w:color w:val="auto"/>
              </w:rPr>
            </w:pPr>
            <w:r>
              <w:rPr>
                <w:rFonts w:ascii="Arial" w:cs="Arial" w:eastAsia="Arial" w:hAnsi="Arial"/>
                <w:sz w:val="14"/>
                <w:szCs w:val="14"/>
                <w:color w:val="auto"/>
              </w:rPr>
              <w:t>Fixed-rate Agency MBS, at fair value - as of period end</w:t>
            </w:r>
          </w:p>
        </w:tc>
        <w:tc>
          <w:tcPr>
            <w:tcW w:w="220" w:type="dxa"/>
            <w:vAlign w:val="bottom"/>
          </w:tcPr>
          <w:p>
            <w:pPr>
              <w:jc w:val="right"/>
              <w:ind w:right="68"/>
              <w:spacing w:after="0"/>
              <w:rPr>
                <w:sz w:val="20"/>
                <w:szCs w:val="20"/>
                <w:color w:val="auto"/>
              </w:rPr>
            </w:pPr>
            <w:r>
              <w:rPr>
                <w:rFonts w:ascii="Arial" w:cs="Arial" w:eastAsia="Arial" w:hAnsi="Arial"/>
                <w:sz w:val="14"/>
                <w:szCs w:val="14"/>
                <w:color w:val="auto"/>
                <w:w w:val="76"/>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75,165</w:t>
            </w:r>
          </w:p>
        </w:tc>
        <w:tc>
          <w:tcPr>
            <w:tcW w:w="440" w:type="dxa"/>
            <w:vAlign w:val="bottom"/>
            <w:gridSpan w:val="3"/>
          </w:tcPr>
          <w:p>
            <w:pPr>
              <w:jc w:val="right"/>
              <w:ind w:right="100"/>
              <w:spacing w:after="0"/>
              <w:rPr>
                <w:sz w:val="20"/>
                <w:szCs w:val="20"/>
                <w:color w:val="auto"/>
              </w:rPr>
            </w:pPr>
            <w:r>
              <w:rPr>
                <w:rFonts w:ascii="Arial" w:cs="Arial" w:eastAsia="Arial" w:hAnsi="Arial"/>
                <w:sz w:val="14"/>
                <w:szCs w:val="14"/>
                <w:color w:val="auto"/>
              </w:rPr>
              <w:t>$</w:t>
            </w:r>
          </w:p>
        </w:tc>
        <w:tc>
          <w:tcPr>
            <w:tcW w:w="840" w:type="dxa"/>
            <w:vAlign w:val="bottom"/>
          </w:tcPr>
          <w:p>
            <w:pPr>
              <w:jc w:val="right"/>
              <w:spacing w:after="0"/>
              <w:rPr>
                <w:sz w:val="20"/>
                <w:szCs w:val="20"/>
                <w:color w:val="auto"/>
              </w:rPr>
            </w:pPr>
            <w:r>
              <w:rPr>
                <w:rFonts w:ascii="Arial" w:cs="Arial" w:eastAsia="Arial" w:hAnsi="Arial"/>
                <w:sz w:val="14"/>
                <w:szCs w:val="14"/>
                <w:color w:val="auto"/>
              </w:rPr>
              <w:t>69,901</w:t>
            </w:r>
          </w:p>
        </w:tc>
        <w:tc>
          <w:tcPr>
            <w:tcW w:w="160" w:type="dxa"/>
            <w:vAlign w:val="bottom"/>
          </w:tcPr>
          <w:p>
            <w:pPr>
              <w:spacing w:after="0"/>
              <w:rPr>
                <w:sz w:val="17"/>
                <w:szCs w:val="17"/>
                <w:color w:val="auto"/>
              </w:rPr>
            </w:pPr>
          </w:p>
        </w:tc>
        <w:tc>
          <w:tcPr>
            <w:tcW w:w="240" w:type="dxa"/>
            <w:vAlign w:val="bottom"/>
            <w:gridSpan w:val="2"/>
          </w:tcPr>
          <w:p>
            <w:pPr>
              <w:jc w:val="right"/>
              <w:ind w:right="40"/>
              <w:spacing w:after="0"/>
              <w:rPr>
                <w:sz w:val="20"/>
                <w:szCs w:val="20"/>
                <w:color w:val="auto"/>
              </w:rPr>
            </w:pPr>
            <w:r>
              <w:rPr>
                <w:rFonts w:ascii="Arial" w:cs="Arial" w:eastAsia="Arial" w:hAnsi="Arial"/>
                <w:sz w:val="14"/>
                <w:szCs w:val="14"/>
                <w:color w:val="auto"/>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98,074</w:t>
            </w:r>
          </w:p>
        </w:tc>
        <w:tc>
          <w:tcPr>
            <w:tcW w:w="380" w:type="dxa"/>
            <w:vAlign w:val="bottom"/>
            <w:gridSpan w:val="3"/>
          </w:tcPr>
          <w:p>
            <w:pPr>
              <w:jc w:val="right"/>
              <w:ind w:right="20"/>
              <w:spacing w:after="0"/>
              <w:rPr>
                <w:sz w:val="20"/>
                <w:szCs w:val="20"/>
                <w:color w:val="auto"/>
              </w:rPr>
            </w:pPr>
            <w:r>
              <w:rPr>
                <w:rFonts w:ascii="Arial" w:cs="Arial" w:eastAsia="Arial" w:hAnsi="Arial"/>
                <w:sz w:val="14"/>
                <w:szCs w:val="14"/>
                <w:color w:val="auto"/>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98,090</w:t>
            </w:r>
          </w:p>
        </w:tc>
        <w:tc>
          <w:tcPr>
            <w:tcW w:w="480" w:type="dxa"/>
            <w:vAlign w:val="bottom"/>
            <w:gridSpan w:val="3"/>
          </w:tcPr>
          <w:p>
            <w:pPr>
              <w:jc w:val="right"/>
              <w:ind w:right="140"/>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90,627</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49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Other Agency MBS, at fair value - as of period end</w:t>
            </w:r>
          </w:p>
        </w:tc>
        <w:tc>
          <w:tcPr>
            <w:tcW w:w="2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667</w:t>
            </w:r>
          </w:p>
        </w:tc>
        <w:tc>
          <w:tcPr>
            <w:tcW w:w="440" w:type="dxa"/>
            <w:vAlign w:val="bottom"/>
            <w:gridSpan w:val="3"/>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749</w:t>
            </w:r>
          </w:p>
        </w:tc>
        <w:tc>
          <w:tcPr>
            <w:tcW w:w="160" w:type="dxa"/>
            <w:vAlign w:val="bottom"/>
            <w:shd w:val="clear" w:color="auto" w:fill="CCEEFF"/>
          </w:tcPr>
          <w:p>
            <w:pPr>
              <w:spacing w:after="0"/>
              <w:rPr>
                <w:sz w:val="18"/>
                <w:szCs w:val="18"/>
                <w:color w:val="auto"/>
              </w:rPr>
            </w:pPr>
          </w:p>
        </w:tc>
        <w:tc>
          <w:tcPr>
            <w:tcW w:w="240" w:type="dxa"/>
            <w:vAlign w:val="bottom"/>
            <w:gridSpan w:val="2"/>
            <w:shd w:val="clear" w:color="auto" w:fill="CCEEFF"/>
          </w:tcPr>
          <w:p>
            <w:pPr>
              <w:jc w:val="right"/>
              <w:ind w:right="40"/>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813</w:t>
            </w:r>
          </w:p>
        </w:tc>
        <w:tc>
          <w:tcPr>
            <w:tcW w:w="380" w:type="dxa"/>
            <w:vAlign w:val="bottom"/>
            <w:gridSpan w:val="3"/>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880</w:t>
            </w:r>
          </w:p>
        </w:tc>
        <w:tc>
          <w:tcPr>
            <w:tcW w:w="480" w:type="dxa"/>
            <w:vAlign w:val="bottom"/>
            <w:gridSpan w:val="3"/>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924</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4940" w:type="dxa"/>
            <w:vAlign w:val="bottom"/>
          </w:tcPr>
          <w:p>
            <w:pPr>
              <w:ind w:left="180"/>
              <w:spacing w:after="0"/>
              <w:rPr>
                <w:sz w:val="20"/>
                <w:szCs w:val="20"/>
                <w:color w:val="auto"/>
              </w:rPr>
            </w:pPr>
            <w:r>
              <w:rPr>
                <w:rFonts w:ascii="Arial" w:cs="Arial" w:eastAsia="Arial" w:hAnsi="Arial"/>
                <w:sz w:val="14"/>
                <w:szCs w:val="14"/>
                <w:color w:val="auto"/>
              </w:rPr>
              <w:t>Credit risk transfer securities, at fair value - as of period end</w:t>
            </w:r>
          </w:p>
        </w:tc>
        <w:tc>
          <w:tcPr>
            <w:tcW w:w="220" w:type="dxa"/>
            <w:vAlign w:val="bottom"/>
          </w:tcPr>
          <w:p>
            <w:pPr>
              <w:jc w:val="right"/>
              <w:ind w:right="68"/>
              <w:spacing w:after="0"/>
              <w:rPr>
                <w:sz w:val="20"/>
                <w:szCs w:val="20"/>
                <w:color w:val="auto"/>
              </w:rPr>
            </w:pPr>
            <w:r>
              <w:rPr>
                <w:rFonts w:ascii="Arial" w:cs="Arial" w:eastAsia="Arial" w:hAnsi="Arial"/>
                <w:sz w:val="14"/>
                <w:szCs w:val="14"/>
                <w:color w:val="auto"/>
                <w:w w:val="76"/>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712</w:t>
            </w:r>
          </w:p>
        </w:tc>
        <w:tc>
          <w:tcPr>
            <w:tcW w:w="440" w:type="dxa"/>
            <w:vAlign w:val="bottom"/>
            <w:gridSpan w:val="3"/>
          </w:tcPr>
          <w:p>
            <w:pPr>
              <w:jc w:val="right"/>
              <w:ind w:right="100"/>
              <w:spacing w:after="0"/>
              <w:rPr>
                <w:sz w:val="20"/>
                <w:szCs w:val="20"/>
                <w:color w:val="auto"/>
              </w:rPr>
            </w:pPr>
            <w:r>
              <w:rPr>
                <w:rFonts w:ascii="Arial" w:cs="Arial" w:eastAsia="Arial" w:hAnsi="Arial"/>
                <w:sz w:val="14"/>
                <w:szCs w:val="14"/>
                <w:color w:val="auto"/>
              </w:rPr>
              <w:t>$</w:t>
            </w:r>
          </w:p>
        </w:tc>
        <w:tc>
          <w:tcPr>
            <w:tcW w:w="840" w:type="dxa"/>
            <w:vAlign w:val="bottom"/>
          </w:tcPr>
          <w:p>
            <w:pPr>
              <w:jc w:val="right"/>
              <w:spacing w:after="0"/>
              <w:rPr>
                <w:sz w:val="20"/>
                <w:szCs w:val="20"/>
                <w:color w:val="auto"/>
              </w:rPr>
            </w:pPr>
            <w:r>
              <w:rPr>
                <w:rFonts w:ascii="Arial" w:cs="Arial" w:eastAsia="Arial" w:hAnsi="Arial"/>
                <w:sz w:val="14"/>
                <w:szCs w:val="14"/>
                <w:color w:val="auto"/>
              </w:rPr>
              <w:t>574</w:t>
            </w:r>
          </w:p>
        </w:tc>
        <w:tc>
          <w:tcPr>
            <w:tcW w:w="160" w:type="dxa"/>
            <w:vAlign w:val="bottom"/>
          </w:tcPr>
          <w:p>
            <w:pPr>
              <w:spacing w:after="0"/>
              <w:rPr>
                <w:sz w:val="17"/>
                <w:szCs w:val="17"/>
                <w:color w:val="auto"/>
              </w:rPr>
            </w:pPr>
          </w:p>
        </w:tc>
        <w:tc>
          <w:tcPr>
            <w:tcW w:w="240" w:type="dxa"/>
            <w:vAlign w:val="bottom"/>
            <w:gridSpan w:val="2"/>
          </w:tcPr>
          <w:p>
            <w:pPr>
              <w:jc w:val="right"/>
              <w:ind w:right="40"/>
              <w:spacing w:after="0"/>
              <w:rPr>
                <w:sz w:val="20"/>
                <w:szCs w:val="20"/>
                <w:color w:val="auto"/>
              </w:rPr>
            </w:pPr>
            <w:r>
              <w:rPr>
                <w:rFonts w:ascii="Arial" w:cs="Arial" w:eastAsia="Arial" w:hAnsi="Arial"/>
                <w:sz w:val="14"/>
                <w:szCs w:val="14"/>
                <w:color w:val="auto"/>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976</w:t>
            </w:r>
          </w:p>
        </w:tc>
        <w:tc>
          <w:tcPr>
            <w:tcW w:w="380" w:type="dxa"/>
            <w:vAlign w:val="bottom"/>
            <w:gridSpan w:val="3"/>
          </w:tcPr>
          <w:p>
            <w:pPr>
              <w:jc w:val="right"/>
              <w:ind w:right="20"/>
              <w:spacing w:after="0"/>
              <w:rPr>
                <w:sz w:val="20"/>
                <w:szCs w:val="20"/>
                <w:color w:val="auto"/>
              </w:rPr>
            </w:pPr>
            <w:r>
              <w:rPr>
                <w:rFonts w:ascii="Arial" w:cs="Arial" w:eastAsia="Arial" w:hAnsi="Arial"/>
                <w:sz w:val="14"/>
                <w:szCs w:val="14"/>
                <w:color w:val="auto"/>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1,134</w:t>
            </w:r>
          </w:p>
        </w:tc>
        <w:tc>
          <w:tcPr>
            <w:tcW w:w="480" w:type="dxa"/>
            <w:vAlign w:val="bottom"/>
            <w:gridSpan w:val="3"/>
          </w:tcPr>
          <w:p>
            <w:pPr>
              <w:jc w:val="right"/>
              <w:ind w:right="140"/>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1,117</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49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Non-Agency MBS, at fair value - as of period end</w:t>
            </w:r>
          </w:p>
        </w:tc>
        <w:tc>
          <w:tcPr>
            <w:tcW w:w="2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599</w:t>
            </w:r>
          </w:p>
        </w:tc>
        <w:tc>
          <w:tcPr>
            <w:tcW w:w="440" w:type="dxa"/>
            <w:vAlign w:val="bottom"/>
            <w:gridSpan w:val="3"/>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552</w:t>
            </w:r>
          </w:p>
        </w:tc>
        <w:tc>
          <w:tcPr>
            <w:tcW w:w="160" w:type="dxa"/>
            <w:vAlign w:val="bottom"/>
            <w:shd w:val="clear" w:color="auto" w:fill="CCEEFF"/>
          </w:tcPr>
          <w:p>
            <w:pPr>
              <w:spacing w:after="0"/>
              <w:rPr>
                <w:sz w:val="18"/>
                <w:szCs w:val="18"/>
                <w:color w:val="auto"/>
              </w:rPr>
            </w:pPr>
          </w:p>
        </w:tc>
        <w:tc>
          <w:tcPr>
            <w:tcW w:w="240" w:type="dxa"/>
            <w:vAlign w:val="bottom"/>
            <w:gridSpan w:val="2"/>
            <w:shd w:val="clear" w:color="auto" w:fill="CCEEFF"/>
          </w:tcPr>
          <w:p>
            <w:pPr>
              <w:jc w:val="right"/>
              <w:ind w:right="40"/>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579</w:t>
            </w:r>
          </w:p>
        </w:tc>
        <w:tc>
          <w:tcPr>
            <w:tcW w:w="380" w:type="dxa"/>
            <w:vAlign w:val="bottom"/>
            <w:gridSpan w:val="3"/>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579</w:t>
            </w:r>
          </w:p>
        </w:tc>
        <w:tc>
          <w:tcPr>
            <w:tcW w:w="480" w:type="dxa"/>
            <w:vAlign w:val="bottom"/>
            <w:gridSpan w:val="3"/>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603</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4940" w:type="dxa"/>
            <w:vAlign w:val="bottom"/>
          </w:tcPr>
          <w:p>
            <w:pPr>
              <w:ind w:left="180"/>
              <w:spacing w:after="0"/>
              <w:rPr>
                <w:sz w:val="20"/>
                <w:szCs w:val="20"/>
                <w:color w:val="auto"/>
              </w:rPr>
            </w:pPr>
            <w:r>
              <w:rPr>
                <w:rFonts w:ascii="Arial" w:cs="Arial" w:eastAsia="Arial" w:hAnsi="Arial"/>
                <w:sz w:val="14"/>
                <w:szCs w:val="14"/>
                <w:color w:val="auto"/>
              </w:rPr>
              <w:t>Total investment securities, at fair value - as of period end</w:t>
            </w:r>
          </w:p>
        </w:tc>
        <w:tc>
          <w:tcPr>
            <w:tcW w:w="220" w:type="dxa"/>
            <w:vAlign w:val="bottom"/>
          </w:tcPr>
          <w:p>
            <w:pPr>
              <w:jc w:val="right"/>
              <w:ind w:right="68"/>
              <w:spacing w:after="0"/>
              <w:rPr>
                <w:sz w:val="20"/>
                <w:szCs w:val="20"/>
                <w:color w:val="auto"/>
              </w:rPr>
            </w:pPr>
            <w:r>
              <w:rPr>
                <w:rFonts w:ascii="Arial" w:cs="Arial" w:eastAsia="Arial" w:hAnsi="Arial"/>
                <w:sz w:val="14"/>
                <w:szCs w:val="14"/>
                <w:color w:val="auto"/>
                <w:w w:val="76"/>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77,143</w:t>
            </w:r>
          </w:p>
        </w:tc>
        <w:tc>
          <w:tcPr>
            <w:tcW w:w="440" w:type="dxa"/>
            <w:vAlign w:val="bottom"/>
            <w:gridSpan w:val="3"/>
          </w:tcPr>
          <w:p>
            <w:pPr>
              <w:jc w:val="right"/>
              <w:ind w:right="100"/>
              <w:spacing w:after="0"/>
              <w:rPr>
                <w:sz w:val="20"/>
                <w:szCs w:val="20"/>
                <w:color w:val="auto"/>
              </w:rPr>
            </w:pPr>
            <w:r>
              <w:rPr>
                <w:rFonts w:ascii="Arial" w:cs="Arial" w:eastAsia="Arial" w:hAnsi="Arial"/>
                <w:sz w:val="14"/>
                <w:szCs w:val="14"/>
                <w:color w:val="auto"/>
              </w:rPr>
              <w:t>$</w:t>
            </w:r>
          </w:p>
        </w:tc>
        <w:tc>
          <w:tcPr>
            <w:tcW w:w="840" w:type="dxa"/>
            <w:vAlign w:val="bottom"/>
          </w:tcPr>
          <w:p>
            <w:pPr>
              <w:jc w:val="right"/>
              <w:spacing w:after="0"/>
              <w:rPr>
                <w:sz w:val="20"/>
                <w:szCs w:val="20"/>
                <w:color w:val="auto"/>
              </w:rPr>
            </w:pPr>
            <w:r>
              <w:rPr>
                <w:rFonts w:ascii="Arial" w:cs="Arial" w:eastAsia="Arial" w:hAnsi="Arial"/>
                <w:sz w:val="14"/>
                <w:szCs w:val="14"/>
                <w:color w:val="auto"/>
              </w:rPr>
              <w:t>71,776</w:t>
            </w:r>
          </w:p>
        </w:tc>
        <w:tc>
          <w:tcPr>
            <w:tcW w:w="160" w:type="dxa"/>
            <w:vAlign w:val="bottom"/>
          </w:tcPr>
          <w:p>
            <w:pPr>
              <w:spacing w:after="0"/>
              <w:rPr>
                <w:sz w:val="17"/>
                <w:szCs w:val="17"/>
                <w:color w:val="auto"/>
              </w:rPr>
            </w:pPr>
          </w:p>
        </w:tc>
        <w:tc>
          <w:tcPr>
            <w:tcW w:w="240" w:type="dxa"/>
            <w:vAlign w:val="bottom"/>
            <w:gridSpan w:val="2"/>
          </w:tcPr>
          <w:p>
            <w:pPr>
              <w:jc w:val="right"/>
              <w:ind w:right="40"/>
              <w:spacing w:after="0"/>
              <w:rPr>
                <w:sz w:val="20"/>
                <w:szCs w:val="20"/>
                <w:color w:val="auto"/>
              </w:rPr>
            </w:pPr>
            <w:r>
              <w:rPr>
                <w:rFonts w:ascii="Arial" w:cs="Arial" w:eastAsia="Arial" w:hAnsi="Arial"/>
                <w:sz w:val="14"/>
                <w:szCs w:val="14"/>
                <w:color w:val="auto"/>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100,442</w:t>
            </w:r>
          </w:p>
        </w:tc>
        <w:tc>
          <w:tcPr>
            <w:tcW w:w="380" w:type="dxa"/>
            <w:vAlign w:val="bottom"/>
            <w:gridSpan w:val="3"/>
          </w:tcPr>
          <w:p>
            <w:pPr>
              <w:jc w:val="right"/>
              <w:ind w:right="20"/>
              <w:spacing w:after="0"/>
              <w:rPr>
                <w:sz w:val="20"/>
                <w:szCs w:val="20"/>
                <w:color w:val="auto"/>
              </w:rPr>
            </w:pPr>
            <w:r>
              <w:rPr>
                <w:rFonts w:ascii="Arial" w:cs="Arial" w:eastAsia="Arial" w:hAnsi="Arial"/>
                <w:sz w:val="14"/>
                <w:szCs w:val="14"/>
                <w:color w:val="auto"/>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100,683</w:t>
            </w:r>
          </w:p>
        </w:tc>
        <w:tc>
          <w:tcPr>
            <w:tcW w:w="480" w:type="dxa"/>
            <w:vAlign w:val="bottom"/>
            <w:gridSpan w:val="3"/>
          </w:tcPr>
          <w:p>
            <w:pPr>
              <w:jc w:val="right"/>
              <w:ind w:right="140"/>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93,271</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49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Total investment securities, at cost - as of period end</w:t>
            </w:r>
          </w:p>
        </w:tc>
        <w:tc>
          <w:tcPr>
            <w:tcW w:w="2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73,828</w:t>
            </w:r>
          </w:p>
        </w:tc>
        <w:tc>
          <w:tcPr>
            <w:tcW w:w="440" w:type="dxa"/>
            <w:vAlign w:val="bottom"/>
            <w:gridSpan w:val="3"/>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69,343</w:t>
            </w:r>
          </w:p>
        </w:tc>
        <w:tc>
          <w:tcPr>
            <w:tcW w:w="160" w:type="dxa"/>
            <w:vAlign w:val="bottom"/>
            <w:shd w:val="clear" w:color="auto" w:fill="CCEEFF"/>
          </w:tcPr>
          <w:p>
            <w:pPr>
              <w:spacing w:after="0"/>
              <w:rPr>
                <w:sz w:val="18"/>
                <w:szCs w:val="18"/>
                <w:color w:val="auto"/>
              </w:rPr>
            </w:pPr>
          </w:p>
        </w:tc>
        <w:tc>
          <w:tcPr>
            <w:tcW w:w="240" w:type="dxa"/>
            <w:vAlign w:val="bottom"/>
            <w:gridSpan w:val="2"/>
            <w:shd w:val="clear" w:color="auto" w:fill="CCEEFF"/>
          </w:tcPr>
          <w:p>
            <w:pPr>
              <w:jc w:val="right"/>
              <w:ind w:right="40"/>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98,670</w:t>
            </w:r>
          </w:p>
        </w:tc>
        <w:tc>
          <w:tcPr>
            <w:tcW w:w="380" w:type="dxa"/>
            <w:vAlign w:val="bottom"/>
            <w:gridSpan w:val="3"/>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98,763</w:t>
            </w:r>
          </w:p>
        </w:tc>
        <w:tc>
          <w:tcPr>
            <w:tcW w:w="480" w:type="dxa"/>
            <w:vAlign w:val="bottom"/>
            <w:gridSpan w:val="3"/>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91,953</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4940" w:type="dxa"/>
            <w:vAlign w:val="bottom"/>
          </w:tcPr>
          <w:p>
            <w:pPr>
              <w:ind w:left="180"/>
              <w:spacing w:after="0"/>
              <w:rPr>
                <w:sz w:val="20"/>
                <w:szCs w:val="20"/>
                <w:color w:val="auto"/>
              </w:rPr>
            </w:pPr>
            <w:r>
              <w:rPr>
                <w:rFonts w:ascii="Arial" w:cs="Arial" w:eastAsia="Arial" w:hAnsi="Arial"/>
                <w:sz w:val="14"/>
                <w:szCs w:val="14"/>
                <w:color w:val="auto"/>
              </w:rPr>
              <w:t>Total investment securities, at par - as of period end</w:t>
            </w:r>
          </w:p>
        </w:tc>
        <w:tc>
          <w:tcPr>
            <w:tcW w:w="220" w:type="dxa"/>
            <w:vAlign w:val="bottom"/>
          </w:tcPr>
          <w:p>
            <w:pPr>
              <w:jc w:val="right"/>
              <w:ind w:right="68"/>
              <w:spacing w:after="0"/>
              <w:rPr>
                <w:sz w:val="20"/>
                <w:szCs w:val="20"/>
                <w:color w:val="auto"/>
              </w:rPr>
            </w:pPr>
            <w:r>
              <w:rPr>
                <w:rFonts w:ascii="Arial" w:cs="Arial" w:eastAsia="Arial" w:hAnsi="Arial"/>
                <w:sz w:val="14"/>
                <w:szCs w:val="14"/>
                <w:color w:val="auto"/>
                <w:w w:val="76"/>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70,878</w:t>
            </w:r>
          </w:p>
        </w:tc>
        <w:tc>
          <w:tcPr>
            <w:tcW w:w="440" w:type="dxa"/>
            <w:vAlign w:val="bottom"/>
            <w:gridSpan w:val="3"/>
          </w:tcPr>
          <w:p>
            <w:pPr>
              <w:jc w:val="right"/>
              <w:ind w:right="100"/>
              <w:spacing w:after="0"/>
              <w:rPr>
                <w:sz w:val="20"/>
                <w:szCs w:val="20"/>
                <w:color w:val="auto"/>
              </w:rPr>
            </w:pPr>
            <w:r>
              <w:rPr>
                <w:rFonts w:ascii="Arial" w:cs="Arial" w:eastAsia="Arial" w:hAnsi="Arial"/>
                <w:sz w:val="14"/>
                <w:szCs w:val="14"/>
                <w:color w:val="auto"/>
              </w:rPr>
              <w:t>$</w:t>
            </w:r>
          </w:p>
        </w:tc>
        <w:tc>
          <w:tcPr>
            <w:tcW w:w="840" w:type="dxa"/>
            <w:vAlign w:val="bottom"/>
          </w:tcPr>
          <w:p>
            <w:pPr>
              <w:jc w:val="right"/>
              <w:spacing w:after="0"/>
              <w:rPr>
                <w:sz w:val="20"/>
                <w:szCs w:val="20"/>
                <w:color w:val="auto"/>
              </w:rPr>
            </w:pPr>
            <w:r>
              <w:rPr>
                <w:rFonts w:ascii="Arial" w:cs="Arial" w:eastAsia="Arial" w:hAnsi="Arial"/>
                <w:sz w:val="14"/>
                <w:szCs w:val="14"/>
                <w:color w:val="auto"/>
              </w:rPr>
              <w:t>66,735</w:t>
            </w:r>
          </w:p>
        </w:tc>
        <w:tc>
          <w:tcPr>
            <w:tcW w:w="160" w:type="dxa"/>
            <w:vAlign w:val="bottom"/>
          </w:tcPr>
          <w:p>
            <w:pPr>
              <w:spacing w:after="0"/>
              <w:rPr>
                <w:sz w:val="17"/>
                <w:szCs w:val="17"/>
                <w:color w:val="auto"/>
              </w:rPr>
            </w:pPr>
          </w:p>
        </w:tc>
        <w:tc>
          <w:tcPr>
            <w:tcW w:w="240" w:type="dxa"/>
            <w:vAlign w:val="bottom"/>
            <w:gridSpan w:val="2"/>
          </w:tcPr>
          <w:p>
            <w:pPr>
              <w:jc w:val="right"/>
              <w:ind w:right="40"/>
              <w:spacing w:after="0"/>
              <w:rPr>
                <w:sz w:val="20"/>
                <w:szCs w:val="20"/>
                <w:color w:val="auto"/>
              </w:rPr>
            </w:pPr>
            <w:r>
              <w:rPr>
                <w:rFonts w:ascii="Arial" w:cs="Arial" w:eastAsia="Arial" w:hAnsi="Arial"/>
                <w:sz w:val="14"/>
                <w:szCs w:val="14"/>
                <w:color w:val="auto"/>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95,561</w:t>
            </w:r>
          </w:p>
        </w:tc>
        <w:tc>
          <w:tcPr>
            <w:tcW w:w="380" w:type="dxa"/>
            <w:vAlign w:val="bottom"/>
            <w:gridSpan w:val="3"/>
          </w:tcPr>
          <w:p>
            <w:pPr>
              <w:jc w:val="right"/>
              <w:ind w:right="20"/>
              <w:spacing w:after="0"/>
              <w:rPr>
                <w:sz w:val="20"/>
                <w:szCs w:val="20"/>
                <w:color w:val="auto"/>
              </w:rPr>
            </w:pPr>
            <w:r>
              <w:rPr>
                <w:rFonts w:ascii="Arial" w:cs="Arial" w:eastAsia="Arial" w:hAnsi="Arial"/>
                <w:sz w:val="14"/>
                <w:szCs w:val="14"/>
                <w:color w:val="auto"/>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95,629</w:t>
            </w:r>
          </w:p>
        </w:tc>
        <w:tc>
          <w:tcPr>
            <w:tcW w:w="480" w:type="dxa"/>
            <w:vAlign w:val="bottom"/>
            <w:gridSpan w:val="3"/>
          </w:tcPr>
          <w:p>
            <w:pPr>
              <w:jc w:val="right"/>
              <w:ind w:right="140"/>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88,880</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49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Average investment securities, at cost</w:t>
            </w:r>
          </w:p>
        </w:tc>
        <w:tc>
          <w:tcPr>
            <w:tcW w:w="2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71,787</w:t>
            </w:r>
          </w:p>
        </w:tc>
        <w:tc>
          <w:tcPr>
            <w:tcW w:w="440" w:type="dxa"/>
            <w:vAlign w:val="bottom"/>
            <w:gridSpan w:val="3"/>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97,889</w:t>
            </w:r>
          </w:p>
        </w:tc>
        <w:tc>
          <w:tcPr>
            <w:tcW w:w="160" w:type="dxa"/>
            <w:vAlign w:val="bottom"/>
            <w:shd w:val="clear" w:color="auto" w:fill="CCEEFF"/>
          </w:tcPr>
          <w:p>
            <w:pPr>
              <w:spacing w:after="0"/>
              <w:rPr>
                <w:sz w:val="18"/>
                <w:szCs w:val="18"/>
                <w:color w:val="auto"/>
              </w:rPr>
            </w:pPr>
          </w:p>
        </w:tc>
        <w:tc>
          <w:tcPr>
            <w:tcW w:w="240" w:type="dxa"/>
            <w:vAlign w:val="bottom"/>
            <w:gridSpan w:val="2"/>
            <w:shd w:val="clear" w:color="auto" w:fill="CCEEFF"/>
          </w:tcPr>
          <w:p>
            <w:pPr>
              <w:jc w:val="right"/>
              <w:ind w:right="40"/>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93,606</w:t>
            </w:r>
          </w:p>
        </w:tc>
        <w:tc>
          <w:tcPr>
            <w:tcW w:w="380" w:type="dxa"/>
            <w:vAlign w:val="bottom"/>
            <w:gridSpan w:val="3"/>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92,764</w:t>
            </w:r>
          </w:p>
        </w:tc>
        <w:tc>
          <w:tcPr>
            <w:tcW w:w="480" w:type="dxa"/>
            <w:vAlign w:val="bottom"/>
            <w:gridSpan w:val="3"/>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92,610</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4940" w:type="dxa"/>
            <w:vAlign w:val="bottom"/>
          </w:tcPr>
          <w:p>
            <w:pPr>
              <w:ind w:left="180"/>
              <w:spacing w:after="0"/>
              <w:rPr>
                <w:sz w:val="20"/>
                <w:szCs w:val="20"/>
                <w:color w:val="auto"/>
              </w:rPr>
            </w:pPr>
            <w:r>
              <w:rPr>
                <w:rFonts w:ascii="Arial" w:cs="Arial" w:eastAsia="Arial" w:hAnsi="Arial"/>
                <w:sz w:val="14"/>
                <w:szCs w:val="14"/>
                <w:color w:val="auto"/>
              </w:rPr>
              <w:t>Average investment securities, at par</w:t>
            </w:r>
          </w:p>
        </w:tc>
        <w:tc>
          <w:tcPr>
            <w:tcW w:w="220" w:type="dxa"/>
            <w:vAlign w:val="bottom"/>
          </w:tcPr>
          <w:p>
            <w:pPr>
              <w:jc w:val="right"/>
              <w:ind w:right="68"/>
              <w:spacing w:after="0"/>
              <w:rPr>
                <w:sz w:val="20"/>
                <w:szCs w:val="20"/>
                <w:color w:val="auto"/>
              </w:rPr>
            </w:pPr>
            <w:r>
              <w:rPr>
                <w:rFonts w:ascii="Arial" w:cs="Arial" w:eastAsia="Arial" w:hAnsi="Arial"/>
                <w:sz w:val="14"/>
                <w:szCs w:val="14"/>
                <w:color w:val="auto"/>
                <w:w w:val="76"/>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68,994</w:t>
            </w:r>
          </w:p>
        </w:tc>
        <w:tc>
          <w:tcPr>
            <w:tcW w:w="440" w:type="dxa"/>
            <w:vAlign w:val="bottom"/>
            <w:gridSpan w:val="3"/>
          </w:tcPr>
          <w:p>
            <w:pPr>
              <w:jc w:val="right"/>
              <w:ind w:right="100"/>
              <w:spacing w:after="0"/>
              <w:rPr>
                <w:sz w:val="20"/>
                <w:szCs w:val="20"/>
                <w:color w:val="auto"/>
              </w:rPr>
            </w:pPr>
            <w:r>
              <w:rPr>
                <w:rFonts w:ascii="Arial" w:cs="Arial" w:eastAsia="Arial" w:hAnsi="Arial"/>
                <w:sz w:val="14"/>
                <w:szCs w:val="14"/>
                <w:color w:val="auto"/>
              </w:rPr>
              <w:t>$</w:t>
            </w:r>
          </w:p>
        </w:tc>
        <w:tc>
          <w:tcPr>
            <w:tcW w:w="840" w:type="dxa"/>
            <w:vAlign w:val="bottom"/>
          </w:tcPr>
          <w:p>
            <w:pPr>
              <w:jc w:val="right"/>
              <w:spacing w:after="0"/>
              <w:rPr>
                <w:sz w:val="20"/>
                <w:szCs w:val="20"/>
                <w:color w:val="auto"/>
              </w:rPr>
            </w:pPr>
            <w:r>
              <w:rPr>
                <w:rFonts w:ascii="Arial" w:cs="Arial" w:eastAsia="Arial" w:hAnsi="Arial"/>
                <w:sz w:val="14"/>
                <w:szCs w:val="14"/>
                <w:color w:val="auto"/>
              </w:rPr>
              <w:t>94,933</w:t>
            </w:r>
          </w:p>
        </w:tc>
        <w:tc>
          <w:tcPr>
            <w:tcW w:w="160" w:type="dxa"/>
            <w:vAlign w:val="bottom"/>
          </w:tcPr>
          <w:p>
            <w:pPr>
              <w:spacing w:after="0"/>
              <w:rPr>
                <w:sz w:val="17"/>
                <w:szCs w:val="17"/>
                <w:color w:val="auto"/>
              </w:rPr>
            </w:pPr>
          </w:p>
        </w:tc>
        <w:tc>
          <w:tcPr>
            <w:tcW w:w="240" w:type="dxa"/>
            <w:vAlign w:val="bottom"/>
            <w:gridSpan w:val="2"/>
          </w:tcPr>
          <w:p>
            <w:pPr>
              <w:jc w:val="right"/>
              <w:ind w:right="40"/>
              <w:spacing w:after="0"/>
              <w:rPr>
                <w:sz w:val="20"/>
                <w:szCs w:val="20"/>
                <w:color w:val="auto"/>
              </w:rPr>
            </w:pPr>
            <w:r>
              <w:rPr>
                <w:rFonts w:ascii="Arial" w:cs="Arial" w:eastAsia="Arial" w:hAnsi="Arial"/>
                <w:sz w:val="14"/>
                <w:szCs w:val="14"/>
                <w:color w:val="auto"/>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90,586</w:t>
            </w:r>
          </w:p>
        </w:tc>
        <w:tc>
          <w:tcPr>
            <w:tcW w:w="380" w:type="dxa"/>
            <w:vAlign w:val="bottom"/>
            <w:gridSpan w:val="3"/>
          </w:tcPr>
          <w:p>
            <w:pPr>
              <w:jc w:val="right"/>
              <w:ind w:right="20"/>
              <w:spacing w:after="0"/>
              <w:rPr>
                <w:sz w:val="20"/>
                <w:szCs w:val="20"/>
                <w:color w:val="auto"/>
              </w:rPr>
            </w:pPr>
            <w:r>
              <w:rPr>
                <w:rFonts w:ascii="Arial" w:cs="Arial" w:eastAsia="Arial" w:hAnsi="Arial"/>
                <w:sz w:val="14"/>
                <w:szCs w:val="14"/>
                <w:color w:val="auto"/>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89,741</w:t>
            </w:r>
          </w:p>
        </w:tc>
        <w:tc>
          <w:tcPr>
            <w:tcW w:w="480" w:type="dxa"/>
            <w:vAlign w:val="bottom"/>
            <w:gridSpan w:val="3"/>
          </w:tcPr>
          <w:p>
            <w:pPr>
              <w:jc w:val="right"/>
              <w:ind w:right="140"/>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89,586</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4940" w:type="dxa"/>
            <w:vAlign w:val="bottom"/>
            <w:shd w:val="clear" w:color="auto" w:fill="CCEEFF"/>
          </w:tcPr>
          <w:p>
            <w:pPr>
              <w:ind w:left="20"/>
              <w:spacing w:after="0"/>
              <w:rPr>
                <w:sz w:val="20"/>
                <w:szCs w:val="20"/>
                <w:color w:val="auto"/>
              </w:rPr>
            </w:pPr>
            <w:r>
              <w:rPr>
                <w:rFonts w:ascii="Arial" w:cs="Arial" w:eastAsia="Arial" w:hAnsi="Arial"/>
                <w:sz w:val="14"/>
                <w:szCs w:val="14"/>
                <w:color w:val="auto"/>
              </w:rPr>
              <w:t>TBA securities:</w:t>
            </w:r>
          </w:p>
        </w:tc>
        <w:tc>
          <w:tcPr>
            <w:tcW w:w="2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4940" w:type="dxa"/>
            <w:vAlign w:val="bottom"/>
          </w:tcPr>
          <w:p>
            <w:pPr>
              <w:ind w:left="180"/>
              <w:spacing w:after="0"/>
              <w:rPr>
                <w:sz w:val="20"/>
                <w:szCs w:val="20"/>
                <w:color w:val="auto"/>
              </w:rPr>
            </w:pPr>
            <w:r>
              <w:rPr>
                <w:rFonts w:ascii="Arial" w:cs="Arial" w:eastAsia="Arial" w:hAnsi="Arial"/>
                <w:sz w:val="14"/>
                <w:szCs w:val="14"/>
                <w:color w:val="auto"/>
              </w:rPr>
              <w:t>Net TBA portfolio - as of period end, at fair value</w:t>
            </w:r>
          </w:p>
        </w:tc>
        <w:tc>
          <w:tcPr>
            <w:tcW w:w="220" w:type="dxa"/>
            <w:vAlign w:val="bottom"/>
          </w:tcPr>
          <w:p>
            <w:pPr>
              <w:jc w:val="right"/>
              <w:ind w:right="68"/>
              <w:spacing w:after="0"/>
              <w:rPr>
                <w:sz w:val="20"/>
                <w:szCs w:val="20"/>
                <w:color w:val="auto"/>
              </w:rPr>
            </w:pPr>
            <w:r>
              <w:rPr>
                <w:rFonts w:ascii="Arial" w:cs="Arial" w:eastAsia="Arial" w:hAnsi="Arial"/>
                <w:sz w:val="14"/>
                <w:szCs w:val="14"/>
                <w:color w:val="auto"/>
                <w:w w:val="76"/>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20,543</w:t>
            </w:r>
          </w:p>
        </w:tc>
        <w:tc>
          <w:tcPr>
            <w:tcW w:w="440" w:type="dxa"/>
            <w:vAlign w:val="bottom"/>
            <w:gridSpan w:val="3"/>
          </w:tcPr>
          <w:p>
            <w:pPr>
              <w:jc w:val="right"/>
              <w:ind w:right="100"/>
              <w:spacing w:after="0"/>
              <w:rPr>
                <w:sz w:val="20"/>
                <w:szCs w:val="20"/>
                <w:color w:val="auto"/>
              </w:rPr>
            </w:pPr>
            <w:r>
              <w:rPr>
                <w:rFonts w:ascii="Arial" w:cs="Arial" w:eastAsia="Arial" w:hAnsi="Arial"/>
                <w:sz w:val="14"/>
                <w:szCs w:val="14"/>
                <w:color w:val="auto"/>
              </w:rPr>
              <w:t>$</w:t>
            </w:r>
          </w:p>
        </w:tc>
        <w:tc>
          <w:tcPr>
            <w:tcW w:w="840" w:type="dxa"/>
            <w:vAlign w:val="bottom"/>
          </w:tcPr>
          <w:p>
            <w:pPr>
              <w:jc w:val="right"/>
              <w:spacing w:after="0"/>
              <w:rPr>
                <w:sz w:val="20"/>
                <w:szCs w:val="20"/>
                <w:color w:val="auto"/>
              </w:rPr>
            </w:pPr>
            <w:r>
              <w:rPr>
                <w:rFonts w:ascii="Arial" w:cs="Arial" w:eastAsia="Arial" w:hAnsi="Arial"/>
                <w:sz w:val="14"/>
                <w:szCs w:val="14"/>
                <w:color w:val="auto"/>
              </w:rPr>
              <w:t>21,222</w:t>
            </w:r>
          </w:p>
        </w:tc>
        <w:tc>
          <w:tcPr>
            <w:tcW w:w="160" w:type="dxa"/>
            <w:vAlign w:val="bottom"/>
          </w:tcPr>
          <w:p>
            <w:pPr>
              <w:spacing w:after="0"/>
              <w:rPr>
                <w:sz w:val="17"/>
                <w:szCs w:val="17"/>
                <w:color w:val="auto"/>
              </w:rPr>
            </w:pPr>
          </w:p>
        </w:tc>
        <w:tc>
          <w:tcPr>
            <w:tcW w:w="240" w:type="dxa"/>
            <w:vAlign w:val="bottom"/>
            <w:gridSpan w:val="2"/>
          </w:tcPr>
          <w:p>
            <w:pPr>
              <w:jc w:val="right"/>
              <w:ind w:right="40"/>
              <w:spacing w:after="0"/>
              <w:rPr>
                <w:sz w:val="20"/>
                <w:szCs w:val="20"/>
                <w:color w:val="auto"/>
              </w:rPr>
            </w:pPr>
            <w:r>
              <w:rPr>
                <w:rFonts w:ascii="Arial" w:cs="Arial" w:eastAsia="Arial" w:hAnsi="Arial"/>
                <w:sz w:val="14"/>
                <w:szCs w:val="14"/>
                <w:color w:val="auto"/>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7,429</w:t>
            </w:r>
          </w:p>
        </w:tc>
        <w:tc>
          <w:tcPr>
            <w:tcW w:w="380" w:type="dxa"/>
            <w:vAlign w:val="bottom"/>
            <w:gridSpan w:val="3"/>
          </w:tcPr>
          <w:p>
            <w:pPr>
              <w:jc w:val="right"/>
              <w:ind w:right="20"/>
              <w:spacing w:after="0"/>
              <w:rPr>
                <w:sz w:val="20"/>
                <w:szCs w:val="20"/>
                <w:color w:val="auto"/>
              </w:rPr>
            </w:pPr>
            <w:r>
              <w:rPr>
                <w:rFonts w:ascii="Arial" w:cs="Arial" w:eastAsia="Arial" w:hAnsi="Arial"/>
                <w:sz w:val="14"/>
                <w:szCs w:val="14"/>
                <w:color w:val="auto"/>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1,867</w:t>
            </w:r>
          </w:p>
        </w:tc>
        <w:tc>
          <w:tcPr>
            <w:tcW w:w="480" w:type="dxa"/>
            <w:vAlign w:val="bottom"/>
            <w:gridSpan w:val="3"/>
          </w:tcPr>
          <w:p>
            <w:pPr>
              <w:jc w:val="right"/>
              <w:ind w:right="140"/>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11,170</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49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Net TBA portfolio - as of period end, at cost</w:t>
            </w:r>
          </w:p>
        </w:tc>
        <w:tc>
          <w:tcPr>
            <w:tcW w:w="2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20,413</w:t>
            </w:r>
          </w:p>
        </w:tc>
        <w:tc>
          <w:tcPr>
            <w:tcW w:w="440" w:type="dxa"/>
            <w:vAlign w:val="bottom"/>
            <w:gridSpan w:val="3"/>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20,648</w:t>
            </w:r>
          </w:p>
        </w:tc>
        <w:tc>
          <w:tcPr>
            <w:tcW w:w="160" w:type="dxa"/>
            <w:vAlign w:val="bottom"/>
            <w:shd w:val="clear" w:color="auto" w:fill="CCEEFF"/>
          </w:tcPr>
          <w:p>
            <w:pPr>
              <w:spacing w:after="0"/>
              <w:rPr>
                <w:sz w:val="18"/>
                <w:szCs w:val="18"/>
                <w:color w:val="auto"/>
              </w:rPr>
            </w:pPr>
          </w:p>
        </w:tc>
        <w:tc>
          <w:tcPr>
            <w:tcW w:w="240" w:type="dxa"/>
            <w:vAlign w:val="bottom"/>
            <w:gridSpan w:val="2"/>
            <w:shd w:val="clear" w:color="auto" w:fill="CCEEFF"/>
          </w:tcPr>
          <w:p>
            <w:pPr>
              <w:jc w:val="right"/>
              <w:ind w:right="40"/>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7,404</w:t>
            </w:r>
          </w:p>
        </w:tc>
        <w:tc>
          <w:tcPr>
            <w:tcW w:w="380" w:type="dxa"/>
            <w:vAlign w:val="bottom"/>
            <w:gridSpan w:val="3"/>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1,820</w:t>
            </w:r>
          </w:p>
        </w:tc>
        <w:tc>
          <w:tcPr>
            <w:tcW w:w="480" w:type="dxa"/>
            <w:vAlign w:val="bottom"/>
            <w:gridSpan w:val="3"/>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11,086</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4940" w:type="dxa"/>
            <w:vAlign w:val="bottom"/>
          </w:tcPr>
          <w:p>
            <w:pPr>
              <w:ind w:left="180"/>
              <w:spacing w:after="0"/>
              <w:rPr>
                <w:sz w:val="20"/>
                <w:szCs w:val="20"/>
                <w:color w:val="auto"/>
              </w:rPr>
            </w:pPr>
            <w:r>
              <w:rPr>
                <w:rFonts w:ascii="Arial" w:cs="Arial" w:eastAsia="Arial" w:hAnsi="Arial"/>
                <w:sz w:val="14"/>
                <w:szCs w:val="14"/>
                <w:color w:val="auto"/>
              </w:rPr>
              <w:t>Net TBA portfolio - as of period end, carrying value</w:t>
            </w:r>
          </w:p>
        </w:tc>
        <w:tc>
          <w:tcPr>
            <w:tcW w:w="220" w:type="dxa"/>
            <w:vAlign w:val="bottom"/>
          </w:tcPr>
          <w:p>
            <w:pPr>
              <w:jc w:val="right"/>
              <w:ind w:right="68"/>
              <w:spacing w:after="0"/>
              <w:rPr>
                <w:sz w:val="20"/>
                <w:szCs w:val="20"/>
                <w:color w:val="auto"/>
              </w:rPr>
            </w:pPr>
            <w:r>
              <w:rPr>
                <w:rFonts w:ascii="Arial" w:cs="Arial" w:eastAsia="Arial" w:hAnsi="Arial"/>
                <w:sz w:val="14"/>
                <w:szCs w:val="14"/>
                <w:color w:val="auto"/>
                <w:w w:val="76"/>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130</w:t>
            </w:r>
          </w:p>
        </w:tc>
        <w:tc>
          <w:tcPr>
            <w:tcW w:w="440" w:type="dxa"/>
            <w:vAlign w:val="bottom"/>
            <w:gridSpan w:val="3"/>
          </w:tcPr>
          <w:p>
            <w:pPr>
              <w:jc w:val="right"/>
              <w:ind w:right="100"/>
              <w:spacing w:after="0"/>
              <w:rPr>
                <w:sz w:val="20"/>
                <w:szCs w:val="20"/>
                <w:color w:val="auto"/>
              </w:rPr>
            </w:pPr>
            <w:r>
              <w:rPr>
                <w:rFonts w:ascii="Arial" w:cs="Arial" w:eastAsia="Arial" w:hAnsi="Arial"/>
                <w:sz w:val="14"/>
                <w:szCs w:val="14"/>
                <w:color w:val="auto"/>
              </w:rPr>
              <w:t>$</w:t>
            </w:r>
          </w:p>
        </w:tc>
        <w:tc>
          <w:tcPr>
            <w:tcW w:w="840" w:type="dxa"/>
            <w:vAlign w:val="bottom"/>
          </w:tcPr>
          <w:p>
            <w:pPr>
              <w:jc w:val="right"/>
              <w:spacing w:after="0"/>
              <w:rPr>
                <w:sz w:val="20"/>
                <w:szCs w:val="20"/>
                <w:color w:val="auto"/>
              </w:rPr>
            </w:pPr>
            <w:r>
              <w:rPr>
                <w:rFonts w:ascii="Arial" w:cs="Arial" w:eastAsia="Arial" w:hAnsi="Arial"/>
                <w:sz w:val="14"/>
                <w:szCs w:val="14"/>
                <w:color w:val="auto"/>
              </w:rPr>
              <w:t>574</w:t>
            </w:r>
          </w:p>
        </w:tc>
        <w:tc>
          <w:tcPr>
            <w:tcW w:w="160" w:type="dxa"/>
            <w:vAlign w:val="bottom"/>
          </w:tcPr>
          <w:p>
            <w:pPr>
              <w:spacing w:after="0"/>
              <w:rPr>
                <w:sz w:val="17"/>
                <w:szCs w:val="17"/>
                <w:color w:val="auto"/>
              </w:rPr>
            </w:pPr>
          </w:p>
        </w:tc>
        <w:tc>
          <w:tcPr>
            <w:tcW w:w="240" w:type="dxa"/>
            <w:vAlign w:val="bottom"/>
            <w:gridSpan w:val="2"/>
          </w:tcPr>
          <w:p>
            <w:pPr>
              <w:jc w:val="right"/>
              <w:ind w:right="40"/>
              <w:spacing w:after="0"/>
              <w:rPr>
                <w:sz w:val="20"/>
                <w:szCs w:val="20"/>
                <w:color w:val="auto"/>
              </w:rPr>
            </w:pPr>
            <w:r>
              <w:rPr>
                <w:rFonts w:ascii="Arial" w:cs="Arial" w:eastAsia="Arial" w:hAnsi="Arial"/>
                <w:sz w:val="14"/>
                <w:szCs w:val="14"/>
                <w:color w:val="auto"/>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25</w:t>
            </w:r>
          </w:p>
        </w:tc>
        <w:tc>
          <w:tcPr>
            <w:tcW w:w="380" w:type="dxa"/>
            <w:vAlign w:val="bottom"/>
            <w:gridSpan w:val="3"/>
          </w:tcPr>
          <w:p>
            <w:pPr>
              <w:jc w:val="right"/>
              <w:ind w:right="20"/>
              <w:spacing w:after="0"/>
              <w:rPr>
                <w:sz w:val="20"/>
                <w:szCs w:val="20"/>
                <w:color w:val="auto"/>
              </w:rPr>
            </w:pPr>
            <w:r>
              <w:rPr>
                <w:rFonts w:ascii="Arial" w:cs="Arial" w:eastAsia="Arial" w:hAnsi="Arial"/>
                <w:sz w:val="14"/>
                <w:szCs w:val="14"/>
                <w:color w:val="auto"/>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47</w:t>
            </w:r>
          </w:p>
        </w:tc>
        <w:tc>
          <w:tcPr>
            <w:tcW w:w="480" w:type="dxa"/>
            <w:vAlign w:val="bottom"/>
            <w:gridSpan w:val="3"/>
          </w:tcPr>
          <w:p>
            <w:pPr>
              <w:jc w:val="right"/>
              <w:ind w:right="140"/>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84</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49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Average net TBA portfolio, at cost</w:t>
            </w:r>
          </w:p>
        </w:tc>
        <w:tc>
          <w:tcPr>
            <w:tcW w:w="2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15,662</w:t>
            </w:r>
          </w:p>
        </w:tc>
        <w:tc>
          <w:tcPr>
            <w:tcW w:w="440" w:type="dxa"/>
            <w:vAlign w:val="bottom"/>
            <w:gridSpan w:val="3"/>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7,487</w:t>
            </w:r>
          </w:p>
        </w:tc>
        <w:tc>
          <w:tcPr>
            <w:tcW w:w="160" w:type="dxa"/>
            <w:vAlign w:val="bottom"/>
            <w:shd w:val="clear" w:color="auto" w:fill="CCEEFF"/>
          </w:tcPr>
          <w:p>
            <w:pPr>
              <w:spacing w:after="0"/>
              <w:rPr>
                <w:sz w:val="18"/>
                <w:szCs w:val="18"/>
                <w:color w:val="auto"/>
              </w:rPr>
            </w:pPr>
          </w:p>
        </w:tc>
        <w:tc>
          <w:tcPr>
            <w:tcW w:w="240" w:type="dxa"/>
            <w:vAlign w:val="bottom"/>
            <w:gridSpan w:val="2"/>
            <w:shd w:val="clear" w:color="auto" w:fill="CCEEFF"/>
          </w:tcPr>
          <w:p>
            <w:pPr>
              <w:jc w:val="right"/>
              <w:ind w:right="40"/>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7,038</w:t>
            </w:r>
          </w:p>
        </w:tc>
        <w:tc>
          <w:tcPr>
            <w:tcW w:w="380" w:type="dxa"/>
            <w:vAlign w:val="bottom"/>
            <w:gridSpan w:val="3"/>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10,146</w:t>
            </w:r>
          </w:p>
        </w:tc>
        <w:tc>
          <w:tcPr>
            <w:tcW w:w="480" w:type="dxa"/>
            <w:vAlign w:val="bottom"/>
            <w:gridSpan w:val="3"/>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11,864</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4940" w:type="dxa"/>
            <w:vAlign w:val="bottom"/>
          </w:tcPr>
          <w:p>
            <w:pPr>
              <w:ind w:left="20"/>
              <w:spacing w:after="0"/>
              <w:rPr>
                <w:sz w:val="20"/>
                <w:szCs w:val="20"/>
                <w:color w:val="auto"/>
              </w:rPr>
            </w:pPr>
            <w:r>
              <w:rPr>
                <w:rFonts w:ascii="Arial" w:cs="Arial" w:eastAsia="Arial" w:hAnsi="Arial"/>
                <w:sz w:val="14"/>
                <w:szCs w:val="14"/>
                <w:color w:val="auto"/>
              </w:rPr>
              <w:t xml:space="preserve">Average repurchase agreements and other debt </w:t>
            </w:r>
            <w:r>
              <w:rPr>
                <w:rFonts w:ascii="Arial" w:cs="Arial" w:eastAsia="Arial" w:hAnsi="Arial"/>
                <w:sz w:val="9"/>
                <w:szCs w:val="9"/>
                <w:color w:val="auto"/>
              </w:rPr>
              <w:t>13</w:t>
            </w:r>
          </w:p>
        </w:tc>
        <w:tc>
          <w:tcPr>
            <w:tcW w:w="220" w:type="dxa"/>
            <w:vAlign w:val="bottom"/>
          </w:tcPr>
          <w:p>
            <w:pPr>
              <w:jc w:val="right"/>
              <w:ind w:right="68"/>
              <w:spacing w:after="0"/>
              <w:rPr>
                <w:sz w:val="20"/>
                <w:szCs w:val="20"/>
                <w:color w:val="auto"/>
              </w:rPr>
            </w:pPr>
            <w:r>
              <w:rPr>
                <w:rFonts w:ascii="Arial" w:cs="Arial" w:eastAsia="Arial" w:hAnsi="Arial"/>
                <w:sz w:val="14"/>
                <w:szCs w:val="14"/>
                <w:color w:val="auto"/>
                <w:w w:val="76"/>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69,552</w:t>
            </w:r>
          </w:p>
        </w:tc>
        <w:tc>
          <w:tcPr>
            <w:tcW w:w="440" w:type="dxa"/>
            <w:vAlign w:val="bottom"/>
            <w:gridSpan w:val="3"/>
          </w:tcPr>
          <w:p>
            <w:pPr>
              <w:jc w:val="right"/>
              <w:ind w:right="100"/>
              <w:spacing w:after="0"/>
              <w:rPr>
                <w:sz w:val="20"/>
                <w:szCs w:val="20"/>
                <w:color w:val="auto"/>
              </w:rPr>
            </w:pPr>
            <w:r>
              <w:rPr>
                <w:rFonts w:ascii="Arial" w:cs="Arial" w:eastAsia="Arial" w:hAnsi="Arial"/>
                <w:sz w:val="14"/>
                <w:szCs w:val="14"/>
                <w:color w:val="auto"/>
              </w:rPr>
              <w:t>$</w:t>
            </w:r>
          </w:p>
        </w:tc>
        <w:tc>
          <w:tcPr>
            <w:tcW w:w="840" w:type="dxa"/>
            <w:vAlign w:val="bottom"/>
          </w:tcPr>
          <w:p>
            <w:pPr>
              <w:jc w:val="right"/>
              <w:spacing w:after="0"/>
              <w:rPr>
                <w:sz w:val="20"/>
                <w:szCs w:val="20"/>
                <w:color w:val="auto"/>
              </w:rPr>
            </w:pPr>
            <w:r>
              <w:rPr>
                <w:rFonts w:ascii="Arial" w:cs="Arial" w:eastAsia="Arial" w:hAnsi="Arial"/>
                <w:sz w:val="14"/>
                <w:szCs w:val="14"/>
                <w:color w:val="auto"/>
              </w:rPr>
              <w:t>93,538</w:t>
            </w:r>
          </w:p>
        </w:tc>
        <w:tc>
          <w:tcPr>
            <w:tcW w:w="160" w:type="dxa"/>
            <w:vAlign w:val="bottom"/>
          </w:tcPr>
          <w:p>
            <w:pPr>
              <w:spacing w:after="0"/>
              <w:rPr>
                <w:sz w:val="17"/>
                <w:szCs w:val="17"/>
                <w:color w:val="auto"/>
              </w:rPr>
            </w:pPr>
          </w:p>
        </w:tc>
        <w:tc>
          <w:tcPr>
            <w:tcW w:w="240" w:type="dxa"/>
            <w:vAlign w:val="bottom"/>
            <w:gridSpan w:val="2"/>
          </w:tcPr>
          <w:p>
            <w:pPr>
              <w:jc w:val="right"/>
              <w:ind w:right="40"/>
              <w:spacing w:after="0"/>
              <w:rPr>
                <w:sz w:val="20"/>
                <w:szCs w:val="20"/>
                <w:color w:val="auto"/>
              </w:rPr>
            </w:pPr>
            <w:r>
              <w:rPr>
                <w:rFonts w:ascii="Arial" w:cs="Arial" w:eastAsia="Arial" w:hAnsi="Arial"/>
                <w:sz w:val="14"/>
                <w:szCs w:val="14"/>
                <w:color w:val="auto"/>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88,677</w:t>
            </w:r>
          </w:p>
        </w:tc>
        <w:tc>
          <w:tcPr>
            <w:tcW w:w="380" w:type="dxa"/>
            <w:vAlign w:val="bottom"/>
            <w:gridSpan w:val="3"/>
          </w:tcPr>
          <w:p>
            <w:pPr>
              <w:jc w:val="right"/>
              <w:ind w:right="20"/>
              <w:spacing w:after="0"/>
              <w:rPr>
                <w:sz w:val="20"/>
                <w:szCs w:val="20"/>
                <w:color w:val="auto"/>
              </w:rPr>
            </w:pPr>
            <w:r>
              <w:rPr>
                <w:rFonts w:ascii="Arial" w:cs="Arial" w:eastAsia="Arial" w:hAnsi="Arial"/>
                <w:sz w:val="14"/>
                <w:szCs w:val="14"/>
                <w:color w:val="auto"/>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87,938</w:t>
            </w:r>
          </w:p>
        </w:tc>
        <w:tc>
          <w:tcPr>
            <w:tcW w:w="480" w:type="dxa"/>
            <w:vAlign w:val="bottom"/>
            <w:gridSpan w:val="3"/>
          </w:tcPr>
          <w:p>
            <w:pPr>
              <w:jc w:val="right"/>
              <w:ind w:right="140"/>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86,147</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4940" w:type="dxa"/>
            <w:vAlign w:val="bottom"/>
            <w:shd w:val="clear" w:color="auto" w:fill="CCEEFF"/>
          </w:tcPr>
          <w:p>
            <w:pPr>
              <w:ind w:left="20"/>
              <w:spacing w:after="0"/>
              <w:rPr>
                <w:sz w:val="20"/>
                <w:szCs w:val="20"/>
                <w:color w:val="auto"/>
              </w:rPr>
            </w:pPr>
            <w:r>
              <w:rPr>
                <w:rFonts w:ascii="Arial" w:cs="Arial" w:eastAsia="Arial" w:hAnsi="Arial"/>
                <w:sz w:val="14"/>
                <w:szCs w:val="14"/>
                <w:color w:val="auto"/>
              </w:rPr>
              <w:t xml:space="preserve">Average stockholders' equity </w:t>
            </w:r>
            <w:r>
              <w:rPr>
                <w:rFonts w:ascii="Arial" w:cs="Arial" w:eastAsia="Arial" w:hAnsi="Arial"/>
                <w:sz w:val="9"/>
                <w:szCs w:val="9"/>
                <w:color w:val="auto"/>
              </w:rPr>
              <w:t>14</w:t>
            </w:r>
          </w:p>
        </w:tc>
        <w:tc>
          <w:tcPr>
            <w:tcW w:w="2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10,262</w:t>
            </w:r>
          </w:p>
        </w:tc>
        <w:tc>
          <w:tcPr>
            <w:tcW w:w="440" w:type="dxa"/>
            <w:vAlign w:val="bottom"/>
            <w:gridSpan w:val="3"/>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10,735</w:t>
            </w:r>
          </w:p>
        </w:tc>
        <w:tc>
          <w:tcPr>
            <w:tcW w:w="160" w:type="dxa"/>
            <w:vAlign w:val="bottom"/>
            <w:shd w:val="clear" w:color="auto" w:fill="CCEEFF"/>
          </w:tcPr>
          <w:p>
            <w:pPr>
              <w:spacing w:after="0"/>
              <w:rPr>
                <w:sz w:val="18"/>
                <w:szCs w:val="18"/>
                <w:color w:val="auto"/>
              </w:rPr>
            </w:pPr>
          </w:p>
        </w:tc>
        <w:tc>
          <w:tcPr>
            <w:tcW w:w="240" w:type="dxa"/>
            <w:vAlign w:val="bottom"/>
            <w:gridSpan w:val="2"/>
            <w:shd w:val="clear" w:color="auto" w:fill="CCEEFF"/>
          </w:tcPr>
          <w:p>
            <w:pPr>
              <w:jc w:val="right"/>
              <w:ind w:right="40"/>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10,594</w:t>
            </w:r>
          </w:p>
        </w:tc>
        <w:tc>
          <w:tcPr>
            <w:tcW w:w="380" w:type="dxa"/>
            <w:vAlign w:val="bottom"/>
            <w:gridSpan w:val="3"/>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10,347</w:t>
            </w:r>
          </w:p>
        </w:tc>
        <w:tc>
          <w:tcPr>
            <w:tcW w:w="480" w:type="dxa"/>
            <w:vAlign w:val="bottom"/>
            <w:gridSpan w:val="3"/>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10,371</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4940" w:type="dxa"/>
            <w:vAlign w:val="bottom"/>
          </w:tcPr>
          <w:p>
            <w:pPr>
              <w:ind w:left="20"/>
              <w:spacing w:after="0"/>
              <w:rPr>
                <w:sz w:val="20"/>
                <w:szCs w:val="20"/>
                <w:color w:val="auto"/>
              </w:rPr>
            </w:pPr>
            <w:r>
              <w:rPr>
                <w:rFonts w:ascii="Arial" w:cs="Arial" w:eastAsia="Arial" w:hAnsi="Arial"/>
                <w:sz w:val="14"/>
                <w:szCs w:val="14"/>
                <w:color w:val="auto"/>
              </w:rPr>
              <w:t xml:space="preserve">Tangible net book value per common share </w:t>
            </w:r>
            <w:r>
              <w:rPr>
                <w:rFonts w:ascii="Arial" w:cs="Arial" w:eastAsia="Arial" w:hAnsi="Arial"/>
                <w:sz w:val="9"/>
                <w:szCs w:val="9"/>
                <w:color w:val="auto"/>
              </w:rPr>
              <w:t>1</w:t>
            </w:r>
          </w:p>
        </w:tc>
        <w:tc>
          <w:tcPr>
            <w:tcW w:w="220" w:type="dxa"/>
            <w:vAlign w:val="bottom"/>
          </w:tcPr>
          <w:p>
            <w:pPr>
              <w:jc w:val="right"/>
              <w:ind w:right="68"/>
              <w:spacing w:after="0"/>
              <w:rPr>
                <w:sz w:val="20"/>
                <w:szCs w:val="20"/>
                <w:color w:val="auto"/>
              </w:rPr>
            </w:pPr>
            <w:r>
              <w:rPr>
                <w:rFonts w:ascii="Arial" w:cs="Arial" w:eastAsia="Arial" w:hAnsi="Arial"/>
                <w:sz w:val="14"/>
                <w:szCs w:val="14"/>
                <w:color w:val="auto"/>
                <w:w w:val="76"/>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14.92</w:t>
            </w:r>
          </w:p>
        </w:tc>
        <w:tc>
          <w:tcPr>
            <w:tcW w:w="440" w:type="dxa"/>
            <w:vAlign w:val="bottom"/>
            <w:gridSpan w:val="3"/>
          </w:tcPr>
          <w:p>
            <w:pPr>
              <w:jc w:val="right"/>
              <w:ind w:right="100"/>
              <w:spacing w:after="0"/>
              <w:rPr>
                <w:sz w:val="20"/>
                <w:szCs w:val="20"/>
                <w:color w:val="auto"/>
              </w:rPr>
            </w:pPr>
            <w:r>
              <w:rPr>
                <w:rFonts w:ascii="Arial" w:cs="Arial" w:eastAsia="Arial" w:hAnsi="Arial"/>
                <w:sz w:val="14"/>
                <w:szCs w:val="14"/>
                <w:color w:val="auto"/>
              </w:rPr>
              <w:t>$</w:t>
            </w:r>
          </w:p>
        </w:tc>
        <w:tc>
          <w:tcPr>
            <w:tcW w:w="840" w:type="dxa"/>
            <w:vAlign w:val="bottom"/>
          </w:tcPr>
          <w:p>
            <w:pPr>
              <w:jc w:val="right"/>
              <w:spacing w:after="0"/>
              <w:rPr>
                <w:sz w:val="20"/>
                <w:szCs w:val="20"/>
                <w:color w:val="auto"/>
              </w:rPr>
            </w:pPr>
            <w:r>
              <w:rPr>
                <w:rFonts w:ascii="Arial" w:cs="Arial" w:eastAsia="Arial" w:hAnsi="Arial"/>
                <w:sz w:val="14"/>
                <w:szCs w:val="14"/>
                <w:color w:val="auto"/>
              </w:rPr>
              <w:t>13.62</w:t>
            </w:r>
          </w:p>
        </w:tc>
        <w:tc>
          <w:tcPr>
            <w:tcW w:w="160" w:type="dxa"/>
            <w:vAlign w:val="bottom"/>
          </w:tcPr>
          <w:p>
            <w:pPr>
              <w:spacing w:after="0"/>
              <w:rPr>
                <w:sz w:val="17"/>
                <w:szCs w:val="17"/>
                <w:color w:val="auto"/>
              </w:rPr>
            </w:pPr>
          </w:p>
        </w:tc>
        <w:tc>
          <w:tcPr>
            <w:tcW w:w="240" w:type="dxa"/>
            <w:vAlign w:val="bottom"/>
            <w:gridSpan w:val="2"/>
          </w:tcPr>
          <w:p>
            <w:pPr>
              <w:jc w:val="right"/>
              <w:ind w:right="40"/>
              <w:spacing w:after="0"/>
              <w:rPr>
                <w:sz w:val="20"/>
                <w:szCs w:val="20"/>
                <w:color w:val="auto"/>
              </w:rPr>
            </w:pPr>
            <w:r>
              <w:rPr>
                <w:rFonts w:ascii="Arial" w:cs="Arial" w:eastAsia="Arial" w:hAnsi="Arial"/>
                <w:sz w:val="14"/>
                <w:szCs w:val="14"/>
                <w:color w:val="auto"/>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17.66</w:t>
            </w:r>
          </w:p>
        </w:tc>
        <w:tc>
          <w:tcPr>
            <w:tcW w:w="380" w:type="dxa"/>
            <w:vAlign w:val="bottom"/>
            <w:gridSpan w:val="3"/>
          </w:tcPr>
          <w:p>
            <w:pPr>
              <w:jc w:val="right"/>
              <w:ind w:right="20"/>
              <w:spacing w:after="0"/>
              <w:rPr>
                <w:sz w:val="20"/>
                <w:szCs w:val="20"/>
                <w:color w:val="auto"/>
              </w:rPr>
            </w:pPr>
            <w:r>
              <w:rPr>
                <w:rFonts w:ascii="Arial" w:cs="Arial" w:eastAsia="Arial" w:hAnsi="Arial"/>
                <w:sz w:val="14"/>
                <w:szCs w:val="14"/>
                <w:color w:val="auto"/>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16.55</w:t>
            </w:r>
          </w:p>
        </w:tc>
        <w:tc>
          <w:tcPr>
            <w:tcW w:w="480" w:type="dxa"/>
            <w:vAlign w:val="bottom"/>
            <w:gridSpan w:val="3"/>
          </w:tcPr>
          <w:p>
            <w:pPr>
              <w:jc w:val="right"/>
              <w:ind w:right="140"/>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16.58</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4940" w:type="dxa"/>
            <w:vAlign w:val="bottom"/>
            <w:shd w:val="clear" w:color="auto" w:fill="CCEEFF"/>
          </w:tcPr>
          <w:p>
            <w:pPr>
              <w:ind w:left="20"/>
              <w:spacing w:after="0"/>
              <w:rPr>
                <w:sz w:val="20"/>
                <w:szCs w:val="20"/>
                <w:color w:val="auto"/>
              </w:rPr>
            </w:pPr>
            <w:r>
              <w:rPr>
                <w:rFonts w:ascii="Arial" w:cs="Arial" w:eastAsia="Arial" w:hAnsi="Arial"/>
                <w:sz w:val="14"/>
                <w:szCs w:val="14"/>
                <w:color w:val="auto"/>
              </w:rPr>
              <w:t xml:space="preserve">Tangible net book value "at risk" leverage - average </w:t>
            </w:r>
            <w:r>
              <w:rPr>
                <w:rFonts w:ascii="Arial" w:cs="Arial" w:eastAsia="Arial" w:hAnsi="Arial"/>
                <w:sz w:val="9"/>
                <w:szCs w:val="9"/>
                <w:color w:val="auto"/>
              </w:rPr>
              <w:t>15</w:t>
            </w:r>
          </w:p>
        </w:tc>
        <w:tc>
          <w:tcPr>
            <w:tcW w:w="22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228"/>
              <w:spacing w:after="0"/>
              <w:rPr>
                <w:sz w:val="20"/>
                <w:szCs w:val="20"/>
                <w:color w:val="auto"/>
              </w:rPr>
            </w:pPr>
            <w:r>
              <w:rPr>
                <w:rFonts w:ascii="Arial" w:cs="Arial" w:eastAsia="Arial" w:hAnsi="Arial"/>
                <w:sz w:val="14"/>
                <w:szCs w:val="14"/>
                <w:color w:val="auto"/>
              </w:rPr>
              <w:t>8.8:1</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208"/>
              <w:spacing w:after="0"/>
              <w:rPr>
                <w:sz w:val="20"/>
                <w:szCs w:val="20"/>
                <w:color w:val="auto"/>
              </w:rPr>
            </w:pPr>
            <w:r>
              <w:rPr>
                <w:rFonts w:ascii="Arial" w:cs="Arial" w:eastAsia="Arial" w:hAnsi="Arial"/>
                <w:sz w:val="14"/>
                <w:szCs w:val="14"/>
                <w:color w:val="auto"/>
              </w:rPr>
              <w:t>9.9:1</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6"/>
              </w:rPr>
              <w:t>9.5:1</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10.0:1</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0" w:type="dxa"/>
            <w:vAlign w:val="bottom"/>
            <w:shd w:val="clear" w:color="auto" w:fill="CCEEFF"/>
          </w:tcPr>
          <w:p>
            <w:pPr>
              <w:jc w:val="center"/>
              <w:ind w:right="8"/>
              <w:spacing w:after="0"/>
              <w:rPr>
                <w:sz w:val="20"/>
                <w:szCs w:val="20"/>
                <w:color w:val="auto"/>
              </w:rPr>
            </w:pPr>
            <w:r>
              <w:rPr>
                <w:rFonts w:ascii="Arial" w:cs="Arial" w:eastAsia="Arial" w:hAnsi="Arial"/>
                <w:sz w:val="14"/>
                <w:szCs w:val="14"/>
                <w:color w:val="auto"/>
                <w:w w:val="92"/>
              </w:rPr>
              <w:t>10.0:1</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7"/>
        </w:trPr>
        <w:tc>
          <w:tcPr>
            <w:tcW w:w="4940" w:type="dxa"/>
            <w:vAlign w:val="bottom"/>
          </w:tcPr>
          <w:p>
            <w:pPr>
              <w:ind w:left="20"/>
              <w:spacing w:after="0"/>
              <w:rPr>
                <w:sz w:val="20"/>
                <w:szCs w:val="20"/>
                <w:color w:val="auto"/>
              </w:rPr>
            </w:pPr>
            <w:r>
              <w:rPr>
                <w:rFonts w:ascii="Arial" w:cs="Arial" w:eastAsia="Arial" w:hAnsi="Arial"/>
                <w:sz w:val="14"/>
                <w:szCs w:val="14"/>
                <w:color w:val="auto"/>
              </w:rPr>
              <w:t xml:space="preserve">Tangible net book value "at risk" leverage - as of period end </w:t>
            </w:r>
            <w:r>
              <w:rPr>
                <w:rFonts w:ascii="Arial" w:cs="Arial" w:eastAsia="Arial" w:hAnsi="Arial"/>
                <w:sz w:val="9"/>
                <w:szCs w:val="9"/>
                <w:color w:val="auto"/>
              </w:rPr>
              <w:t>16</w:t>
            </w:r>
          </w:p>
        </w:tc>
        <w:tc>
          <w:tcPr>
            <w:tcW w:w="220" w:type="dxa"/>
            <w:vAlign w:val="bottom"/>
          </w:tcPr>
          <w:p>
            <w:pPr>
              <w:spacing w:after="0"/>
              <w:rPr>
                <w:sz w:val="17"/>
                <w:szCs w:val="17"/>
                <w:color w:val="auto"/>
              </w:rPr>
            </w:pPr>
          </w:p>
        </w:tc>
        <w:tc>
          <w:tcPr>
            <w:tcW w:w="800" w:type="dxa"/>
            <w:vAlign w:val="bottom"/>
          </w:tcPr>
          <w:p>
            <w:pPr>
              <w:jc w:val="right"/>
              <w:ind w:right="228"/>
              <w:spacing w:after="0"/>
              <w:rPr>
                <w:sz w:val="20"/>
                <w:szCs w:val="20"/>
                <w:color w:val="auto"/>
              </w:rPr>
            </w:pPr>
            <w:r>
              <w:rPr>
                <w:rFonts w:ascii="Arial" w:cs="Arial" w:eastAsia="Arial" w:hAnsi="Arial"/>
                <w:sz w:val="14"/>
                <w:szCs w:val="14"/>
                <w:color w:val="auto"/>
              </w:rPr>
              <w:t>9.2:1</w:t>
            </w: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40" w:type="dxa"/>
            <w:vAlign w:val="bottom"/>
          </w:tcPr>
          <w:p>
            <w:pPr>
              <w:jc w:val="right"/>
              <w:ind w:right="208"/>
              <w:spacing w:after="0"/>
              <w:rPr>
                <w:sz w:val="20"/>
                <w:szCs w:val="20"/>
                <w:color w:val="auto"/>
              </w:rPr>
            </w:pPr>
            <w:r>
              <w:rPr>
                <w:rFonts w:ascii="Arial" w:cs="Arial" w:eastAsia="Arial" w:hAnsi="Arial"/>
                <w:sz w:val="14"/>
                <w:szCs w:val="14"/>
                <w:color w:val="auto"/>
              </w:rPr>
              <w:t>9.4:1</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w w:val="96"/>
              </w:rPr>
              <w:t>9.4:1</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w w:val="89"/>
              </w:rPr>
              <w:t>9.8:1</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jc w:val="center"/>
              <w:spacing w:after="0"/>
              <w:rPr>
                <w:sz w:val="20"/>
                <w:szCs w:val="20"/>
                <w:color w:val="auto"/>
              </w:rPr>
            </w:pPr>
            <w:r>
              <w:rPr>
                <w:rFonts w:ascii="Arial" w:cs="Arial" w:eastAsia="Arial" w:hAnsi="Arial"/>
                <w:sz w:val="14"/>
                <w:szCs w:val="14"/>
                <w:color w:val="auto"/>
                <w:w w:val="96"/>
              </w:rPr>
              <w:t>9.8:1</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8"/>
        </w:trPr>
        <w:tc>
          <w:tcPr>
            <w:tcW w:w="49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7"/>
        </w:trPr>
        <w:tc>
          <w:tcPr>
            <w:tcW w:w="4940" w:type="dxa"/>
            <w:vAlign w:val="bottom"/>
          </w:tcPr>
          <w:p>
            <w:pPr>
              <w:ind w:left="20"/>
              <w:spacing w:after="0"/>
              <w:rPr>
                <w:sz w:val="20"/>
                <w:szCs w:val="20"/>
                <w:color w:val="auto"/>
              </w:rPr>
            </w:pPr>
            <w:r>
              <w:rPr>
                <w:rFonts w:ascii="Arial" w:cs="Arial" w:eastAsia="Arial" w:hAnsi="Arial"/>
                <w:sz w:val="14"/>
                <w:szCs w:val="14"/>
                <w:b w:val="1"/>
                <w:bCs w:val="1"/>
                <w:color w:val="auto"/>
              </w:rPr>
              <w:t>Key Performance Statistics:</w:t>
            </w:r>
          </w:p>
        </w:tc>
        <w:tc>
          <w:tcPr>
            <w:tcW w:w="2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5"/>
        </w:trPr>
        <w:tc>
          <w:tcPr>
            <w:tcW w:w="4940" w:type="dxa"/>
            <w:vAlign w:val="bottom"/>
            <w:shd w:val="clear" w:color="auto" w:fill="CCEEFF"/>
          </w:tcPr>
          <w:p>
            <w:pPr>
              <w:ind w:left="20"/>
              <w:spacing w:after="0"/>
              <w:rPr>
                <w:sz w:val="20"/>
                <w:szCs w:val="20"/>
                <w:color w:val="auto"/>
              </w:rPr>
            </w:pPr>
            <w:r>
              <w:rPr>
                <w:rFonts w:ascii="Arial" w:cs="Arial" w:eastAsia="Arial" w:hAnsi="Arial"/>
                <w:sz w:val="14"/>
                <w:szCs w:val="14"/>
                <w:color w:val="auto"/>
              </w:rPr>
              <w:t xml:space="preserve">Investment securities: </w:t>
            </w:r>
            <w:r>
              <w:rPr>
                <w:rFonts w:ascii="Arial" w:cs="Arial" w:eastAsia="Arial" w:hAnsi="Arial"/>
                <w:sz w:val="9"/>
                <w:szCs w:val="9"/>
                <w:color w:val="auto"/>
              </w:rPr>
              <w:t>12</w:t>
            </w:r>
          </w:p>
        </w:tc>
        <w:tc>
          <w:tcPr>
            <w:tcW w:w="220" w:type="dxa"/>
            <w:vAlign w:val="bottom"/>
            <w:shd w:val="clear" w:color="auto" w:fill="CCEEFF"/>
          </w:tcPr>
          <w:p>
            <w:pPr>
              <w:spacing w:after="0"/>
              <w:rPr>
                <w:sz w:val="16"/>
                <w:szCs w:val="16"/>
                <w:color w:val="auto"/>
              </w:rPr>
            </w:pPr>
          </w:p>
        </w:tc>
        <w:tc>
          <w:tcPr>
            <w:tcW w:w="8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8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8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4940" w:type="dxa"/>
            <w:vAlign w:val="bottom"/>
          </w:tcPr>
          <w:p>
            <w:pPr>
              <w:ind w:left="180"/>
              <w:spacing w:after="0"/>
              <w:rPr>
                <w:sz w:val="20"/>
                <w:szCs w:val="20"/>
                <w:color w:val="auto"/>
              </w:rPr>
            </w:pPr>
            <w:r>
              <w:rPr>
                <w:rFonts w:ascii="Arial" w:cs="Arial" w:eastAsia="Arial" w:hAnsi="Arial"/>
                <w:sz w:val="14"/>
                <w:szCs w:val="14"/>
                <w:color w:val="auto"/>
              </w:rPr>
              <w:t>Average coupon</w:t>
            </w:r>
          </w:p>
        </w:tc>
        <w:tc>
          <w:tcPr>
            <w:tcW w:w="2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3.77</w:t>
            </w:r>
          </w:p>
        </w:tc>
        <w:tc>
          <w:tcPr>
            <w:tcW w:w="14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3.68</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3.76</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3.87</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3.88</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0" w:type="dxa"/>
            <w:vAlign w:val="bottom"/>
          </w:tcPr>
          <w:p>
            <w:pPr>
              <w:spacing w:after="0"/>
              <w:rPr>
                <w:sz w:val="1"/>
                <w:szCs w:val="1"/>
                <w:color w:val="auto"/>
              </w:rPr>
            </w:pPr>
          </w:p>
        </w:tc>
      </w:tr>
      <w:tr>
        <w:trPr>
          <w:trHeight w:val="209"/>
        </w:trPr>
        <w:tc>
          <w:tcPr>
            <w:tcW w:w="49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Average asset yield</w:t>
            </w:r>
          </w:p>
        </w:tc>
        <w:tc>
          <w:tcPr>
            <w:tcW w:w="2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2.39</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2.01</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3.28</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2.91</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2.99</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0" w:type="dxa"/>
            <w:vAlign w:val="bottom"/>
          </w:tcPr>
          <w:p>
            <w:pPr>
              <w:spacing w:after="0"/>
              <w:rPr>
                <w:sz w:val="1"/>
                <w:szCs w:val="1"/>
                <w:color w:val="auto"/>
              </w:rPr>
            </w:pPr>
          </w:p>
        </w:tc>
      </w:tr>
      <w:tr>
        <w:trPr>
          <w:trHeight w:val="196"/>
        </w:trPr>
        <w:tc>
          <w:tcPr>
            <w:tcW w:w="4940" w:type="dxa"/>
            <w:vAlign w:val="bottom"/>
          </w:tcPr>
          <w:p>
            <w:pPr>
              <w:ind w:left="180"/>
              <w:spacing w:after="0"/>
              <w:rPr>
                <w:sz w:val="20"/>
                <w:szCs w:val="20"/>
                <w:color w:val="auto"/>
              </w:rPr>
            </w:pPr>
            <w:r>
              <w:rPr>
                <w:rFonts w:ascii="Arial" w:cs="Arial" w:eastAsia="Arial" w:hAnsi="Arial"/>
                <w:sz w:val="14"/>
                <w:szCs w:val="14"/>
                <w:color w:val="auto"/>
              </w:rPr>
              <w:t>Average asset yield, excluding "catch-up" premium amortization</w:t>
            </w:r>
          </w:p>
        </w:tc>
        <w:tc>
          <w:tcPr>
            <w:tcW w:w="2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2.71</w:t>
            </w:r>
          </w:p>
        </w:tc>
        <w:tc>
          <w:tcPr>
            <w:tcW w:w="14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3.00</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3.08</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3.15</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3.24</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0" w:type="dxa"/>
            <w:vAlign w:val="bottom"/>
          </w:tcPr>
          <w:p>
            <w:pPr>
              <w:spacing w:after="0"/>
              <w:rPr>
                <w:sz w:val="1"/>
                <w:szCs w:val="1"/>
                <w:color w:val="auto"/>
              </w:rPr>
            </w:pPr>
          </w:p>
        </w:tc>
      </w:tr>
      <w:tr>
        <w:trPr>
          <w:trHeight w:val="209"/>
        </w:trPr>
        <w:tc>
          <w:tcPr>
            <w:tcW w:w="49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Average coupon - as of period end</w:t>
            </w:r>
          </w:p>
        </w:tc>
        <w:tc>
          <w:tcPr>
            <w:tcW w:w="2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3.71</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3.84</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3.68</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3.76</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3.88</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0" w:type="dxa"/>
            <w:vAlign w:val="bottom"/>
          </w:tcPr>
          <w:p>
            <w:pPr>
              <w:spacing w:after="0"/>
              <w:rPr>
                <w:sz w:val="1"/>
                <w:szCs w:val="1"/>
                <w:color w:val="auto"/>
              </w:rPr>
            </w:pPr>
          </w:p>
        </w:tc>
      </w:tr>
      <w:tr>
        <w:trPr>
          <w:trHeight w:val="196"/>
        </w:trPr>
        <w:tc>
          <w:tcPr>
            <w:tcW w:w="4940" w:type="dxa"/>
            <w:vAlign w:val="bottom"/>
          </w:tcPr>
          <w:p>
            <w:pPr>
              <w:ind w:left="180"/>
              <w:spacing w:after="0"/>
              <w:rPr>
                <w:sz w:val="20"/>
                <w:szCs w:val="20"/>
                <w:color w:val="auto"/>
              </w:rPr>
            </w:pPr>
            <w:r>
              <w:rPr>
                <w:rFonts w:ascii="Arial" w:cs="Arial" w:eastAsia="Arial" w:hAnsi="Arial"/>
                <w:sz w:val="14"/>
                <w:szCs w:val="14"/>
                <w:color w:val="auto"/>
              </w:rPr>
              <w:t>Average asset yield - as of period end</w:t>
            </w:r>
          </w:p>
        </w:tc>
        <w:tc>
          <w:tcPr>
            <w:tcW w:w="2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2.64</w:t>
            </w:r>
          </w:p>
        </w:tc>
        <w:tc>
          <w:tcPr>
            <w:tcW w:w="14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2.93</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3.07</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3.08</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3.21</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0" w:type="dxa"/>
            <w:vAlign w:val="bottom"/>
          </w:tcPr>
          <w:p>
            <w:pPr>
              <w:spacing w:after="0"/>
              <w:rPr>
                <w:sz w:val="1"/>
                <w:szCs w:val="1"/>
                <w:color w:val="auto"/>
              </w:rPr>
            </w:pPr>
          </w:p>
        </w:tc>
      </w:tr>
      <w:tr>
        <w:trPr>
          <w:trHeight w:val="209"/>
        </w:trPr>
        <w:tc>
          <w:tcPr>
            <w:tcW w:w="49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Average actual CPR for securities held during the period</w:t>
            </w:r>
          </w:p>
        </w:tc>
        <w:tc>
          <w:tcPr>
            <w:tcW w:w="2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19.9</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12.2</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15.4</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13.5</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10.0</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0" w:type="dxa"/>
            <w:vAlign w:val="bottom"/>
          </w:tcPr>
          <w:p>
            <w:pPr>
              <w:spacing w:after="0"/>
              <w:rPr>
                <w:sz w:val="1"/>
                <w:szCs w:val="1"/>
                <w:color w:val="auto"/>
              </w:rPr>
            </w:pPr>
          </w:p>
        </w:tc>
      </w:tr>
      <w:tr>
        <w:trPr>
          <w:trHeight w:val="196"/>
        </w:trPr>
        <w:tc>
          <w:tcPr>
            <w:tcW w:w="4940" w:type="dxa"/>
            <w:vAlign w:val="bottom"/>
          </w:tcPr>
          <w:p>
            <w:pPr>
              <w:ind w:left="180"/>
              <w:spacing w:after="0"/>
              <w:rPr>
                <w:sz w:val="20"/>
                <w:szCs w:val="20"/>
                <w:color w:val="auto"/>
              </w:rPr>
            </w:pPr>
            <w:r>
              <w:rPr>
                <w:rFonts w:ascii="Arial" w:cs="Arial" w:eastAsia="Arial" w:hAnsi="Arial"/>
                <w:sz w:val="14"/>
                <w:szCs w:val="14"/>
                <w:color w:val="auto"/>
              </w:rPr>
              <w:t>Average forecasted CPR - as of period end</w:t>
            </w:r>
          </w:p>
        </w:tc>
        <w:tc>
          <w:tcPr>
            <w:tcW w:w="2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16.6</w:t>
            </w:r>
          </w:p>
        </w:tc>
        <w:tc>
          <w:tcPr>
            <w:tcW w:w="14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14.5</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10.8</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13.4</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12.4</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0" w:type="dxa"/>
            <w:vAlign w:val="bottom"/>
          </w:tcPr>
          <w:p>
            <w:pPr>
              <w:spacing w:after="0"/>
              <w:rPr>
                <w:sz w:val="1"/>
                <w:szCs w:val="1"/>
                <w:color w:val="auto"/>
              </w:rPr>
            </w:pPr>
          </w:p>
        </w:tc>
      </w:tr>
      <w:tr>
        <w:trPr>
          <w:trHeight w:val="209"/>
        </w:trPr>
        <w:tc>
          <w:tcPr>
            <w:tcW w:w="49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Total premium amortization cost, net</w:t>
            </w:r>
          </w:p>
        </w:tc>
        <w:tc>
          <w:tcPr>
            <w:tcW w:w="2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(223)</w:t>
            </w:r>
          </w:p>
        </w:tc>
        <w:tc>
          <w:tcPr>
            <w:tcW w:w="440" w:type="dxa"/>
            <w:vAlign w:val="bottom"/>
            <w:gridSpan w:val="3"/>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(384)</w:t>
            </w:r>
          </w:p>
        </w:tc>
        <w:tc>
          <w:tcPr>
            <w:tcW w:w="160" w:type="dxa"/>
            <w:vAlign w:val="bottom"/>
            <w:shd w:val="clear" w:color="auto" w:fill="CCEEFF"/>
          </w:tcPr>
          <w:p>
            <w:pPr>
              <w:spacing w:after="0"/>
              <w:rPr>
                <w:sz w:val="18"/>
                <w:szCs w:val="18"/>
                <w:color w:val="auto"/>
              </w:rPr>
            </w:pPr>
          </w:p>
        </w:tc>
        <w:tc>
          <w:tcPr>
            <w:tcW w:w="240" w:type="dxa"/>
            <w:vAlign w:val="bottom"/>
            <w:gridSpan w:val="2"/>
            <w:shd w:val="clear" w:color="auto" w:fill="CCEEFF"/>
          </w:tcPr>
          <w:p>
            <w:pPr>
              <w:jc w:val="right"/>
              <w:ind w:right="40"/>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(84)</w:t>
            </w:r>
          </w:p>
        </w:tc>
        <w:tc>
          <w:tcPr>
            <w:tcW w:w="380" w:type="dxa"/>
            <w:vAlign w:val="bottom"/>
            <w:gridSpan w:val="3"/>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(192)</w:t>
            </w:r>
          </w:p>
        </w:tc>
        <w:tc>
          <w:tcPr>
            <w:tcW w:w="480" w:type="dxa"/>
            <w:vAlign w:val="bottom"/>
            <w:gridSpan w:val="3"/>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(183)</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4940" w:type="dxa"/>
            <w:vAlign w:val="bottom"/>
          </w:tcPr>
          <w:p>
            <w:pPr>
              <w:ind w:left="20"/>
              <w:spacing w:after="0"/>
              <w:rPr>
                <w:sz w:val="20"/>
                <w:szCs w:val="20"/>
                <w:color w:val="auto"/>
              </w:rPr>
            </w:pPr>
            <w:r>
              <w:rPr>
                <w:rFonts w:ascii="Arial" w:cs="Arial" w:eastAsia="Arial" w:hAnsi="Arial"/>
                <w:sz w:val="14"/>
                <w:szCs w:val="14"/>
                <w:color w:val="auto"/>
              </w:rPr>
              <w:t>TBA securities:</w:t>
            </w:r>
          </w:p>
        </w:tc>
        <w:tc>
          <w:tcPr>
            <w:tcW w:w="2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49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 xml:space="preserve">Average coupon - as of period end </w:t>
            </w:r>
            <w:r>
              <w:rPr>
                <w:rFonts w:ascii="Arial" w:cs="Arial" w:eastAsia="Arial" w:hAnsi="Arial"/>
                <w:sz w:val="9"/>
                <w:szCs w:val="9"/>
                <w:color w:val="auto"/>
              </w:rPr>
              <w:t>17</w:t>
            </w:r>
          </w:p>
        </w:tc>
        <w:tc>
          <w:tcPr>
            <w:tcW w:w="2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2.41</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3.02</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3.10</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2.99</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3.29</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0" w:type="dxa"/>
            <w:vAlign w:val="bottom"/>
          </w:tcPr>
          <w:p>
            <w:pPr>
              <w:spacing w:after="0"/>
              <w:rPr>
                <w:sz w:val="1"/>
                <w:szCs w:val="1"/>
                <w:color w:val="auto"/>
              </w:rPr>
            </w:pPr>
          </w:p>
        </w:tc>
      </w:tr>
      <w:tr>
        <w:trPr>
          <w:trHeight w:val="196"/>
        </w:trPr>
        <w:tc>
          <w:tcPr>
            <w:tcW w:w="4940" w:type="dxa"/>
            <w:vAlign w:val="bottom"/>
          </w:tcPr>
          <w:p>
            <w:pPr>
              <w:ind w:left="180"/>
              <w:spacing w:after="0"/>
              <w:rPr>
                <w:sz w:val="20"/>
                <w:szCs w:val="20"/>
                <w:color w:val="auto"/>
              </w:rPr>
            </w:pPr>
            <w:r>
              <w:rPr>
                <w:rFonts w:ascii="Arial" w:cs="Arial" w:eastAsia="Arial" w:hAnsi="Arial"/>
                <w:sz w:val="14"/>
                <w:szCs w:val="14"/>
                <w:color w:val="auto"/>
              </w:rPr>
              <w:t xml:space="preserve">Average implied asset yield </w:t>
            </w:r>
            <w:r>
              <w:rPr>
                <w:rFonts w:ascii="Arial" w:cs="Arial" w:eastAsia="Arial" w:hAnsi="Arial"/>
                <w:sz w:val="9"/>
                <w:szCs w:val="9"/>
                <w:color w:val="auto"/>
              </w:rPr>
              <w:t>6</w:t>
            </w:r>
          </w:p>
        </w:tc>
        <w:tc>
          <w:tcPr>
            <w:tcW w:w="2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1.90</w:t>
            </w:r>
          </w:p>
        </w:tc>
        <w:tc>
          <w:tcPr>
            <w:tcW w:w="14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2.54</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3.29</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3.19</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3.21</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0" w:type="dxa"/>
            <w:vAlign w:val="bottom"/>
          </w:tcPr>
          <w:p>
            <w:pPr>
              <w:spacing w:after="0"/>
              <w:rPr>
                <w:sz w:val="1"/>
                <w:szCs w:val="1"/>
                <w:color w:val="auto"/>
              </w:rPr>
            </w:pPr>
          </w:p>
        </w:tc>
      </w:tr>
      <w:tr>
        <w:trPr>
          <w:trHeight w:val="141"/>
        </w:trPr>
        <w:tc>
          <w:tcPr>
            <w:tcW w:w="4940" w:type="dxa"/>
            <w:vAlign w:val="bottom"/>
            <w:shd w:val="clear" w:color="auto" w:fill="CCEEFF"/>
          </w:tcPr>
          <w:p>
            <w:pPr>
              <w:ind w:left="20"/>
              <w:spacing w:after="0" w:line="141" w:lineRule="exact"/>
              <w:rPr>
                <w:sz w:val="20"/>
                <w:szCs w:val="20"/>
                <w:color w:val="auto"/>
              </w:rPr>
            </w:pPr>
            <w:r>
              <w:rPr>
                <w:rFonts w:ascii="Arial" w:cs="Arial" w:eastAsia="Arial" w:hAnsi="Arial"/>
                <w:sz w:val="14"/>
                <w:szCs w:val="14"/>
                <w:color w:val="auto"/>
                <w:w w:val="97"/>
              </w:rPr>
              <w:t>Combined investment and TBA securities - average asset yield, excluding "catch-</w:t>
            </w:r>
          </w:p>
        </w:tc>
        <w:tc>
          <w:tcPr>
            <w:tcW w:w="220" w:type="dxa"/>
            <w:vAlign w:val="bottom"/>
            <w:shd w:val="clear" w:color="auto" w:fill="CCEEFF"/>
          </w:tcPr>
          <w:p>
            <w:pPr>
              <w:spacing w:after="0"/>
              <w:rPr>
                <w:sz w:val="12"/>
                <w:szCs w:val="12"/>
                <w:color w:val="auto"/>
              </w:rPr>
            </w:pPr>
          </w:p>
        </w:tc>
        <w:tc>
          <w:tcPr>
            <w:tcW w:w="8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2.56</w:t>
            </w:r>
          </w:p>
        </w:tc>
        <w:tc>
          <w:tcPr>
            <w:tcW w:w="1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12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8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2.97</w:t>
            </w:r>
          </w:p>
        </w:tc>
        <w:tc>
          <w:tcPr>
            <w:tcW w:w="1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3.09</w:t>
            </w:r>
          </w:p>
        </w:tc>
        <w:tc>
          <w:tcPr>
            <w:tcW w:w="1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3.16</w:t>
            </w:r>
          </w:p>
        </w:tc>
        <w:tc>
          <w:tcPr>
            <w:tcW w:w="1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3.24</w:t>
            </w:r>
          </w:p>
        </w:tc>
        <w:tc>
          <w:tcPr>
            <w:tcW w:w="1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0" w:type="dxa"/>
            <w:vAlign w:val="bottom"/>
          </w:tcPr>
          <w:p>
            <w:pPr>
              <w:spacing w:after="0"/>
              <w:rPr>
                <w:sz w:val="1"/>
                <w:szCs w:val="1"/>
                <w:color w:val="auto"/>
              </w:rPr>
            </w:pPr>
          </w:p>
        </w:tc>
      </w:tr>
      <w:tr>
        <w:trPr>
          <w:trHeight w:val="189"/>
        </w:trPr>
        <w:tc>
          <w:tcPr>
            <w:tcW w:w="4940" w:type="dxa"/>
            <w:vAlign w:val="bottom"/>
            <w:shd w:val="clear" w:color="auto" w:fill="CCEEFF"/>
          </w:tcPr>
          <w:p>
            <w:pPr>
              <w:ind w:left="20"/>
              <w:spacing w:after="0"/>
              <w:rPr>
                <w:sz w:val="20"/>
                <w:szCs w:val="20"/>
                <w:color w:val="auto"/>
              </w:rPr>
            </w:pPr>
            <w:r>
              <w:rPr>
                <w:rFonts w:ascii="Arial" w:cs="Arial" w:eastAsia="Arial" w:hAnsi="Arial"/>
                <w:sz w:val="14"/>
                <w:szCs w:val="14"/>
                <w:color w:val="auto"/>
              </w:rPr>
              <w:t xml:space="preserve">up" premium amortization </w:t>
            </w:r>
            <w:r>
              <w:rPr>
                <w:rFonts w:ascii="Arial" w:cs="Arial" w:eastAsia="Arial" w:hAnsi="Arial"/>
                <w:sz w:val="9"/>
                <w:szCs w:val="9"/>
                <w:color w:val="auto"/>
              </w:rPr>
              <w:t>7</w:t>
            </w:r>
          </w:p>
        </w:tc>
        <w:tc>
          <w:tcPr>
            <w:tcW w:w="220" w:type="dxa"/>
            <w:vAlign w:val="bottom"/>
            <w:shd w:val="clear" w:color="auto" w:fill="CCEEFF"/>
          </w:tcPr>
          <w:p>
            <w:pPr>
              <w:spacing w:after="0"/>
              <w:rPr>
                <w:sz w:val="16"/>
                <w:szCs w:val="16"/>
                <w:color w:val="auto"/>
              </w:rPr>
            </w:pPr>
          </w:p>
        </w:tc>
        <w:tc>
          <w:tcPr>
            <w:tcW w:w="800" w:type="dxa"/>
            <w:vAlign w:val="bottom"/>
            <w:vMerge w:val="continue"/>
            <w:shd w:val="clear" w:color="auto" w:fill="CCEEFF"/>
          </w:tcPr>
          <w:p>
            <w:pPr>
              <w:spacing w:after="0"/>
              <w:rPr>
                <w:sz w:val="16"/>
                <w:szCs w:val="16"/>
                <w:color w:val="auto"/>
              </w:rPr>
            </w:pPr>
          </w:p>
        </w:tc>
        <w:tc>
          <w:tcPr>
            <w:tcW w:w="140" w:type="dxa"/>
            <w:vAlign w:val="bottom"/>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840" w:type="dxa"/>
            <w:vAlign w:val="bottom"/>
            <w:vMerge w:val="continue"/>
            <w:shd w:val="clear" w:color="auto" w:fill="CCEEFF"/>
          </w:tcPr>
          <w:p>
            <w:pPr>
              <w:spacing w:after="0"/>
              <w:rPr>
                <w:sz w:val="16"/>
                <w:szCs w:val="16"/>
                <w:color w:val="auto"/>
              </w:rPr>
            </w:pPr>
          </w:p>
        </w:tc>
        <w:tc>
          <w:tcPr>
            <w:tcW w:w="16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80" w:type="dxa"/>
            <w:vAlign w:val="bottom"/>
            <w:vMerge w:val="continue"/>
            <w:shd w:val="clear" w:color="auto" w:fill="CCEEFF"/>
          </w:tcPr>
          <w:p>
            <w:pPr>
              <w:spacing w:after="0"/>
              <w:rPr>
                <w:sz w:val="16"/>
                <w:szCs w:val="16"/>
                <w:color w:val="auto"/>
              </w:rPr>
            </w:pPr>
          </w:p>
        </w:tc>
        <w:tc>
          <w:tcPr>
            <w:tcW w:w="16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80" w:type="dxa"/>
            <w:vAlign w:val="bottom"/>
            <w:vMerge w:val="continue"/>
            <w:shd w:val="clear" w:color="auto" w:fill="CCEEFF"/>
          </w:tcPr>
          <w:p>
            <w:pPr>
              <w:spacing w:after="0"/>
              <w:rPr>
                <w:sz w:val="16"/>
                <w:szCs w:val="16"/>
                <w:color w:val="auto"/>
              </w:rPr>
            </w:pPr>
          </w:p>
        </w:tc>
        <w:tc>
          <w:tcPr>
            <w:tcW w:w="16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800" w:type="dxa"/>
            <w:vAlign w:val="bottom"/>
            <w:vMerge w:val="continue"/>
            <w:shd w:val="clear" w:color="auto" w:fill="CCEEFF"/>
          </w:tcPr>
          <w:p>
            <w:pPr>
              <w:spacing w:after="0"/>
              <w:rPr>
                <w:sz w:val="16"/>
                <w:szCs w:val="16"/>
                <w:color w:val="auto"/>
              </w:rPr>
            </w:pPr>
          </w:p>
        </w:tc>
        <w:tc>
          <w:tcPr>
            <w:tcW w:w="16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97"/>
        </w:trPr>
        <w:tc>
          <w:tcPr>
            <w:tcW w:w="4940" w:type="dxa"/>
            <w:vAlign w:val="bottom"/>
          </w:tcPr>
          <w:p>
            <w:pPr>
              <w:ind w:left="20"/>
              <w:spacing w:after="0"/>
              <w:rPr>
                <w:sz w:val="20"/>
                <w:szCs w:val="20"/>
                <w:color w:val="auto"/>
              </w:rPr>
            </w:pPr>
            <w:r>
              <w:rPr>
                <w:rFonts w:ascii="Arial" w:cs="Arial" w:eastAsia="Arial" w:hAnsi="Arial"/>
                <w:sz w:val="14"/>
                <w:szCs w:val="14"/>
                <w:color w:val="auto"/>
              </w:rPr>
              <w:t>Cost of funds:</w:t>
            </w:r>
          </w:p>
        </w:tc>
        <w:tc>
          <w:tcPr>
            <w:tcW w:w="2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8"/>
        </w:trPr>
        <w:tc>
          <w:tcPr>
            <w:tcW w:w="49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Repurchase agreements - average funding cost</w:t>
            </w:r>
          </w:p>
        </w:tc>
        <w:tc>
          <w:tcPr>
            <w:tcW w:w="2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0.76</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1.80</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2.12</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2.48</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2.62</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0" w:type="dxa"/>
            <w:vAlign w:val="bottom"/>
          </w:tcPr>
          <w:p>
            <w:pPr>
              <w:spacing w:after="0"/>
              <w:rPr>
                <w:sz w:val="1"/>
                <w:szCs w:val="1"/>
                <w:color w:val="auto"/>
              </w:rPr>
            </w:pPr>
          </w:p>
        </w:tc>
      </w:tr>
      <w:tr>
        <w:trPr>
          <w:trHeight w:val="197"/>
        </w:trPr>
        <w:tc>
          <w:tcPr>
            <w:tcW w:w="4940" w:type="dxa"/>
            <w:vAlign w:val="bottom"/>
          </w:tcPr>
          <w:p>
            <w:pPr>
              <w:ind w:left="180"/>
              <w:spacing w:after="0"/>
              <w:rPr>
                <w:sz w:val="20"/>
                <w:szCs w:val="20"/>
                <w:color w:val="auto"/>
              </w:rPr>
            </w:pPr>
            <w:r>
              <w:rPr>
                <w:rFonts w:ascii="Arial" w:cs="Arial" w:eastAsia="Arial" w:hAnsi="Arial"/>
                <w:sz w:val="14"/>
                <w:szCs w:val="14"/>
                <w:color w:val="auto"/>
              </w:rPr>
              <w:t xml:space="preserve">TBA securities - average implied funding cost (benefit) </w:t>
            </w:r>
            <w:r>
              <w:rPr>
                <w:rFonts w:ascii="Arial" w:cs="Arial" w:eastAsia="Arial" w:hAnsi="Arial"/>
                <w:sz w:val="9"/>
                <w:szCs w:val="9"/>
                <w:color w:val="auto"/>
              </w:rPr>
              <w:t>5</w:t>
            </w:r>
          </w:p>
        </w:tc>
        <w:tc>
          <w:tcPr>
            <w:tcW w:w="220" w:type="dxa"/>
            <w:vAlign w:val="bottom"/>
          </w:tcPr>
          <w:p>
            <w:pPr>
              <w:spacing w:after="0"/>
              <w:rPr>
                <w:sz w:val="17"/>
                <w:szCs w:val="17"/>
                <w:color w:val="auto"/>
              </w:rPr>
            </w:pPr>
          </w:p>
        </w:tc>
        <w:tc>
          <w:tcPr>
            <w:tcW w:w="940" w:type="dxa"/>
            <w:vAlign w:val="bottom"/>
            <w:gridSpan w:val="2"/>
          </w:tcPr>
          <w:p>
            <w:pPr>
              <w:jc w:val="right"/>
              <w:spacing w:after="0"/>
              <w:rPr>
                <w:sz w:val="20"/>
                <w:szCs w:val="20"/>
                <w:color w:val="auto"/>
              </w:rPr>
            </w:pPr>
            <w:r>
              <w:rPr>
                <w:rFonts w:ascii="Arial" w:cs="Arial" w:eastAsia="Arial" w:hAnsi="Arial"/>
                <w:sz w:val="14"/>
                <w:szCs w:val="14"/>
                <w:color w:val="auto"/>
              </w:rPr>
              <w:t>(0.09) %</w:t>
            </w: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1.67</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1.88</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2.00</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2.47</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0" w:type="dxa"/>
            <w:vAlign w:val="bottom"/>
          </w:tcPr>
          <w:p>
            <w:pPr>
              <w:spacing w:after="0"/>
              <w:rPr>
                <w:sz w:val="1"/>
                <w:szCs w:val="1"/>
                <w:color w:val="auto"/>
              </w:rPr>
            </w:pPr>
          </w:p>
        </w:tc>
      </w:tr>
      <w:tr>
        <w:trPr>
          <w:trHeight w:val="208"/>
        </w:trPr>
        <w:tc>
          <w:tcPr>
            <w:tcW w:w="49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 xml:space="preserve">Interest rate swaps - average periodic expense (income), net </w:t>
            </w:r>
            <w:r>
              <w:rPr>
                <w:rFonts w:ascii="Arial" w:cs="Arial" w:eastAsia="Arial" w:hAnsi="Arial"/>
                <w:sz w:val="9"/>
                <w:szCs w:val="9"/>
                <w:color w:val="auto"/>
              </w:rPr>
              <w:t>10</w:t>
            </w:r>
          </w:p>
        </w:tc>
        <w:tc>
          <w:tcPr>
            <w:tcW w:w="2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0.27</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(0.12) %</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(0.34) %</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(0.58) %</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(0.36) %</w:t>
            </w:r>
          </w:p>
        </w:tc>
        <w:tc>
          <w:tcPr>
            <w:tcW w:w="0" w:type="dxa"/>
            <w:vAlign w:val="bottom"/>
          </w:tcPr>
          <w:p>
            <w:pPr>
              <w:spacing w:after="0"/>
              <w:rPr>
                <w:sz w:val="1"/>
                <w:szCs w:val="1"/>
                <w:color w:val="auto"/>
              </w:rPr>
            </w:pPr>
          </w:p>
        </w:tc>
      </w:tr>
      <w:tr>
        <w:trPr>
          <w:trHeight w:val="135"/>
        </w:trPr>
        <w:tc>
          <w:tcPr>
            <w:tcW w:w="4940" w:type="dxa"/>
            <w:vAlign w:val="bottom"/>
          </w:tcPr>
          <w:p>
            <w:pPr>
              <w:ind w:left="180"/>
              <w:spacing w:after="0" w:line="135" w:lineRule="exact"/>
              <w:rPr>
                <w:sz w:val="20"/>
                <w:szCs w:val="20"/>
                <w:color w:val="auto"/>
              </w:rPr>
            </w:pPr>
            <w:r>
              <w:rPr>
                <w:rFonts w:ascii="Arial" w:cs="Arial" w:eastAsia="Arial" w:hAnsi="Arial"/>
                <w:sz w:val="14"/>
                <w:szCs w:val="14"/>
                <w:color w:val="auto"/>
                <w:w w:val="99"/>
              </w:rPr>
              <w:t>Average total cost of funds, inclusive of TBAs and interest rate swap periodic</w:t>
            </w:r>
          </w:p>
        </w:tc>
        <w:tc>
          <w:tcPr>
            <w:tcW w:w="220" w:type="dxa"/>
            <w:vAlign w:val="bottom"/>
          </w:tcPr>
          <w:p>
            <w:pPr>
              <w:spacing w:after="0"/>
              <w:rPr>
                <w:sz w:val="11"/>
                <w:szCs w:val="11"/>
                <w:color w:val="auto"/>
              </w:rPr>
            </w:pPr>
          </w:p>
        </w:tc>
        <w:tc>
          <w:tcPr>
            <w:tcW w:w="800" w:type="dxa"/>
            <w:vAlign w:val="bottom"/>
            <w:vMerge w:val="restart"/>
          </w:tcPr>
          <w:p>
            <w:pPr>
              <w:jc w:val="right"/>
              <w:spacing w:after="0"/>
              <w:rPr>
                <w:sz w:val="20"/>
                <w:szCs w:val="20"/>
                <w:color w:val="auto"/>
              </w:rPr>
            </w:pPr>
            <w:r>
              <w:rPr>
                <w:rFonts w:ascii="Arial" w:cs="Arial" w:eastAsia="Arial" w:hAnsi="Arial"/>
                <w:sz w:val="14"/>
                <w:szCs w:val="14"/>
                <w:color w:val="auto"/>
              </w:rPr>
              <w:t>0.88</w:t>
            </w:r>
          </w:p>
        </w:tc>
        <w:tc>
          <w:tcPr>
            <w:tcW w:w="140" w:type="dxa"/>
            <w:vAlign w:val="bottom"/>
            <w:vMerge w:val="restart"/>
          </w:tcPr>
          <w:p>
            <w:pPr>
              <w:jc w:val="right"/>
              <w:spacing w:after="0"/>
              <w:rPr>
                <w:sz w:val="20"/>
                <w:szCs w:val="20"/>
                <w:color w:val="auto"/>
              </w:rPr>
            </w:pPr>
            <w:r>
              <w:rPr>
                <w:rFonts w:ascii="Arial" w:cs="Arial" w:eastAsia="Arial" w:hAnsi="Arial"/>
                <w:sz w:val="14"/>
                <w:szCs w:val="14"/>
                <w:color w:val="auto"/>
                <w:w w:val="96"/>
              </w:rPr>
              <w:t>%</w:t>
            </w: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40" w:type="dxa"/>
            <w:vAlign w:val="bottom"/>
            <w:vMerge w:val="restart"/>
          </w:tcPr>
          <w:p>
            <w:pPr>
              <w:jc w:val="right"/>
              <w:spacing w:after="0"/>
              <w:rPr>
                <w:sz w:val="20"/>
                <w:szCs w:val="20"/>
                <w:color w:val="auto"/>
              </w:rPr>
            </w:pPr>
            <w:r>
              <w:rPr>
                <w:rFonts w:ascii="Arial" w:cs="Arial" w:eastAsia="Arial" w:hAnsi="Arial"/>
                <w:sz w:val="14"/>
                <w:szCs w:val="14"/>
                <w:color w:val="auto"/>
              </w:rPr>
              <w:t>1.67</w:t>
            </w:r>
          </w:p>
        </w:tc>
        <w:tc>
          <w:tcPr>
            <w:tcW w:w="160" w:type="dxa"/>
            <w:vAlign w:val="bottom"/>
            <w:vMerge w:val="restart"/>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80" w:type="dxa"/>
            <w:vAlign w:val="bottom"/>
            <w:vMerge w:val="restart"/>
          </w:tcPr>
          <w:p>
            <w:pPr>
              <w:jc w:val="right"/>
              <w:spacing w:after="0"/>
              <w:rPr>
                <w:sz w:val="20"/>
                <w:szCs w:val="20"/>
                <w:color w:val="auto"/>
              </w:rPr>
            </w:pPr>
            <w:r>
              <w:rPr>
                <w:rFonts w:ascii="Arial" w:cs="Arial" w:eastAsia="Arial" w:hAnsi="Arial"/>
                <w:sz w:val="14"/>
                <w:szCs w:val="14"/>
                <w:color w:val="auto"/>
              </w:rPr>
              <w:t>1.76</w:t>
            </w:r>
          </w:p>
        </w:tc>
        <w:tc>
          <w:tcPr>
            <w:tcW w:w="160" w:type="dxa"/>
            <w:vAlign w:val="bottom"/>
            <w:vMerge w:val="restart"/>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80" w:type="dxa"/>
            <w:vAlign w:val="bottom"/>
            <w:vMerge w:val="restart"/>
          </w:tcPr>
          <w:p>
            <w:pPr>
              <w:jc w:val="right"/>
              <w:spacing w:after="0"/>
              <w:rPr>
                <w:sz w:val="20"/>
                <w:szCs w:val="20"/>
                <w:color w:val="auto"/>
              </w:rPr>
            </w:pPr>
            <w:r>
              <w:rPr>
                <w:rFonts w:ascii="Arial" w:cs="Arial" w:eastAsia="Arial" w:hAnsi="Arial"/>
                <w:sz w:val="14"/>
                <w:szCs w:val="14"/>
                <w:color w:val="auto"/>
              </w:rPr>
              <w:t>1.85</w:t>
            </w:r>
          </w:p>
        </w:tc>
        <w:tc>
          <w:tcPr>
            <w:tcW w:w="160" w:type="dxa"/>
            <w:vAlign w:val="bottom"/>
            <w:vMerge w:val="restart"/>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0" w:type="dxa"/>
            <w:vAlign w:val="bottom"/>
            <w:vMerge w:val="restart"/>
          </w:tcPr>
          <w:p>
            <w:pPr>
              <w:jc w:val="right"/>
              <w:spacing w:after="0"/>
              <w:rPr>
                <w:sz w:val="20"/>
                <w:szCs w:val="20"/>
                <w:color w:val="auto"/>
              </w:rPr>
            </w:pPr>
            <w:r>
              <w:rPr>
                <w:rFonts w:ascii="Arial" w:cs="Arial" w:eastAsia="Arial" w:hAnsi="Arial"/>
                <w:sz w:val="14"/>
                <w:szCs w:val="14"/>
                <w:color w:val="auto"/>
              </w:rPr>
              <w:t>2.24</w:t>
            </w:r>
          </w:p>
        </w:tc>
        <w:tc>
          <w:tcPr>
            <w:tcW w:w="160" w:type="dxa"/>
            <w:vAlign w:val="bottom"/>
            <w:vMerge w:val="restart"/>
          </w:tcPr>
          <w:p>
            <w:pPr>
              <w:jc w:val="right"/>
              <w:spacing w:after="0"/>
              <w:rPr>
                <w:sz w:val="20"/>
                <w:szCs w:val="20"/>
                <w:color w:val="auto"/>
              </w:rPr>
            </w:pPr>
            <w:r>
              <w:rPr>
                <w:rFonts w:ascii="Arial" w:cs="Arial" w:eastAsia="Arial" w:hAnsi="Arial"/>
                <w:sz w:val="14"/>
                <w:szCs w:val="14"/>
                <w:color w:val="auto"/>
                <w:w w:val="96"/>
              </w:rPr>
              <w:t>%</w:t>
            </w:r>
          </w:p>
        </w:tc>
        <w:tc>
          <w:tcPr>
            <w:tcW w:w="0" w:type="dxa"/>
            <w:vAlign w:val="bottom"/>
          </w:tcPr>
          <w:p>
            <w:pPr>
              <w:spacing w:after="0"/>
              <w:rPr>
                <w:sz w:val="1"/>
                <w:szCs w:val="1"/>
                <w:color w:val="auto"/>
              </w:rPr>
            </w:pPr>
          </w:p>
        </w:tc>
      </w:tr>
      <w:tr>
        <w:trPr>
          <w:trHeight w:val="186"/>
        </w:trPr>
        <w:tc>
          <w:tcPr>
            <w:tcW w:w="4940" w:type="dxa"/>
            <w:vAlign w:val="bottom"/>
          </w:tcPr>
          <w:p>
            <w:pPr>
              <w:ind w:left="180"/>
              <w:spacing w:after="0"/>
              <w:rPr>
                <w:sz w:val="20"/>
                <w:szCs w:val="20"/>
                <w:color w:val="auto"/>
              </w:rPr>
            </w:pPr>
            <w:r>
              <w:rPr>
                <w:rFonts w:ascii="Arial" w:cs="Arial" w:eastAsia="Arial" w:hAnsi="Arial"/>
                <w:sz w:val="14"/>
                <w:szCs w:val="14"/>
                <w:color w:val="auto"/>
              </w:rPr>
              <w:t xml:space="preserve">expense (income), net </w:t>
            </w:r>
            <w:r>
              <w:rPr>
                <w:rFonts w:ascii="Arial" w:cs="Arial" w:eastAsia="Arial" w:hAnsi="Arial"/>
                <w:sz w:val="9"/>
                <w:szCs w:val="9"/>
                <w:color w:val="auto"/>
              </w:rPr>
              <w:t>7,9</w:t>
            </w:r>
          </w:p>
        </w:tc>
        <w:tc>
          <w:tcPr>
            <w:tcW w:w="220" w:type="dxa"/>
            <w:vAlign w:val="bottom"/>
          </w:tcPr>
          <w:p>
            <w:pPr>
              <w:spacing w:after="0"/>
              <w:rPr>
                <w:sz w:val="16"/>
                <w:szCs w:val="16"/>
                <w:color w:val="auto"/>
              </w:rPr>
            </w:pPr>
          </w:p>
        </w:tc>
        <w:tc>
          <w:tcPr>
            <w:tcW w:w="800" w:type="dxa"/>
            <w:vAlign w:val="bottom"/>
            <w:vMerge w:val="continue"/>
          </w:tcPr>
          <w:p>
            <w:pPr>
              <w:spacing w:after="0"/>
              <w:rPr>
                <w:sz w:val="16"/>
                <w:szCs w:val="16"/>
                <w:color w:val="auto"/>
              </w:rPr>
            </w:pPr>
          </w:p>
        </w:tc>
        <w:tc>
          <w:tcPr>
            <w:tcW w:w="14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40" w:type="dxa"/>
            <w:vAlign w:val="bottom"/>
            <w:vMerge w:val="continue"/>
          </w:tcPr>
          <w:p>
            <w:pPr>
              <w:spacing w:after="0"/>
              <w:rPr>
                <w:sz w:val="16"/>
                <w:szCs w:val="16"/>
                <w:color w:val="auto"/>
              </w:rPr>
            </w:pPr>
          </w:p>
        </w:tc>
        <w:tc>
          <w:tcPr>
            <w:tcW w:w="16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80" w:type="dxa"/>
            <w:vAlign w:val="bottom"/>
            <w:vMerge w:val="continue"/>
          </w:tcPr>
          <w:p>
            <w:pPr>
              <w:spacing w:after="0"/>
              <w:rPr>
                <w:sz w:val="16"/>
                <w:szCs w:val="16"/>
                <w:color w:val="auto"/>
              </w:rPr>
            </w:pPr>
          </w:p>
        </w:tc>
        <w:tc>
          <w:tcPr>
            <w:tcW w:w="16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80" w:type="dxa"/>
            <w:vAlign w:val="bottom"/>
            <w:vMerge w:val="continue"/>
          </w:tcPr>
          <w:p>
            <w:pPr>
              <w:spacing w:after="0"/>
              <w:rPr>
                <w:sz w:val="16"/>
                <w:szCs w:val="16"/>
                <w:color w:val="auto"/>
              </w:rPr>
            </w:pPr>
          </w:p>
        </w:tc>
        <w:tc>
          <w:tcPr>
            <w:tcW w:w="16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00" w:type="dxa"/>
            <w:vAlign w:val="bottom"/>
            <w:vMerge w:val="continue"/>
          </w:tcPr>
          <w:p>
            <w:pPr>
              <w:spacing w:after="0"/>
              <w:rPr>
                <w:sz w:val="16"/>
                <w:szCs w:val="16"/>
                <w:color w:val="auto"/>
              </w:rPr>
            </w:pPr>
          </w:p>
        </w:tc>
        <w:tc>
          <w:tcPr>
            <w:tcW w:w="16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6"/>
        </w:trPr>
        <w:tc>
          <w:tcPr>
            <w:tcW w:w="49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Repurchase agreements - average funding cost as of period end</w:t>
            </w:r>
          </w:p>
        </w:tc>
        <w:tc>
          <w:tcPr>
            <w:tcW w:w="22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0.41</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1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1.36</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2.17</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2.48</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2.64</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0" w:type="dxa"/>
            <w:vAlign w:val="bottom"/>
          </w:tcPr>
          <w:p>
            <w:pPr>
              <w:spacing w:after="0"/>
              <w:rPr>
                <w:sz w:val="1"/>
                <w:szCs w:val="1"/>
                <w:color w:val="auto"/>
              </w:rPr>
            </w:pPr>
          </w:p>
        </w:tc>
      </w:tr>
      <w:tr>
        <w:trPr>
          <w:trHeight w:val="197"/>
        </w:trPr>
        <w:tc>
          <w:tcPr>
            <w:tcW w:w="4940" w:type="dxa"/>
            <w:vAlign w:val="bottom"/>
          </w:tcPr>
          <w:p>
            <w:pPr>
              <w:ind w:left="180"/>
              <w:spacing w:after="0"/>
              <w:rPr>
                <w:sz w:val="20"/>
                <w:szCs w:val="20"/>
                <w:color w:val="auto"/>
              </w:rPr>
            </w:pPr>
            <w:r>
              <w:rPr>
                <w:rFonts w:ascii="Arial" w:cs="Arial" w:eastAsia="Arial" w:hAnsi="Arial"/>
                <w:sz w:val="14"/>
                <w:szCs w:val="14"/>
                <w:color w:val="auto"/>
              </w:rPr>
              <w:t xml:space="preserve">Interest rate swaps - average net pay/(receive) rate as of period end </w:t>
            </w:r>
            <w:r>
              <w:rPr>
                <w:rFonts w:ascii="Arial" w:cs="Arial" w:eastAsia="Arial" w:hAnsi="Arial"/>
                <w:sz w:val="9"/>
                <w:szCs w:val="9"/>
                <w:color w:val="auto"/>
              </w:rPr>
              <w:t>18</w:t>
            </w:r>
          </w:p>
        </w:tc>
        <w:tc>
          <w:tcPr>
            <w:tcW w:w="2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0.26</w:t>
            </w:r>
          </w:p>
        </w:tc>
        <w:tc>
          <w:tcPr>
            <w:tcW w:w="14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0.79</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40" w:type="dxa"/>
            <w:vAlign w:val="bottom"/>
            <w:gridSpan w:val="2"/>
          </w:tcPr>
          <w:p>
            <w:pPr>
              <w:jc w:val="right"/>
              <w:spacing w:after="0"/>
              <w:rPr>
                <w:sz w:val="20"/>
                <w:szCs w:val="20"/>
                <w:color w:val="auto"/>
              </w:rPr>
            </w:pPr>
            <w:r>
              <w:rPr>
                <w:rFonts w:ascii="Arial" w:cs="Arial" w:eastAsia="Arial" w:hAnsi="Arial"/>
                <w:sz w:val="14"/>
                <w:szCs w:val="14"/>
                <w:color w:val="auto"/>
              </w:rPr>
              <w:t>(0.30) %</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gridSpan w:val="2"/>
          </w:tcPr>
          <w:p>
            <w:pPr>
              <w:jc w:val="right"/>
              <w:spacing w:after="0"/>
              <w:rPr>
                <w:sz w:val="20"/>
                <w:szCs w:val="20"/>
                <w:color w:val="auto"/>
              </w:rPr>
            </w:pPr>
            <w:r>
              <w:rPr>
                <w:rFonts w:ascii="Arial" w:cs="Arial" w:eastAsia="Arial" w:hAnsi="Arial"/>
                <w:sz w:val="14"/>
                <w:szCs w:val="14"/>
                <w:color w:val="auto"/>
              </w:rPr>
              <w:t>(0.63) %</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60" w:type="dxa"/>
            <w:vAlign w:val="bottom"/>
            <w:gridSpan w:val="2"/>
          </w:tcPr>
          <w:p>
            <w:pPr>
              <w:jc w:val="right"/>
              <w:spacing w:after="0"/>
              <w:rPr>
                <w:sz w:val="20"/>
                <w:szCs w:val="20"/>
                <w:color w:val="auto"/>
              </w:rPr>
            </w:pPr>
            <w:r>
              <w:rPr>
                <w:rFonts w:ascii="Arial" w:cs="Arial" w:eastAsia="Arial" w:hAnsi="Arial"/>
                <w:sz w:val="14"/>
                <w:szCs w:val="14"/>
                <w:color w:val="auto"/>
              </w:rPr>
              <w:t>(0.74) %</w:t>
            </w:r>
          </w:p>
        </w:tc>
        <w:tc>
          <w:tcPr>
            <w:tcW w:w="0" w:type="dxa"/>
            <w:vAlign w:val="bottom"/>
          </w:tcPr>
          <w:p>
            <w:pPr>
              <w:spacing w:after="0"/>
              <w:rPr>
                <w:sz w:val="1"/>
                <w:szCs w:val="1"/>
                <w:color w:val="auto"/>
              </w:rPr>
            </w:pPr>
          </w:p>
        </w:tc>
      </w:tr>
      <w:tr>
        <w:trPr>
          <w:trHeight w:val="208"/>
        </w:trPr>
        <w:tc>
          <w:tcPr>
            <w:tcW w:w="494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interest spread:</w:t>
            </w:r>
          </w:p>
        </w:tc>
        <w:tc>
          <w:tcPr>
            <w:tcW w:w="2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7"/>
        </w:trPr>
        <w:tc>
          <w:tcPr>
            <w:tcW w:w="4940" w:type="dxa"/>
            <w:vAlign w:val="bottom"/>
          </w:tcPr>
          <w:p>
            <w:pPr>
              <w:ind w:left="180"/>
              <w:spacing w:after="0"/>
              <w:rPr>
                <w:sz w:val="20"/>
                <w:szCs w:val="20"/>
                <w:color w:val="auto"/>
              </w:rPr>
            </w:pPr>
            <w:r>
              <w:rPr>
                <w:rFonts w:ascii="Arial" w:cs="Arial" w:eastAsia="Arial" w:hAnsi="Arial"/>
                <w:sz w:val="14"/>
                <w:szCs w:val="14"/>
                <w:color w:val="auto"/>
              </w:rPr>
              <w:t>Combined investment and TBA securities average net interest spread</w:t>
            </w:r>
          </w:p>
        </w:tc>
        <w:tc>
          <w:tcPr>
            <w:tcW w:w="2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1.42</w:t>
            </w:r>
          </w:p>
        </w:tc>
        <w:tc>
          <w:tcPr>
            <w:tcW w:w="14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0.37</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1.52</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1.09</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0.78</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0" w:type="dxa"/>
            <w:vAlign w:val="bottom"/>
          </w:tcPr>
          <w:p>
            <w:pPr>
              <w:spacing w:after="0"/>
              <w:rPr>
                <w:sz w:val="1"/>
                <w:szCs w:val="1"/>
                <w:color w:val="auto"/>
              </w:rPr>
            </w:pPr>
          </w:p>
        </w:tc>
      </w:tr>
      <w:tr>
        <w:trPr>
          <w:trHeight w:val="163"/>
        </w:trPr>
        <w:tc>
          <w:tcPr>
            <w:tcW w:w="4940" w:type="dxa"/>
            <w:vAlign w:val="bottom"/>
            <w:shd w:val="clear" w:color="auto" w:fill="CCEEFF"/>
          </w:tcPr>
          <w:p>
            <w:pPr>
              <w:ind w:left="180"/>
              <w:spacing w:after="0"/>
              <w:rPr>
                <w:sz w:val="20"/>
                <w:szCs w:val="20"/>
                <w:color w:val="auto"/>
              </w:rPr>
            </w:pPr>
            <w:r>
              <w:rPr>
                <w:rFonts w:ascii="Arial" w:cs="Arial" w:eastAsia="Arial" w:hAnsi="Arial"/>
                <w:sz w:val="14"/>
                <w:szCs w:val="14"/>
                <w:color w:val="auto"/>
                <w:w w:val="95"/>
              </w:rPr>
              <w:t>Combined investment and TBA securities average net interest spread, excluding</w:t>
            </w:r>
          </w:p>
        </w:tc>
        <w:tc>
          <w:tcPr>
            <w:tcW w:w="22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49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"catch-up" premium amortization</w:t>
            </w:r>
          </w:p>
        </w:tc>
        <w:tc>
          <w:tcPr>
            <w:tcW w:w="22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1.68</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1.30</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1.33</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1.31</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1.00</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0" w:type="dxa"/>
            <w:vAlign w:val="bottom"/>
          </w:tcPr>
          <w:p>
            <w:pPr>
              <w:spacing w:after="0"/>
              <w:rPr>
                <w:sz w:val="1"/>
                <w:szCs w:val="1"/>
                <w:color w:val="auto"/>
              </w:rPr>
            </w:pPr>
          </w:p>
        </w:tc>
      </w:tr>
      <w:tr>
        <w:trPr>
          <w:trHeight w:val="196"/>
        </w:trPr>
        <w:tc>
          <w:tcPr>
            <w:tcW w:w="4940" w:type="dxa"/>
            <w:vAlign w:val="bottom"/>
          </w:tcPr>
          <w:p>
            <w:pPr>
              <w:ind w:left="20"/>
              <w:spacing w:after="0"/>
              <w:rPr>
                <w:sz w:val="20"/>
                <w:szCs w:val="20"/>
                <w:color w:val="auto"/>
              </w:rPr>
            </w:pPr>
            <w:r>
              <w:rPr>
                <w:rFonts w:ascii="Arial" w:cs="Arial" w:eastAsia="Arial" w:hAnsi="Arial"/>
                <w:sz w:val="14"/>
                <w:szCs w:val="14"/>
                <w:color w:val="auto"/>
              </w:rPr>
              <w:t>Expenses % of average stockholders' equity - annualized</w:t>
            </w:r>
          </w:p>
        </w:tc>
        <w:tc>
          <w:tcPr>
            <w:tcW w:w="2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0.94</w:t>
            </w:r>
          </w:p>
        </w:tc>
        <w:tc>
          <w:tcPr>
            <w:tcW w:w="14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0.86</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0.94</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0.73</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0.77</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0" w:type="dxa"/>
            <w:vAlign w:val="bottom"/>
          </w:tcPr>
          <w:p>
            <w:pPr>
              <w:spacing w:after="0"/>
              <w:rPr>
                <w:sz w:val="1"/>
                <w:szCs w:val="1"/>
                <w:color w:val="auto"/>
              </w:rPr>
            </w:pPr>
          </w:p>
        </w:tc>
      </w:tr>
      <w:tr>
        <w:trPr>
          <w:trHeight w:val="209"/>
        </w:trPr>
        <w:tc>
          <w:tcPr>
            <w:tcW w:w="4940" w:type="dxa"/>
            <w:vAlign w:val="bottom"/>
            <w:shd w:val="clear" w:color="auto" w:fill="CCEEFF"/>
          </w:tcPr>
          <w:p>
            <w:pPr>
              <w:ind w:left="20"/>
              <w:spacing w:after="0"/>
              <w:rPr>
                <w:sz w:val="20"/>
                <w:szCs w:val="20"/>
                <w:color w:val="auto"/>
              </w:rPr>
            </w:pPr>
            <w:r>
              <w:rPr>
                <w:rFonts w:ascii="Arial" w:cs="Arial" w:eastAsia="Arial" w:hAnsi="Arial"/>
                <w:sz w:val="14"/>
                <w:szCs w:val="14"/>
                <w:color w:val="auto"/>
              </w:rPr>
              <w:t xml:space="preserve">Economic return (loss) on tangible common equity - unannualized </w:t>
            </w:r>
            <w:r>
              <w:rPr>
                <w:rFonts w:ascii="Arial" w:cs="Arial" w:eastAsia="Arial" w:hAnsi="Arial"/>
                <w:sz w:val="9"/>
                <w:szCs w:val="9"/>
                <w:color w:val="auto"/>
              </w:rPr>
              <w:t>19</w:t>
            </w:r>
          </w:p>
        </w:tc>
        <w:tc>
          <w:tcPr>
            <w:tcW w:w="2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12.2</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(20.2) %</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9.6</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(0.9) %</w:t>
            </w:r>
          </w:p>
        </w:tc>
        <w:tc>
          <w:tcPr>
            <w:tcW w:w="0" w:type="dxa"/>
            <w:vAlign w:val="bottom"/>
          </w:tcPr>
          <w:p>
            <w:pPr>
              <w:spacing w:after="0"/>
              <w:rPr>
                <w:sz w:val="1"/>
                <w:szCs w:val="1"/>
                <w:color w:val="auto"/>
              </w:rPr>
            </w:pPr>
          </w:p>
        </w:tc>
      </w:tr>
    </w:tbl>
    <w:p>
      <w:pPr>
        <w:sectPr>
          <w:pgSz w:w="11900" w:h="16838" w:orient="portrait"/>
          <w:cols w:equalWidth="0" w:num="1">
            <w:col w:w="11220"/>
          </w:cols>
          <w:pgMar w:left="320" w:top="147" w:right="359" w:bottom="1440" w:gutter="0" w:footer="0" w:header="0"/>
        </w:sectPr>
      </w:pPr>
    </w:p>
    <w:bookmarkStart w:id="16" w:name="page17"/>
    <w:bookmarkEnd w:id="16"/>
    <w:p>
      <w:pPr>
        <w:spacing w:after="0"/>
        <w:rPr>
          <w:sz w:val="20"/>
          <w:szCs w:val="20"/>
          <w:color w:val="auto"/>
        </w:rPr>
      </w:pPr>
      <w:r>
        <w:rPr>
          <w:rFonts w:ascii="Arial" w:cs="Arial" w:eastAsia="Arial" w:hAnsi="Arial"/>
          <w:sz w:val="22"/>
          <w:szCs w:val="22"/>
          <w:color w:val="auto"/>
        </w:rPr>
        <w:t>AGNC Investment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July 27, 2020</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14</w:t>
      </w:r>
    </w:p>
    <w:p>
      <w:pPr>
        <w:spacing w:after="0" w:line="200" w:lineRule="exact"/>
        <w:rPr>
          <w:sz w:val="20"/>
          <w:szCs w:val="20"/>
          <w:color w:val="auto"/>
        </w:rPr>
      </w:pPr>
    </w:p>
    <w:p>
      <w:pPr>
        <w:spacing w:after="0" w:line="244" w:lineRule="exact"/>
        <w:rPr>
          <w:sz w:val="20"/>
          <w:szCs w:val="20"/>
          <w:color w:val="auto"/>
        </w:rPr>
      </w:pPr>
    </w:p>
    <w:p>
      <w:pPr>
        <w:spacing w:after="0" w:line="246" w:lineRule="auto"/>
        <w:rPr>
          <w:sz w:val="20"/>
          <w:szCs w:val="20"/>
          <w:color w:val="auto"/>
        </w:rPr>
      </w:pPr>
      <w:r>
        <w:rPr>
          <w:rFonts w:ascii="Arial" w:cs="Arial" w:eastAsia="Arial" w:hAnsi="Arial"/>
          <w:sz w:val="16"/>
          <w:szCs w:val="16"/>
          <w:color w:val="auto"/>
        </w:rPr>
        <w:t>*Except as noted below, average numbers for each period are weighted based on days on the Company's books and records. All percentages are annualized, unless otherwise noted.</w:t>
      </w:r>
    </w:p>
    <w:p>
      <w:pPr>
        <w:spacing w:after="0" w:line="1" w:lineRule="exact"/>
        <w:rPr>
          <w:sz w:val="20"/>
          <w:szCs w:val="20"/>
          <w:color w:val="auto"/>
        </w:rPr>
      </w:pPr>
    </w:p>
    <w:p>
      <w:pPr>
        <w:spacing w:after="0"/>
        <w:rPr>
          <w:sz w:val="20"/>
          <w:szCs w:val="20"/>
          <w:color w:val="auto"/>
        </w:rPr>
      </w:pPr>
      <w:r>
        <w:rPr>
          <w:rFonts w:ascii="Arial" w:cs="Arial" w:eastAsia="Arial" w:hAnsi="Arial"/>
          <w:sz w:val="16"/>
          <w:szCs w:val="16"/>
          <w:color w:val="auto"/>
        </w:rPr>
        <w:t>Numbers in financial tables may not total due to rounding.</w:t>
      </w:r>
    </w:p>
    <w:p>
      <w:pPr>
        <w:spacing w:after="0" w:line="248" w:lineRule="exact"/>
        <w:rPr>
          <w:sz w:val="20"/>
          <w:szCs w:val="20"/>
          <w:color w:val="auto"/>
        </w:rPr>
      </w:pPr>
    </w:p>
    <w:p>
      <w:pPr>
        <w:ind w:left="340" w:hanging="332"/>
        <w:spacing w:after="0"/>
        <w:tabs>
          <w:tab w:leader="none" w:pos="340" w:val="left"/>
        </w:tabs>
        <w:numPr>
          <w:ilvl w:val="0"/>
          <w:numId w:val="9"/>
        </w:numPr>
        <w:rPr>
          <w:rFonts w:ascii="Arial" w:cs="Arial" w:eastAsia="Arial" w:hAnsi="Arial"/>
          <w:sz w:val="16"/>
          <w:szCs w:val="16"/>
          <w:color w:val="auto"/>
        </w:rPr>
      </w:pPr>
      <w:r>
        <w:rPr>
          <w:rFonts w:ascii="Arial" w:cs="Arial" w:eastAsia="Arial" w:hAnsi="Arial"/>
          <w:sz w:val="16"/>
          <w:szCs w:val="16"/>
          <w:color w:val="auto"/>
        </w:rPr>
        <w:t>Tangible net book value per common share excludes preferred stock liquidation preference and goodwill.</w:t>
      </w:r>
    </w:p>
    <w:p>
      <w:pPr>
        <w:spacing w:after="0" w:line="5" w:lineRule="exact"/>
        <w:rPr>
          <w:rFonts w:ascii="Arial" w:cs="Arial" w:eastAsia="Arial" w:hAnsi="Arial"/>
          <w:sz w:val="16"/>
          <w:szCs w:val="16"/>
          <w:color w:val="auto"/>
        </w:rPr>
      </w:pPr>
    </w:p>
    <w:p>
      <w:pPr>
        <w:ind w:left="340" w:right="20" w:hanging="332"/>
        <w:spacing w:after="0" w:line="246" w:lineRule="auto"/>
        <w:tabs>
          <w:tab w:leader="none" w:pos="340" w:val="left"/>
        </w:tabs>
        <w:numPr>
          <w:ilvl w:val="0"/>
          <w:numId w:val="9"/>
        </w:numPr>
        <w:rPr>
          <w:rFonts w:ascii="Arial" w:cs="Arial" w:eastAsia="Arial" w:hAnsi="Arial"/>
          <w:sz w:val="16"/>
          <w:szCs w:val="16"/>
          <w:color w:val="auto"/>
        </w:rPr>
      </w:pPr>
      <w:r>
        <w:rPr>
          <w:rFonts w:ascii="Arial" w:cs="Arial" w:eastAsia="Arial" w:hAnsi="Arial"/>
          <w:sz w:val="16"/>
          <w:szCs w:val="16"/>
          <w:color w:val="auto"/>
        </w:rPr>
        <w:t>Table includes non-GAAP financial measures and/or amounts derived from non-GAAP measures. Refer to "Use of Non-GAAP Financial Information" for additional discussion of non-GAAP financial measures.</w:t>
      </w:r>
    </w:p>
    <w:p>
      <w:pPr>
        <w:ind w:left="340" w:hanging="332"/>
        <w:spacing w:after="0"/>
        <w:tabs>
          <w:tab w:leader="none" w:pos="340" w:val="left"/>
        </w:tabs>
        <w:numPr>
          <w:ilvl w:val="0"/>
          <w:numId w:val="9"/>
        </w:numPr>
        <w:rPr>
          <w:rFonts w:ascii="Arial" w:cs="Arial" w:eastAsia="Arial" w:hAnsi="Arial"/>
          <w:sz w:val="16"/>
          <w:szCs w:val="16"/>
          <w:color w:val="auto"/>
        </w:rPr>
      </w:pPr>
      <w:r>
        <w:rPr>
          <w:rFonts w:ascii="Arial" w:cs="Arial" w:eastAsia="Arial" w:hAnsi="Arial"/>
          <w:sz w:val="16"/>
          <w:szCs w:val="16"/>
          <w:color w:val="auto"/>
        </w:rPr>
        <w:t>Amount reported in gain (loss) on derivatives instruments and other securities, net in the accompanying consolidated statements of operations.</w:t>
      </w:r>
    </w:p>
    <w:p>
      <w:pPr>
        <w:spacing w:after="0" w:line="5" w:lineRule="exact"/>
        <w:rPr>
          <w:rFonts w:ascii="Arial" w:cs="Arial" w:eastAsia="Arial" w:hAnsi="Arial"/>
          <w:sz w:val="16"/>
          <w:szCs w:val="16"/>
          <w:color w:val="auto"/>
        </w:rPr>
      </w:pPr>
    </w:p>
    <w:p>
      <w:pPr>
        <w:ind w:left="340" w:hanging="332"/>
        <w:spacing w:after="0" w:line="246" w:lineRule="auto"/>
        <w:tabs>
          <w:tab w:leader="none" w:pos="340" w:val="left"/>
        </w:tabs>
        <w:numPr>
          <w:ilvl w:val="0"/>
          <w:numId w:val="9"/>
        </w:numPr>
        <w:rPr>
          <w:rFonts w:ascii="Arial" w:cs="Arial" w:eastAsia="Arial" w:hAnsi="Arial"/>
          <w:sz w:val="16"/>
          <w:szCs w:val="16"/>
          <w:color w:val="auto"/>
        </w:rPr>
      </w:pPr>
      <w:r>
        <w:rPr>
          <w:rFonts w:ascii="Arial" w:cs="Arial" w:eastAsia="Arial" w:hAnsi="Arial"/>
          <w:sz w:val="16"/>
          <w:szCs w:val="16"/>
          <w:color w:val="auto"/>
        </w:rPr>
        <w:t>Dollar roll income represents the price differential, or "price drop," between the TBA price for current month settlement versus the TBA price for forward month settlement. Amount includes dollar roll income (loss) on long and short TBA securities. Amount excludes TBA mark-to-market adjustments.</w:t>
      </w:r>
    </w:p>
    <w:p>
      <w:pPr>
        <w:jc w:val="both"/>
        <w:ind w:left="340" w:hanging="332"/>
        <w:spacing w:after="0" w:line="246" w:lineRule="auto"/>
        <w:tabs>
          <w:tab w:leader="none" w:pos="340" w:val="left"/>
        </w:tabs>
        <w:numPr>
          <w:ilvl w:val="0"/>
          <w:numId w:val="9"/>
        </w:numPr>
        <w:rPr>
          <w:rFonts w:ascii="Arial" w:cs="Arial" w:eastAsia="Arial" w:hAnsi="Arial"/>
          <w:sz w:val="16"/>
          <w:szCs w:val="16"/>
          <w:color w:val="auto"/>
        </w:rPr>
      </w:pPr>
      <w:r>
        <w:rPr>
          <w:rFonts w:ascii="Arial" w:cs="Arial" w:eastAsia="Arial" w:hAnsi="Arial"/>
          <w:sz w:val="16"/>
          <w:szCs w:val="16"/>
          <w:color w:val="auto"/>
        </w:rPr>
        <w:t>The implied funding cost/benefit of TBA dollar roll transactions is determined using the "price drop" (Note 4) and market based assumptions regarding the "cheapest-to-deliver" collateral that can be delivered to satisfy the TBA contract, such as the anticipated collateral’s weighted average coupon, weighted average maturity and projected 1-month CPR. The average implied funding cost/benefit for all TBA transactions is weighted based on the Company’s daily average TBA balance outstanding for the period.</w:t>
      </w:r>
    </w:p>
    <w:p>
      <w:pPr>
        <w:spacing w:after="0" w:line="1" w:lineRule="exact"/>
        <w:rPr>
          <w:rFonts w:ascii="Arial" w:cs="Arial" w:eastAsia="Arial" w:hAnsi="Arial"/>
          <w:sz w:val="16"/>
          <w:szCs w:val="16"/>
          <w:color w:val="auto"/>
        </w:rPr>
      </w:pPr>
    </w:p>
    <w:p>
      <w:pPr>
        <w:jc w:val="both"/>
        <w:ind w:left="340" w:hanging="332"/>
        <w:spacing w:after="0" w:line="246" w:lineRule="auto"/>
        <w:tabs>
          <w:tab w:leader="none" w:pos="340" w:val="left"/>
        </w:tabs>
        <w:numPr>
          <w:ilvl w:val="0"/>
          <w:numId w:val="9"/>
        </w:numPr>
        <w:rPr>
          <w:rFonts w:ascii="Arial" w:cs="Arial" w:eastAsia="Arial" w:hAnsi="Arial"/>
          <w:sz w:val="16"/>
          <w:szCs w:val="16"/>
          <w:color w:val="auto"/>
        </w:rPr>
      </w:pPr>
      <w:r>
        <w:rPr>
          <w:rFonts w:ascii="Arial" w:cs="Arial" w:eastAsia="Arial" w:hAnsi="Arial"/>
          <w:sz w:val="16"/>
          <w:szCs w:val="16"/>
          <w:color w:val="auto"/>
        </w:rPr>
        <w:t>The average implied asset yield for TBA dollar roll transactions is extrapolated by adding the average TBA implied funding cost (Note 5) to the net dollar roll yield. The net dollar roll yield is calculated by dividing dollar roll income (Note 4) by the average net TBA balance (cost basis) outstanding for the period.</w:t>
      </w:r>
    </w:p>
    <w:p>
      <w:pPr>
        <w:spacing w:after="0" w:line="1" w:lineRule="exact"/>
        <w:rPr>
          <w:rFonts w:ascii="Arial" w:cs="Arial" w:eastAsia="Arial" w:hAnsi="Arial"/>
          <w:sz w:val="16"/>
          <w:szCs w:val="16"/>
          <w:color w:val="auto"/>
        </w:rPr>
      </w:pPr>
    </w:p>
    <w:p>
      <w:pPr>
        <w:ind w:left="340" w:hanging="332"/>
        <w:spacing w:after="0"/>
        <w:tabs>
          <w:tab w:leader="none" w:pos="340" w:val="left"/>
        </w:tabs>
        <w:numPr>
          <w:ilvl w:val="0"/>
          <w:numId w:val="9"/>
        </w:numPr>
        <w:rPr>
          <w:rFonts w:ascii="Arial" w:cs="Arial" w:eastAsia="Arial" w:hAnsi="Arial"/>
          <w:sz w:val="16"/>
          <w:szCs w:val="16"/>
          <w:color w:val="auto"/>
        </w:rPr>
      </w:pPr>
      <w:r>
        <w:rPr>
          <w:rFonts w:ascii="Arial" w:cs="Arial" w:eastAsia="Arial" w:hAnsi="Arial"/>
          <w:sz w:val="16"/>
          <w:szCs w:val="16"/>
          <w:color w:val="auto"/>
        </w:rPr>
        <w:t>Amount calculated on a weighted average basis based on average balances outstanding during the period and their respective asset yield/funding cost.</w:t>
      </w:r>
    </w:p>
    <w:p>
      <w:pPr>
        <w:spacing w:after="0" w:line="5" w:lineRule="exact"/>
        <w:rPr>
          <w:rFonts w:ascii="Arial" w:cs="Arial" w:eastAsia="Arial" w:hAnsi="Arial"/>
          <w:sz w:val="16"/>
          <w:szCs w:val="16"/>
          <w:color w:val="auto"/>
        </w:rPr>
      </w:pPr>
    </w:p>
    <w:p>
      <w:pPr>
        <w:ind w:left="340" w:hanging="332"/>
        <w:spacing w:after="0"/>
        <w:tabs>
          <w:tab w:leader="none" w:pos="340" w:val="left"/>
        </w:tabs>
        <w:numPr>
          <w:ilvl w:val="0"/>
          <w:numId w:val="9"/>
        </w:numPr>
        <w:rPr>
          <w:rFonts w:ascii="Arial" w:cs="Arial" w:eastAsia="Arial" w:hAnsi="Arial"/>
          <w:sz w:val="16"/>
          <w:szCs w:val="16"/>
          <w:color w:val="auto"/>
        </w:rPr>
      </w:pPr>
      <w:r>
        <w:rPr>
          <w:rFonts w:ascii="Arial" w:cs="Arial" w:eastAsia="Arial" w:hAnsi="Arial"/>
          <w:sz w:val="16"/>
          <w:szCs w:val="16"/>
          <w:color w:val="auto"/>
        </w:rPr>
        <w:t>Represents periodic interest rate swap settlements. Amount excludes interest rate swap termination fees and mark-to-market adjustments.</w:t>
      </w:r>
    </w:p>
    <w:p>
      <w:pPr>
        <w:spacing w:after="0" w:line="5" w:lineRule="exact"/>
        <w:rPr>
          <w:rFonts w:ascii="Arial" w:cs="Arial" w:eastAsia="Arial" w:hAnsi="Arial"/>
          <w:sz w:val="16"/>
          <w:szCs w:val="16"/>
          <w:color w:val="auto"/>
        </w:rPr>
      </w:pPr>
    </w:p>
    <w:p>
      <w:pPr>
        <w:ind w:left="340" w:hanging="332"/>
        <w:spacing w:after="0" w:line="246" w:lineRule="auto"/>
        <w:tabs>
          <w:tab w:leader="none" w:pos="340" w:val="left"/>
        </w:tabs>
        <w:numPr>
          <w:ilvl w:val="0"/>
          <w:numId w:val="9"/>
        </w:numPr>
        <w:rPr>
          <w:rFonts w:ascii="Arial" w:cs="Arial" w:eastAsia="Arial" w:hAnsi="Arial"/>
          <w:sz w:val="16"/>
          <w:szCs w:val="16"/>
          <w:color w:val="auto"/>
        </w:rPr>
      </w:pPr>
      <w:r>
        <w:rPr>
          <w:rFonts w:ascii="Arial" w:cs="Arial" w:eastAsia="Arial" w:hAnsi="Arial"/>
          <w:sz w:val="16"/>
          <w:szCs w:val="16"/>
          <w:color w:val="auto"/>
        </w:rPr>
        <w:t>Cost of funds excludes other supplemental hedges used to hedge a portion of the Company's interest rate risk (such as swaptions and U.S. Treasury positions) and U.S. Treasury repurchase agreements.</w:t>
      </w:r>
    </w:p>
    <w:p>
      <w:pPr>
        <w:ind w:left="340" w:hanging="332"/>
        <w:spacing w:after="0" w:line="246" w:lineRule="auto"/>
        <w:tabs>
          <w:tab w:leader="none" w:pos="336" w:val="left"/>
        </w:tabs>
        <w:numPr>
          <w:ilvl w:val="0"/>
          <w:numId w:val="9"/>
        </w:numPr>
        <w:rPr>
          <w:rFonts w:ascii="Arial" w:cs="Arial" w:eastAsia="Arial" w:hAnsi="Arial"/>
          <w:sz w:val="16"/>
          <w:szCs w:val="16"/>
          <w:color w:val="auto"/>
        </w:rPr>
      </w:pPr>
      <w:r>
        <w:rPr>
          <w:rFonts w:ascii="Arial" w:cs="Arial" w:eastAsia="Arial" w:hAnsi="Arial"/>
          <w:sz w:val="16"/>
          <w:szCs w:val="16"/>
          <w:color w:val="auto"/>
        </w:rPr>
        <w:t>Represents interest rate swap periodic income/cost measured as a percent of total mortgage funding (Agency repurchase agreements, other debt and net TBA securities).</w:t>
      </w:r>
    </w:p>
    <w:p>
      <w:pPr>
        <w:ind w:left="320" w:hanging="312"/>
        <w:spacing w:after="0"/>
        <w:tabs>
          <w:tab w:leader="none" w:pos="320" w:val="left"/>
        </w:tabs>
        <w:numPr>
          <w:ilvl w:val="0"/>
          <w:numId w:val="9"/>
        </w:numPr>
        <w:rPr>
          <w:rFonts w:ascii="Arial" w:cs="Arial" w:eastAsia="Arial" w:hAnsi="Arial"/>
          <w:sz w:val="16"/>
          <w:szCs w:val="16"/>
          <w:color w:val="auto"/>
        </w:rPr>
      </w:pPr>
      <w:r>
        <w:rPr>
          <w:rFonts w:ascii="Arial" w:cs="Arial" w:eastAsia="Arial" w:hAnsi="Arial"/>
          <w:sz w:val="16"/>
          <w:szCs w:val="16"/>
          <w:color w:val="auto"/>
        </w:rPr>
        <w:t>"Catch-up" premium amortization cost/benefit is reported in interest income on the accompanying consolidated statements of operations.</w:t>
      </w:r>
    </w:p>
    <w:p>
      <w:pPr>
        <w:spacing w:after="0" w:line="5" w:lineRule="exact"/>
        <w:rPr>
          <w:rFonts w:ascii="Arial" w:cs="Arial" w:eastAsia="Arial" w:hAnsi="Arial"/>
          <w:sz w:val="16"/>
          <w:szCs w:val="16"/>
          <w:color w:val="auto"/>
        </w:rPr>
      </w:pPr>
    </w:p>
    <w:p>
      <w:pPr>
        <w:ind w:left="320" w:hanging="312"/>
        <w:spacing w:after="0"/>
        <w:tabs>
          <w:tab w:leader="none" w:pos="320" w:val="left"/>
        </w:tabs>
        <w:numPr>
          <w:ilvl w:val="0"/>
          <w:numId w:val="9"/>
        </w:numPr>
        <w:rPr>
          <w:rFonts w:ascii="Arial" w:cs="Arial" w:eastAsia="Arial" w:hAnsi="Arial"/>
          <w:sz w:val="16"/>
          <w:szCs w:val="16"/>
          <w:color w:val="auto"/>
        </w:rPr>
      </w:pPr>
      <w:r>
        <w:rPr>
          <w:rFonts w:ascii="Arial" w:cs="Arial" w:eastAsia="Arial" w:hAnsi="Arial"/>
          <w:sz w:val="16"/>
          <w:szCs w:val="16"/>
          <w:color w:val="auto"/>
        </w:rPr>
        <w:t>Investment securities include Agency MBS, CRT and non-Agency securities. Amounts exclude TBA securities.</w:t>
      </w:r>
    </w:p>
    <w:p>
      <w:pPr>
        <w:spacing w:after="0" w:line="5" w:lineRule="exact"/>
        <w:rPr>
          <w:rFonts w:ascii="Arial" w:cs="Arial" w:eastAsia="Arial" w:hAnsi="Arial"/>
          <w:sz w:val="16"/>
          <w:szCs w:val="16"/>
          <w:color w:val="auto"/>
        </w:rPr>
      </w:pPr>
    </w:p>
    <w:p>
      <w:pPr>
        <w:ind w:left="320" w:hanging="312"/>
        <w:spacing w:after="0"/>
        <w:tabs>
          <w:tab w:leader="none" w:pos="320" w:val="left"/>
        </w:tabs>
        <w:numPr>
          <w:ilvl w:val="0"/>
          <w:numId w:val="9"/>
        </w:numPr>
        <w:rPr>
          <w:rFonts w:ascii="Arial" w:cs="Arial" w:eastAsia="Arial" w:hAnsi="Arial"/>
          <w:sz w:val="16"/>
          <w:szCs w:val="16"/>
          <w:color w:val="auto"/>
        </w:rPr>
      </w:pPr>
      <w:r>
        <w:rPr>
          <w:rFonts w:ascii="Arial" w:cs="Arial" w:eastAsia="Arial" w:hAnsi="Arial"/>
          <w:sz w:val="16"/>
          <w:szCs w:val="16"/>
          <w:color w:val="auto"/>
        </w:rPr>
        <w:t>Average repurchase agreements and other debt excludes U.S. Treasury repurchase agreements.</w:t>
      </w:r>
    </w:p>
    <w:p>
      <w:pPr>
        <w:spacing w:after="0" w:line="5" w:lineRule="exact"/>
        <w:rPr>
          <w:rFonts w:ascii="Arial" w:cs="Arial" w:eastAsia="Arial" w:hAnsi="Arial"/>
          <w:sz w:val="16"/>
          <w:szCs w:val="16"/>
          <w:color w:val="auto"/>
        </w:rPr>
      </w:pPr>
    </w:p>
    <w:p>
      <w:pPr>
        <w:ind w:left="320" w:hanging="312"/>
        <w:spacing w:after="0"/>
        <w:tabs>
          <w:tab w:leader="none" w:pos="320" w:val="left"/>
        </w:tabs>
        <w:numPr>
          <w:ilvl w:val="0"/>
          <w:numId w:val="9"/>
        </w:numPr>
        <w:rPr>
          <w:rFonts w:ascii="Arial" w:cs="Arial" w:eastAsia="Arial" w:hAnsi="Arial"/>
          <w:sz w:val="16"/>
          <w:szCs w:val="16"/>
          <w:color w:val="auto"/>
        </w:rPr>
      </w:pPr>
      <w:r>
        <w:rPr>
          <w:rFonts w:ascii="Arial" w:cs="Arial" w:eastAsia="Arial" w:hAnsi="Arial"/>
          <w:sz w:val="16"/>
          <w:szCs w:val="16"/>
          <w:color w:val="auto"/>
        </w:rPr>
        <w:t>Average stockholders' equity calculated as the average month-ended stockholders' equity during the quarter.</w:t>
      </w:r>
    </w:p>
    <w:p>
      <w:pPr>
        <w:spacing w:after="0" w:line="5" w:lineRule="exact"/>
        <w:rPr>
          <w:rFonts w:ascii="Arial" w:cs="Arial" w:eastAsia="Arial" w:hAnsi="Arial"/>
          <w:sz w:val="16"/>
          <w:szCs w:val="16"/>
          <w:color w:val="auto"/>
        </w:rPr>
      </w:pPr>
    </w:p>
    <w:p>
      <w:pPr>
        <w:jc w:val="both"/>
        <w:ind w:left="340" w:hanging="332"/>
        <w:spacing w:after="0" w:line="246" w:lineRule="auto"/>
        <w:tabs>
          <w:tab w:leader="none" w:pos="336" w:val="left"/>
        </w:tabs>
        <w:numPr>
          <w:ilvl w:val="0"/>
          <w:numId w:val="9"/>
        </w:numPr>
        <w:rPr>
          <w:rFonts w:ascii="Arial" w:cs="Arial" w:eastAsia="Arial" w:hAnsi="Arial"/>
          <w:sz w:val="16"/>
          <w:szCs w:val="16"/>
          <w:color w:val="auto"/>
        </w:rPr>
      </w:pPr>
      <w:r>
        <w:rPr>
          <w:rFonts w:ascii="Arial" w:cs="Arial" w:eastAsia="Arial" w:hAnsi="Arial"/>
          <w:sz w:val="16"/>
          <w:szCs w:val="16"/>
          <w:color w:val="auto"/>
        </w:rPr>
        <w:t>Average tangible net book value "at risk" leverage during the period was calculated by dividing the sum of the daily weighted average Agency repurchase agreements, other debt and net TBA position (at cost) outstanding for the period by the sum of average stockholders' equity adjusted to exclude goodwill. Leverage excludes U.S. Treasury repurchase agreements.</w:t>
      </w:r>
    </w:p>
    <w:p>
      <w:pPr>
        <w:spacing w:after="0" w:line="1" w:lineRule="exact"/>
        <w:rPr>
          <w:rFonts w:ascii="Arial" w:cs="Arial" w:eastAsia="Arial" w:hAnsi="Arial"/>
          <w:sz w:val="16"/>
          <w:szCs w:val="16"/>
          <w:color w:val="auto"/>
        </w:rPr>
      </w:pPr>
    </w:p>
    <w:p>
      <w:pPr>
        <w:jc w:val="both"/>
        <w:ind w:left="340" w:hanging="332"/>
        <w:spacing w:after="0" w:line="246" w:lineRule="auto"/>
        <w:tabs>
          <w:tab w:leader="none" w:pos="336" w:val="left"/>
        </w:tabs>
        <w:numPr>
          <w:ilvl w:val="0"/>
          <w:numId w:val="9"/>
        </w:numPr>
        <w:rPr>
          <w:rFonts w:ascii="Arial" w:cs="Arial" w:eastAsia="Arial" w:hAnsi="Arial"/>
          <w:sz w:val="16"/>
          <w:szCs w:val="16"/>
          <w:color w:val="auto"/>
        </w:rPr>
      </w:pPr>
      <w:r>
        <w:rPr>
          <w:rFonts w:ascii="Arial" w:cs="Arial" w:eastAsia="Arial" w:hAnsi="Arial"/>
          <w:sz w:val="16"/>
          <w:szCs w:val="16"/>
          <w:color w:val="auto"/>
        </w:rPr>
        <w:t>Tangible net book value "at risk" leverage as of period end was calculated by dividing the sum of the amount outstanding under Agency repurchase agreements, other debt, net TBA position (at cost) and net receivable / payable for unsettled investment securities outstanding by the sum of total stockholders' equity adjusted to exclude goodwill. Leverage excludes U.S. Treasury repurchase agreements.</w:t>
      </w:r>
    </w:p>
    <w:p>
      <w:pPr>
        <w:spacing w:after="0" w:line="1" w:lineRule="exact"/>
        <w:rPr>
          <w:rFonts w:ascii="Arial" w:cs="Arial" w:eastAsia="Arial" w:hAnsi="Arial"/>
          <w:sz w:val="16"/>
          <w:szCs w:val="16"/>
          <w:color w:val="auto"/>
        </w:rPr>
      </w:pPr>
    </w:p>
    <w:p>
      <w:pPr>
        <w:ind w:left="320" w:hanging="312"/>
        <w:spacing w:after="0"/>
        <w:tabs>
          <w:tab w:leader="none" w:pos="320" w:val="left"/>
        </w:tabs>
        <w:numPr>
          <w:ilvl w:val="0"/>
          <w:numId w:val="9"/>
        </w:numPr>
        <w:rPr>
          <w:rFonts w:ascii="Arial" w:cs="Arial" w:eastAsia="Arial" w:hAnsi="Arial"/>
          <w:sz w:val="16"/>
          <w:szCs w:val="16"/>
          <w:color w:val="auto"/>
        </w:rPr>
      </w:pPr>
      <w:r>
        <w:rPr>
          <w:rFonts w:ascii="Arial" w:cs="Arial" w:eastAsia="Arial" w:hAnsi="Arial"/>
          <w:sz w:val="16"/>
          <w:szCs w:val="16"/>
          <w:color w:val="auto"/>
        </w:rPr>
        <w:t>Average TBA coupon is for the long TBA position only.</w:t>
      </w:r>
    </w:p>
    <w:p>
      <w:pPr>
        <w:spacing w:after="0" w:line="5" w:lineRule="exact"/>
        <w:rPr>
          <w:rFonts w:ascii="Arial" w:cs="Arial" w:eastAsia="Arial" w:hAnsi="Arial"/>
          <w:sz w:val="16"/>
          <w:szCs w:val="16"/>
          <w:color w:val="auto"/>
        </w:rPr>
      </w:pPr>
    </w:p>
    <w:p>
      <w:pPr>
        <w:ind w:left="320" w:hanging="312"/>
        <w:spacing w:after="0"/>
        <w:tabs>
          <w:tab w:leader="none" w:pos="320" w:val="left"/>
        </w:tabs>
        <w:numPr>
          <w:ilvl w:val="0"/>
          <w:numId w:val="9"/>
        </w:numPr>
        <w:rPr>
          <w:rFonts w:ascii="Arial" w:cs="Arial" w:eastAsia="Arial" w:hAnsi="Arial"/>
          <w:sz w:val="16"/>
          <w:szCs w:val="16"/>
          <w:color w:val="auto"/>
        </w:rPr>
      </w:pPr>
      <w:r>
        <w:rPr>
          <w:rFonts w:ascii="Arial" w:cs="Arial" w:eastAsia="Arial" w:hAnsi="Arial"/>
          <w:sz w:val="16"/>
          <w:szCs w:val="16"/>
          <w:color w:val="auto"/>
        </w:rPr>
        <w:t>Includes forward starting swaps not yet in effect as of reported period-end.</w:t>
      </w:r>
    </w:p>
    <w:p>
      <w:pPr>
        <w:spacing w:after="0" w:line="5" w:lineRule="exact"/>
        <w:rPr>
          <w:rFonts w:ascii="Arial" w:cs="Arial" w:eastAsia="Arial" w:hAnsi="Arial"/>
          <w:sz w:val="16"/>
          <w:szCs w:val="16"/>
          <w:color w:val="auto"/>
        </w:rPr>
      </w:pPr>
    </w:p>
    <w:p>
      <w:pPr>
        <w:ind w:left="340" w:hanging="332"/>
        <w:spacing w:after="0" w:line="260" w:lineRule="auto"/>
        <w:tabs>
          <w:tab w:leader="none" w:pos="336" w:val="left"/>
        </w:tabs>
        <w:numPr>
          <w:ilvl w:val="0"/>
          <w:numId w:val="9"/>
        </w:numPr>
        <w:rPr>
          <w:rFonts w:ascii="Arial" w:cs="Arial" w:eastAsia="Arial" w:hAnsi="Arial"/>
          <w:sz w:val="16"/>
          <w:szCs w:val="16"/>
          <w:color w:val="auto"/>
        </w:rPr>
      </w:pPr>
      <w:r>
        <w:rPr>
          <w:rFonts w:ascii="Arial" w:cs="Arial" w:eastAsia="Arial" w:hAnsi="Arial"/>
          <w:sz w:val="16"/>
          <w:szCs w:val="16"/>
          <w:color w:val="auto"/>
        </w:rPr>
        <w:t>Economic return (loss) on tangible common equity represents the sum of the change in tangible net book value per common share and dividends declared on common stock during the period over the beginning tangible net book value per common share.</w:t>
      </w:r>
    </w:p>
    <w:p>
      <w:pPr>
        <w:spacing w:after="0" w:line="20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STOCKHOLDER CALL</w:t>
      </w:r>
    </w:p>
    <w:p>
      <w:pPr>
        <w:spacing w:after="0" w:line="192" w:lineRule="exact"/>
        <w:rPr>
          <w:sz w:val="20"/>
          <w:szCs w:val="20"/>
          <w:color w:val="auto"/>
        </w:rPr>
      </w:pPr>
    </w:p>
    <w:p>
      <w:pPr>
        <w:jc w:val="both"/>
        <w:spacing w:after="0" w:line="244" w:lineRule="auto"/>
        <w:rPr>
          <w:sz w:val="20"/>
          <w:szCs w:val="20"/>
          <w:color w:val="auto"/>
        </w:rPr>
      </w:pPr>
      <w:r>
        <w:rPr>
          <w:rFonts w:ascii="Arial" w:cs="Arial" w:eastAsia="Arial" w:hAnsi="Arial"/>
          <w:sz w:val="22"/>
          <w:szCs w:val="22"/>
          <w:color w:val="auto"/>
        </w:rPr>
        <w:t xml:space="preserve">AGNC invites stockholders, prospective stockholders and analysts to attend the AGNC stockholder call on July 28, 2020 at 8:30 am ET. Interested persons who do not plan on asking a question and have internet access are encouraged to utilize the free webcast at </w:t>
      </w:r>
      <w:r>
        <w:rPr>
          <w:rFonts w:ascii="Arial" w:cs="Arial" w:eastAsia="Arial" w:hAnsi="Arial"/>
          <w:sz w:val="22"/>
          <w:szCs w:val="22"/>
          <w:u w:val="single" w:color="auto"/>
          <w:color w:val="0563C1"/>
        </w:rPr>
        <w:t>www.AGNC.com</w:t>
      </w:r>
      <w:r>
        <w:rPr>
          <w:rFonts w:ascii="Arial" w:cs="Arial" w:eastAsia="Arial" w:hAnsi="Arial"/>
          <w:sz w:val="22"/>
          <w:szCs w:val="22"/>
          <w:color w:val="auto"/>
        </w:rPr>
        <w:t>. Those who plan on participating in the Q&amp;A or do not have internet available may access the call by dialing (877) 300-5922 (U.S. domestic) or (412) 902-6621 (international). Please advise the operator you are dialing in for the AGNC Investment Corp. stockholder call.</w:t>
      </w:r>
    </w:p>
    <w:p>
      <w:pPr>
        <w:spacing w:after="0" w:line="159" w:lineRule="exact"/>
        <w:rPr>
          <w:sz w:val="20"/>
          <w:szCs w:val="20"/>
          <w:color w:val="auto"/>
        </w:rPr>
      </w:pPr>
    </w:p>
    <w:p>
      <w:pPr>
        <w:jc w:val="both"/>
        <w:ind w:right="20"/>
        <w:spacing w:after="0" w:line="249" w:lineRule="auto"/>
        <w:rPr>
          <w:sz w:val="20"/>
          <w:szCs w:val="20"/>
          <w:color w:val="auto"/>
        </w:rPr>
      </w:pPr>
      <w:r>
        <w:rPr>
          <w:rFonts w:ascii="Arial" w:cs="Arial" w:eastAsia="Arial" w:hAnsi="Arial"/>
          <w:sz w:val="22"/>
          <w:szCs w:val="22"/>
          <w:color w:val="auto"/>
        </w:rPr>
        <w:t xml:space="preserve">A slide presentation will accompany the call and will be available at </w:t>
      </w:r>
      <w:r>
        <w:rPr>
          <w:rFonts w:ascii="Arial" w:cs="Arial" w:eastAsia="Arial" w:hAnsi="Arial"/>
          <w:sz w:val="22"/>
          <w:szCs w:val="22"/>
          <w:u w:val="single" w:color="auto"/>
          <w:color w:val="0563C1"/>
        </w:rPr>
        <w:t>www.AGNC.com</w:t>
      </w:r>
      <w:r>
        <w:rPr>
          <w:rFonts w:ascii="Arial" w:cs="Arial" w:eastAsia="Arial" w:hAnsi="Arial"/>
          <w:sz w:val="22"/>
          <w:szCs w:val="22"/>
          <w:color w:val="auto"/>
        </w:rPr>
        <w:t>. Select the Q2 2020 Earnings Presentation link to download and print the presentation in advance of the stockholder call.</w:t>
      </w:r>
    </w:p>
    <w:p>
      <w:pPr>
        <w:sectPr>
          <w:pgSz w:w="11900" w:h="16838" w:orient="portrait"/>
          <w:cols w:equalWidth="0" w:num="1">
            <w:col w:w="11240"/>
          </w:cols>
          <w:pgMar w:left="320" w:top="147" w:right="339" w:bottom="1440" w:gutter="0" w:footer="0" w:header="0"/>
        </w:sectPr>
      </w:pPr>
    </w:p>
    <w:bookmarkStart w:id="17" w:name="page18"/>
    <w:bookmarkEnd w:id="17"/>
    <w:p>
      <w:pPr>
        <w:spacing w:after="0"/>
        <w:rPr>
          <w:sz w:val="20"/>
          <w:szCs w:val="20"/>
          <w:color w:val="auto"/>
        </w:rPr>
      </w:pPr>
      <w:r>
        <w:rPr>
          <w:rFonts w:ascii="Arial" w:cs="Arial" w:eastAsia="Arial" w:hAnsi="Arial"/>
          <w:sz w:val="22"/>
          <w:szCs w:val="22"/>
          <w:color w:val="auto"/>
        </w:rPr>
        <w:t>AGNC Investment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July 27, 2020</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15</w:t>
      </w: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both"/>
        <w:spacing w:after="0" w:line="245" w:lineRule="auto"/>
        <w:rPr>
          <w:sz w:val="20"/>
          <w:szCs w:val="20"/>
          <w:color w:val="auto"/>
        </w:rPr>
      </w:pPr>
      <w:r>
        <w:rPr>
          <w:rFonts w:ascii="Arial" w:cs="Arial" w:eastAsia="Arial" w:hAnsi="Arial"/>
          <w:sz w:val="22"/>
          <w:szCs w:val="22"/>
          <w:color w:val="auto"/>
        </w:rPr>
        <w:t>An archived audio of the stockholder call combined with the slide presentation will be available on the AGNC website after the call on July 28, 2020. In addition, there will be a phone recording available one hour after the call on July 28, 2020 through August 11, 2020. Those who are interested in hearing the recording of the presentation, can access it by dialing (877) 344-7529 (U.S. domestic) or (412) 317-0088 (international), passcode 10145455</w:t>
      </w:r>
      <w:r>
        <w:rPr>
          <w:rFonts w:ascii="Arial" w:cs="Arial" w:eastAsia="Arial" w:hAnsi="Arial"/>
          <w:sz w:val="22"/>
          <w:szCs w:val="22"/>
          <w:b w:val="1"/>
          <w:bCs w:val="1"/>
          <w:color w:val="auto"/>
        </w:rPr>
        <w:t>.</w:t>
      </w:r>
    </w:p>
    <w:p>
      <w:pPr>
        <w:spacing w:after="0" w:line="155" w:lineRule="exact"/>
        <w:rPr>
          <w:sz w:val="20"/>
          <w:szCs w:val="20"/>
          <w:color w:val="auto"/>
        </w:rPr>
      </w:pPr>
    </w:p>
    <w:p>
      <w:pPr>
        <w:spacing w:after="0"/>
        <w:rPr>
          <w:sz w:val="20"/>
          <w:szCs w:val="20"/>
          <w:color w:val="auto"/>
        </w:rPr>
      </w:pPr>
      <w:r>
        <w:rPr>
          <w:rFonts w:ascii="Arial" w:cs="Arial" w:eastAsia="Arial" w:hAnsi="Arial"/>
          <w:sz w:val="22"/>
          <w:szCs w:val="22"/>
          <w:color w:val="auto"/>
        </w:rPr>
        <w:t>For further information, please contact Investor Relations at (301) 968-9300 or IR@AGNC.com.</w:t>
      </w:r>
    </w:p>
    <w:p>
      <w:pPr>
        <w:spacing w:after="0" w:line="22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ABOUT AGNC INVESTMENT CORP.</w:t>
      </w:r>
    </w:p>
    <w:p>
      <w:pPr>
        <w:spacing w:after="0" w:line="192" w:lineRule="exact"/>
        <w:rPr>
          <w:sz w:val="20"/>
          <w:szCs w:val="20"/>
          <w:color w:val="auto"/>
        </w:rPr>
      </w:pPr>
    </w:p>
    <w:p>
      <w:pPr>
        <w:jc w:val="both"/>
        <w:spacing w:after="0" w:line="245" w:lineRule="auto"/>
        <w:rPr>
          <w:sz w:val="20"/>
          <w:szCs w:val="20"/>
          <w:color w:val="auto"/>
        </w:rPr>
      </w:pPr>
      <w:r>
        <w:rPr>
          <w:rFonts w:ascii="Arial" w:cs="Arial" w:eastAsia="Arial" w:hAnsi="Arial"/>
          <w:sz w:val="22"/>
          <w:szCs w:val="22"/>
          <w:color w:val="auto"/>
        </w:rPr>
        <w:t xml:space="preserve">AGNC Investment Corp. is an internally-managed real estate investment trust ("REIT") that invests primarily in residential mortgage-backed securities for which the principal and interest payments are guaranteed by a U.S. Government-sponsored enterprise or a U.S. Government agency. For further information, please refer to </w:t>
      </w:r>
      <w:r>
        <w:rPr>
          <w:rFonts w:ascii="Arial" w:cs="Arial" w:eastAsia="Arial" w:hAnsi="Arial"/>
          <w:sz w:val="22"/>
          <w:szCs w:val="22"/>
          <w:u w:val="single" w:color="auto"/>
          <w:color w:val="0563C1"/>
        </w:rPr>
        <w:t>www.AGNC.com</w:t>
      </w:r>
      <w:r>
        <w:rPr>
          <w:rFonts w:ascii="Arial" w:cs="Arial" w:eastAsia="Arial" w:hAnsi="Arial"/>
          <w:sz w:val="22"/>
          <w:szCs w:val="22"/>
          <w:color w:val="000000"/>
        </w:rPr>
        <w:t>.</w:t>
      </w:r>
    </w:p>
    <w:p>
      <w:pPr>
        <w:spacing w:after="0" w:line="21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FORWARD LOOKING STATEMENTS</w:t>
      </w:r>
    </w:p>
    <w:p>
      <w:pPr>
        <w:spacing w:after="0" w:line="192" w:lineRule="exact"/>
        <w:rPr>
          <w:sz w:val="20"/>
          <w:szCs w:val="20"/>
          <w:color w:val="auto"/>
        </w:rPr>
      </w:pPr>
    </w:p>
    <w:p>
      <w:pPr>
        <w:jc w:val="both"/>
        <w:spacing w:after="0" w:line="243" w:lineRule="auto"/>
        <w:rPr>
          <w:sz w:val="20"/>
          <w:szCs w:val="20"/>
          <w:color w:val="auto"/>
        </w:rPr>
      </w:pPr>
      <w:r>
        <w:rPr>
          <w:rFonts w:ascii="Arial" w:cs="Arial" w:eastAsia="Arial" w:hAnsi="Arial"/>
          <w:sz w:val="22"/>
          <w:szCs w:val="22"/>
          <w:color w:val="auto"/>
        </w:rPr>
        <w:t xml:space="preserve">This press release contains forward-looking statements within the meaning of the Private Securities Litigation Reform Act. Forward-looking statements are based on estimates, projections, beliefs and assumptions of management of the Company at the time of such statements and are not guarantees of future performance. Forward-looking statements involve risks and uncertainties in predicting future results and conditions. Actual results could differ materially from those projected in these forward-looking statements due to a variety of important factors, including, without limitation, changes in interest rates, changes in the yield curve, changes in prepayment rates, the availability and terms of financing, changes in the market value of the Company's assets, general economic conditions, market conditions, conditions in the market for Agency securities, and legislative and regulatory changes that could adversely affect the business of the Company. Certain factors that could cause actual results to differ materially from those contained in the forward-looking statements, are included in the Company's periodic reports filed with the Securities and Exchange Commission ("SEC"). Copies are available on the SEC's website, </w:t>
      </w:r>
      <w:r>
        <w:rPr>
          <w:rFonts w:ascii="Arial" w:cs="Arial" w:eastAsia="Arial" w:hAnsi="Arial"/>
          <w:sz w:val="22"/>
          <w:szCs w:val="22"/>
          <w:u w:val="single" w:color="auto"/>
          <w:color w:val="0563C1"/>
        </w:rPr>
        <w:t>www.sec.gov.</w:t>
      </w:r>
      <w:r>
        <w:rPr>
          <w:rFonts w:ascii="Arial" w:cs="Arial" w:eastAsia="Arial" w:hAnsi="Arial"/>
          <w:sz w:val="22"/>
          <w:szCs w:val="22"/>
          <w:color w:val="auto"/>
        </w:rPr>
        <w:t xml:space="preserve"> The Company disclaims any obligation to update or revise any forward-looking statements based on the occurrence of future events, the receipt of new information, or otherwise.</w:t>
      </w:r>
    </w:p>
    <w:p>
      <w:pPr>
        <w:spacing w:after="0" w:line="22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USE OF NON-GAAP FINANCIAL INFORMATION</w:t>
      </w:r>
    </w:p>
    <w:p>
      <w:pPr>
        <w:spacing w:after="0" w:line="192" w:lineRule="exact"/>
        <w:rPr>
          <w:sz w:val="20"/>
          <w:szCs w:val="20"/>
          <w:color w:val="auto"/>
        </w:rPr>
      </w:pPr>
    </w:p>
    <w:p>
      <w:pPr>
        <w:jc w:val="both"/>
        <w:spacing w:after="0" w:line="244" w:lineRule="auto"/>
        <w:rPr>
          <w:sz w:val="20"/>
          <w:szCs w:val="20"/>
          <w:color w:val="auto"/>
        </w:rPr>
      </w:pPr>
      <w:r>
        <w:rPr>
          <w:rFonts w:ascii="Arial" w:cs="Arial" w:eastAsia="Arial" w:hAnsi="Arial"/>
          <w:sz w:val="22"/>
          <w:szCs w:val="22"/>
          <w:color w:val="auto"/>
        </w:rPr>
        <w:t>In addition to the results presented in accordance with GAAP, the Company's results of operations discussed in this release include certain non-GAAP financial information, including "net spread and dollar roll income," "net spread and dollar roll income, excluding 'catch-up' premium amortization," "economic interest income" and "economic interest expense" (both components of "net spread and dollar roll income"), "estimated taxable income" and the related per common share measures and certain financial metrics derived from such non-GAAP information, such as "cost of funds" and "net interest spread."</w:t>
      </w:r>
    </w:p>
    <w:p>
      <w:pPr>
        <w:spacing w:after="0" w:line="158" w:lineRule="exact"/>
        <w:rPr>
          <w:sz w:val="20"/>
          <w:szCs w:val="20"/>
          <w:color w:val="auto"/>
        </w:rPr>
      </w:pPr>
    </w:p>
    <w:p>
      <w:pPr>
        <w:jc w:val="both"/>
        <w:spacing w:after="0" w:line="245" w:lineRule="auto"/>
        <w:rPr>
          <w:sz w:val="20"/>
          <w:szCs w:val="20"/>
          <w:color w:val="auto"/>
        </w:rPr>
      </w:pPr>
      <w:r>
        <w:rPr>
          <w:rFonts w:ascii="Arial" w:cs="Arial" w:eastAsia="Arial" w:hAnsi="Arial"/>
          <w:sz w:val="22"/>
          <w:szCs w:val="22"/>
          <w:color w:val="auto"/>
        </w:rPr>
        <w:t>"Net spread and dollar roll income" is measured as (i) net interest income (GAAP measure) adjusted to include TBA dollar roll income, interest rate swap periodic income/cost and other interest and dividend income (referred to as "adjusted net interest and dollar roll income") less (ii) total operating expense (GAAP measure). "Net spread and dollar roll income, excluding 'catch-</w:t>
      </w:r>
    </w:p>
    <w:p>
      <w:pPr>
        <w:sectPr>
          <w:pgSz w:w="11900" w:h="16838" w:orient="portrait"/>
          <w:cols w:equalWidth="0" w:num="1">
            <w:col w:w="11240"/>
          </w:cols>
          <w:pgMar w:left="320" w:top="147" w:right="339" w:bottom="1440" w:gutter="0" w:footer="0" w:header="0"/>
        </w:sectPr>
      </w:pPr>
    </w:p>
    <w:bookmarkStart w:id="18" w:name="page19"/>
    <w:bookmarkEnd w:id="18"/>
    <w:p>
      <w:pPr>
        <w:spacing w:after="0"/>
        <w:rPr>
          <w:sz w:val="20"/>
          <w:szCs w:val="20"/>
          <w:color w:val="auto"/>
        </w:rPr>
      </w:pPr>
      <w:r>
        <w:rPr>
          <w:rFonts w:ascii="Arial" w:cs="Arial" w:eastAsia="Arial" w:hAnsi="Arial"/>
          <w:sz w:val="22"/>
          <w:szCs w:val="22"/>
          <w:color w:val="auto"/>
        </w:rPr>
        <w:t>AGNC Investment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July 27, 2020</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16</w:t>
      </w: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both"/>
        <w:ind w:right="20"/>
        <w:spacing w:after="0" w:line="249" w:lineRule="auto"/>
        <w:rPr>
          <w:sz w:val="20"/>
          <w:szCs w:val="20"/>
          <w:color w:val="auto"/>
        </w:rPr>
      </w:pPr>
      <w:r>
        <w:rPr>
          <w:rFonts w:ascii="Arial" w:cs="Arial" w:eastAsia="Arial" w:hAnsi="Arial"/>
          <w:sz w:val="22"/>
          <w:szCs w:val="22"/>
          <w:color w:val="auto"/>
        </w:rPr>
        <w:t>up' premium amortization," further excludes retrospective "catch-up" adjustments to premium amortization cost due to changes in projected CPR estimates.</w:t>
      </w:r>
    </w:p>
    <w:p>
      <w:pPr>
        <w:spacing w:after="0" w:line="150" w:lineRule="exact"/>
        <w:rPr>
          <w:sz w:val="20"/>
          <w:szCs w:val="20"/>
          <w:color w:val="auto"/>
        </w:rPr>
      </w:pPr>
    </w:p>
    <w:p>
      <w:pPr>
        <w:jc w:val="both"/>
        <w:spacing w:after="0" w:line="244" w:lineRule="auto"/>
        <w:rPr>
          <w:sz w:val="20"/>
          <w:szCs w:val="20"/>
          <w:color w:val="auto"/>
        </w:rPr>
      </w:pPr>
      <w:r>
        <w:rPr>
          <w:rFonts w:ascii="Arial" w:cs="Arial" w:eastAsia="Arial" w:hAnsi="Arial"/>
          <w:sz w:val="22"/>
          <w:szCs w:val="22"/>
          <w:color w:val="auto"/>
        </w:rPr>
        <w:t>By providing users of the Company's financial information with such measures in addition to the related GAAP measures, the Company believes users will have greater transparency into the information used by the Company's management in its financial and operational decision-making. The Company also believes that it is important for users of its financial information to consider information related to the Company's current financial performance without the effects of certain transactions that are not necessarily indicative of its current investment portfolio performance and operations.</w:t>
      </w:r>
    </w:p>
    <w:p>
      <w:pPr>
        <w:spacing w:after="0" w:line="158" w:lineRule="exact"/>
        <w:rPr>
          <w:sz w:val="20"/>
          <w:szCs w:val="20"/>
          <w:color w:val="auto"/>
        </w:rPr>
      </w:pPr>
    </w:p>
    <w:p>
      <w:pPr>
        <w:jc w:val="both"/>
        <w:spacing w:after="0" w:line="243" w:lineRule="auto"/>
        <w:rPr>
          <w:sz w:val="20"/>
          <w:szCs w:val="20"/>
          <w:color w:val="auto"/>
        </w:rPr>
      </w:pPr>
      <w:r>
        <w:rPr>
          <w:rFonts w:ascii="Arial" w:cs="Arial" w:eastAsia="Arial" w:hAnsi="Arial"/>
          <w:sz w:val="22"/>
          <w:szCs w:val="22"/>
          <w:color w:val="auto"/>
        </w:rPr>
        <w:t>Specifically, in the case of "adjusted net interest and dollar roll income," the Company believes the inclusion of TBA dollar roll income is meaningful as TBAs, which are accounted for under GAAP as derivative instruments with gains and losses recognized in other gain (loss) in the Company’s statement of operations, are economically equivalent to holding and financing generic Agency MBS using short-term repurchase agreements. Similarly, the Company believes that the inclusion of periodic interest rate swap settlements in such measure, which are recognized under GAAP in other gain (loss), is meaningful as interest rate swaps are the primary instrument the Company uses to economically hedge against fluctuations in the Company’s borrowing costs and inclusion of periodic interest rate swap settlements is more indicative of the Company’s total cost of funds than interest expense alone. In the case of "net spread and dollar roll income, excluding 'catch-up' premium amortization," the Company believes the exclusion of "catch-up" adjustments to premium amortization cost is meaningful as it excludes the cumulative effect from prior reporting periods due to current changes in future prepayment expectations and, therefore, exclusion of such "catch-up" cost or benefit is more indicative of the current earnings potential of the Company’s investment portfolio. In the case of estimated taxable income, the Company believes it is meaningful information as it is directly related to the amount of dividends the Company is required to distribute in order to maintain its REIT qualification status.</w:t>
      </w:r>
    </w:p>
    <w:p>
      <w:pPr>
        <w:spacing w:after="0" w:line="167" w:lineRule="exact"/>
        <w:rPr>
          <w:sz w:val="20"/>
          <w:szCs w:val="20"/>
          <w:color w:val="auto"/>
        </w:rPr>
      </w:pPr>
    </w:p>
    <w:p>
      <w:pPr>
        <w:jc w:val="both"/>
        <w:spacing w:after="0" w:line="244" w:lineRule="auto"/>
        <w:rPr>
          <w:sz w:val="20"/>
          <w:szCs w:val="20"/>
          <w:color w:val="auto"/>
        </w:rPr>
      </w:pPr>
      <w:r>
        <w:rPr>
          <w:rFonts w:ascii="Arial" w:cs="Arial" w:eastAsia="Arial" w:hAnsi="Arial"/>
          <w:sz w:val="22"/>
          <w:szCs w:val="22"/>
          <w:color w:val="auto"/>
        </w:rPr>
        <w:t>However, because such measures are incomplete measures of the Company's financial performance and involve differences from results computed in accordance with GAAP, they should be considered as supplementary to, and not as a substitute for, results computed in accordance with GAAP. In addition, because not all companies use identical calculations, the Company's presentation of such non-GAAP measures may not be comparable to other similarly-titled measures of other companies. Furthermore, estimated taxable income can include certain information that is subject to potential adjustments up to the time of filing the Company's income tax returns, which occurs after the end of its fiscal year.</w:t>
      </w:r>
    </w:p>
    <w:p>
      <w:pPr>
        <w:spacing w:after="0" w:line="157" w:lineRule="exact"/>
        <w:rPr>
          <w:sz w:val="20"/>
          <w:szCs w:val="20"/>
          <w:color w:val="auto"/>
        </w:rPr>
      </w:pPr>
    </w:p>
    <w:p>
      <w:pPr>
        <w:jc w:val="both"/>
        <w:ind w:right="20"/>
        <w:spacing w:after="0" w:line="246" w:lineRule="auto"/>
        <w:rPr>
          <w:sz w:val="20"/>
          <w:szCs w:val="20"/>
          <w:color w:val="auto"/>
        </w:rPr>
      </w:pPr>
      <w:r>
        <w:rPr>
          <w:rFonts w:ascii="Arial" w:cs="Arial" w:eastAsia="Arial" w:hAnsi="Arial"/>
          <w:sz w:val="22"/>
          <w:szCs w:val="22"/>
          <w:color w:val="auto"/>
        </w:rPr>
        <w:t>A reconciliation of GAAP net interest income to non-GAAP "net spread and dollar roll income, excluding 'catch-up' premium amortization" and a reconciliation of GAAP net income to non-GAAP "estimated taxable income" is included in this release.</w:t>
      </w:r>
    </w:p>
    <w:sectPr>
      <w:pgSz w:w="11900" w:h="16838" w:orient="portrait"/>
      <w:cols w:equalWidth="0" w:num="1">
        <w:col w:w="11240"/>
      </w:cols>
      <w:pgMar w:left="320" w:top="147"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6E87CCD"/>
    <w:multiLevelType w:val="hybridMultilevel"/>
    <w:lvl w:ilvl="0">
      <w:lvlJc w:val="left"/>
      <w:lvlText w:val="(%1)"/>
      <w:numFmt w:val="lowerLetter"/>
      <w:start w:val="1"/>
    </w:lvl>
  </w:abstractNum>
  <w:abstractNum w:abstractNumId="1">
    <w:nsid w:val="3D1B58BA"/>
    <w:multiLevelType w:val="hybridMultilevel"/>
    <w:lvl w:ilvl="0">
      <w:lvlJc w:val="left"/>
      <w:lvlText w:val="•"/>
      <w:numFmt w:val="bullet"/>
      <w:start w:val="1"/>
    </w:lvl>
    <w:lvl w:ilvl="1">
      <w:lvlJc w:val="left"/>
      <w:lvlText w:val="◦"/>
      <w:numFmt w:val="bullet"/>
      <w:start w:val="1"/>
    </w:lvl>
    <w:lvl w:ilvl="2">
      <w:lvlJc w:val="left"/>
      <w:lvlText w:val="◦"/>
      <w:numFmt w:val="bullet"/>
      <w:start w:val="1"/>
    </w:lvl>
  </w:abstractNum>
  <w:abstractNum w:abstractNumId="2">
    <w:nsid w:val="507ED7AB"/>
    <w:multiLevelType w:val="hybridMultilevel"/>
    <w:lvl w:ilvl="0">
      <w:lvlJc w:val="left"/>
      <w:lvlText w:val="•"/>
      <w:numFmt w:val="bullet"/>
      <w:start w:val="1"/>
    </w:lvl>
    <w:lvl w:ilvl="1">
      <w:lvlJc w:val="left"/>
      <w:lvlText w:val="◦"/>
      <w:numFmt w:val="bullet"/>
      <w:start w:val="1"/>
    </w:lvl>
    <w:lvl w:ilvl="2">
      <w:lvlJc w:val="left"/>
      <w:lvlText w:val="◦"/>
      <w:numFmt w:val="bullet"/>
      <w:start w:val="1"/>
    </w:lvl>
  </w:abstractNum>
  <w:abstractNum w:abstractNumId="3">
    <w:nsid w:val="2EB141F2"/>
    <w:multiLevelType w:val="hybridMultilevel"/>
    <w:lvl w:ilvl="0">
      <w:lvlJc w:val="left"/>
      <w:lvlText w:val="%1."/>
      <w:numFmt w:val="decimal"/>
      <w:start w:val="1"/>
    </w:lvl>
  </w:abstractNum>
  <w:abstractNum w:abstractNumId="4">
    <w:nsid w:val="41B71EFB"/>
    <w:multiLevelType w:val="hybridMultilevel"/>
    <w:lvl w:ilvl="0">
      <w:lvlJc w:val="left"/>
      <w:lvlText w:val="•"/>
      <w:numFmt w:val="bullet"/>
      <w:start w:val="1"/>
    </w:lvl>
    <w:lvl w:ilvl="1">
      <w:lvlJc w:val="left"/>
      <w:lvlText w:val="◦"/>
      <w:numFmt w:val="bullet"/>
      <w:start w:val="1"/>
    </w:lvl>
    <w:lvl w:ilvl="2">
      <w:lvlJc w:val="left"/>
      <w:lvlText w:val="•"/>
      <w:numFmt w:val="bullet"/>
      <w:start w:val="1"/>
    </w:lvl>
  </w:abstractNum>
  <w:abstractNum w:abstractNumId="5">
    <w:nsid w:val="79E2A9E3"/>
    <w:multiLevelType w:val="hybridMultilevel"/>
    <w:lvl w:ilvl="0">
      <w:lvlJc w:val="left"/>
      <w:lvlText w:val="•"/>
      <w:numFmt w:val="bullet"/>
      <w:start w:val="1"/>
    </w:lvl>
  </w:abstractNum>
  <w:abstractNum w:abstractNumId="6">
    <w:nsid w:val="7545E146"/>
    <w:multiLevelType w:val="hybridMultilevel"/>
    <w:lvl w:ilvl="0">
      <w:lvlJc w:val="left"/>
      <w:lvlText w:val="•"/>
      <w:numFmt w:val="bullet"/>
      <w:start w:val="1"/>
    </w:lvl>
  </w:abstractNum>
  <w:abstractNum w:abstractNumId="7">
    <w:nsid w:val="515F007C"/>
    <w:multiLevelType w:val="hybridMultilevel"/>
    <w:lvl w:ilvl="0">
      <w:lvlJc w:val="left"/>
      <w:lvlText w:val="•"/>
      <w:numFmt w:val="bullet"/>
      <w:start w:val="1"/>
    </w:lvl>
  </w:abstractNum>
  <w:abstractNum w:abstractNumId="8">
    <w:nsid w:val="5BD062C2"/>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2020-07-27T15:11:47Z</dcterms:created>
  <dcterms:modified xsi:type="dcterms:W3CDTF">2020-07-27T15:11:47Z</dcterms:modified>
</cp:coreProperties>
</file>