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8120" w:type="dxa"/>
            <w:vAlign w:val="bottom"/>
          </w:tcPr>
          <w:p>
            <w:pPr>
              <w:jc w:val="center"/>
              <w:ind w:left="285"/>
              <w:spacing w:after="0"/>
              <w:rPr>
                <w:sz w:val="20"/>
                <w:szCs w:val="20"/>
                <w:color w:val="auto"/>
              </w:rPr>
            </w:pPr>
            <w:r>
              <w:rPr>
                <w:rFonts w:ascii="Arial" w:cs="Arial" w:eastAsia="Arial" w:hAnsi="Arial"/>
                <w:sz w:val="17"/>
                <w:szCs w:val="17"/>
                <w:b w:val="1"/>
                <w:bCs w:val="1"/>
                <w:color w:val="auto"/>
              </w:rPr>
              <w:t>UNITED STATES</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8120" w:type="dxa"/>
            <w:vAlign w:val="bottom"/>
          </w:tcPr>
          <w:p>
            <w:pPr>
              <w:jc w:val="center"/>
              <w:ind w:left="285"/>
              <w:spacing w:after="0"/>
              <w:rPr>
                <w:sz w:val="20"/>
                <w:szCs w:val="20"/>
                <w:color w:val="auto"/>
              </w:rPr>
            </w:pPr>
            <w:r>
              <w:rPr>
                <w:rFonts w:ascii="Arial" w:cs="Arial" w:eastAsia="Arial" w:hAnsi="Arial"/>
                <w:sz w:val="17"/>
                <w:szCs w:val="17"/>
                <w:b w:val="1"/>
                <w:bCs w:val="1"/>
                <w:color w:val="auto"/>
              </w:rPr>
              <w:t>SECURITIES AND EXCHANGE COMMISSION</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3"/>
                <w:szCs w:val="13"/>
                <w:color w:val="auto"/>
              </w:rPr>
            </w:pPr>
          </w:p>
        </w:tc>
        <w:tc>
          <w:tcPr>
            <w:tcW w:w="8120" w:type="dxa"/>
            <w:vAlign w:val="bottom"/>
          </w:tcPr>
          <w:p>
            <w:pPr>
              <w:jc w:val="center"/>
              <w:ind w:left="285"/>
              <w:spacing w:after="0"/>
              <w:rPr>
                <w:sz w:val="20"/>
                <w:szCs w:val="20"/>
                <w:color w:val="auto"/>
              </w:rPr>
            </w:pPr>
            <w:r>
              <w:rPr>
                <w:rFonts w:ascii="Arial" w:cs="Arial" w:eastAsia="Arial" w:hAnsi="Arial"/>
                <w:sz w:val="14"/>
                <w:szCs w:val="14"/>
                <w:b w:val="1"/>
                <w:bCs w:val="1"/>
                <w:color w:val="auto"/>
                <w:w w:val="90"/>
              </w:rPr>
              <w:t>Washington, D.C. 20549</w:t>
            </w:r>
          </w:p>
        </w:tc>
        <w:tc>
          <w:tcPr>
            <w:tcW w:w="0" w:type="dxa"/>
            <w:vAlign w:val="bottom"/>
          </w:tcPr>
          <w:p>
            <w:pPr>
              <w:spacing w:after="0"/>
              <w:rPr>
                <w:sz w:val="1"/>
                <w:szCs w:val="1"/>
                <w:color w:val="auto"/>
              </w:rPr>
            </w:pPr>
          </w:p>
        </w:tc>
      </w:tr>
      <w:tr>
        <w:trPr>
          <w:trHeight w:val="227"/>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305"/>
              <w:spacing w:after="0"/>
              <w:rPr>
                <w:sz w:val="20"/>
                <w:szCs w:val="20"/>
                <w:color w:val="auto"/>
              </w:rPr>
            </w:pPr>
            <w:r>
              <w:rPr>
                <w:rFonts w:ascii="Arial" w:cs="Arial" w:eastAsia="Arial" w:hAnsi="Arial"/>
                <w:sz w:val="17"/>
                <w:szCs w:val="17"/>
                <w:b w:val="1"/>
                <w:bCs w:val="1"/>
                <w:color w:val="auto"/>
              </w:rPr>
              <w:t>FORM 10-K</w:t>
            </w: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8120" w:type="dxa"/>
            <w:vAlign w:val="bottom"/>
          </w:tcPr>
          <w:p>
            <w:pPr>
              <w:jc w:val="center"/>
              <w:ind w:left="945"/>
              <w:spacing w:after="0"/>
              <w:rPr>
                <w:sz w:val="20"/>
                <w:szCs w:val="20"/>
                <w:color w:val="auto"/>
              </w:rPr>
            </w:pPr>
            <w:r>
              <w:rPr>
                <w:rFonts w:ascii="Arial" w:cs="Arial" w:eastAsia="Arial" w:hAnsi="Arial"/>
                <w:sz w:val="14"/>
                <w:szCs w:val="14"/>
                <w:b w:val="1"/>
                <w:bCs w:val="1"/>
                <w:color w:val="auto"/>
                <w:w w:val="98"/>
              </w:rPr>
              <w:t>ANNUAL REPORT PURSUANT TO SECTION 13 OR 15(D) OF THE SECURITIES EXCHANGE ACT OF 1934</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8120" w:type="dxa"/>
            <w:vAlign w:val="bottom"/>
          </w:tcPr>
          <w:p>
            <w:pPr>
              <w:jc w:val="center"/>
              <w:ind w:left="285"/>
              <w:spacing w:after="0"/>
              <w:rPr>
                <w:sz w:val="20"/>
                <w:szCs w:val="20"/>
                <w:color w:val="auto"/>
              </w:rPr>
            </w:pPr>
            <w:r>
              <w:rPr>
                <w:rFonts w:ascii="Arial" w:cs="Arial" w:eastAsia="Arial" w:hAnsi="Arial"/>
                <w:sz w:val="14"/>
                <w:szCs w:val="14"/>
                <w:b w:val="1"/>
                <w:bCs w:val="1"/>
                <w:color w:val="auto"/>
                <w:w w:val="89"/>
              </w:rPr>
              <w:t>For the year ended December 31, 2022</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8120" w:type="dxa"/>
            <w:vAlign w:val="bottom"/>
          </w:tcPr>
          <w:p>
            <w:pPr>
              <w:jc w:val="center"/>
              <w:ind w:left="285"/>
              <w:spacing w:after="0"/>
              <w:rPr>
                <w:sz w:val="20"/>
                <w:szCs w:val="20"/>
                <w:color w:val="auto"/>
              </w:rPr>
            </w:pPr>
            <w:r>
              <w:rPr>
                <w:rFonts w:ascii="Arial" w:cs="Arial" w:eastAsia="Arial" w:hAnsi="Arial"/>
                <w:sz w:val="14"/>
                <w:szCs w:val="14"/>
                <w:b w:val="1"/>
                <w:bCs w:val="1"/>
                <w:color w:val="auto"/>
                <w:w w:val="95"/>
              </w:rPr>
              <w:t>OR</w:t>
            </w:r>
          </w:p>
        </w:tc>
        <w:tc>
          <w:tcPr>
            <w:tcW w:w="0" w:type="dxa"/>
            <w:vAlign w:val="bottom"/>
          </w:tcPr>
          <w:p>
            <w:pPr>
              <w:spacing w:after="0"/>
              <w:rPr>
                <w:sz w:val="1"/>
                <w:szCs w:val="1"/>
                <w:color w:val="auto"/>
              </w:rPr>
            </w:pPr>
          </w:p>
        </w:tc>
      </w:tr>
      <w:tr>
        <w:trPr>
          <w:trHeight w:val="223"/>
        </w:trPr>
        <w:tc>
          <w:tcPr>
            <w:tcW w:w="11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925"/>
              <w:spacing w:after="0"/>
              <w:rPr>
                <w:sz w:val="20"/>
                <w:szCs w:val="20"/>
                <w:color w:val="auto"/>
              </w:rPr>
            </w:pPr>
            <w:r>
              <w:rPr>
                <w:rFonts w:ascii="Arial" w:cs="Arial" w:eastAsia="Arial" w:hAnsi="Arial"/>
                <w:sz w:val="14"/>
                <w:szCs w:val="14"/>
                <w:b w:val="1"/>
                <w:bCs w:val="1"/>
                <w:color w:val="auto"/>
                <w:w w:val="98"/>
              </w:rPr>
              <w:t>TRANSITION REPORT PURSUANT TO SECTION 13 OR 15(D) OF THE SECURITIES EXCHANGE ACT OF 1934</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3"/>
                <w:szCs w:val="23"/>
                <w:color w:val="auto"/>
              </w:rPr>
            </w:pPr>
          </w:p>
        </w:tc>
        <w:tc>
          <w:tcPr>
            <w:tcW w:w="8120" w:type="dxa"/>
            <w:vAlign w:val="bottom"/>
          </w:tcPr>
          <w:p>
            <w:pPr>
              <w:jc w:val="center"/>
              <w:ind w:left="305"/>
              <w:spacing w:after="0"/>
              <w:rPr>
                <w:sz w:val="20"/>
                <w:szCs w:val="20"/>
                <w:color w:val="auto"/>
              </w:rPr>
            </w:pPr>
            <w:r>
              <w:rPr>
                <w:rFonts w:ascii="Arial" w:cs="Arial" w:eastAsia="Arial" w:hAnsi="Arial"/>
                <w:sz w:val="14"/>
                <w:szCs w:val="14"/>
                <w:b w:val="1"/>
                <w:bCs w:val="1"/>
                <w:color w:val="auto"/>
                <w:w w:val="89"/>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280670</wp:posOffset>
            </wp:positionH>
            <wp:positionV relativeFrom="page">
              <wp:posOffset>503555</wp:posOffset>
            </wp:positionV>
            <wp:extent cx="6995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page">
              <wp:posOffset>280670</wp:posOffset>
            </wp:positionH>
            <wp:positionV relativeFrom="page">
              <wp:posOffset>470535</wp:posOffset>
            </wp:positionV>
            <wp:extent cx="6995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106045</wp:posOffset>
            </wp:positionV>
            <wp:extent cx="1842135" cy="556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135" cy="556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ectPr>
          <w:pgSz w:w="11900" w:h="16838" w:orient="portrait"/>
          <w:cols w:equalWidth="0" w:num="1">
            <w:col w:w="11240"/>
          </w:cols>
          <w:pgMar w:left="320" w:top="879" w:right="339" w:bottom="1440" w:gutter="0" w:footer="0" w:header="0"/>
        </w:sectPr>
      </w:pPr>
    </w:p>
    <w:p>
      <w:pPr>
        <w:spacing w:after="0" w:line="26"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44"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spacing w:after="0" w:line="34"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ind w:left="1780"/>
        <w:spacing w:after="0"/>
        <w:rPr>
          <w:sz w:val="20"/>
          <w:szCs w:val="20"/>
          <w:color w:val="auto"/>
        </w:rPr>
      </w:pPr>
      <w:r>
        <w:rPr>
          <w:rFonts w:ascii="Arial" w:cs="Arial" w:eastAsia="Arial" w:hAnsi="Arial"/>
          <w:sz w:val="14"/>
          <w:szCs w:val="14"/>
          <w:b w:val="1"/>
          <w:bCs w:val="1"/>
          <w:color w:val="auto"/>
        </w:rPr>
        <w:t>Incorporation or Organization)</w:t>
      </w:r>
    </w:p>
    <w:p>
      <w:pPr>
        <w:spacing w:after="0" w:line="97"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2 Bethesda Metro Center, 12th Floor</w:t>
      </w:r>
    </w:p>
    <w:p>
      <w:pPr>
        <w:spacing w:after="0" w:line="21"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Bethesda, Maryland 20814</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(301) 968-9315</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p>
    <w:p>
      <w:pPr>
        <w:ind w:left="3900"/>
        <w:spacing w:after="0"/>
        <w:rPr>
          <w:sz w:val="20"/>
          <w:szCs w:val="20"/>
          <w:color w:val="auto"/>
        </w:rPr>
      </w:pPr>
      <w:r>
        <w:rPr>
          <w:rFonts w:ascii="Arial" w:cs="Arial" w:eastAsia="Arial" w:hAnsi="Arial"/>
          <w:sz w:val="10"/>
          <w:szCs w:val="10"/>
          <w:color w:val="auto"/>
        </w:rPr>
        <w:t>_________________________________________________________</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640" w:type="dxa"/>
            <w:vAlign w:val="bottom"/>
          </w:tcPr>
          <w:p>
            <w:pPr>
              <w:jc w:val="center"/>
              <w:spacing w:after="0"/>
              <w:rPr>
                <w:sz w:val="20"/>
                <w:szCs w:val="20"/>
                <w:color w:val="auto"/>
              </w:rPr>
            </w:pPr>
            <w:r>
              <w:rPr>
                <w:rFonts w:ascii="Arial" w:cs="Arial" w:eastAsia="Arial" w:hAnsi="Arial"/>
                <w:sz w:val="14"/>
                <w:szCs w:val="14"/>
                <w:color w:val="auto"/>
                <w:w w:val="89"/>
              </w:rPr>
              <w:t>Common Stock, par value $0.01 per share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AGNC</w:t>
            </w:r>
          </w:p>
        </w:tc>
        <w:tc>
          <w:tcPr>
            <w:tcW w:w="0" w:type="dxa"/>
            <w:vAlign w:val="bottom"/>
          </w:tcPr>
          <w:p>
            <w:pPr>
              <w:spacing w:after="0"/>
              <w:rPr>
                <w:sz w:val="1"/>
                <w:szCs w:val="1"/>
                <w:color w:val="auto"/>
              </w:rPr>
            </w:pPr>
          </w:p>
        </w:tc>
      </w:tr>
      <w:tr>
        <w:trPr>
          <w:trHeight w:val="156"/>
        </w:trPr>
        <w:tc>
          <w:tcPr>
            <w:tcW w:w="5740" w:type="dxa"/>
            <w:vAlign w:val="bottom"/>
            <w:gridSpan w:val="2"/>
          </w:tcPr>
          <w:p>
            <w:pPr>
              <w:jc w:val="center"/>
              <w:ind w:right="80"/>
              <w:spacing w:after="0" w:line="156" w:lineRule="exact"/>
              <w:rPr>
                <w:sz w:val="20"/>
                <w:szCs w:val="20"/>
                <w:color w:val="auto"/>
              </w:rPr>
            </w:pPr>
            <w:r>
              <w:rPr>
                <w:rFonts w:ascii="Arial" w:cs="Arial" w:eastAsia="Arial" w:hAnsi="Arial"/>
                <w:sz w:val="14"/>
                <w:szCs w:val="14"/>
                <w:color w:val="auto"/>
                <w:w w:val="89"/>
              </w:rPr>
              <w:t>Depositary shares of 7.000% Series C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4"/>
              </w:rPr>
              <w:t>AGNCN</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Depositary shares of 6.875% Series D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9"/>
              </w:rPr>
              <w:t>AGNCM</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Depositary shares of 6.50% Series E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AGNCO</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Depositary shares of 6.125% Series F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6"/>
              </w:rPr>
              <w:t>AGNCP</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Depositary shares of 7.75% Series G Fixed-Rate Reset Cumulative</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9"/>
              </w:rPr>
              <w:t>AGNCL</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8"/>
              </w:rPr>
              <w:t>Redeemable Preferred 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26-1701984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70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-443230</wp:posOffset>
            </wp:positionH>
            <wp:positionV relativeFrom="paragraph">
              <wp:posOffset>42545</wp:posOffset>
            </wp:positionV>
            <wp:extent cx="2439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55"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00"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74" w:lineRule="exact"/>
        <w:rPr>
          <w:sz w:val="24"/>
          <w:szCs w:val="24"/>
          <w:color w:val="auto"/>
        </w:rPr>
      </w:pPr>
    </w:p>
    <w:p>
      <w:pPr>
        <w:sectPr>
          <w:pgSz w:w="11900" w:h="16838" w:orient="portrait"/>
          <w:cols w:equalWidth="0" w:num="2">
            <w:col w:w="7380" w:space="720"/>
            <w:col w:w="3140"/>
          </w:cols>
          <w:pgMar w:left="320" w:top="879" w:right="339" w:bottom="1440" w:gutter="0" w:footer="0" w:header="0"/>
          <w:type w:val="continuous"/>
        </w:sectPr>
      </w:pPr>
    </w:p>
    <w:p>
      <w:pPr>
        <w:ind w:left="38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p>
    <w:p>
      <w:pPr>
        <w:ind w:left="320"/>
        <w:spacing w:after="0" w:line="161" w:lineRule="exact"/>
        <w:tabs>
          <w:tab w:leader="none" w:pos="69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left="320"/>
        <w:spacing w:after="0" w:line="161" w:lineRule="exact"/>
        <w:tabs>
          <w:tab w:leader="none" w:pos="6640" w:val="left"/>
          <w:tab w:leader="none" w:pos="71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 w:lineRule="exact"/>
        <w:rPr>
          <w:sz w:val="24"/>
          <w:szCs w:val="24"/>
          <w:color w:val="auto"/>
        </w:rPr>
      </w:pPr>
    </w:p>
    <w:p>
      <w:pPr>
        <w:ind w:right="40" w:firstLine="314"/>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jc w:val="both"/>
        <w:ind w:firstLine="314"/>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ind w:right="40" w:firstLine="314"/>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6"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p>
      <w:pPr>
        <w:ind w:left="2300"/>
        <w:spacing w:after="0" w:line="161" w:lineRule="exact"/>
        <w:tabs>
          <w:tab w:leader="none" w:pos="49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30" w:lineRule="exact"/>
        <w:rPr>
          <w:sz w:val="24"/>
          <w:szCs w:val="24"/>
          <w:color w:val="auto"/>
        </w:rPr>
      </w:pPr>
    </w:p>
    <w:p>
      <w:pPr>
        <w:ind w:right="240" w:firstLine="31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100" w:firstLine="314"/>
        <w:spacing w:after="0" w:line="17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60" w:firstLine="314"/>
        <w:spacing w:after="0" w:line="15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14"/>
        <w:spacing w:after="0" w:line="15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760" w:val="left"/>
          <w:tab w:leader="none" w:pos="73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4" w:lineRule="exact"/>
        <w:rPr>
          <w:sz w:val="24"/>
          <w:szCs w:val="24"/>
          <w:color w:val="auto"/>
        </w:rPr>
      </w:pPr>
    </w:p>
    <w:p>
      <w:pPr>
        <w:jc w:val="both"/>
        <w:ind w:firstLine="314"/>
        <w:spacing w:after="0" w:line="248" w:lineRule="auto"/>
        <w:rPr>
          <w:sz w:val="20"/>
          <w:szCs w:val="20"/>
          <w:color w:val="auto"/>
        </w:rPr>
      </w:pPr>
      <w:r>
        <w:rPr>
          <w:rFonts w:ascii="Arial" w:cs="Arial" w:eastAsia="Arial" w:hAnsi="Arial"/>
          <w:sz w:val="14"/>
          <w:szCs w:val="14"/>
          <w:color w:val="auto"/>
        </w:rPr>
        <w:t>As of June 30, 2022, the aggregate market value of the Registrant's common stock held by non-affiliates of the Registrant was approximately $4.8 billion based upon the closing price of the Registrant's common stock of $11.07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The number of shares of the issuer's common stock, $0.01 par value, outstanding as of February 9, 2023 was 574,656,885.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361950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 w:name="page2"/>
    <w:bookmarkEnd w:id="1"/>
    <w:p>
      <w:pPr>
        <w:ind w:firstLine="314"/>
        <w:spacing w:after="0" w:line="259" w:lineRule="auto"/>
        <w:rPr>
          <w:sz w:val="20"/>
          <w:szCs w:val="20"/>
          <w:color w:val="auto"/>
        </w:rPr>
      </w:pPr>
      <w:r>
        <w:rPr>
          <w:rFonts w:ascii="Arial" w:cs="Arial" w:eastAsia="Arial" w:hAnsi="Arial"/>
          <w:sz w:val="14"/>
          <w:szCs w:val="14"/>
          <w:color w:val="auto"/>
        </w:rPr>
        <w:t>DOCUMENTS INCORPORATED BY REFERENCE. The information required by Part III will be incorporated by reference from the Registrant's definitive proxy statement for the 2023 Annual Meeting of Stockholders to be filed with the Securities and Exchange Commission pursuant to Regulation 14A.</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53975</wp:posOffset>
            </wp:positionV>
            <wp:extent cx="699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20320</wp:posOffset>
            </wp:positionV>
            <wp:extent cx="6995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40" w:type="dxa"/>
            <w:vAlign w:val="bottom"/>
            <w:gridSpan w:val="8"/>
          </w:tcPr>
          <w:p>
            <w:pPr>
              <w:jc w:val="center"/>
              <w:ind w:right="3060"/>
              <w:spacing w:after="0"/>
              <w:rPr>
                <w:sz w:val="20"/>
                <w:szCs w:val="20"/>
                <w:color w:val="auto"/>
              </w:rPr>
            </w:pPr>
            <w:r>
              <w:rPr>
                <w:rFonts w:ascii="Arial" w:cs="Arial" w:eastAsia="Arial" w:hAnsi="Arial"/>
                <w:sz w:val="17"/>
                <w:szCs w:val="17"/>
                <w:b w:val="1"/>
                <w:bCs w:val="1"/>
                <w:color w:val="auto"/>
              </w:rPr>
              <w:t>AGNC INVESTMENT CORP.</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40" w:type="dxa"/>
            <w:vAlign w:val="bottom"/>
            <w:gridSpan w:val="8"/>
          </w:tcPr>
          <w:p>
            <w:pPr>
              <w:jc w:val="center"/>
              <w:ind w:right="306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040" w:type="dxa"/>
            <w:vAlign w:val="bottom"/>
            <w:gridSpan w:val="7"/>
          </w:tcPr>
          <w:p>
            <w:pPr>
              <w:spacing w:after="0"/>
              <w:rPr>
                <w:sz w:val="20"/>
                <w:szCs w:val="20"/>
                <w:color w:val="auto"/>
              </w:rPr>
            </w:pPr>
            <w:r>
              <w:rPr>
                <w:rFonts w:ascii="Arial" w:cs="Arial" w:eastAsia="Arial" w:hAnsi="Arial"/>
                <w:sz w:val="17"/>
                <w:szCs w:val="17"/>
                <w:color w:val="0000FF"/>
              </w:rPr>
              <w:t>PART 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2"/>
              </w:rPr>
              <w:t>Item 1.</w:t>
            </w:r>
          </w:p>
        </w:tc>
        <w:tc>
          <w:tcPr>
            <w:tcW w:w="60" w:type="dxa"/>
            <w:vAlign w:val="bottom"/>
            <w:tcBorders>
              <w:top w:val="single" w:sz="8" w:color="0000FF"/>
            </w:tcBorders>
          </w:tcPr>
          <w:p>
            <w:pPr>
              <w:spacing w:after="0"/>
              <w:rPr>
                <w:sz w:val="17"/>
                <w:szCs w:val="17"/>
                <w:color w:val="auto"/>
              </w:rPr>
            </w:pPr>
          </w:p>
        </w:tc>
        <w:tc>
          <w:tcPr>
            <w:tcW w:w="480" w:type="dxa"/>
            <w:vAlign w:val="bottom"/>
            <w:gridSpan w:val="5"/>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7"/>
                <w:szCs w:val="17"/>
                <w:color w:val="0000FF"/>
                <w:w w:val="78"/>
              </w:rPr>
              <w:t>Business</w:t>
            </w:r>
          </w:p>
        </w:tc>
        <w:tc>
          <w:tcPr>
            <w:tcW w:w="8840" w:type="dxa"/>
            <w:vAlign w:val="bottom"/>
            <w:gridSpan w:val="16"/>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Arial" w:cs="Arial" w:eastAsia="Arial" w:hAnsi="Arial"/>
                <w:sz w:val="17"/>
                <w:szCs w:val="17"/>
                <w:color w:val="0000FF"/>
                <w:w w:val="84"/>
              </w:rPr>
              <w:t>2</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1A.</w:t>
            </w:r>
          </w:p>
        </w:tc>
        <w:tc>
          <w:tcPr>
            <w:tcW w:w="942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120" w:type="dxa"/>
            <w:vAlign w:val="bottom"/>
            <w:gridSpan w:val="2"/>
          </w:tcPr>
          <w:p>
            <w:pPr>
              <w:jc w:val="center"/>
              <w:ind w:right="40"/>
              <w:spacing w:after="0"/>
              <w:rPr>
                <w:sz w:val="20"/>
                <w:szCs w:val="20"/>
                <w:color w:val="auto"/>
              </w:rPr>
            </w:pPr>
            <w:r>
              <w:rPr>
                <w:rFonts w:ascii="Arial" w:cs="Arial" w:eastAsia="Arial" w:hAnsi="Arial"/>
                <w:sz w:val="17"/>
                <w:szCs w:val="17"/>
                <w:color w:val="0000FF"/>
                <w:w w:val="84"/>
              </w:rPr>
              <w:t>7</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5"/>
              </w:rPr>
              <w:t>Item 1B.</w:t>
            </w:r>
          </w:p>
        </w:tc>
        <w:tc>
          <w:tcPr>
            <w:tcW w:w="460" w:type="dxa"/>
            <w:vAlign w:val="bottom"/>
            <w:gridSpan w:val="4"/>
          </w:tcPr>
          <w:p>
            <w:pPr>
              <w:spacing w:after="0"/>
              <w:rPr>
                <w:sz w:val="17"/>
                <w:szCs w:val="17"/>
                <w:color w:val="auto"/>
              </w:rPr>
            </w:pPr>
          </w:p>
        </w:tc>
        <w:tc>
          <w:tcPr>
            <w:tcW w:w="19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2"/>
              </w:rPr>
              <w:t>Unresolved Staff Comments</w:t>
            </w:r>
          </w:p>
        </w:tc>
        <w:tc>
          <w:tcPr>
            <w:tcW w:w="7440" w:type="dxa"/>
            <w:vAlign w:val="bottom"/>
            <w:gridSpan w:val="9"/>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21</w:t>
            </w: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2.</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Properties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3.</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21</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4.</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21</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Arial" w:cs="Arial" w:eastAsia="Arial" w:hAnsi="Arial"/>
                <w:sz w:val="17"/>
                <w:szCs w:val="17"/>
                <w:color w:val="0000FF"/>
              </w:rPr>
              <w:t>PART 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2"/>
              </w:rPr>
              <w:t>Item 5.</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784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2"/>
              </w:rPr>
              <w:t>Market for Registrant's Common Equity, Related Stockholder Matters, and Issuer Purchases of Equity Securities</w:t>
            </w: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22</w:t>
            </w: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6.</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Selected Financial Data</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23</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7.</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7A.</w:t>
            </w:r>
          </w:p>
        </w:tc>
        <w:tc>
          <w:tcPr>
            <w:tcW w:w="94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43</w:t>
            </w: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2"/>
              </w:rPr>
              <w:t>Item 8.</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0"/>
              </w:rPr>
              <w:t>Financial Statements</w:t>
            </w:r>
          </w:p>
        </w:tc>
        <w:tc>
          <w:tcPr>
            <w:tcW w:w="2760" w:type="dxa"/>
            <w:vAlign w:val="bottom"/>
            <w:tcBorders>
              <w:top w:val="single" w:sz="8" w:color="0000FF"/>
            </w:tcBorders>
            <w:gridSpan w:val="6"/>
          </w:tcPr>
          <w:p>
            <w:pPr>
              <w:spacing w:after="0"/>
              <w:rPr>
                <w:sz w:val="17"/>
                <w:szCs w:val="17"/>
                <w:color w:val="auto"/>
              </w:rPr>
            </w:pPr>
          </w:p>
        </w:tc>
        <w:tc>
          <w:tcPr>
            <w:tcW w:w="5200" w:type="dxa"/>
            <w:vAlign w:val="bottom"/>
            <w:gridSpan w:val="6"/>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2"/>
        </w:trPr>
        <w:tc>
          <w:tcPr>
            <w:tcW w:w="500" w:type="dxa"/>
            <w:vAlign w:val="bottom"/>
          </w:tcPr>
          <w:p>
            <w:pPr>
              <w:spacing w:after="0"/>
              <w:rPr>
                <w:sz w:val="20"/>
                <w:szCs w:val="20"/>
                <w:color w:val="auto"/>
              </w:rPr>
            </w:pPr>
            <w:r>
              <w:rPr>
                <w:rFonts w:ascii="Arial" w:cs="Arial" w:eastAsia="Arial" w:hAnsi="Arial"/>
                <w:sz w:val="17"/>
                <w:szCs w:val="17"/>
                <w:color w:val="0000FF"/>
                <w:w w:val="92"/>
              </w:rPr>
              <w:t>Item 9.</w:t>
            </w:r>
          </w:p>
        </w:tc>
        <w:tc>
          <w:tcPr>
            <w:tcW w:w="540" w:type="dxa"/>
            <w:vAlign w:val="bottom"/>
            <w:gridSpan w:val="6"/>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77</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9A.</w:t>
            </w:r>
          </w:p>
        </w:tc>
        <w:tc>
          <w:tcPr>
            <w:tcW w:w="942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77</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85"/>
              </w:rPr>
              <w:t>Item 9B.</w:t>
            </w:r>
          </w:p>
        </w:tc>
        <w:tc>
          <w:tcPr>
            <w:tcW w:w="460" w:type="dxa"/>
            <w:vAlign w:val="bottom"/>
            <w:gridSpan w:val="4"/>
          </w:tcPr>
          <w:p>
            <w:pPr>
              <w:spacing w:after="0"/>
              <w:rPr>
                <w:sz w:val="17"/>
                <w:szCs w:val="17"/>
                <w:color w:val="auto"/>
              </w:rPr>
            </w:pPr>
          </w:p>
        </w:tc>
        <w:tc>
          <w:tcPr>
            <w:tcW w:w="164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Other Information</w:t>
            </w:r>
          </w:p>
        </w:tc>
        <w:tc>
          <w:tcPr>
            <w:tcW w:w="7780" w:type="dxa"/>
            <w:vAlign w:val="bottom"/>
            <w:gridSpan w:val="11"/>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Arial" w:cs="Arial" w:eastAsia="Arial" w:hAnsi="Arial"/>
                <w:sz w:val="17"/>
                <w:szCs w:val="17"/>
                <w:color w:val="0000FF"/>
              </w:rPr>
              <w:t>PART III.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8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Item 10.</w:t>
            </w:r>
          </w:p>
        </w:tc>
        <w:tc>
          <w:tcPr>
            <w:tcW w:w="360" w:type="dxa"/>
            <w:vAlign w:val="bottom"/>
            <w:gridSpan w:val="2"/>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Directors, Executive Officers and Corporate Governance</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87"/>
              </w:rPr>
              <w:t>Item 11.</w:t>
            </w:r>
          </w:p>
        </w:tc>
        <w:tc>
          <w:tcPr>
            <w:tcW w:w="460" w:type="dxa"/>
            <w:vAlign w:val="bottom"/>
            <w:gridSpan w:val="4"/>
          </w:tcPr>
          <w:p>
            <w:pPr>
              <w:spacing w:after="0"/>
              <w:rPr>
                <w:sz w:val="17"/>
                <w:szCs w:val="17"/>
                <w:color w:val="auto"/>
              </w:rPr>
            </w:pPr>
          </w:p>
        </w:tc>
        <w:tc>
          <w:tcPr>
            <w:tcW w:w="396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Executive Compensation</w:t>
            </w:r>
          </w:p>
        </w:tc>
        <w:tc>
          <w:tcPr>
            <w:tcW w:w="5460" w:type="dxa"/>
            <w:vAlign w:val="bottom"/>
            <w:gridSpan w:val="7"/>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12.</w:t>
            </w:r>
          </w:p>
        </w:tc>
        <w:tc>
          <w:tcPr>
            <w:tcW w:w="9420" w:type="dxa"/>
            <w:vAlign w:val="bottom"/>
            <w:gridSpan w:val="17"/>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0" w:type="dxa"/>
            <w:vAlign w:val="bottom"/>
            <w:tcBorders>
              <w:left w:val="single" w:sz="8" w:color="0000FF"/>
            </w:tcBorders>
            <w:gridSpan w:val="8"/>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13.</w:t>
            </w:r>
          </w:p>
        </w:tc>
        <w:tc>
          <w:tcPr>
            <w:tcW w:w="9420" w:type="dxa"/>
            <w:vAlign w:val="bottom"/>
            <w:gridSpan w:val="17"/>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0" w:type="dxa"/>
            <w:vAlign w:val="bottom"/>
            <w:tcBorders>
              <w:left w:val="single" w:sz="8" w:color="0000FF"/>
            </w:tcBorders>
            <w:gridSpan w:val="8"/>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4160" w:type="dxa"/>
            <w:vAlign w:val="bottom"/>
            <w:tcBorders>
              <w:right w:val="single" w:sz="8" w:color="0000FF"/>
            </w:tcBorders>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Arial" w:cs="Arial" w:eastAsia="Arial" w:hAnsi="Arial"/>
                <w:sz w:val="17"/>
                <w:szCs w:val="17"/>
                <w:color w:val="0000FF"/>
              </w:rPr>
              <w:t>Item 14.</w:t>
            </w:r>
          </w:p>
        </w:tc>
        <w:tc>
          <w:tcPr>
            <w:tcW w:w="9420" w:type="dxa"/>
            <w:vAlign w:val="bottom"/>
            <w:gridSpan w:val="17"/>
          </w:tcPr>
          <w:p>
            <w:pPr>
              <w:spacing w:after="0"/>
              <w:rPr>
                <w:sz w:val="20"/>
                <w:szCs w:val="20"/>
                <w:color w:val="auto"/>
              </w:rPr>
            </w:pPr>
            <w:r>
              <w:rPr>
                <w:rFonts w:ascii="Arial" w:cs="Arial" w:eastAsia="Arial" w:hAnsi="Arial"/>
                <w:sz w:val="17"/>
                <w:szCs w:val="17"/>
                <w:color w:val="0000FF"/>
              </w:rPr>
              <w:t>Principal Accounting Fees and Services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78</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Arial" w:cs="Arial" w:eastAsia="Arial" w:hAnsi="Arial"/>
                <w:sz w:val="17"/>
                <w:szCs w:val="17"/>
                <w:color w:val="0000FF"/>
              </w:rPr>
              <w:t>PART IV.</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15.</w:t>
            </w:r>
          </w:p>
        </w:tc>
        <w:tc>
          <w:tcPr>
            <w:tcW w:w="380" w:type="dxa"/>
            <w:vAlign w:val="bottom"/>
            <w:gridSpan w:val="3"/>
          </w:tcPr>
          <w:p>
            <w:pPr>
              <w:spacing w:after="0"/>
              <w:rPr>
                <w:sz w:val="17"/>
                <w:szCs w:val="17"/>
                <w:color w:val="auto"/>
              </w:rPr>
            </w:pPr>
          </w:p>
        </w:tc>
        <w:tc>
          <w:tcPr>
            <w:tcW w:w="942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79</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7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8"/>
              </w:rPr>
              <w:t>Signatures</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80"/>
          </w:cols>
          <w:pgMar w:left="340" w:top="866" w:right="97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6" w:lineRule="exact"/>
        <w:rPr>
          <w:sz w:val="20"/>
          <w:szCs w:val="20"/>
          <w:color w:val="auto"/>
        </w:rPr>
      </w:pPr>
    </w:p>
    <w:p>
      <w:pPr>
        <w:jc w:val="both"/>
        <w:ind w:firstLine="392"/>
        <w:spacing w:after="0" w:line="321" w:lineRule="auto"/>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83"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32"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Strategy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investment strategy is intended to:</w:t>
      </w:r>
    </w:p>
    <w:p>
      <w:pPr>
        <w:spacing w:after="0" w:line="118" w:lineRule="exact"/>
        <w:rPr>
          <w:sz w:val="20"/>
          <w:szCs w:val="20"/>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generate attractive risk-adjusted returns for our stockholders through monthly dividend distributions;</w:t>
      </w:r>
    </w:p>
    <w:p>
      <w:pPr>
        <w:spacing w:after="0" w:line="65" w:lineRule="exact"/>
        <w:rPr>
          <w:rFonts w:ascii="Arial" w:cs="Arial" w:eastAsia="Arial" w:hAnsi="Arial"/>
          <w:sz w:val="17"/>
          <w:szCs w:val="17"/>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manage an investment portfolio consisting primarily of Agency securities;</w:t>
      </w:r>
    </w:p>
    <w:p>
      <w:pPr>
        <w:spacing w:after="0" w:line="65" w:lineRule="exact"/>
        <w:rPr>
          <w:rFonts w:ascii="Arial" w:cs="Arial" w:eastAsia="Arial" w:hAnsi="Arial"/>
          <w:sz w:val="17"/>
          <w:szCs w:val="17"/>
          <w:color w:val="auto"/>
        </w:rPr>
      </w:pPr>
    </w:p>
    <w:p>
      <w:pPr>
        <w:ind w:left="740" w:hanging="265"/>
        <w:spacing w:after="0" w:line="288" w:lineRule="auto"/>
        <w:tabs>
          <w:tab w:leader="none" w:pos="736" w:val="left"/>
        </w:tabs>
        <w:numPr>
          <w:ilvl w:val="0"/>
          <w:numId w:val="1"/>
        </w:numPr>
        <w:rPr>
          <w:rFonts w:ascii="Arial" w:cs="Arial" w:eastAsia="Arial" w:hAnsi="Arial"/>
          <w:sz w:val="17"/>
          <w:szCs w:val="17"/>
          <w:color w:val="auto"/>
        </w:rPr>
      </w:pPr>
      <w:r>
        <w:rPr>
          <w:rFonts w:ascii="Arial" w:cs="Arial" w:eastAsia="Arial" w:hAnsi="Arial"/>
          <w:sz w:val="17"/>
          <w:szCs w:val="17"/>
          <w:color w:val="auto"/>
        </w:rPr>
        <w:t>invest a subset of the portfolio in credit-oriented securities that are not guaranteed by a GSE or U.S. Government agency and other assets related to the housing, mortgage or real estate markets;</w:t>
      </w:r>
    </w:p>
    <w:p>
      <w:pPr>
        <w:spacing w:after="0" w:line="1" w:lineRule="exact"/>
        <w:rPr>
          <w:rFonts w:ascii="Arial" w:cs="Arial" w:eastAsia="Arial" w:hAnsi="Arial"/>
          <w:sz w:val="17"/>
          <w:szCs w:val="17"/>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capitalize on discrepancies in the relative valuations in the Agency and non-Agency securities market;</w:t>
      </w:r>
    </w:p>
    <w:p>
      <w:pPr>
        <w:spacing w:after="0" w:line="65" w:lineRule="exact"/>
        <w:rPr>
          <w:rFonts w:ascii="Arial" w:cs="Arial" w:eastAsia="Arial" w:hAnsi="Arial"/>
          <w:sz w:val="17"/>
          <w:szCs w:val="17"/>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manage financing, interest rate, prepayment, extension and credit risks;</w:t>
      </w:r>
    </w:p>
    <w:p>
      <w:pPr>
        <w:spacing w:after="0" w:line="65" w:lineRule="exact"/>
        <w:rPr>
          <w:rFonts w:ascii="Arial" w:cs="Arial" w:eastAsia="Arial" w:hAnsi="Arial"/>
          <w:sz w:val="17"/>
          <w:szCs w:val="17"/>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 to qualify as a REIT; and</w:t>
      </w:r>
    </w:p>
    <w:p>
      <w:pPr>
        <w:spacing w:after="0" w:line="65" w:lineRule="exact"/>
        <w:rPr>
          <w:rFonts w:ascii="Arial" w:cs="Arial" w:eastAsia="Arial" w:hAnsi="Arial"/>
          <w:sz w:val="17"/>
          <w:szCs w:val="17"/>
          <w:color w:val="auto"/>
        </w:rPr>
      </w:pPr>
    </w:p>
    <w:p>
      <w:pPr>
        <w:ind w:left="740" w:hanging="265"/>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remain exempt from the requirements of the Investment Company Act of 1940 (the "Investment Company Act").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Targeted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Agency Securities</w:t>
      </w:r>
    </w:p>
    <w:p>
      <w:pPr>
        <w:spacing w:after="0" w:line="164" w:lineRule="exact"/>
        <w:rPr>
          <w:sz w:val="20"/>
          <w:szCs w:val="20"/>
          <w:color w:val="auto"/>
        </w:rPr>
      </w:pPr>
    </w:p>
    <w:p>
      <w:pPr>
        <w:jc w:val="both"/>
        <w:ind w:left="740" w:hanging="304"/>
        <w:spacing w:after="0" w:line="284" w:lineRule="auto"/>
        <w:tabs>
          <w:tab w:leader="none" w:pos="736"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Agency Residential Mortgage-Backed Securities. </w:t>
      </w:r>
      <w:r>
        <w:rPr>
          <w:rFonts w:ascii="Arial" w:cs="Arial" w:eastAsia="Arial" w:hAnsi="Arial"/>
          <w:sz w:val="16"/>
          <w:szCs w:val="16"/>
          <w:color w:val="auto"/>
        </w:rPr>
        <w:t>Our primary investments consist of Agency pass-through certificates representing interests in</w:t>
      </w:r>
      <w:r>
        <w:rPr>
          <w:rFonts w:ascii="Arial" w:cs="Arial" w:eastAsia="Arial" w:hAnsi="Arial"/>
          <w:sz w:val="16"/>
          <w:szCs w:val="16"/>
          <w:b w:val="1"/>
          <w:bCs w:val="1"/>
          <w:color w:val="auto"/>
        </w:rPr>
        <w:t xml:space="preserve"> </w:t>
      </w:r>
      <w:r>
        <w:rPr>
          <w:rFonts w:ascii="Arial" w:cs="Arial" w:eastAsia="Arial" w:hAnsi="Arial"/>
          <w:sz w:val="16"/>
          <w:szCs w:val="16"/>
          <w:color w:val="auto"/>
        </w:rPr>
        <w:t>"pools" of mortgage 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may also invest in Agency collateralized mortgage obligations ("CMOs"), which are structured instruments backed by a pool of Agency mortgage-backed securities.</w:t>
      </w:r>
    </w:p>
    <w:p>
      <w:pPr>
        <w:spacing w:after="0" w:line="105" w:lineRule="exact"/>
        <w:rPr>
          <w:rFonts w:ascii="Arial" w:cs="Arial" w:eastAsia="Arial" w:hAnsi="Arial"/>
          <w:sz w:val="16"/>
          <w:szCs w:val="16"/>
          <w:color w:val="auto"/>
        </w:rPr>
      </w:pPr>
    </w:p>
    <w:p>
      <w:pPr>
        <w:jc w:val="both"/>
        <w:ind w:left="740" w:hanging="304"/>
        <w:spacing w:after="0" w:line="276" w:lineRule="auto"/>
        <w:tabs>
          <w:tab w:leader="none" w:pos="73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To-Be-Announced Forward Contracts ("TBAs"). </w:t>
      </w:r>
      <w:r>
        <w:rPr>
          <w:rFonts w:ascii="Arial" w:cs="Arial" w:eastAsia="Arial" w:hAnsi="Arial"/>
          <w:sz w:val="17"/>
          <w:szCs w:val="17"/>
          <w:color w:val="auto"/>
        </w:rPr>
        <w:t>TBAs are forward contracts to purchase or sell Agency RMBS in the TBA market. TBA</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specify the coupon rate, issuer, term and face value of the bonds to be delivered, with the actual bonds to be delivered only identified shortly before the TBA settlement date.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Non-Agency Securities</w:t>
      </w:r>
    </w:p>
    <w:p>
      <w:pPr>
        <w:spacing w:after="0" w:line="164" w:lineRule="exact"/>
        <w:rPr>
          <w:sz w:val="20"/>
          <w:szCs w:val="20"/>
          <w:color w:val="auto"/>
        </w:rPr>
      </w:pPr>
    </w:p>
    <w:p>
      <w:pPr>
        <w:ind w:left="740" w:hanging="265"/>
        <w:spacing w:after="0" w:line="295" w:lineRule="auto"/>
        <w:tabs>
          <w:tab w:leader="none" w:pos="7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Credit Risk Transfer ("CRT") Securities. </w:t>
      </w:r>
      <w:r>
        <w:rPr>
          <w:rFonts w:ascii="Arial" w:cs="Arial" w:eastAsia="Arial" w:hAnsi="Arial"/>
          <w:sz w:val="17"/>
          <w:szCs w:val="17"/>
          <w:color w:val="auto"/>
        </w:rPr>
        <w:t>CRT securities are risk sharing instruments that transfer a portion of the risk associated with credit losses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pools of conventional residential mortgage loans from the GSEs and/or third-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 w:name="page5"/>
    <w:bookmarkEnd w:id="4"/>
    <w:p>
      <w:pPr>
        <w:jc w:val="both"/>
        <w:ind w:left="740"/>
        <w:spacing w:after="0" w:line="272" w:lineRule="auto"/>
        <w:rPr>
          <w:sz w:val="20"/>
          <w:szCs w:val="20"/>
          <w:color w:val="auto"/>
        </w:rPr>
      </w:pPr>
      <w:r>
        <w:rPr>
          <w:rFonts w:ascii="Arial" w:cs="Arial" w:eastAsia="Arial" w:hAnsi="Arial"/>
          <w:sz w:val="17"/>
          <w:szCs w:val="17"/>
          <w:color w:val="auto"/>
        </w:rPr>
        <w:t>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14" w:lineRule="exact"/>
        <w:rPr>
          <w:sz w:val="20"/>
          <w:szCs w:val="20"/>
          <w:color w:val="auto"/>
        </w:rPr>
      </w:pPr>
    </w:p>
    <w:p>
      <w:pPr>
        <w:jc w:val="both"/>
        <w:ind w:left="740" w:hanging="265"/>
        <w:spacing w:after="0" w:line="273" w:lineRule="auto"/>
        <w:tabs>
          <w:tab w:leader="none" w:pos="70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Non-Agency Residential Mortgage-Backed Securities ("Non-Agency RMBS"). </w:t>
      </w:r>
      <w:r>
        <w:rPr>
          <w:rFonts w:ascii="Arial" w:cs="Arial" w:eastAsia="Arial" w:hAnsi="Arial"/>
          <w:sz w:val="16"/>
          <w:szCs w:val="16"/>
          <w:color w:val="auto"/>
        </w:rPr>
        <w:t>Non-Agency RMBS are structured securities backed by pools of</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03" w:lineRule="exact"/>
        <w:rPr>
          <w:rFonts w:ascii="Arial" w:cs="Arial" w:eastAsia="Arial" w:hAnsi="Arial"/>
          <w:sz w:val="16"/>
          <w:szCs w:val="16"/>
          <w:color w:val="auto"/>
        </w:rPr>
      </w:pPr>
    </w:p>
    <w:p>
      <w:pPr>
        <w:jc w:val="both"/>
        <w:ind w:left="740" w:hanging="265"/>
        <w:spacing w:after="0" w:line="286" w:lineRule="auto"/>
        <w:tabs>
          <w:tab w:leader="none" w:pos="73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Mortgage-Backed Securities ("CMBS"). </w:t>
      </w:r>
      <w:r>
        <w:rPr>
          <w:rFonts w:ascii="Arial" w:cs="Arial" w:eastAsia="Arial" w:hAnsi="Arial"/>
          <w:sz w:val="16"/>
          <w:szCs w:val="16"/>
          <w:color w:val="auto"/>
        </w:rPr>
        <w:t>CMBS are securities backed by a pool of loans secured by one or more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Active Portfolio Management Strategy</w:t>
      </w:r>
    </w:p>
    <w:p>
      <w:pPr>
        <w:spacing w:after="0" w:line="17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We employ an active management strategy designed to achieve our principal objectives of generating attractive risk-adjusted returns and managing our tangible net book value within reasonable bands. As part of our investment strategy, we use leverage on our investment portfolio to increase potential returns to our stockholders. We invest in securities based on our assessment of their relative risk-return profiles and our ability to effectively hedge a portion of the securities' exposure to market risks. The composition of our portfolio and the strategies we use will vary based on our view of prevailing market conditions and the availability of suitable investment, hedging and funding opportunities.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Financing Strategy</w:t>
      </w:r>
    </w:p>
    <w:p>
      <w:pPr>
        <w:spacing w:after="0" w:line="176"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finance our investment portfolio primarily through collateralized borrowings structured as repurchase agreements ("repo"). Repurchase agreements involve the sale and a simultaneous agreement to repurchase the transferred assets at a future date. Our borrowings through repurchase transactions are generally short-term and have maturities ranging from one day to one year but may have maturities up to five or more years. Our financing rates are primarily impacted by short-term benchmark rates and liquidity in the Agency repo and short-term funding markets.</w:t>
      </w:r>
    </w:p>
    <w:p>
      <w:pPr>
        <w:spacing w:after="0" w:line="123"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amount of leverage that we utilize depends on market conditions, our assessment of risk and returns and our ability to borrow sufficient funds on favorable terms to acquire mortgage securities. We generally expect our leverage to be within six to twelve times the amount of our tangible stockholders' equity, but under certain conditions we may operate at leverage levels outside of this range.</w:t>
      </w:r>
    </w:p>
    <w:p>
      <w:pPr>
        <w:spacing w:after="0" w:line="119"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26"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6"/>
          <w:szCs w:val="16"/>
          <w:color w:val="auto"/>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 Prior to the forward settlement date, we may choose to roll the position to a later date by entering into an offsetting TBA 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7"/>
          <w:szCs w:val="17"/>
          <w:color w:val="auto"/>
        </w:rPr>
        <w:t>dollar roll transactions represent a form of off-balance sheet financing. In evaluating our overall leverage, we consider both our on-balance sheet and off-balance sheet financing.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Strategy</w:t>
      </w:r>
    </w:p>
    <w:p>
      <w:pPr>
        <w:spacing w:after="0" w:line="176"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 xml:space="preserve">We are exposed to a variety of market risks, including interest rate, prepayment, extension, spread and credit risks. Our investment strategies are based on our assessment of these risks, our ability to hedge a portion of these risks and our intention to qualify as a REIT. 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and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within this Form 10-K.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Exemption from Regulation under the Investment Company Act</w:t>
      </w:r>
    </w:p>
    <w:p>
      <w:pPr>
        <w:spacing w:after="0" w:line="170"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within this Form 10-K.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Investment Trust Requirements</w:t>
      </w:r>
    </w:p>
    <w:p>
      <w:pPr>
        <w:spacing w:after="0" w:line="170"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Tests: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 continue to qualify as a REIT, we must satisfy two gross income requirements on an annual basis.</w:t>
      </w:r>
    </w:p>
    <w:p>
      <w:pPr>
        <w:spacing w:after="0" w:line="170" w:lineRule="exact"/>
        <w:rPr>
          <w:sz w:val="20"/>
          <w:szCs w:val="20"/>
          <w:color w:val="auto"/>
        </w:rPr>
      </w:pPr>
    </w:p>
    <w:p>
      <w:pPr>
        <w:ind w:left="640" w:hanging="243"/>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81" w:lineRule="exact"/>
        <w:rPr>
          <w:rFonts w:ascii="Arial" w:cs="Arial" w:eastAsia="Arial" w:hAnsi="Arial"/>
          <w:sz w:val="16"/>
          <w:szCs w:val="16"/>
          <w:color w:val="auto"/>
        </w:rPr>
      </w:pPr>
    </w:p>
    <w:p>
      <w:pPr>
        <w:jc w:val="both"/>
        <w:ind w:left="640" w:hanging="243"/>
        <w:spacing w:after="0" w:line="27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19"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 w:name="page7"/>
    <w:bookmarkEnd w:id="6"/>
    <w:p>
      <w:pPr>
        <w:spacing w:after="0" w:line="321" w:lineRule="auto"/>
        <w:rPr>
          <w:sz w:val="20"/>
          <w:szCs w:val="20"/>
          <w:color w:val="auto"/>
        </w:rPr>
      </w:pPr>
      <w:r>
        <w:rPr>
          <w:rFonts w:ascii="Arial" w:cs="Arial" w:eastAsia="Arial" w:hAnsi="Arial"/>
          <w:sz w:val="16"/>
          <w:szCs w:val="16"/>
          <w:color w:val="auto"/>
        </w:rPr>
        <w:t>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Tests: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the close of each calendar quarter, we must satisfy five tests relating to the nature of our assets.</w:t>
      </w:r>
    </w:p>
    <w:p>
      <w:pPr>
        <w:spacing w:after="0" w:line="170" w:lineRule="exact"/>
        <w:rPr>
          <w:sz w:val="20"/>
          <w:szCs w:val="20"/>
          <w:color w:val="auto"/>
        </w:rPr>
      </w:pPr>
    </w:p>
    <w:p>
      <w:pPr>
        <w:jc w:val="both"/>
        <w:ind w:left="640" w:hanging="322"/>
        <w:spacing w:after="0" w:line="26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23" w:lineRule="exact"/>
        <w:rPr>
          <w:rFonts w:ascii="Arial" w:cs="Arial" w:eastAsia="Arial" w:hAnsi="Arial"/>
          <w:sz w:val="17"/>
          <w:szCs w:val="17"/>
          <w:color w:val="auto"/>
        </w:rPr>
      </w:pPr>
    </w:p>
    <w:p>
      <w:pPr>
        <w:ind w:left="640" w:hanging="322"/>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value of any one issuer's securities that we own may not exceed 5% of the value of our total assets.</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19" w:lineRule="exact"/>
        <w:rPr>
          <w:rFonts w:ascii="Arial" w:cs="Arial" w:eastAsia="Arial" w:hAnsi="Arial"/>
          <w:sz w:val="17"/>
          <w:szCs w:val="17"/>
          <w:color w:val="auto"/>
        </w:rPr>
      </w:pPr>
    </w:p>
    <w:p>
      <w:pPr>
        <w:ind w:left="640" w:hanging="322"/>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value of all securities of all TRSs that we hold may not exceed 20% of the value of our total assets.</w:t>
      </w:r>
    </w:p>
    <w:p>
      <w:pPr>
        <w:spacing w:after="0" w:line="170"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more than 25% of the total value of our assets may be represented by certain non-mortgage debt instruments issued by publicly offered REITs (even though such debt instruments qualify under the 75% asset test).</w:t>
      </w:r>
    </w:p>
    <w:p>
      <w:pPr>
        <w:spacing w:after="0" w:line="106"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of our Captive Broker-Dealer Subsidiary</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BES is subject to ongoing membership and regulatory requirements as a member of the FICC and FINRA and as a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6"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2022, our workforce consisted of 51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low voluntary employee turnover and favorable employee survey results are a testament to the success of our human capital management initiatives.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 Turnover Metrics</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2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January 1</w:t>
            </w:r>
          </w:p>
        </w:tc>
        <w:tc>
          <w:tcPr>
            <w:tcW w:w="16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7"/>
              </w:rPr>
              <w:t xml:space="preserve">Terminations </w:t>
            </w:r>
            <w:r>
              <w:rPr>
                <w:rFonts w:ascii="Arial" w:cs="Arial" w:eastAsia="Arial" w:hAnsi="Arial"/>
                <w:sz w:val="18"/>
                <w:szCs w:val="18"/>
                <w:b w:val="1"/>
                <w:bCs w:val="1"/>
                <w:color w:val="auto"/>
                <w:w w:val="87"/>
                <w:vertAlign w:val="superscript"/>
              </w:rPr>
              <w:t>1</w:t>
            </w:r>
          </w:p>
        </w:tc>
        <w:tc>
          <w:tcPr>
            <w:tcW w:w="15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New Hires</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December 31</w:t>
            </w:r>
          </w:p>
        </w:tc>
      </w:tr>
      <w:tr>
        <w:trPr>
          <w:trHeight w:val="189"/>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51</w:t>
            </w:r>
          </w:p>
        </w:tc>
      </w:tr>
      <w:tr>
        <w:trPr>
          <w:trHeight w:val="187"/>
        </w:trPr>
        <w:tc>
          <w:tcPr>
            <w:tcW w:w="212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-2</w:t>
            </w: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50</w:t>
            </w: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Employee terminations include voluntary and involuntary terminations.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Communications and Engagement</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recognize the importance of ongoing open communication and engagement with our employees, and we greatly value their input. We regularly engage with our employees in a variety of ways through ongoing direct engagement with each member of our staff, anonymous annual employee surveys and regular town hall meetings. Our anonymous employee surveys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7"/>
          <w:szCs w:val="17"/>
          <w:color w:val="auto"/>
        </w:rPr>
        <w:t>are an important component of our employee engagement that provide a means of assessing job satisfaction, engagement, and specific concerns of our employees. To enhance the candor and comfort of our employees, we use outside vendors that provide verbatim comments and analysis of engagement levels on an anonymous basis. In 2021, AGNC received the Great Place to Work™ certification in recognition of employee engagement efforts. The prestigious certification was based entirely on feedback from employees through an extensive anonymous survey about their experiences working at AGNC, during which 98% of our employees said AGNC is a great place to work. Our Board and management use the results of our surveys and ongoing feedback to implement various ideas and recommendations received from employees.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Workplace Culture and Ethics</w:t>
      </w:r>
    </w:p>
    <w:p>
      <w:pPr>
        <w:spacing w:after="0" w:line="170"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In 2022, we conducted mandatory compliance training on the Code of Conduct, insider trading, whistleblower protections and anti-harassment. Our executive officers and human resources department maintain "open door" policies, and any form of retaliation for bona fide reporting of Code of Conduct violations is expressly prohibited.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Development</w:t>
      </w:r>
    </w:p>
    <w:p>
      <w:pPr>
        <w:spacing w:after="0" w:line="170"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We have a number of policies and programs to further the professional development of our employees. These include our professional certification and continuing education policy, reimbursement for any supervisor-approved courses for our employees, and memberships to organizations, such as the Mortgage Bankers Association, which includes free access to educational webinars. We also conduct periodic "Lunch and Learn" seminars and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and Inclusion</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Central to our core values is that every individual deserves respect and equal treatment, regardless of gender, race, ethnicity, age, disability, sexual orientation, gender identity, cultural background or religious belief. We strive to have a diverse workforce and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including unconscious bias and anti-harassment training.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2022, 39% of our employees were women and 31% were ethnically diverse.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and Benefits</w:t>
      </w:r>
    </w:p>
    <w:p>
      <w:pPr>
        <w:spacing w:after="0" w:line="170"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pacing w:after="0" w:line="118" w:lineRule="exact"/>
        <w:rPr>
          <w:sz w:val="20"/>
          <w:szCs w:val="20"/>
          <w:color w:val="auto"/>
        </w:rPr>
      </w:pPr>
    </w:p>
    <w:p>
      <w:pPr>
        <w:jc w:val="both"/>
        <w:ind w:firstLine="392"/>
        <w:spacing w:after="0" w:line="313" w:lineRule="auto"/>
        <w:rPr>
          <w:sz w:val="20"/>
          <w:szCs w:val="20"/>
          <w:color w:val="auto"/>
        </w:rPr>
      </w:pPr>
      <w:r>
        <w:rPr>
          <w:rFonts w:ascii="Arial" w:cs="Arial" w:eastAsia="Arial" w:hAnsi="Arial"/>
          <w:sz w:val="15"/>
          <w:szCs w:val="15"/>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 w:name="page9"/>
    <w:bookmarkEnd w:id="8"/>
    <w:p>
      <w:pPr>
        <w:jc w:val="both"/>
        <w:spacing w:after="0" w:line="321" w:lineRule="auto"/>
        <w:rPr>
          <w:sz w:val="20"/>
          <w:szCs w:val="20"/>
          <w:color w:val="auto"/>
        </w:rPr>
      </w:pPr>
      <w:r>
        <w:rPr>
          <w:rFonts w:ascii="Arial" w:cs="Arial" w:eastAsia="Arial" w:hAnsi="Arial"/>
          <w:sz w:val="16"/>
          <w:szCs w:val="16"/>
          <w:color w:val="auto"/>
        </w:rPr>
        <w:t>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Workforce Safety; and Hybrid Work Model</w:t>
      </w:r>
    </w:p>
    <w:p>
      <w:pPr>
        <w:spacing w:after="0" w:line="170"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To protect the health and safety of our workforce, during the COVID-19 pandemic (the "Pandemic" or "COVID-19"), we shifted to a fully remote work-from-home environment prior to any jurisdiction’s mandate to do so. Based in part on employee survey results conducted after the onset of the Pandemic, in 2021, we commenced a gradual return to in-office work, with employees having the choice to work in the office subject to safety protocols or to continue working remotely. In 2022, we implemented a hybrid model through which employees are able to split hours between the office and remote work. We hold regular town hall meetings (typically quarterly) to ensure sufficient company-wide communication with our workforce in light of our hybrid working model.</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63"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executive offices are located at Two Bethesda Metro Center,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Bethesda, MD 20814 and our telephone number is (301) 968-9315.</w:t>
      </w:r>
    </w:p>
    <w:p>
      <w:pPr>
        <w:spacing w:after="0" w:line="113"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 xml:space="preserve">We make available our Annual Reports on Form 10-K, quarterly reports on Form 10-Q, current reports on Form 8-K and amendments to such reports as well as our Code of Ethics and Conduct on our internet website at </w:t>
      </w:r>
      <w:r>
        <w:rPr>
          <w:rFonts w:ascii="Arial" w:cs="Arial" w:eastAsia="Arial" w:hAnsi="Arial"/>
          <w:sz w:val="17"/>
          <w:szCs w:val="17"/>
          <w:u w:val="single" w:color="auto"/>
          <w:color w:val="auto"/>
        </w:rPr>
        <w:t>www.AGNC.com.</w:t>
      </w:r>
      <w:r>
        <w:rPr>
          <w:rFonts w:ascii="Arial" w:cs="Arial" w:eastAsia="Arial" w:hAnsi="Arial"/>
          <w:sz w:val="17"/>
          <w:szCs w:val="17"/>
          <w:color w:val="auto"/>
        </w:rPr>
        <w:t xml:space="preserve"> These reports are also available on the SEC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76"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spacing w:after="0" w:line="61" w:lineRule="exact"/>
        <w:rPr>
          <w:sz w:val="20"/>
          <w:szCs w:val="20"/>
          <w:color w:val="auto"/>
        </w:rPr>
      </w:pPr>
    </w:p>
    <w:p>
      <w:pPr>
        <w:ind w:left="620" w:hanging="223"/>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our investment and portfolio management activities;</w:t>
      </w:r>
    </w:p>
    <w:p>
      <w:pPr>
        <w:spacing w:after="0" w:line="25" w:lineRule="exact"/>
        <w:rPr>
          <w:rFonts w:ascii="Arial" w:cs="Arial" w:eastAsia="Arial" w:hAnsi="Arial"/>
          <w:sz w:val="17"/>
          <w:szCs w:val="17"/>
          <w:color w:val="auto"/>
        </w:rPr>
      </w:pPr>
    </w:p>
    <w:p>
      <w:pPr>
        <w:ind w:left="620" w:hanging="223"/>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our financing and hedging activities;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our business operations;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legislative and regulatory risks; and</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Investment and Portfolio Management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 is inherent to our business as a levered investor in Agency RMBS.</w:t>
      </w:r>
    </w:p>
    <w:p>
      <w:pPr>
        <w:spacing w:after="0" w:line="170"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When the market spread between the yield on our assets and the yield on benchmark interest rates linked to our interest rate hedges widens, our tangible net book value will typically decline. We refer to this as "spread risk". As a levered investor primarily in fixed-rate Agency RMBS, spread risk is an inherent component of our business. Although we use hedging instruments to attempt to protect against moves in interest rates, our hedges will typically not protect us against spread risk. Spreads may widen due to numerous factors, including due to actual or expected monetary policy actions by U.S. and foreign central banks, increased market volatility, a decline in market liquidity and changes in investor return requirements and sentiment.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Fed’s participation in the Agency mortgage market could have an adverse effect on our Agency RMBS investments.</w:t>
      </w:r>
    </w:p>
    <w:p>
      <w:pPr>
        <w:spacing w:after="0" w:line="1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The Federal Reserve (the "Fed") first used large-scale asset purchases of U.S. Treasury securities and Agency RMBS, known as quantitative easing, or QE, during the 2008-2009 global financial crisis in an attempt to stabilize financial markets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6"/>
          <w:szCs w:val="16"/>
          <w:color w:val="auto"/>
        </w:rPr>
        <w:t>and stimulate a sustained economic recovery. In its most recent QE round, resulting from the Covid-19 financial crisis, the Fed’s balance sheet more than doubled from $4.2 trillion in March 2020 to $8.9 trillion in May 2022, with its holdings of Agency RMBS increasing to nearly a third of all outstanding Agency RMBS, when it announced that it would begin to reduce its holdings over time by not reinvesting proceeds of principal repayments, subject to monthly caps.</w:t>
      </w:r>
    </w:p>
    <w:p>
      <w:pPr>
        <w:spacing w:after="0" w:line="101"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The Fed's participation in the Agency RMBS market can have a material impact on the mortgage market, altering the available supply, price and returns on Agency RMBS. Its involvement in the mortgage market can result in increased market volatility and amplify the effects of market related risks on our financial condition. Generally, when the Fed conducts large-scale asset purchases, Agency RMBS values increase and mortgage spreads tighten, benefiting our tangible net book value, while the return potential on new asset purchases typically declines. Conversely, actual or anticipated reductions of Fed asset purchases or its outright sale of assets, would generally be expected to result in a decline in asset values and wider mortgage spreads to benchmark interest rates, negatively impacting our tangible net book value, while the return potential on new asset purchases would typically increase.</w:t>
      </w:r>
    </w:p>
    <w:p>
      <w:pPr>
        <w:spacing w:after="0" w:line="114"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Although the Fed has stated its preference for a passive reduction of its balance sheet through mortgage prepayment activity, there is no guarantee that it will not conduct outright asset sales in the future. Assets sales, or a more rapid unwinding of its balance sheet than anticipated, could result in increased market volatility, reduced liquidity and an increase in Agency RMBS spreads to benchmark interest rates, causing a material decline in our tangible net book and negatively impacting our financial position.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active portfolio management strategy may expose us to greater losses and lower returns than compared to passive strategies.</w:t>
      </w:r>
    </w:p>
    <w:p>
      <w:pPr>
        <w:spacing w:after="0" w:line="157"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We employ an active management strategy; therefore, the composition of our investment portfolio, leverage ratio and hedge composition will vary as we believe changes to market conditions warrant. We may realize significant investment gains or losses when we sell investments that we no longer believe provide attractive risk-adjusted returns or when we believe more attractive alternatives are available. We may also be incorrect in our assessment of market conditions and select an investment portfolio, leverage levels and terms, and hedge composition that generate lower returns than a more static management strategy. Furthermore, because of our active strategy, investors may be unable to assess changes in our financial position solely by observing changes in the mortgage market.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decline in the fair value of our assets may adversely affect our financial condition and make it costlier to finance our assets.</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and could make it more difficult for us to maintain our compliance with the terms of our financing agreements, and it could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spacing w:after="0" w:line="132"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Asset values can decline for a variety of reasons. Since we primarily invest in long-term fixed rate securities, our investment portfolio is particularly sensitive to changes in longer-term interest rates. A decline in market liquidity can also have a significant impact on asset values and increase price volatility. Numerous factors can reduce market liquidity, including macro-economic conditions, market uncertainty, changes in investor sentiment resulting in redemptions from fixed income funds, a decline in global money flows into U.S. fixed income markets, and regulatory capital requirements that limit banks' and other financial institutions' ability to act as market makers. Fed monetary policy and the unwinding of its balance sheet could also have a negative impact on asset values and market liquidity, especially if the unwinding occurs more rapidly than anticipated.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prepayment rates may adversely affect the return on our investments.</w:t>
      </w:r>
    </w:p>
    <w:p>
      <w:pPr>
        <w:spacing w:after="0" w:line="170" w:lineRule="exact"/>
        <w:rPr>
          <w:sz w:val="20"/>
          <w:szCs w:val="20"/>
          <w:color w:val="auto"/>
        </w:rPr>
      </w:pPr>
    </w:p>
    <w:p>
      <w:pPr>
        <w:jc w:val="both"/>
        <w:ind w:firstLine="392"/>
        <w:spacing w:after="0" w:line="313" w:lineRule="auto"/>
        <w:rPr>
          <w:sz w:val="20"/>
          <w:szCs w:val="20"/>
          <w:color w:val="auto"/>
        </w:rPr>
      </w:pPr>
      <w:r>
        <w:rPr>
          <w:rFonts w:ascii="Arial" w:cs="Arial" w:eastAsia="Arial" w:hAnsi="Arial"/>
          <w:sz w:val="15"/>
          <w:szCs w:val="15"/>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0" w:name="page11"/>
    <w:bookmarkEnd w:id="10"/>
    <w:p>
      <w:pPr>
        <w:jc w:val="both"/>
        <w:ind w:firstLine="392"/>
        <w:spacing w:after="0" w:line="264"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2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To the extent that actual rates of prepayment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106"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 Other factors beyond interest rates also impact the rate of prepayments and may be difficult to predict, such as housing turnover, lending conditions and the availability of credit to homeowners, and GSE buyouts of delinquent loans from the underlying mortgage pool.</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analytical models and third-party data that we rely on to manage our portfolio and conduct our business objectives may be incorrect, misleading or incomplete.</w:t>
      </w:r>
    </w:p>
    <w:p>
      <w:pPr>
        <w:spacing w:after="0" w:line="10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10"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including any actual or anticipated shifts in Fed policy resulting from these events. Consequently, actual results could differ materially from our projections. Moreover, use of different models could result in materially different projections.</w:t>
      </w:r>
    </w:p>
    <w:p>
      <w:pPr>
        <w:spacing w:after="0" w:line="118"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2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Models may also include LIBOR as an input. Thus, the transition away from LIBOR may require changes to the models and/or impair the historical relationships patterned within these models as a result of less historical data than is currently available for LIBOR.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1" w:name="page12"/>
    <w:bookmarkEnd w:id="11"/>
    <w:p>
      <w:pPr>
        <w:jc w:val="both"/>
        <w:spacing w:after="0" w:line="288" w:lineRule="auto"/>
        <w:rPr>
          <w:sz w:val="20"/>
          <w:szCs w:val="20"/>
          <w:color w:val="auto"/>
        </w:rPr>
      </w:pPr>
      <w:r>
        <w:rPr>
          <w:rFonts w:ascii="Arial" w:cs="Arial" w:eastAsia="Arial" w:hAnsi="Arial"/>
          <w:sz w:val="17"/>
          <w:szCs w:val="17"/>
          <w:b w:val="1"/>
          <w:bCs w:val="1"/>
          <w:i w:val="1"/>
          <w:iCs w:val="1"/>
          <w:color w:val="auto"/>
        </w:rPr>
        <w:t>The fair value of our investments may not be readily determinable or may be materially different from the value that we ultimately realize upon their disposal.</w:t>
      </w:r>
    </w:p>
    <w:p>
      <w:pPr>
        <w:spacing w:after="0" w:line="106"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 xml:space="preserve">We measure the fair value of our investments in accordance with guidance set forth in Accounting Standards Codification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Fair value is only an estimate based on good faith judgment of the price at which an investment can be sold since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through a forced liquidation, the realized value may be less than the amount at which the asset is recorded, which would negatively affect our results of operations and financial condition.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0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1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27"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14" w:lineRule="exact"/>
        <w:rPr>
          <w:sz w:val="20"/>
          <w:szCs w:val="20"/>
          <w:color w:val="auto"/>
        </w:rPr>
      </w:pPr>
    </w:p>
    <w:p>
      <w:pPr>
        <w:jc w:val="both"/>
        <w:ind w:firstLine="392"/>
        <w:spacing w:after="0" w:line="304" w:lineRule="auto"/>
        <w:rPr>
          <w:sz w:val="20"/>
          <w:szCs w:val="20"/>
          <w:color w:val="auto"/>
        </w:rPr>
      </w:pPr>
      <w:r>
        <w:rPr>
          <w:rFonts w:ascii="Arial" w:cs="Arial" w:eastAsia="Arial" w:hAnsi="Arial"/>
          <w:sz w:val="15"/>
          <w:szCs w:val="15"/>
          <w:color w:val="auto"/>
        </w:rPr>
        <w:t>Commercial mortgage loans underlying CMBS are generally secured by multifamily or other commercial properties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numerous factors, such as: occupancy rates, tenant mix, success of tenant businesses, property management decisions, property location and condition, changes in economic or operating conditions and other factors.</w:t>
      </w:r>
    </w:p>
    <w:p>
      <w:pPr>
        <w:spacing w:after="0" w:line="101"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Geographic concentration of our assets can expose us to greater risk of default and loss. Repayments by borrowers and the market value of the related assets underlying our investments are affected by national as well as local and regional economic and other conditions. As a result, concentrations of investments tied to geographic regions increase the risk that adverse economic conditions or other developments affecting a region could increase the frequency and severity of losses on our investments. Additionally, assets in certain regional areas may be more susceptible to certain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Private mortgage insurance may not cover losses on loans referenced by our CRT securities and underlying our non-Agency RMBS.</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In certain instances, mortgage loans referenced by our CRT securities or underlying our non-Agency RMBS may have private mortgage insurance. However, this insurance may not cover some or all of our potential loss if a loan defaults. This may occur, for example, because it is frequently structured to absorb only a portion of the loss; the insurance provider rescinds or denies coverage; or the insurer's failure to satisfy its obligations under the insurance contract, whether due to breach of contract or to an insurer's insolvency.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credit spreads may adversely affect our profitability.</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A significant component of the fair value of CRT and non-Agency securities and other credit risk-oriented investments is attributable to the credit spread, or the difference between the value of the credit instrument and the value of a financial instrument with similar interest rate exposure, but with no credit risk, such as a U.S. Treasury note. Credit spreads can be highly volatile and may fluctuate due to changes in economic conditions, liquidity, investor demand and other factors. Credits spreads typically widen in times of increased market uncertainty or when economic conditions have or are expected to deteriorate. Credit spreads may also widen due to actual or anticipated rating downgrades on the securities or similar securities.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06" w:lineRule="exact"/>
        <w:rPr>
          <w:sz w:val="20"/>
          <w:szCs w:val="20"/>
          <w:color w:val="auto"/>
        </w:rPr>
      </w:pPr>
    </w:p>
    <w:p>
      <w:pPr>
        <w:jc w:val="both"/>
        <w:ind w:firstLine="392"/>
        <w:spacing w:after="0" w:line="299" w:lineRule="auto"/>
        <w:rPr>
          <w:sz w:val="20"/>
          <w:szCs w:val="20"/>
          <w:color w:val="auto"/>
        </w:rPr>
      </w:pPr>
      <w:r>
        <w:rPr>
          <w:rFonts w:ascii="Arial" w:cs="Arial" w:eastAsia="Arial" w:hAnsi="Arial"/>
          <w:sz w:val="15"/>
          <w:szCs w:val="15"/>
          <w:color w:val="auto"/>
        </w:rPr>
        <w:t>Our profitability depends on our ability to acquire our target assets at attractive prices. We may seek assets with specific attributes that affect their propensity for prepayment under certain market conditions or enable us to satisfy asset test requirements to maintain our REIT qualification status or exemption from regulation under the Investment Company Act (such as "whole pool" Agency RMBS). The supply of our target assets may be impacted by policies and procedures adopted by the GSEs, such as pooling practices, or their regulator, the FHFA, or actions by other governmental agencies. Housing finance reform measures may also impact the supply and availability of our target assets. Consequently, a sufficient supply of our target assets may not be available or available at attractive prices. We may also compete for these assets with a variety of other investors, including other REITs, specialty finance companies, public and private funds, government entities, banks, insurance companies and other financial institutions, who may have competitive advantages over us, such as a lower cost of funds and access to funding sources not available to us. If we are unable to acquire a sufficient supply of our target assets, we may be unable to achieve our investment objectives or to maintain our REIT qualification status or exemption from regulation under the Investment Company Act.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change our targeted investments, investment guidelines and other operational policies without stockholder consent.</w:t>
      </w:r>
    </w:p>
    <w:p>
      <w:pPr>
        <w:spacing w:after="0" w:line="170"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Financing and Hedging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involves the use of significant leverage, which increases the risk that we may incur substantial losses.</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expect our leverage to vary with market conditions and our assessment of the tradeoffs between risk and return on investments. We generally expect to maintain our leverage between six to twelve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and other market factors. Leverage also exposes us to the risk of margin calls and defaults under our funding agreements, which may result in forced sales of assets in adverse market conditions. The risks associated with leverage are more acute during volatile market environments and periods of reduced market liquidity. Because of our leverage, we may incur substantial losses.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We may be unable to procure or renew funding on favorable terms, or at all.</w:t>
      </w:r>
    </w:p>
    <w:p>
      <w:pPr>
        <w:spacing w:after="0" w:line="17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01" w:lineRule="exact"/>
        <w:rPr>
          <w:sz w:val="20"/>
          <w:szCs w:val="20"/>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disruptions in the repo market generally or the infrastructure that supports it;</w:t>
      </w:r>
    </w:p>
    <w:p>
      <w:pPr>
        <w:spacing w:after="0" w:line="25" w:lineRule="exact"/>
        <w:rPr>
          <w:rFonts w:ascii="Arial" w:cs="Arial" w:eastAsia="Arial" w:hAnsi="Arial"/>
          <w:sz w:val="17"/>
          <w:szCs w:val="17"/>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short-term interest rates;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decline in the market value of our investments available to collateralize borrowings;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the "haircut" lenders require on the value of our assets under repurchase agreements, resulting in higher collateral requirements;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regulatory capital requirements or other limitations imposed on our lenders that negatively impact their ability or willingness to lend to us;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exit by lenders from the market;</w:t>
      </w:r>
    </w:p>
    <w:p>
      <w:pPr>
        <w:spacing w:after="0" w:line="13"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circumstances that could result in our failure to satisfy covenants, leverage limits, or other requirements imposed by our lenders, in which case our lenders may terminate and cease entering into repurchase transactions with us; and</w:t>
      </w:r>
    </w:p>
    <w:p>
      <w:pPr>
        <w:spacing w:after="0" w:line="1" w:lineRule="exact"/>
        <w:rPr>
          <w:rFonts w:ascii="Arial" w:cs="Arial" w:eastAsia="Arial" w:hAnsi="Arial"/>
          <w:sz w:val="17"/>
          <w:szCs w:val="17"/>
          <w:color w:val="auto"/>
        </w:rPr>
      </w:pPr>
    </w:p>
    <w:p>
      <w:pPr>
        <w:ind w:left="640" w:hanging="243"/>
        <w:spacing w:after="0" w:line="273"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inability of our wholly-owned captive broker-dealer to continually meet FINRA and FICC regulatory and membership requirements, which may change over time.</w:t>
      </w:r>
    </w:p>
    <w:p>
      <w:pPr>
        <w:spacing w:after="0" w:line="118"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FICC continually assesses potential changes to rules governing the calculation of margin and minimum margin requirements. Increases in FICC margin requirements would have the effect of reducing our unencumbered assets and could potentially limit our ability to utilize tri-party repo funding accessed through the FICC's GCF Repo service, which represents a significant portion of our total borrowing capacity.</w:t>
      </w:r>
    </w:p>
    <w:p>
      <w:pPr>
        <w:spacing w:after="0" w:line="119"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borrowing costs may increase at a faster pace than the yield on our investments.</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106"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6"/>
          <w:szCs w:val="16"/>
          <w:color w:val="auto"/>
        </w:rPr>
        <w:t xml:space="preserve">We utilize TBA dollar roll transactions as an alternate means of investing in and financing Agency RMBS, which represent a form of off-balance sheet financing and increase our "at risk" leverage. It may become uneconomical for us to roll forward our TBA positions prior to their settlement dates due to market conditions, which can be impacted by a variety of factors including the Fed’s purchases and sales of Agency RMBS in the TBA market. TBA dollar roll transactions include a deferred purchase price obligation on our part. An inability or unwillingness to continue to roll forward our position has effects similar to a termination of financing. In that circumstance, we would be required to settle the obligations for cash and would then take physical delivery of the underlying Agency RMBS. We may not have sufficient funds or alternative financing sources available to settle such obligations. Additionally, if we take delivery of the underlying securities, we can expect to receive the "cheapest to deliver" securities with the least favorable prepayment attributes that satisfy the terms of the TBA contract. Further, the specific securities that we receive may include few, if any, “whole pool” securities, which could inhibit our ability to remain exempt from and regulation as an investment company under the Investment Company Act (see </w:t>
      </w:r>
      <w:r>
        <w:rPr>
          <w:rFonts w:ascii="Arial" w:cs="Arial" w:eastAsia="Arial" w:hAnsi="Arial"/>
          <w:sz w:val="16"/>
          <w:szCs w:val="16"/>
          <w:i w:val="1"/>
          <w:iCs w:val="1"/>
          <w:color w:val="auto"/>
        </w:rPr>
        <w:t>“Loss of our exemption from regulation pursuant to the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Act would adversely affect us” </w:t>
      </w:r>
      <w:r>
        <w:rPr>
          <w:rFonts w:ascii="Arial" w:cs="Arial" w:eastAsia="Arial" w:hAnsi="Arial"/>
          <w:sz w:val="16"/>
          <w:szCs w:val="16"/>
          <w:color w:val="auto"/>
        </w:rPr>
        <w:t>below). TBA contracts also subject us to margin requirements as described further below. Our inability to roll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our TBA positions or failure to obtain adequate financing to settle our obligations or to meet margin calls under our TBA contracts could force us to sell assets under adverse market conditions causing us to incur significant losses.</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funding and derivative agreements subject us to margin calls that could result in defaults and force us to sell assets under adverse market conditions or through foreclosure.</w:t>
      </w:r>
    </w:p>
    <w:p>
      <w:pPr>
        <w:spacing w:after="0" w:line="11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them from loss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6"/>
          <w:szCs w:val="16"/>
          <w:color w:val="auto"/>
        </w:rPr>
        <w:t>the event we default on our obligations. The requirement to meet margin calls can create liquidity risks. In the event of a margin call, we must generally provide additional collateral on the same business day. If we fail to meet the margin call, we would be 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lead to defaults, accelerations, or other adverse events under other agreements, as well. The threat or occurrence of margin calls or the accelerated settlement of our obligations under our agreements could force us to sell our investments under adverse market conditions and result in substantial losses.</w:t>
      </w:r>
    </w:p>
    <w:p>
      <w:pPr>
        <w:spacing w:after="0" w:line="114"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Additionally, faster rates of prepayment increase the magnitude of potential margin calls as there is a time lag between the effective date of the prepayment and when we receive the principal payment.</w:t>
      </w:r>
    </w:p>
    <w:p>
      <w:pPr>
        <w:spacing w:after="0" w:line="12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repurchase agreements and agreements governing certain derivative instruments may contain financial and nonfinancial covenants subjecting us to the risk of default.</w:t>
      </w:r>
    </w:p>
    <w:p>
      <w:pPr>
        <w:spacing w:after="0" w:line="106"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6"/>
          <w:szCs w:val="16"/>
          <w:color w:val="auto"/>
        </w:rPr>
        <w:t>Our bilateral repurchase agreements and certain derivative agreements require that we comply with certain financial and non-financial covenants. Our more restrictive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our agreements typically require, among other things, that we maintain our status as a publicly listed REIT and to be exempted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 as well.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under repurchase and derivative agreements in the event bankruptcy or insolvency may be limited.</w:t>
      </w:r>
    </w:p>
    <w:p>
      <w:pPr>
        <w:spacing w:after="0" w:line="170"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6"/>
          <w:szCs w:val="16"/>
          <w:color w:val="auto"/>
        </w:rPr>
        <w:t>In the event of our bankruptcy or insolvency, our repurchase agreements and hedging arrangements may qualify for special treatment under the U.S. Bankruptcy Code, the effect of which, among other things, would be to allow the counterparty under the applicable agreement to avoid the automatic stay provisions of the U.S. Bankruptcy Code and to foreclose on the collateral without delay. In the event of an insolvency or bankruptcy of one of our repurchase agreement or derivative counterparties, the counterparty may be permitted, under applicable insolvency laws, to repudiate the contract, and our claim against the counterparty for damages may be treated simply as an unsecured creditor. In addition, if the counterparty is a broker or dealer subject to the Securities Investor Protection Act of 1970, or an insured depository institution subject to the Federal Deposit Insurance Act, our ability to recover our assets under our agreements or to be compensated for any damages resulting from the counterparty's insolvency may be further limited by those statutes. Recoveries on these claims could be subject to significant delay and, if received, could be substantially less than the damages incurred.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funding and derivative agreement counterparties may not fulfill their obligations to us as and when due.</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5" w:name="page16"/>
    <w:bookmarkEnd w:id="15"/>
    <w:p>
      <w:pPr>
        <w:jc w:val="both"/>
        <w:ind w:firstLine="392"/>
        <w:spacing w:after="0" w:line="278" w:lineRule="auto"/>
        <w:rPr>
          <w:sz w:val="20"/>
          <w:szCs w:val="20"/>
          <w:color w:val="auto"/>
        </w:rPr>
      </w:pPr>
      <w:r>
        <w:rPr>
          <w:rFonts w:ascii="Arial" w:cs="Arial" w:eastAsia="Arial" w:hAnsi="Arial"/>
          <w:sz w:val="16"/>
          <w:szCs w:val="16"/>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hedging strategies may be ineffective.</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12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Our hedging strategies may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126" w:lineRule="exact"/>
        <w:rPr>
          <w:sz w:val="20"/>
          <w:szCs w:val="20"/>
          <w:color w:val="auto"/>
        </w:rPr>
      </w:pPr>
    </w:p>
    <w:p>
      <w:pPr>
        <w:ind w:left="620" w:hanging="223"/>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of interest rate hedges;</w:t>
      </w:r>
    </w:p>
    <w:p>
      <w:pPr>
        <w:spacing w:after="0" w:line="25" w:lineRule="exact"/>
        <w:rPr>
          <w:rFonts w:ascii="Arial" w:cs="Arial" w:eastAsia="Arial" w:hAnsi="Arial"/>
          <w:sz w:val="17"/>
          <w:szCs w:val="17"/>
          <w:color w:val="auto"/>
        </w:rPr>
      </w:pPr>
    </w:p>
    <w:p>
      <w:pPr>
        <w:ind w:left="620" w:hanging="223"/>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degree to which the interest rate hedge benchmark rate correlates to the interest rate risk being hedged;</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degree to which the duration of the hedge matches that of the related asset or liability, particularly as interest rates change;</w:t>
      </w:r>
    </w:p>
    <w:p>
      <w:pPr>
        <w:spacing w:after="0" w:line="13"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income that a REIT may earn from hedging transactions that do not satisfy certain requirements of the Internal Revenue Code or that are not done through a TRS; and</w:t>
      </w:r>
    </w:p>
    <w:p>
      <w:pPr>
        <w:spacing w:after="0" w:line="1" w:lineRule="exact"/>
        <w:rPr>
          <w:rFonts w:ascii="Arial" w:cs="Arial" w:eastAsia="Arial" w:hAnsi="Arial"/>
          <w:sz w:val="17"/>
          <w:szCs w:val="17"/>
          <w:color w:val="auto"/>
        </w:rPr>
      </w:pPr>
    </w:p>
    <w:p>
      <w:pPr>
        <w:ind w:left="640" w:hanging="243"/>
        <w:spacing w:after="0" w:line="273"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degree to which the value of our interest rate hedges changes relative to our assets as a result of fluctuations in interest rates, passage of time, or other factors.</w:t>
      </w:r>
    </w:p>
    <w:p>
      <w:pPr>
        <w:spacing w:after="0" w:line="118"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discontinuation of LIBOR could negatively impact the dividends we pay on our fixed-to-floating rate cumulative redeemable preferred stock and the value of our LIBOR-based financial instruments.</w:t>
      </w:r>
    </w:p>
    <w:p>
      <w:pPr>
        <w:spacing w:after="0" w:line="106"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5"/>
          <w:szCs w:val="15"/>
          <w:color w:val="auto"/>
        </w:rPr>
        <w:t>The stated dividend rate of each series of our outstanding fixed-to-floating rate cumulative redeemable preferred stock is indexed to three-month USD LIBOR following the applicable fixed rate period (“LIBOR Based Preferred Stock”). In addition, we also have certain investments that reference USD LIBOR (“LIBOR Based Investments”). The United Kingdom Financial Conduct Authority, or FCA, which regulates LIBOR, has announced that the USD LIBOR tenors relevant to us will cease to be published or will no longer be representative after June 30, 2023. The FCA's announcement coincided with the announcement of LIBOR's administrator, the ICE Benchmark Administration Limited, that it will cease publication of such LIBOR tenors immediately after the last publication on June 30, 2023 as a result of not having sufficient data necessary to calculate LIBOR on a representative basis after such date. These announcements mean that our LIBOR-based floating rate instruments outstanding beyond June 30, 2023 will need to be converted to alternative interest rates. Our LIBOR Based Preferred Stock and our LIBOR Based Investments typically contain various mechanisms to address circumstances where LIBOR becomes unavailable (so-called fallback language), but certain of these instruments do not contain fallback language specific to the permanent discontinuation of LIBOR. Holders of depositary shares of our LIBOR Based Preferred Stock should refer to the relevant prospectus for each series to understand the LIBOR-cessation provisions applicable to it.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6" w:name="page17"/>
    <w:bookmarkEnd w:id="16"/>
    <w:p>
      <w:pPr>
        <w:jc w:val="both"/>
        <w:ind w:firstLine="392"/>
        <w:spacing w:after="0" w:line="259" w:lineRule="auto"/>
        <w:rPr>
          <w:sz w:val="20"/>
          <w:szCs w:val="20"/>
          <w:color w:val="auto"/>
        </w:rPr>
      </w:pPr>
      <w:r>
        <w:rPr>
          <w:rFonts w:ascii="Arial" w:cs="Arial" w:eastAsia="Arial" w:hAnsi="Arial"/>
          <w:sz w:val="17"/>
          <w:szCs w:val="17"/>
          <w:color w:val="auto"/>
        </w:rPr>
        <w:t>In 2022, Congress enacted the Adjustable Interest Rate (LIBOR) Act (the “LIBOR Act”) to provide a uniform, nationwide solution for replacing references to LIBOR in LIBOR based floating rate instruments. The LIBOR Act and Federal Reserve rules promulgated pursuant to it create default rules that apply to fallback provisions of these instruments, and pursuant to the LIBOR Act, the Federal Reserve has adopted replacement benchmark rates for LIBOR contracts of various periods based on the Secured Overnight Financing Rate (“SOFR”) plus specified tenor spread adjustments (the “LIBOR Act Replacement Benchmark”). These default rules will vary among LIBOR based instruments depending on the type of fallback language in them. Generally, instruments with no fallback language or regulatorily insufficient fallback language must apply the LIBOR Act Replacement Benchmark after June 30, 2023 in lieu of any fallback process set forth in these instruments. Instruments that expressly identify a non-LIBOR based replacement benchmark will apply that replacement benchmark after June 30, 2023. Instruments that appoint an administrator to determine a benchmark replacement upon the cessation of LIBOR (other than by reference to LIBOR values (except as necessary to set a spread adjustment) or by conducting a poll or soliciting quotes for interbank lending rates) will apply a replacement benchmark selected by this administrator in accordance with the instrument for periods after June 30, 2023. However, for instruments with a replacement benchmark set by an administrator, the LIBOR Act encourages selection of the LIBOR Act Replacement Benchmark by providing liability protections and other benefits.</w:t>
      </w:r>
    </w:p>
    <w:p>
      <w:pPr>
        <w:spacing w:after="0" w:line="135"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There are significant differences between LIBOR and SOFR. LIBOR reflects the average rates at which major banks indicate they are willing to lend to one another on an unsecured basis for various terms. Conversely, SOFR is a broad-based measure of the cost of borrowing cash overnight, on a secured basis, in the U.S. Treasury-backed repurchase market. Switching existing financial instruments from LIBOR to SOFR requires calculations of a fixed spread to account for such differences, and this spread (including the spread included in the LIBOR Act Replacement Benchmark) may not favor all parties equally.</w:t>
      </w:r>
    </w:p>
    <w:p>
      <w:pPr>
        <w:spacing w:after="0" w:line="11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Each series of our LIBOR Based Preferred Stock that is currently outstanding becomes callable at the same time it begins to pay a LIBOR-based (or replacement benchmark) rate. At the later of the end of the fixed-rate term or the cessation of LIBOR, we may set the stated dividend rate in the manner as provided under the LIBOR Act and related regulations. Alternatively, at our option, we may call the shares of preferred stock. Application of these LIBOR fallback provisions (as affected by the LIBOR Act and related regulations) or calling series of preferred stock may result in our incurring a higher cost of capital or potentially selling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executive officers and other key personnel are critical to our success and the loss of any executive officer or key employee may materially adversely affect our business.</w:t>
      </w:r>
    </w:p>
    <w:p>
      <w:pPr>
        <w:spacing w:after="0" w:line="10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1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83"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Our business is highly dependent on communication and information systems. We are dependent on third-parties to maintain many of our systems and to support our increasing reliance on cloud-based services and other services essential to operating our business. A system failure or of a third-party provider to fulfill their obligations to us could significantly delay or prevent us from conducting critical operating activities. Furthermore, our reliance on information systems, including remote access to such systems, exposes us to risks of a cybersecurity incident occurring, such as computer malware, virus, hacking, denial of service and phishing attacks, which have become more prevalent in our industry. In addition to disrupting our operations, a cyber-attack or security breach could lead to unauthorized access to confidential information and the release, misuse, loss or destruction of such information, subjecting us to regulatory fines, remediation costs, reputational harm, financial loss, litigation and increased difficulty doing business with third-parties that may rely on us to meet their own data protection requirements.</w:t>
      </w:r>
    </w:p>
    <w:p>
      <w:pPr>
        <w:spacing w:after="0" w:line="129"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or our third-party providers have experienced an undetected breach or may in the future. It is difficult to determine what, if any, negative impact may directly result from any specific cyber-attack, security breach or other business interruption. We may also face increased costs as we and our providers continue to evolve cyber defenses to contend with changing risks. Additionally, the legal and regulatory environment surrounding information privacy and security in the U.S. and international jurisdictions is constantly evolving potentially leading to increased regulatory requirements. The cost associated with these risks are difficult to predict and quantify but could have a significant adverse effect on our operating results.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Risks Related to Our Taxation as a REIT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qualify as a REIT would have adverse tax consequences.</w:t>
      </w:r>
    </w:p>
    <w:p>
      <w:pPr>
        <w:spacing w:after="0" w:line="170"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5"/>
          <w:szCs w:val="15"/>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0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may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26"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If we fail to satisfy one or more requirements for REIT qualification, we may still qualify as a REIT if there is reasonable cause for the failure, it is not due to willful neglect, and we satisfy other requirements, including completion of applicable IRS filings. It is not possible to state whether we would be entitled to the benefit of these relief provisions. If these relief provisions were inapplicable, we would not qualify as a REIT. Furthermore, even if we satisfy the relief provisions and maintain our qualification as a REIT, we may be still subject to a penalty tax. The penalty tax for failure to satisfy an asset test would be the greater of $50,000 per failure or an amount equal to the net income generated by the assets that resulted in the failure multiplied by the highest U.S. federal corporate tax rate in effect at the time of the failure. The penalty tax for failure to satisfy one or both gross income tests would be an amount equal to 100% of the net profit on the gross income that resulted in the failure calculated in accordance with the Internal Revenue Code.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REIT distribution requirements could adversely affect our ability to execute our business plan.</w:t>
      </w:r>
    </w:p>
    <w:p>
      <w:pPr>
        <w:spacing w:after="0" w:line="170"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21"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14"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Our taxable income will typically differ from income prepared in accordance with GAAP due to temporary and permanent differences. For example, realized gains and losses on our hedging instruments, such as interest rate swaps, may be deferred for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6"/>
          <w:szCs w:val="16"/>
          <w:color w:val="auto"/>
        </w:rPr>
        <w:t>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choose to pay dividends in our own stock, in which case stockholders may be required to pay income taxes in excess of cash dividends received.</w:t>
      </w:r>
    </w:p>
    <w:p>
      <w:pPr>
        <w:spacing w:after="0" w:line="193"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may in the future distribute taxable dividends that are payable at least in part in shares of our common stock.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remain qualified as a REIT, we may face other tax liabilities that reduce our cash flow.</w:t>
      </w:r>
    </w:p>
    <w:p>
      <w:pPr>
        <w:spacing w:after="0" w:line="1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106" w:lineRule="exact"/>
        <w:rPr>
          <w:sz w:val="20"/>
          <w:szCs w:val="20"/>
          <w:color w:val="auto"/>
        </w:rPr>
      </w:pPr>
    </w:p>
    <w:p>
      <w:pPr>
        <w:ind w:left="620" w:hanging="22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Regular U.S. federal and state corporate income taxes on any undistributed taxable income, including undistributed net capital gains.</w:t>
      </w:r>
    </w:p>
    <w:p>
      <w:pPr>
        <w:spacing w:after="0" w:line="25"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non-deductible 4% excise tax if the actual amount distributed to our stockholders in a calendar year is less than a minimum amount specified under Federal tax laws.</w:t>
      </w:r>
    </w:p>
    <w:p>
      <w:pPr>
        <w:spacing w:after="0" w:line="1"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Corporate income taxes on the earnings of subsidiaries, to the extent that such subsidiaries are subchapter C corporations and are not qualified REIT subsidiaries or other disregarded entities for federal income tax purposes.</w:t>
      </w:r>
    </w:p>
    <w:p>
      <w:pPr>
        <w:spacing w:after="0" w:line="1" w:lineRule="exact"/>
        <w:rPr>
          <w:rFonts w:ascii="Arial" w:cs="Arial" w:eastAsia="Arial" w:hAnsi="Arial"/>
          <w:sz w:val="17"/>
          <w:szCs w:val="17"/>
          <w:color w:val="auto"/>
        </w:rPr>
      </w:pPr>
    </w:p>
    <w:p>
      <w:pPr>
        <w:ind w:left="620" w:hanging="22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100% tax on certain transactions between us and our TRSs that do not reflect arm's-length terms.</w:t>
      </w:r>
    </w:p>
    <w:p>
      <w:pPr>
        <w:spacing w:after="0" w:line="13" w:lineRule="exact"/>
        <w:rPr>
          <w:rFonts w:ascii="Arial" w:cs="Arial" w:eastAsia="Arial" w:hAnsi="Arial"/>
          <w:sz w:val="17"/>
          <w:szCs w:val="17"/>
          <w:color w:val="auto"/>
        </w:rPr>
      </w:pPr>
    </w:p>
    <w:p>
      <w:pPr>
        <w:jc w:val="both"/>
        <w:ind w:left="640" w:hanging="243"/>
        <w:spacing w:after="0" w:line="290" w:lineRule="auto"/>
        <w:tabs>
          <w:tab w:leader="none" w:pos="6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 w:lineRule="exact"/>
        <w:rPr>
          <w:rFonts w:ascii="Arial" w:cs="Arial" w:eastAsia="Arial" w:hAnsi="Arial"/>
          <w:sz w:val="15"/>
          <w:szCs w:val="15"/>
          <w:color w:val="auto"/>
        </w:rPr>
      </w:pPr>
    </w:p>
    <w:p>
      <w:pPr>
        <w:ind w:left="620" w:hanging="22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100% tax on net income and gains from "prohibited transactions."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Penalty taxes and other fines for failure to satisfy one or more requirements for REIT qualification.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REIT requirements may cause us to liquidate or forgo attractive investment opportunities.</w:t>
      </w:r>
    </w:p>
    <w:p>
      <w:pPr>
        <w:spacing w:after="0" w:line="170"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6"/>
          <w:szCs w:val="16"/>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 must liquidate our investments to repay our lenders or to satisfy other obligations, we may be unable to comply with these requirements, potentially jeopardizing our qualification as a REIT.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Complying with REIT requirements may limit our ability to hedge effectively and may cause us to incur tax liabilities.</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exists with respect to the treatment of our TBAs for purposes of the REIT asset and income tests.</w:t>
      </w:r>
    </w:p>
    <w:p>
      <w:pPr>
        <w:spacing w:after="0" w:line="170"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6"/>
          <w:szCs w:val="16"/>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Qualifying as a REIT involves highly technical and complex provisions of the Internal Revenue Code.</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tax on prohibited transactions could limit our ability to engage in certain transactions.</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2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15"/>
          <w:szCs w:val="15"/>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tax-exempt investors may be classified as unrelated business taxable income.</w:t>
      </w:r>
    </w:p>
    <w:p>
      <w:pPr>
        <w:spacing w:after="0" w:line="1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Legislative and Regulatory Risks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our exemption from regulation pursuant to the Investment Company Act would adversely affect us.</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23"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18"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Failure to satisfy regulatory requirements of our captive broker-dealer subsidiary could result in our inability to access tri-party repo funding through the FICC’s GCF Repo service and could be harmful to our business operations.</w:t>
      </w:r>
    </w:p>
    <w:p>
      <w:pPr>
        <w:spacing w:after="0" w:line="106"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BES is subject to ongoing membership and regulatory requirements as a member of the FICC and FINRA and as a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10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0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U.S. Government legislative and administrative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For example, the actual or anticipated actions or inaction on U.S. fiscal policy matters, including the U.S. dept ceiling, could result in a wide range of negative economic effects, including increased financial market and interest rate volatility and wider market spreads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7"/>
          <w:szCs w:val="17"/>
          <w:color w:val="auto"/>
        </w:rPr>
        <w:t>between mortgage assets and benchmark interest rates. Additionally, new regulatory requirements, including the imposition of more stringent capital rules, could adversely affect the availability or terms of financing from our lending counterparties, reduce market liquidity, restrict the origination of residential mortgage loans and the formation of new issuances of mortgage-backed securities and limit the trading activities of certain banking entities and other systemically significant organizations that are important to our business. Together or individually new regulatory requirements could materially affect our financial condition or results of operations in an adverse way.</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10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19"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In September 2008, Fannie Mae and Freddie Mac were placed into the conservatorship of the FHFA, their federal regulator.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the U.S. Government. During the final year of the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Since taking office, the Biden Administration and the FHFA have delayed implementation or reversed some of these initiatives and have taken steps intended to advance other housing finance policy objectives. However, the FHFA has taken steps to implement portions of the regulatory capital requirements, including by permitting the GSEs to charge fees that seek to offset related capital charges on certain Agency RMBS. These or future administrative actions may significantly impact the source, pricing, volume and nature of Agency RMBS and other mortgage securities that Fannie Mae and Freddie Mac issue.</w:t>
      </w:r>
    </w:p>
    <w:p>
      <w:pPr>
        <w:spacing w:after="0" w:line="117" w:lineRule="exact"/>
        <w:rPr>
          <w:sz w:val="20"/>
          <w:szCs w:val="20"/>
          <w:color w:val="auto"/>
        </w:rPr>
      </w:pPr>
    </w:p>
    <w:p>
      <w:pPr>
        <w:jc w:val="both"/>
        <w:ind w:firstLine="392"/>
        <w:spacing w:after="0" w:line="280" w:lineRule="auto"/>
        <w:rPr>
          <w:sz w:val="20"/>
          <w:szCs w:val="20"/>
          <w:color w:val="auto"/>
        </w:rPr>
      </w:pPr>
      <w:r>
        <w:rPr>
          <w:rFonts w:ascii="Arial" w:cs="Arial" w:eastAsia="Arial" w:hAnsi="Arial"/>
          <w:sz w:val="16"/>
          <w:szCs w:val="16"/>
          <w:color w:val="auto"/>
        </w:rPr>
        <w:t>Further administrative and/or legislative actions may be taken that affect structural GSE and federal housing finance reform, alter the amount or nature of the credit support provided by the U.S. Treasury to Fannie Mae and Freddie Mac, modify the future roles of Fannie Mae and Freddie Mac in housing finance or otherwise impact the value or relative fungibility of Agency RMBS issued by each GSE. Such actions may create market uncertainty, may have the effect of reducing the actual or perceived credit quality of securities issued or guaranteed by them or may otherwise impact the size and scope of the Agency RMBS markets. To the extent such actions would terminate the conservatorships without also providing for a sufficiently robust U.S. government guaranty, they could re-define what constitutes an Agency security and subject Agency RMBS to Fannie Mae or Freddie Mac credit risk, make them more difficult to finance, and cause their values to decline, all of which could have broad adverse implications for the mortgage markets and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and trading volume of our common stock may be volatile.</w:t>
      </w:r>
    </w:p>
    <w:p>
      <w:pPr>
        <w:spacing w:after="0" w:line="170"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14" w:lineRule="exact"/>
        <w:rPr>
          <w:sz w:val="20"/>
          <w:szCs w:val="20"/>
          <w:color w:val="auto"/>
        </w:rPr>
      </w:pPr>
    </w:p>
    <w:p>
      <w:pPr>
        <w:ind w:left="620" w:hanging="22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market and economic conditions, including actual and anticipated changes in interest rates and mortgage spreads;</w:t>
      </w:r>
    </w:p>
    <w:p>
      <w:pPr>
        <w:spacing w:after="0" w:line="25"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government policy, rules and regulations applicable to mortgage REITs, including tax laws, financial accounting and reporting standards, and exemptions from the Investment Company Act of 1940, as amended;</w:t>
      </w:r>
    </w:p>
    <w:p>
      <w:pPr>
        <w:spacing w:after="0" w:line="1" w:lineRule="exact"/>
        <w:rPr>
          <w:rFonts w:ascii="Arial" w:cs="Arial" w:eastAsia="Arial" w:hAnsi="Arial"/>
          <w:sz w:val="17"/>
          <w:szCs w:val="17"/>
          <w:color w:val="auto"/>
        </w:rPr>
      </w:pPr>
    </w:p>
    <w:p>
      <w:pPr>
        <w:ind w:left="620" w:hanging="22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 as well as relative to levels expected by securities analysts;</w:t>
      </w:r>
    </w:p>
    <w:p>
      <w:pPr>
        <w:spacing w:after="0" w:line="13" w:lineRule="exact"/>
        <w:rPr>
          <w:rFonts w:ascii="Arial" w:cs="Arial" w:eastAsia="Arial" w:hAnsi="Arial"/>
          <w:sz w:val="17"/>
          <w:szCs w:val="17"/>
          <w:color w:val="auto"/>
        </w:rPr>
      </w:pPr>
    </w:p>
    <w:p>
      <w:pPr>
        <w:ind w:left="640" w:hanging="243"/>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issuance of shares of common stock or securities convertible into common stock, which may be issued at a price below tangible net book value per share of common stock;</w:t>
      </w:r>
    </w:p>
    <w:p>
      <w:pPr>
        <w:spacing w:after="0" w:line="1" w:lineRule="exact"/>
        <w:rPr>
          <w:rFonts w:ascii="Arial" w:cs="Arial" w:eastAsia="Arial" w:hAnsi="Arial"/>
          <w:sz w:val="17"/>
          <w:szCs w:val="17"/>
          <w:color w:val="auto"/>
        </w:rPr>
      </w:pPr>
    </w:p>
    <w:p>
      <w:pPr>
        <w:ind w:left="620" w:hanging="22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market reaction to any increased indebtedness we incur in the future or issuance of preferred stock senior in priority to our common stock;</w:t>
      </w:r>
    </w:p>
    <w:p>
      <w:pPr>
        <w:spacing w:after="0" w:line="25" w:lineRule="exact"/>
        <w:rPr>
          <w:rFonts w:ascii="Arial" w:cs="Arial" w:eastAsia="Arial" w:hAnsi="Arial"/>
          <w:sz w:val="16"/>
          <w:szCs w:val="16"/>
          <w:color w:val="auto"/>
        </w:rPr>
      </w:pPr>
    </w:p>
    <w:p>
      <w:pPr>
        <w:ind w:left="620" w:hanging="22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actions by stockholders, individually or collectively;</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2" w:name="page23"/>
    <w:bookmarkEnd w:id="22"/>
    <w:p>
      <w:pPr>
        <w:ind w:left="620" w:hanging="223"/>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25" w:lineRule="exact"/>
        <w:rPr>
          <w:rFonts w:ascii="Arial" w:cs="Arial" w:eastAsia="Arial" w:hAnsi="Arial"/>
          <w:sz w:val="17"/>
          <w:szCs w:val="17"/>
          <w:color w:val="auto"/>
        </w:rPr>
      </w:pPr>
    </w:p>
    <w:p>
      <w:pPr>
        <w:ind w:left="620" w:hanging="223"/>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changes in our dividend policy; and</w:t>
      </w:r>
    </w:p>
    <w:p>
      <w:pPr>
        <w:spacing w:after="0" w:line="13" w:lineRule="exact"/>
        <w:rPr>
          <w:rFonts w:ascii="Arial" w:cs="Arial" w:eastAsia="Arial" w:hAnsi="Arial"/>
          <w:sz w:val="17"/>
          <w:szCs w:val="17"/>
          <w:color w:val="auto"/>
        </w:rPr>
      </w:pPr>
    </w:p>
    <w:p>
      <w:pPr>
        <w:ind w:left="620" w:hanging="223"/>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to our targeted investments or investment guidelines.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established a minimum dividend payment level and may be unable to pay dividends in the future.</w:t>
      </w:r>
    </w:p>
    <w:p>
      <w:pPr>
        <w:spacing w:after="0" w:line="170"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of Directors may change our dividend policy.</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106"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16"/>
          <w:szCs w:val="16"/>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of Directors.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24"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3" w:name="page24"/>
    <w:bookmarkEnd w:id="23"/>
    <w:p>
      <w:pPr>
        <w:ind w:left="5280"/>
        <w:spacing w:after="0"/>
        <w:rPr>
          <w:sz w:val="20"/>
          <w:szCs w:val="20"/>
          <w:color w:val="auto"/>
        </w:rPr>
      </w:pPr>
      <w:r>
        <w:rPr>
          <w:rFonts w:ascii="Arial" w:cs="Arial" w:eastAsia="Arial" w:hAnsi="Arial"/>
          <w:sz w:val="17"/>
          <w:szCs w:val="17"/>
          <w:b w:val="1"/>
          <w:bCs w:val="1"/>
          <w:color w:val="auto"/>
        </w:rPr>
        <w:t>PART II.</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7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common stock is listed on the Nasdaq Global Select Market under the symbol "AGNC." As of February 9, 2023, 574,656,885 shares of common stock were issued and outstanding, which were held by 1,457 stockholders of record. Most of the shares of our common stock are held by brokers and other institutions on behalf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6"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2022.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76" w:lineRule="exact"/>
        <w:rPr>
          <w:sz w:val="20"/>
          <w:szCs w:val="20"/>
          <w:color w:val="auto"/>
        </w:rPr>
      </w:pPr>
    </w:p>
    <w:p>
      <w:pPr>
        <w:jc w:val="both"/>
        <w:ind w:firstLine="438"/>
        <w:spacing w:after="0" w:line="272" w:lineRule="auto"/>
        <w:rPr>
          <w:sz w:val="20"/>
          <w:szCs w:val="20"/>
          <w:color w:val="auto"/>
        </w:rPr>
      </w:pPr>
      <w:r>
        <w:rPr>
          <w:rFonts w:ascii="Arial" w:cs="Arial" w:eastAsia="Arial" w:hAnsi="Arial"/>
          <w:sz w:val="17"/>
          <w:szCs w:val="17"/>
          <w:color w:val="auto"/>
        </w:rPr>
        <w:t>The following table summarizes information, as of December 31, 2022,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 securities to be</w:t>
            </w:r>
          </w:p>
        </w:tc>
        <w:tc>
          <w:tcPr>
            <w:tcW w:w="12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 remaining</w:t>
            </w: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tcPr>
          <w:p>
            <w:pPr>
              <w:jc w:val="center"/>
              <w:ind w:right="160"/>
              <w:spacing w:after="0" w:line="131" w:lineRule="exact"/>
              <w:rPr>
                <w:sz w:val="20"/>
                <w:szCs w:val="20"/>
                <w:color w:val="auto"/>
              </w:rPr>
            </w:pPr>
            <w:r>
              <w:rPr>
                <w:rFonts w:ascii="Arial" w:cs="Arial" w:eastAsia="Arial" w:hAnsi="Arial"/>
                <w:sz w:val="14"/>
                <w:szCs w:val="14"/>
                <w:b w:val="1"/>
                <w:bCs w:val="1"/>
                <w:color w:val="auto"/>
                <w:w w:val="85"/>
              </w:rPr>
              <w:t>issued upon exercise of</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available for future issuance under</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outstanding options,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86"/>
              </w:rPr>
              <w:t>exercise price of</w:t>
            </w:r>
          </w:p>
        </w:tc>
        <w:tc>
          <w:tcPr>
            <w:tcW w:w="21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44"/>
        </w:trPr>
        <w:tc>
          <w:tcPr>
            <w:tcW w:w="550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2"/>
              </w:rPr>
              <w:t>warrants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86"/>
              </w:rPr>
              <w:t>outstanding options,</w:t>
            </w:r>
          </w:p>
        </w:tc>
        <w:tc>
          <w:tcPr>
            <w:tcW w:w="21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(excluding securities reflected in</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and rights </w:t>
            </w:r>
            <w:r>
              <w:rPr>
                <w:rFonts w:ascii="Arial" w:cs="Arial" w:eastAsia="Arial" w:hAnsi="Arial"/>
                <w:sz w:val="9"/>
                <w:szCs w:val="9"/>
                <w:b w:val="1"/>
                <w:bCs w:val="1"/>
                <w:color w:val="auto"/>
                <w:w w:val="88"/>
              </w:rPr>
              <w:t>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2"/>
              </w:rPr>
              <w:t>warrants and rights</w:t>
            </w:r>
          </w:p>
        </w:tc>
        <w:tc>
          <w:tcPr>
            <w:tcW w:w="16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the first column of this table)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6,857,762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447"/>
              <w:spacing w:after="0"/>
              <w:rPr>
                <w:sz w:val="20"/>
                <w:szCs w:val="20"/>
                <w:color w:val="auto"/>
              </w:rPr>
            </w:pPr>
            <w:r>
              <w:rPr>
                <w:rFonts w:ascii="Arial" w:cs="Arial" w:eastAsia="Arial" w:hAnsi="Arial"/>
                <w:sz w:val="16"/>
                <w:szCs w:val="16"/>
                <w:color w:val="auto"/>
              </w:rPr>
              <w:t>31,305,228</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6,857,762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627"/>
              <w:spacing w:after="0"/>
              <w:rPr>
                <w:sz w:val="20"/>
                <w:szCs w:val="20"/>
                <w:color w:val="auto"/>
              </w:rPr>
            </w:pPr>
            <w:r>
              <w:rPr>
                <w:rFonts w:ascii="Arial" w:cs="Arial" w:eastAsia="Arial" w:hAnsi="Arial"/>
                <w:sz w:val="16"/>
                <w:szCs w:val="16"/>
                <w:color w:val="auto"/>
              </w:rPr>
              <w:t>31,305,228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0"/>
                <w:szCs w:val="10"/>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40" w:hanging="322"/>
        <w:spacing w:after="0" w:line="294" w:lineRule="auto"/>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2022.</w:t>
      </w:r>
    </w:p>
    <w:p>
      <w:pPr>
        <w:ind w:left="640" w:hanging="322"/>
        <w:spacing w:after="0" w:line="247"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following graph and table compare a stockholder's cumulative total return, assuming $100 invested at December 31, 2017, with the reinvestment of all dividends, as if such amounts had been invested in: (i) our common stock; (ii) the stocks included in the Standard &amp; Poor's 500 Stock Index ("S&amp;P 500"); and (iii) the stocks included in the Bloomberg Mortgage REIT Index.</w:t>
      </w:r>
    </w:p>
    <w:p>
      <w:pPr>
        <w:spacing w:after="0" w:line="11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We have discontinued the use of a supplemental peer index, that was composed of Annaly Capital Management, Inc., Armour Residential REIT, Inc, Two Harbors Investment Corp., Invesco Mortgage Capital, Inc and Dynex Capital, Inc (collectively, the "Agency REIT Peer Group"). These issuers are also included in the Bloomberg Mortgage REIT Index, our selected industry index, and the later provides a more comprehensive mortgage REIT performance metric. Additionally, because of the small number of issuers in the Agency REIT Peer Group and because it was market cap weighted, the index was skewed to the performance of a single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661670</wp:posOffset>
            </wp:positionV>
            <wp:extent cx="4979035" cy="3900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9790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400"/>
        <w:spacing w:after="0"/>
        <w:tabs>
          <w:tab w:leader="none" w:pos="600" w:val="left"/>
        </w:tabs>
        <w:rPr>
          <w:sz w:val="20"/>
          <w:szCs w:val="20"/>
          <w:color w:val="auto"/>
        </w:rPr>
      </w:pPr>
      <w:r>
        <w:rPr>
          <w:rFonts w:ascii="Arial" w:cs="Arial" w:eastAsia="Arial" w:hAnsi="Arial"/>
          <w:sz w:val="14"/>
          <w:szCs w:val="14"/>
          <w:color w:val="auto"/>
        </w:rPr>
        <w:t>*</w:t>
        <w:tab/>
        <w:t>$100 invested on 12/31/17 in stock or index, including reinvestment of dividends.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ind w:left="640"/>
              <w:spacing w:after="0"/>
              <w:rPr>
                <w:sz w:val="20"/>
                <w:szCs w:val="20"/>
                <w:color w:val="auto"/>
              </w:rPr>
            </w:pPr>
            <w:r>
              <w:rPr>
                <w:rFonts w:ascii="Arial" w:cs="Arial" w:eastAsia="Arial" w:hAnsi="Arial"/>
                <w:sz w:val="14"/>
                <w:szCs w:val="14"/>
                <w:color w:val="auto"/>
              </w:rPr>
              <w:t>Fiscal year ending 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36"/>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6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r>
      <w:tr>
        <w:trPr>
          <w:trHeight w:val="19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AGNC Investment Corp.</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97.49</w:t>
            </w:r>
          </w:p>
        </w:tc>
      </w:tr>
      <w:tr>
        <w:trPr>
          <w:trHeight w:val="187"/>
        </w:trPr>
        <w:tc>
          <w:tcPr>
            <w:tcW w:w="606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156.88</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191.58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148.85</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125.72</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95.62</w:t>
            </w:r>
          </w:p>
        </w:tc>
      </w:tr>
      <w:tr>
        <w:trPr>
          <w:trHeight w:val="20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Bloomberg Mortgage REITs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r>
    </w:tbl>
    <w:p>
      <w:pPr>
        <w:spacing w:after="0" w:line="314" w:lineRule="exact"/>
        <w:rPr>
          <w:sz w:val="20"/>
          <w:szCs w:val="20"/>
          <w:color w:val="auto"/>
        </w:rPr>
      </w:pPr>
    </w:p>
    <w:p>
      <w:pPr>
        <w:jc w:val="both"/>
        <w:ind w:firstLine="502"/>
        <w:spacing w:after="0" w:line="272" w:lineRule="auto"/>
        <w:rPr>
          <w:sz w:val="20"/>
          <w:szCs w:val="20"/>
          <w:color w:val="auto"/>
        </w:rPr>
      </w:pPr>
      <w:r>
        <w:rPr>
          <w:rFonts w:ascii="Arial" w:cs="Arial" w:eastAsia="Arial" w:hAnsi="Arial"/>
          <w:sz w:val="17"/>
          <w:szCs w:val="17"/>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6"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spacing w:after="0" w:line="36" w:lineRule="exact"/>
        <w:rPr>
          <w:sz w:val="20"/>
          <w:szCs w:val="20"/>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Executive Overview</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Condition</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Summary of Critical Accounting Estimates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7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27"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3"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Recent Market Impacts</w:t>
      </w:r>
    </w:p>
    <w:p>
      <w:pPr>
        <w:spacing w:after="0" w:line="176"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Financial markets experienced broad-based weakness in 2022. Persistently high inflation, coupled with macroeconomic and monetary policy uncertainty, led to a sharp decline in investor sentiment and a significant repricing in the fixed income markets. Interest rates across the yield curve moved materially higher, as the Federal Reserve (the "Fed") raised the Federal Funds rate 425 basis points, and the yield on the 10-year U.S. Treasury security increased nearly 250 basis points for the year, resulting in the worst annual total return for these bonds in decades. The sharp increase in U.S. Treasury yields drove mortgage rates to their highest level in twenty years, and, similar to the 10-year U.S. Treasury, the total return for the unlevered Bloomberg U.S. MBS Index, which tracks the performance of fixed-rate Agency RMBS, was -12% for the year, its worst annual performance since the Index's inception in 1976.</w:t>
      </w:r>
    </w:p>
    <w:p>
      <w:pPr>
        <w:spacing w:after="0" w:line="114"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Agency RMBS often initially underperform other fixed income products during significant market downturns. Investors typically sell Agency RMBS holdings prior to other less liquid fixed income asset classes to meet cash needs and redemption obligations during market disruptions and liquidity events. This dynamic caused Agency RMBS to significantly underperform interest rate hedges and other fixed income assets during the year. As a result, Agency RMBS spreads to benchmark interest rates across the coupon stack reached historically wide levels.</w:t>
      </w:r>
    </w:p>
    <w:p>
      <w:pPr>
        <w:spacing w:after="0" w:line="12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This spread widening was the primary driver of AGNC’s total comprehensive income (loss) per diluted common share of $(4.22) for fiscal year 2022, compared to $0.44 for fiscal year 2021, and economic return (loss) on tangible net book value per common share of (28.4)% for fiscal year 2022, compared to 2.9% for fiscal year 2021, comprised of dividends declared per common share and the decline in our tangible net book value per common share. Net spread and dollar roll income, excluding "catch-up" amortization, (a non-GAAP measure) per diluted common share was $3.11 for fiscal year 2022, compared to $3.02 for fiscal year 2021, as higher asset yields and our pay-fixed/receive-variable interest rate swap portfolio offset rising repo funding costs and moderating TBA dollar roll income during the year.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6" w:name="page27"/>
    <w:bookmarkEnd w:id="26"/>
    <w:p>
      <w:pPr>
        <w:jc w:val="both"/>
        <w:ind w:firstLine="392"/>
        <w:spacing w:after="0" w:line="280" w:lineRule="auto"/>
        <w:rPr>
          <w:sz w:val="20"/>
          <w:szCs w:val="20"/>
          <w:color w:val="auto"/>
        </w:rPr>
      </w:pPr>
      <w:r>
        <w:rPr>
          <w:rFonts w:ascii="Arial" w:cs="Arial" w:eastAsia="Arial" w:hAnsi="Arial"/>
          <w:sz w:val="16"/>
          <w:szCs w:val="16"/>
          <w:color w:val="auto"/>
        </w:rPr>
        <w:t>Given the challenging market conditions, we prioritized risk management throughout 2022, characterized by a large interest rate hedge position and lower leverage relative to historical levels. For the year, our interest rate hedge ratio averaged approximately 118% of our Agency repurchase agreements and net TBA position. Our average "at risk" leverage ratio for the year was 7.8x our tangible stockholders' equity and, despite the decline in our stockholders' equity, was only slightly higher than 7.7x for fiscal year 2021, due to the combination of asset sales, portfolio runoff and capital markets transactions. As of December 31, 2022, our interest rate hedge ratio was 124% of our funding liabilities and our "at risk" leverage ratio was 7.4x tangible equity. Our liquidity position remained within normal operating levels during the year as a percentage of our stockholders' equity. As of December 31, 2022, our unencumbered cash and Agency RMBS totaled $4.3 billion, or 59% of our tangible stockholders' equity, and unencumbered credit securities totaled $100 million.</w:t>
      </w:r>
    </w:p>
    <w:p>
      <w:pPr>
        <w:spacing w:after="0" w:line="11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6"/>
          <w:szCs w:val="16"/>
          <w:color w:val="auto"/>
        </w:rPr>
        <w:t>While 2022 was a difficult year for investors in all asset classes, the challenging conditions in the fixed income markets peaked in September and October 2022 when monetary policy and macro-economic uncertainty was at its highest point. A positive shift in market sentiment began to take hold in November 2022, which we believe marked the beginning of the recovery of the Agency RMBS market. Although market shifts typically evolve over time and are not linear, we believe that the longer-term outlook for Agency RMBS has improved substantially. Our favorable outlook is based on several positive dynamics. First, we expect Agency RMBS spreads to benchmark interest rates to remain wider than historical standards as the Fed’s outsized ownership of Agency RMBS gradually diminishes. Second, we expect the demand for Agency RMBS to outpace supply, even without Fed asset purchases. Higher interest rates and a slower housing market will likely limit the supply of new mortgages, while lower refinance activity should limit runoff of the Fed’s portfolio. Third, we expect that interest rate volatility will decline as the Fed slows the pace of interest rate hikes and the tightening of monetary conditions reaches an inflection point. Collectively, these factors create a favorable macroeconomic backdrop for Agency RMBS investors and could prove durable over the intermediate to long-term. We believe AGNC is well-positioned with our tangible net book value "at risk" leverage at the lower end of our historical operating range and a conservative hedge profile to take advantage of favorable investment opportunities as they arise.</w:t>
      </w:r>
    </w:p>
    <w:p>
      <w:pPr>
        <w:spacing w:after="0" w:line="121"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this form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benchmark interest rates and prices of generic fixed rate Agency RMBS as of each date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2022</w:t>
            </w:r>
          </w:p>
        </w:tc>
        <w:tc>
          <w:tcPr>
            <w:tcW w:w="0" w:type="dxa"/>
            <w:vAlign w:val="bottom"/>
          </w:tcPr>
          <w:p>
            <w:pPr>
              <w:spacing w:after="0"/>
              <w:rPr>
                <w:sz w:val="1"/>
                <w:szCs w:val="1"/>
                <w:color w:val="auto"/>
              </w:rPr>
            </w:pPr>
          </w:p>
        </w:tc>
      </w:tr>
      <w:tr>
        <w:trPr>
          <w:trHeight w:val="140"/>
        </w:trPr>
        <w:tc>
          <w:tcPr>
            <w:tcW w:w="54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0"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2021</w:t>
            </w:r>
          </w:p>
        </w:tc>
        <w:tc>
          <w:tcPr>
            <w:tcW w:w="0" w:type="dxa"/>
            <w:vAlign w:val="bottom"/>
          </w:tcPr>
          <w:p>
            <w:pPr>
              <w:spacing w:after="0"/>
              <w:rPr>
                <w:sz w:val="1"/>
                <w:szCs w:val="1"/>
                <w:color w:val="auto"/>
              </w:rPr>
            </w:pPr>
          </w:p>
        </w:tc>
      </w:tr>
      <w:tr>
        <w:trPr>
          <w:trHeight w:val="189"/>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0.50%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1.75%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4.50%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+425</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0.29%</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4.30%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+425</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2.28%</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2.99%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2.13%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2.81%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3.56%</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+224</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0.73%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2.46%</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3.04%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4.01%</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+275</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2.45%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3.19%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3.97%</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+207</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$99.79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$92.84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$86.96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$80.91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$81.69</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-$18.10</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$102.12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$95.45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$90.09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$83.94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$84.96</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-$17.16</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$103.68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$97.86</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$93.27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$86.97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$88.02</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-$15.66</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$100.21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$96.29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$89.95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$91.10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-$14.22</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$106.44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$102.10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$98.74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$92.73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$94.03</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-$12.41</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$107.19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$100.51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$95.21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$96.59</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-$10.60</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$109.22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$102.17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$97.39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$98.80</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-$10.42</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$111.77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$99.46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$100.47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-$11.30</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$109.25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$106.56</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$104.63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$101.61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$101.69</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0"/>
              </w:rPr>
              <w:t>-$7.56</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$100.33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$94.81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$91.16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$85.61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$86.84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-$13.49</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$102.45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$97.11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$93.52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$88.06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$89.28</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-$13.17</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$103.45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$98.83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$95.70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$90.50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$91.80</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-$11.65</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$104.59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$100.70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$97.82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$92.89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$93.85</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-$10.74</w:t>
            </w:r>
          </w:p>
        </w:tc>
        <w:tc>
          <w:tcPr>
            <w:tcW w:w="0" w:type="dxa"/>
            <w:vAlign w:val="bottom"/>
          </w:tcPr>
          <w:p>
            <w:pPr>
              <w:spacing w:after="0"/>
              <w:rPr>
                <w:sz w:val="1"/>
                <w:szCs w:val="1"/>
                <w:color w:val="auto"/>
              </w:rPr>
            </w:pPr>
          </w:p>
        </w:tc>
      </w:tr>
      <w:tr>
        <w:trPr>
          <w:trHeight w:val="187"/>
        </w:trPr>
        <w:tc>
          <w:tcPr>
            <w:tcW w:w="530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$105.52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$101.97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$99.52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$94.49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$95.93</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0"/>
              </w:rPr>
              <w:t>-$9.59</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$105.47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$96.43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$97.75</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-$7.72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p>
    <w:p>
      <w:pPr>
        <w:ind w:left="640" w:hanging="322"/>
        <w:spacing w:after="0" w:line="259"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7"/>
          <w:szCs w:val="17"/>
          <w:color w:val="auto"/>
        </w:rPr>
        <w:t>The following table summarizes mortgage and credit spreads as of each date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2022</w:t>
            </w:r>
          </w:p>
        </w:tc>
        <w:tc>
          <w:tcPr>
            <w:tcW w:w="0" w:type="dxa"/>
            <w:vAlign w:val="bottom"/>
          </w:tcPr>
          <w:p>
            <w:pPr>
              <w:spacing w:after="0"/>
              <w:rPr>
                <w:sz w:val="1"/>
                <w:szCs w:val="1"/>
                <w:color w:val="auto"/>
              </w:rPr>
            </w:pPr>
          </w:p>
        </w:tc>
      </w:tr>
      <w:tr>
        <w:trPr>
          <w:trHeight w:val="140"/>
        </w:trPr>
        <w:tc>
          <w:tcPr>
            <w:tcW w:w="54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0"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1"/>
        </w:trPr>
        <w:tc>
          <w:tcPr>
            <w:tcW w:w="546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2021</w:t>
            </w:r>
          </w:p>
        </w:tc>
        <w:tc>
          <w:tcPr>
            <w:tcW w:w="0" w:type="dxa"/>
            <w:vAlign w:val="bottom"/>
          </w:tcPr>
          <w:p>
            <w:pPr>
              <w:spacing w:after="0"/>
              <w:rPr>
                <w:sz w:val="1"/>
                <w:szCs w:val="1"/>
                <w:color w:val="auto"/>
              </w:rPr>
            </w:pPr>
          </w:p>
        </w:tc>
      </w:tr>
      <w:tr>
        <w:trPr>
          <w:trHeight w:val="194"/>
        </w:trPr>
        <w:tc>
          <w:tcPr>
            <w:tcW w:w="53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4"/>
                <w:szCs w:val="14"/>
                <w:b w:val="1"/>
                <w:bCs w:val="1"/>
                <w:color w:val="auto"/>
              </w:rPr>
              <w:t xml:space="preserve">Mortgage Rate: </w:t>
            </w:r>
            <w:r>
              <w:rPr>
                <w:rFonts w:ascii="Arial" w:cs="Arial" w:eastAsia="Arial" w:hAnsi="Arial"/>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30-Year Agency Current Coupon Yield to 5-Year U.S. Treasury Spread</w:t>
            </w:r>
          </w:p>
        </w:tc>
        <w:tc>
          <w:tcPr>
            <w:tcW w:w="760" w:type="dxa"/>
            <w:vAlign w:val="bottom"/>
          </w:tcPr>
          <w:p>
            <w:pPr>
              <w:jc w:val="center"/>
              <w:spacing w:after="0"/>
              <w:rPr>
                <w:sz w:val="20"/>
                <w:szCs w:val="20"/>
                <w:color w:val="auto"/>
              </w:rPr>
            </w:pPr>
            <w:r>
              <w:rPr>
                <w:rFonts w:ascii="Arial" w:cs="Arial" w:eastAsia="Arial" w:hAnsi="Arial"/>
                <w:sz w:val="14"/>
                <w:szCs w:val="14"/>
                <w:color w:val="auto"/>
                <w:w w:val="76"/>
              </w:rPr>
              <w:t>81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134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159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138</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2"/>
              </w:rPr>
              <w:t>+57</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5.68%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5.39%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30-Year Mortgage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5.83%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7.06%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6.66%</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 xml:space="preserve">Credit Spread (in bps): </w:t>
            </w:r>
            <w:r>
              <w:rPr>
                <w:rFonts w:ascii="Arial" w:cs="Arial" w:eastAsia="Arial" w:hAnsi="Arial"/>
                <w:sz w:val="18"/>
                <w:szCs w:val="18"/>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CRT M2</w:t>
            </w: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175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385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544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633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514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4"/>
              </w:rPr>
              <w:t>+339</w:t>
            </w:r>
          </w:p>
        </w:tc>
        <w:tc>
          <w:tcPr>
            <w:tcW w:w="0" w:type="dxa"/>
            <w:vAlign w:val="bottom"/>
          </w:tcPr>
          <w:p>
            <w:pPr>
              <w:spacing w:after="0"/>
              <w:rPr>
                <w:sz w:val="1"/>
                <w:szCs w:val="1"/>
                <w:color w:val="auto"/>
              </w:rPr>
            </w:pPr>
          </w:p>
        </w:tc>
      </w:tr>
      <w:tr>
        <w:trPr>
          <w:trHeight w:val="205"/>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CMBS AAA</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131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145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0" w:type="dxa"/>
            <w:vAlign w:val="bottom"/>
          </w:tcPr>
          <w:p>
            <w:pPr>
              <w:spacing w:after="0"/>
              <w:rPr>
                <w:sz w:val="1"/>
                <w:szCs w:val="1"/>
                <w:color w:val="auto"/>
              </w:rPr>
            </w:pPr>
          </w:p>
        </w:tc>
      </w:tr>
      <w:tr>
        <w:trPr>
          <w:trHeight w:val="178"/>
        </w:trPr>
        <w:tc>
          <w:tcPr>
            <w:tcW w:w="5460" w:type="dxa"/>
            <w:vAlign w:val="bottom"/>
            <w:gridSpan w:val="2"/>
          </w:tcPr>
          <w:p>
            <w:pPr>
              <w:ind w:left="180"/>
              <w:spacing w:after="0"/>
              <w:rPr>
                <w:sz w:val="20"/>
                <w:szCs w:val="20"/>
                <w:color w:val="auto"/>
              </w:rPr>
            </w:pPr>
            <w:r>
              <w:rPr>
                <w:rFonts w:ascii="Arial" w:cs="Arial" w:eastAsia="Arial" w:hAnsi="Arial"/>
                <w:sz w:val="14"/>
                <w:szCs w:val="14"/>
                <w:color w:val="auto"/>
              </w:rPr>
              <w:t>CDX IG</w:t>
            </w:r>
          </w:p>
        </w:tc>
        <w:tc>
          <w:tcPr>
            <w:tcW w:w="760" w:type="dxa"/>
            <w:vAlign w:val="bottom"/>
          </w:tcPr>
          <w:p>
            <w:pPr>
              <w:jc w:val="center"/>
              <w:spacing w:after="0"/>
              <w:rPr>
                <w:sz w:val="20"/>
                <w:szCs w:val="20"/>
                <w:color w:val="auto"/>
              </w:rPr>
            </w:pPr>
            <w:r>
              <w:rPr>
                <w:rFonts w:ascii="Arial" w:cs="Arial" w:eastAsia="Arial" w:hAnsi="Arial"/>
                <w:sz w:val="14"/>
                <w:szCs w:val="14"/>
                <w:color w:val="auto"/>
                <w:w w:val="76"/>
              </w:rPr>
              <w:t>49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101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108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82</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2"/>
              </w:rPr>
              <w:t>+33</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72" w:lineRule="exact"/>
        <w:rPr>
          <w:sz w:val="20"/>
          <w:szCs w:val="20"/>
          <w:color w:val="auto"/>
        </w:rPr>
      </w:pPr>
    </w:p>
    <w:p>
      <w:pPr>
        <w:ind w:left="640" w:hanging="322"/>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30-Year Current Coupon Yield represents yield on new production Agency RMBS. 30-Year Current Coupon Yield and 30-Year Mortgage Rate are sourced from Bloomberg.</w:t>
      </w:r>
    </w:p>
    <w:p>
      <w:pPr>
        <w:spacing w:after="0" w:line="19" w:lineRule="exact"/>
        <w:rPr>
          <w:rFonts w:ascii="Arial" w:cs="Arial" w:eastAsia="Arial" w:hAnsi="Arial"/>
          <w:sz w:val="13"/>
          <w:szCs w:val="13"/>
          <w:color w:val="auto"/>
        </w:rPr>
      </w:pPr>
    </w:p>
    <w:p>
      <w:pPr>
        <w:ind w:left="640" w:hanging="322"/>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CRT and CDX spreads sourced from JP Morgan. CMBS spreads are the average of spreads sourced from JP Morgan and Wells Fargo.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FINANCIAL CONDITION</w:t>
      </w:r>
    </w:p>
    <w:p>
      <w:pPr>
        <w:spacing w:after="0" w:line="176"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As of December 31, 2022 and 2021, our investment portfolio totaled $59.5 billion and $82.0 billion, respectively, consisting of: $40.9 billion and $54.4 billion investment securities, at fair value, respectively; $18.6 billion and $27.1 billion net TBA securities, at fair value, respectively; and, as of December 31, 2021, $0.4 billion forward settling non-Agency securities, at fair value. The following table is a summary of our investment securities as of December 31, 2022 and 2021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 2022</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Investment Securities (Includes TBAs) </w:t>
            </w:r>
            <w:r>
              <w:rPr>
                <w:rFonts w:ascii="Arial" w:cs="Arial" w:eastAsia="Arial" w:hAnsi="Arial"/>
                <w:sz w:val="18"/>
                <w:szCs w:val="18"/>
                <w:b w:val="1"/>
                <w:bCs w:val="1"/>
                <w:color w:val="auto"/>
                <w:vertAlign w:val="superscript"/>
              </w:rPr>
              <w:t>2</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27" w:lineRule="exact"/>
              <w:rPr>
                <w:sz w:val="20"/>
                <w:szCs w:val="20"/>
                <w:color w:val="auto"/>
              </w:rPr>
            </w:pPr>
            <w:r>
              <w:rPr>
                <w:rFonts w:ascii="Arial" w:cs="Arial" w:eastAsia="Arial" w:hAnsi="Arial"/>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27" w:lineRule="exact"/>
              <w:rPr>
                <w:sz w:val="20"/>
                <w:szCs w:val="20"/>
                <w:color w:val="auto"/>
              </w:rPr>
            </w:pPr>
            <w:r>
              <w:rPr>
                <w:rFonts w:ascii="Arial" w:cs="Arial" w:eastAsia="Arial" w:hAnsi="Arial"/>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Coupon</w:t>
            </w: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Coupon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60"/>
              <w:spacing w:after="0" w:line="196"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7"/>
        </w:trPr>
        <w:tc>
          <w:tcPr>
            <w:tcW w:w="358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36,207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47,695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260"/>
              <w:spacing w:after="0" w:line="205"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72,156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72,776</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79,429</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CMO</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61,792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58,064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79,744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7"/>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6.06 %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8"/>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63,287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59,478</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4.18 %</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81,250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81,999</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10-K.</w:t>
      </w:r>
    </w:p>
    <w:p>
      <w:pPr>
        <w:spacing w:after="0" w:line="10" w:lineRule="exact"/>
        <w:rPr>
          <w:rFonts w:ascii="Arial" w:cs="Arial" w:eastAsia="Arial" w:hAnsi="Arial"/>
          <w:sz w:val="13"/>
          <w:szCs w:val="13"/>
          <w:color w:val="auto"/>
        </w:rPr>
      </w:pPr>
    </w:p>
    <w:p>
      <w:pPr>
        <w:ind w:left="640" w:hanging="322"/>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$25 million as of December 31, 2022 accounted for under the equity method of accounting.</w:t>
      </w:r>
    </w:p>
    <w:p>
      <w:pPr>
        <w:spacing w:after="0" w:line="5" w:lineRule="exact"/>
        <w:rPr>
          <w:rFonts w:ascii="Arial" w:cs="Arial" w:eastAsia="Arial" w:hAnsi="Arial"/>
          <w:sz w:val="14"/>
          <w:szCs w:val="14"/>
          <w:color w:val="auto"/>
        </w:rPr>
      </w:pPr>
    </w:p>
    <w:p>
      <w:pPr>
        <w:ind w:left="640" w:hanging="322"/>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December 31, 2021 balance includes $0.4 billion of forward settling non-Agency securities reported in derivative assets/(liabilities) on the accompanying consolidated balance sheets.</w:t>
      </w:r>
    </w:p>
    <w:p>
      <w:pPr>
        <w:spacing w:after="0" w:line="17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TBA and forward settling securities are recorded as derivative instruments in our accompanying consolidated financial statements, and our TBA dollar roll transactions represent a form of off-balance sheet financing. As of December 31, 2022 and 2021, our TBA position and forward settling securities had a net carrying value of $0.2 billion and $(44) million, respectively, reported in derivative assets/(liabilities)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27"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As of December 31, 2022 and 2021, the weighted average yield on our investment securities (excluding TBA and forward settling securities) was 3.37% and 2.43%,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0" w:name="page31"/>
    <w:bookmarkEnd w:id="30"/>
    <w:p>
      <w:pPr>
        <w:ind w:firstLine="431"/>
        <w:spacing w:after="0" w:line="288" w:lineRule="auto"/>
        <w:rPr>
          <w:sz w:val="20"/>
          <w:szCs w:val="20"/>
          <w:color w:val="auto"/>
        </w:rPr>
      </w:pPr>
      <w:r>
        <w:rPr>
          <w:rFonts w:ascii="Arial" w:cs="Arial" w:eastAsia="Arial" w:hAnsi="Arial"/>
          <w:sz w:val="17"/>
          <w:szCs w:val="17"/>
          <w:color w:val="auto"/>
        </w:rPr>
        <w:t>The following tables summarize certain characteristics of our fixed rate Agency RMBS portfolio, inclusive of TBA securities, as of December 31, 2022 and 2021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December 31, 2022</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Includes Net TBA Position</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Amortized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w w:val="97"/>
              </w:rPr>
              <w:t>Specified Pool</w:t>
            </w:r>
          </w:p>
        </w:tc>
        <w:tc>
          <w:tcPr>
            <w:tcW w:w="1240" w:type="dxa"/>
            <w:vAlign w:val="bottom"/>
            <w:gridSpan w:val="3"/>
          </w:tcPr>
          <w:p>
            <w:pPr>
              <w:jc w:val="center"/>
              <w:ind w:right="400"/>
              <w:spacing w:after="0" w:line="157"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96"/>
        </w:trPr>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 xml:space="preserve"> 1</w:t>
            </w:r>
          </w:p>
        </w:tc>
        <w:tc>
          <w:tcPr>
            <w:tcW w:w="10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Coupon</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89"/>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88"/>
              </w:rPr>
              <w:t>105.2%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87"/>
        </w:trPr>
        <w:tc>
          <w:tcPr>
            <w:tcW w:w="2300" w:type="dxa"/>
            <w:vAlign w:val="bottom"/>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3.43%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Arial" w:cs="Arial" w:eastAsia="Arial" w:hAnsi="Arial"/>
                <w:sz w:val="14"/>
                <w:szCs w:val="14"/>
                <w:color w:val="auto"/>
                <w:w w:val="88"/>
              </w:rPr>
              <w:t>102.2%</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59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5"/>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4.55%</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88"/>
              </w:rPr>
              <w:t>102.4%</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144</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 15-year</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3.25%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88"/>
              </w:rPr>
              <w:t>102.7%</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gridSpan w:val="2"/>
          </w:tcPr>
          <w:p>
            <w:pPr>
              <w:ind w:left="340"/>
              <w:spacing w:after="0"/>
              <w:rPr>
                <w:sz w:val="20"/>
                <w:szCs w:val="20"/>
                <w:color w:val="auto"/>
              </w:rPr>
            </w:pPr>
            <w:r>
              <w:rPr>
                <w:rFonts w:ascii="Arial" w:cs="Arial" w:eastAsia="Arial" w:hAnsi="Arial"/>
                <w:sz w:val="14"/>
                <w:szCs w:val="14"/>
                <w:color w:val="auto"/>
              </w:rPr>
              <w:t>≤ 2.5%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Arial" w:cs="Arial" w:eastAsia="Arial" w:hAnsi="Arial"/>
                <w:sz w:val="14"/>
                <w:szCs w:val="14"/>
                <w:color w:val="auto"/>
                <w:w w:val="88"/>
              </w:rPr>
              <w:t>103.6%</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88"/>
              </w:rPr>
              <w:t>102.7%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4.50%</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88"/>
              </w:rPr>
              <w:t>105.1%</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74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96"/>
        </w:trPr>
        <w:tc>
          <w:tcPr>
            <w:tcW w:w="2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2.51%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88"/>
              </w:rPr>
              <w:t>103.6%</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40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67"/>
        </w:trPr>
        <w:tc>
          <w:tcPr>
            <w:tcW w:w="240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30-year: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88"/>
              </w:rPr>
              <w:t>102.0%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87"/>
        </w:trPr>
        <w:tc>
          <w:tcPr>
            <w:tcW w:w="2300" w:type="dxa"/>
            <w:vAlign w:val="bottom"/>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19,371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17,605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3.66%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Arial" w:cs="Arial" w:eastAsia="Arial" w:hAnsi="Arial"/>
                <w:sz w:val="14"/>
                <w:szCs w:val="14"/>
                <w:color w:val="auto"/>
                <w:w w:val="88"/>
              </w:rPr>
              <w:t>104.6%</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5"/>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31,731</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4.96%</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88"/>
              </w:rPr>
              <w:t>102.9%</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20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58,134</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88"/>
              </w:rPr>
              <w:t>103.5%</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42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61,453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57,743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4.13%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88"/>
              </w:rPr>
              <w:t>103.5%</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43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jc w:val="both"/>
        <w:ind w:left="640" w:hanging="322"/>
        <w:spacing w:after="0" w:line="247"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spacing w:after="0" w:line="2" w:lineRule="exact"/>
        <w:rPr>
          <w:rFonts w:ascii="Arial" w:cs="Arial" w:eastAsia="Arial" w:hAnsi="Arial"/>
          <w:sz w:val="14"/>
          <w:szCs w:val="14"/>
          <w:color w:val="auto"/>
        </w:rPr>
      </w:pPr>
    </w:p>
    <w:p>
      <w:pPr>
        <w:ind w:left="640" w:hanging="322"/>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2022.</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w w:val="90"/>
              </w:rPr>
              <w:t>December 31, 2021</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380" w:type="dxa"/>
            <w:vAlign w:val="bottom"/>
            <w:gridSpan w:val="2"/>
            <w:vMerge w:val="restart"/>
          </w:tcPr>
          <w:p>
            <w:pPr>
              <w:ind w:left="20"/>
              <w:spacing w:after="0" w:line="144"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line="144" w:lineRule="exact"/>
              <w:rPr>
                <w:sz w:val="20"/>
                <w:szCs w:val="20"/>
                <w:color w:val="auto"/>
              </w:rPr>
            </w:pPr>
            <w:r>
              <w:rPr>
                <w:rFonts w:ascii="Arial" w:cs="Arial" w:eastAsia="Arial" w:hAnsi="Arial"/>
                <w:sz w:val="14"/>
                <w:szCs w:val="14"/>
                <w:b w:val="1"/>
                <w:bCs w:val="1"/>
                <w:color w:val="auto"/>
                <w:w w:val="97"/>
              </w:rPr>
              <w:t>Specified Pool</w:t>
            </w:r>
          </w:p>
        </w:tc>
        <w:tc>
          <w:tcPr>
            <w:tcW w:w="1280" w:type="dxa"/>
            <w:vAlign w:val="bottom"/>
            <w:gridSpan w:val="3"/>
            <w:vMerge w:val="restart"/>
          </w:tcPr>
          <w:p>
            <w:pPr>
              <w:jc w:val="center"/>
              <w:ind w:right="360"/>
              <w:spacing w:after="0" w:line="144"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vMerge w:val="restart"/>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Amortized</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4"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98"/>
        </w:trPr>
        <w:tc>
          <w:tcPr>
            <w:tcW w:w="2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3"/>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1</w:t>
            </w:r>
          </w:p>
        </w:tc>
        <w:tc>
          <w:tcPr>
            <w:tcW w:w="8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Coupon</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CPR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89"/>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8"/>
              </w:rPr>
              <w:t>105.0%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3.42%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Arial" w:cs="Arial" w:eastAsia="Arial" w:hAnsi="Arial"/>
                <w:sz w:val="14"/>
                <w:szCs w:val="14"/>
                <w:color w:val="auto"/>
                <w:w w:val="88"/>
              </w:rPr>
              <w:t>102.0%</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53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4.61%</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8"/>
              </w:rPr>
              <w:t>102.8%</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133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 15-year</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55%</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2.57%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88"/>
              </w:rPr>
              <w:t>102.5%</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49</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83"/>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340"/>
              <w:spacing w:after="0"/>
              <w:rPr>
                <w:sz w:val="20"/>
                <w:szCs w:val="20"/>
                <w:color w:val="auto"/>
              </w:rPr>
            </w:pPr>
            <w:r>
              <w:rPr>
                <w:rFonts w:ascii="Arial" w:cs="Arial" w:eastAsia="Arial" w:hAnsi="Arial"/>
                <w:sz w:val="14"/>
                <w:szCs w:val="14"/>
                <w:color w:val="auto"/>
              </w:rPr>
              <w:t>≤ 2.5%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Arial" w:cs="Arial" w:eastAsia="Arial" w:hAnsi="Arial"/>
                <w:sz w:val="14"/>
                <w:szCs w:val="14"/>
                <w:color w:val="auto"/>
                <w:w w:val="88"/>
              </w:rPr>
              <w:t>103.4%</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15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8"/>
              </w:rPr>
              <w:t>102.5%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100%</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4.51%</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88"/>
              </w:rPr>
              <w:t>104.7%</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63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96"/>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2.52%</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8"/>
              </w:rPr>
              <w:t>103.3%</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28</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30-year: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8"/>
              </w:rPr>
              <w:t>102.1%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23,930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Arial" w:cs="Arial" w:eastAsia="Arial" w:hAnsi="Arial"/>
                <w:sz w:val="14"/>
                <w:szCs w:val="14"/>
                <w:color w:val="auto"/>
                <w:w w:val="88"/>
              </w:rPr>
              <w:t>104.7%</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5,084</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4.53%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8"/>
              </w:rPr>
              <w:t>106.0%</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53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70,059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72,156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72,776</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2.87%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88"/>
              </w:rPr>
              <w:t>103.5%</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38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79,429</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2.84%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8"/>
              </w:rPr>
              <w:t>103.5%</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38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1" w:name="page32"/>
    <w:bookmarkEnd w:id="31"/>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71" w:lineRule="auto"/>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2021, lower balance specified pools had a weighted average original loan balance of $119,000 and $117,000 for 15-year and 30-year securities, respectively, and HARP pools had a weighted average original LTV of 127% and 138% for 15-year and 30-year securities, respectively.</w:t>
      </w:r>
    </w:p>
    <w:p>
      <w:pPr>
        <w:spacing w:after="0" w:line="1" w:lineRule="exact"/>
        <w:rPr>
          <w:rFonts w:ascii="Arial" w:cs="Arial" w:eastAsia="Arial" w:hAnsi="Arial"/>
          <w:sz w:val="13"/>
          <w:szCs w:val="13"/>
          <w:color w:val="auto"/>
        </w:rPr>
      </w:pPr>
    </w:p>
    <w:p>
      <w:pPr>
        <w:ind w:left="640" w:hanging="322"/>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2021.</w:t>
      </w:r>
    </w:p>
    <w:p>
      <w:pPr>
        <w:spacing w:after="0" w:line="151"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For additional details regarding our CRT and non-Agency securities, including credit ratings, as of December 31, 2022 and 2021, please refer to Note 3 of our Consolidated Financial Statements included under Item 8 of this Form 10-K.</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CRITICAL ACCOUNTING ESTIMATES</w:t>
      </w:r>
    </w:p>
    <w:p>
      <w:pPr>
        <w:spacing w:after="0" w:line="176"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0"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2022 was 103.4% of par value; therefore, changes in our actual or projected prepayments can significantly alter the effective yield on our assets.</w:t>
      </w:r>
    </w:p>
    <w:p>
      <w:pPr>
        <w:spacing w:after="0" w:line="114"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2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cost/benefit.</w:t>
      </w:r>
    </w:p>
    <w:p>
      <w:pPr>
        <w:spacing w:after="0" w:line="127"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this Form 10-K includes the estimated change in the weighted average projected CPR of our investments and in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spacing w:after="0" w:line="114"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to the results presented in accordance with GAAP, our results of operations discussed below include certain non-GAAP financial information, including "economic interest income," "economic interest expense," "net spread and dollar roll income" and "net spread and dollar roll income, excluding 'catch-up' premium amortization, available to common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2" w:name="page33"/>
    <w:bookmarkEnd w:id="32"/>
    <w:p>
      <w:pPr>
        <w:jc w:val="both"/>
        <w:spacing w:after="0" w:line="288" w:lineRule="auto"/>
        <w:rPr>
          <w:sz w:val="20"/>
          <w:szCs w:val="20"/>
          <w:color w:val="auto"/>
        </w:rPr>
      </w:pPr>
      <w:r>
        <w:rPr>
          <w:rFonts w:ascii="Arial" w:cs="Arial" w:eastAsia="Arial" w:hAnsi="Arial"/>
          <w:sz w:val="17"/>
          <w:szCs w:val="17"/>
          <w:color w:val="auto"/>
        </w:rPr>
        <w:t>stockholders," "estimated taxable income (loss)" and the related per common share measures and certain financial metrics derived from such non-GAAP information.</w:t>
      </w:r>
    </w:p>
    <w:p>
      <w:pPr>
        <w:spacing w:after="0" w:line="106"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and (ii) include interest rate swap periodic income/cost, TBA dollar roll income and other miscellaneous interest income/expense. As defined "Net spread and dollar roll income, excluding 'catch-up' premium amortization, available to common stockholders" includes (i) the components of "economic interest income" and "economic interest expense", plus (ii) other miscellaneous interest income/expense, and less (iii) total operating expenses and dividends on preferred stock (GAAP measures).</w:t>
      </w:r>
    </w:p>
    <w:p>
      <w:pPr>
        <w:spacing w:after="0" w:line="10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Specifically, in the case "net spread and dollar roll income, excluding 'catch-up' premium amortization,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 In the case of "estimated taxable income (loss)", we believe it is meaningful information because it directly relates to the amount of dividends that we are required to distribute to maintain our REIT qualification status.</w:t>
      </w:r>
    </w:p>
    <w:p>
      <w:pPr>
        <w:spacing w:after="0" w:line="11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 Furthermore, estimated taxable income can include certain information that is subject to potential adjustments up to the time of filing our income tax returns, which occurs after the end of our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Financial Data</w:t>
      </w:r>
    </w:p>
    <w:p>
      <w:pPr>
        <w:spacing w:after="0" w:line="236" w:lineRule="exact"/>
        <w:rPr>
          <w:sz w:val="20"/>
          <w:szCs w:val="20"/>
          <w:color w:val="auto"/>
        </w:rPr>
      </w:pPr>
    </w:p>
    <w:p>
      <w:pPr>
        <w:ind w:right="100" w:firstLine="431"/>
        <w:spacing w:after="0" w:line="256" w:lineRule="auto"/>
        <w:rPr>
          <w:sz w:val="20"/>
          <w:szCs w:val="20"/>
          <w:color w:val="auto"/>
        </w:rPr>
      </w:pPr>
      <w:r>
        <w:rPr>
          <w:rFonts w:ascii="Arial" w:cs="Arial" w:eastAsia="Arial" w:hAnsi="Arial"/>
          <w:sz w:val="17"/>
          <w:szCs w:val="17"/>
          <w:color w:val="auto"/>
        </w:rPr>
        <w:t xml:space="preserve">The following selected financial data is derived from our annual financial statements for the three years ended December 31, 2022. The selected financial data should be read in conjunction with the more detailed information contained in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and in this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Financial Condition and Results of Operations </w:t>
      </w:r>
      <w:r>
        <w:rPr>
          <w:rFonts w:ascii="Arial" w:cs="Arial" w:eastAsia="Arial" w:hAnsi="Arial"/>
          <w:sz w:val="17"/>
          <w:szCs w:val="17"/>
          <w:color w:val="auto"/>
        </w:rPr>
        <w:t>(in millions, except per share amounts):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0"/>
        </w:trPr>
        <w:tc>
          <w:tcPr>
            <w:tcW w:w="692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92"/>
              </w:rPr>
              <w:t>Investment securities, at fair value of $40,904, $54,421, $66,414, respectively, and other mortgage credit</w:t>
            </w:r>
          </w:p>
        </w:tc>
        <w:tc>
          <w:tcPr>
            <w:tcW w:w="300" w:type="dxa"/>
            <w:vAlign w:val="bottom"/>
            <w:vMerge w:val="restart"/>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40,929</w:t>
            </w:r>
          </w:p>
        </w:tc>
        <w:tc>
          <w:tcPr>
            <w:tcW w:w="10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4"/>
              <w:spacing w:after="0"/>
              <w:rPr>
                <w:sz w:val="20"/>
                <w:szCs w:val="20"/>
                <w:color w:val="auto"/>
              </w:rPr>
            </w:pPr>
            <w:r>
              <w:rPr>
                <w:rFonts w:ascii="Arial" w:cs="Arial" w:eastAsia="Arial" w:hAnsi="Arial"/>
                <w:sz w:val="16"/>
                <w:szCs w:val="16"/>
                <w:color w:val="auto"/>
              </w:rPr>
              <w:t>54,421</w:t>
            </w:r>
          </w:p>
        </w:tc>
        <w:tc>
          <w:tcPr>
            <w:tcW w:w="80" w:type="dxa"/>
            <w:vAlign w:val="bottom"/>
          </w:tcPr>
          <w:p>
            <w:pPr>
              <w:spacing w:after="0"/>
              <w:rPr>
                <w:sz w:val="13"/>
                <w:szCs w:val="13"/>
                <w:color w:val="auto"/>
              </w:rPr>
            </w:pPr>
          </w:p>
        </w:tc>
        <w:tc>
          <w:tcPr>
            <w:tcW w:w="320" w:type="dxa"/>
            <w:vAlign w:val="bottom"/>
            <w:vMerge w:val="restart"/>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3"/>
              <w:spacing w:after="0"/>
              <w:rPr>
                <w:sz w:val="20"/>
                <w:szCs w:val="20"/>
                <w:color w:val="auto"/>
              </w:rPr>
            </w:pPr>
            <w:r>
              <w:rPr>
                <w:rFonts w:ascii="Arial" w:cs="Arial" w:eastAsia="Arial" w:hAnsi="Arial"/>
                <w:sz w:val="16"/>
                <w:szCs w:val="16"/>
                <w:color w:val="auto"/>
              </w:rPr>
              <w:t>66,414</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investments</w:t>
            </w:r>
          </w:p>
        </w:tc>
        <w:tc>
          <w:tcPr>
            <w:tcW w:w="3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68,149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81,817</w:t>
            </w:r>
          </w:p>
        </w:tc>
        <w:tc>
          <w:tcPr>
            <w:tcW w:w="0" w:type="dxa"/>
            <w:vAlign w:val="bottom"/>
          </w:tcPr>
          <w:p>
            <w:pPr>
              <w:spacing w:after="0"/>
              <w:rPr>
                <w:sz w:val="1"/>
                <w:szCs w:val="1"/>
                <w:color w:val="auto"/>
              </w:rPr>
            </w:pPr>
          </w:p>
        </w:tc>
      </w:tr>
      <w:tr>
        <w:trPr>
          <w:trHeight w:val="206"/>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Repurchase agreements and other debt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36,357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47,507</w:t>
            </w:r>
          </w:p>
        </w:tc>
        <w:tc>
          <w:tcPr>
            <w:tcW w:w="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52,543</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57,858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70,738</w:t>
            </w:r>
          </w:p>
        </w:tc>
        <w:tc>
          <w:tcPr>
            <w:tcW w:w="0" w:type="dxa"/>
            <w:vAlign w:val="bottom"/>
          </w:tcPr>
          <w:p>
            <w:pPr>
              <w:spacing w:after="0"/>
              <w:rPr>
                <w:sz w:val="1"/>
                <w:szCs w:val="1"/>
                <w:color w:val="auto"/>
              </w:rPr>
            </w:pPr>
          </w:p>
        </w:tc>
      </w:tr>
      <w:tr>
        <w:trPr>
          <w:trHeight w:val="206"/>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7,870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10,291</w:t>
            </w:r>
          </w:p>
        </w:tc>
        <w:tc>
          <w:tcPr>
            <w:tcW w:w="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11,079</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0"/>
                <w:szCs w:val="20"/>
                <w:color w:val="auto"/>
                <w:vertAlign w:val="superscript"/>
              </w:rPr>
              <w:t>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71"/>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0"/>
                <w:szCs w:val="20"/>
                <w:color w:val="auto"/>
                <w:vertAlign w:val="superscript"/>
              </w:rPr>
              <w:t>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23"/>
                <w:szCs w:val="23"/>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15.75</w:t>
            </w:r>
          </w:p>
        </w:tc>
        <w:tc>
          <w:tcPr>
            <w:tcW w:w="80" w:type="dxa"/>
            <w:vAlign w:val="bottom"/>
          </w:tcPr>
          <w:p>
            <w:pPr>
              <w:spacing w:after="0"/>
              <w:rPr>
                <w:sz w:val="23"/>
                <w:szCs w:val="23"/>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3" w:name="page34"/>
    <w:bookmarkEnd w:id="33"/>
    <w:tbl>
      <w:tblPr>
        <w:tblLayout w:type="fixed"/>
        <w:tblInd w:w="8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Comprehensive Income Data</w:t>
            </w: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920" w:type="dxa"/>
            <w:vAlign w:val="bottom"/>
            <w:vMerge w:val="continue"/>
          </w:tcPr>
          <w:p>
            <w:pPr>
              <w:spacing w:after="0"/>
              <w:rPr>
                <w:sz w:val="15"/>
                <w:szCs w:val="15"/>
                <w:color w:val="auto"/>
              </w:rPr>
            </w:pPr>
          </w:p>
        </w:tc>
        <w:tc>
          <w:tcPr>
            <w:tcW w:w="1280" w:type="dxa"/>
            <w:vAlign w:val="bottom"/>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6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1,519</w:t>
            </w:r>
          </w:p>
        </w:tc>
      </w:tr>
      <w:tr>
        <w:trPr>
          <w:trHeight w:val="206"/>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674</w:t>
            </w:r>
          </w:p>
        </w:tc>
      </w:tr>
      <w:tr>
        <w:trPr>
          <w:trHeight w:val="202"/>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845</w:t>
            </w:r>
          </w:p>
        </w:tc>
      </w:tr>
      <w:tr>
        <w:trPr>
          <w:trHeight w:val="202"/>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w:t>
            </w:r>
          </w:p>
        </w:tc>
      </w:tr>
      <w:tr>
        <w:trPr>
          <w:trHeight w:val="202"/>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r>
      <w:tr>
        <w:trPr>
          <w:trHeight w:val="205"/>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6"/>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7"/>
                <w:szCs w:val="17"/>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622</w:t>
            </w:r>
          </w:p>
        </w:tc>
      </w:tr>
      <w:tr>
        <w:trPr>
          <w:trHeight w:val="202"/>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356</w:t>
            </w: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r>
      <w:tr>
        <w:trPr>
          <w:trHeight w:val="205"/>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260</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9"/>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551.6</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6"/>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551.6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46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(2.41)</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1.23</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(0.66)</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6"/>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46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(4.22)</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0.44</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0.47</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6"/>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0.47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46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1.44</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1.44</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1.56</w:t>
            </w: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47,761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53,057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70,077</w:t>
            </w:r>
          </w:p>
        </w:tc>
        <w:tc>
          <w:tcPr>
            <w:tcW w:w="0" w:type="dxa"/>
            <w:vAlign w:val="bottom"/>
          </w:tcPr>
          <w:p>
            <w:pPr>
              <w:spacing w:after="0"/>
              <w:rPr>
                <w:sz w:val="1"/>
                <w:szCs w:val="1"/>
                <w:color w:val="auto"/>
              </w:rPr>
            </w:pPr>
          </w:p>
        </w:tc>
      </w:tr>
      <w:tr>
        <w:trPr>
          <w:trHeight w:val="20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49,195</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54,869</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72,543</w:t>
            </w: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Net TBA portfolio - at par (as of period end) </w:t>
            </w:r>
            <w:r>
              <w:rPr>
                <w:rFonts w:ascii="Arial" w:cs="Arial" w:eastAsia="Arial" w:hAnsi="Arial"/>
                <w:sz w:val="18"/>
                <w:szCs w:val="18"/>
                <w:color w:val="auto"/>
                <w:vertAlign w:val="superscript"/>
              </w:rPr>
              <w:t>9</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19,050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27,123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9"/>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 xml:space="preserve">Net TBA portfolio - at cost (as of period end) </w:t>
            </w:r>
            <w:r>
              <w:rPr>
                <w:rFonts w:ascii="Arial" w:cs="Arial" w:eastAsia="Arial" w:hAnsi="Arial"/>
                <w:sz w:val="18"/>
                <w:szCs w:val="18"/>
                <w:color w:val="auto"/>
                <w:vertAlign w:val="superscript"/>
              </w:rPr>
              <w:t>9</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18,407</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27,622</w:t>
            </w:r>
          </w:p>
        </w:tc>
        <w:tc>
          <w:tcPr>
            <w:tcW w:w="8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31,204</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Net TBA portfolio - at market value (as of period end) </w:t>
            </w:r>
            <w:r>
              <w:rPr>
                <w:rFonts w:ascii="Arial" w:cs="Arial" w:eastAsia="Arial" w:hAnsi="Arial"/>
                <w:sz w:val="18"/>
                <w:szCs w:val="18"/>
                <w:color w:val="auto"/>
                <w:vertAlign w:val="superscript"/>
              </w:rPr>
              <w:t>9</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18,574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27,578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31,479</w:t>
            </w:r>
          </w:p>
        </w:tc>
        <w:tc>
          <w:tcPr>
            <w:tcW w:w="0" w:type="dxa"/>
            <w:vAlign w:val="bottom"/>
          </w:tcPr>
          <w:p>
            <w:pPr>
              <w:spacing w:after="0"/>
              <w:rPr>
                <w:sz w:val="1"/>
                <w:szCs w:val="1"/>
                <w:color w:val="auto"/>
              </w:rPr>
            </w:pPr>
          </w:p>
        </w:tc>
      </w:tr>
      <w:tr>
        <w:trPr>
          <w:trHeight w:val="209"/>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 xml:space="preserve">Net TBA portfolio - at carrying value (as of period end) </w:t>
            </w:r>
            <w:r>
              <w:rPr>
                <w:rFonts w:ascii="Arial" w:cs="Arial" w:eastAsia="Arial" w:hAnsi="Arial"/>
                <w:sz w:val="18"/>
                <w:szCs w:val="18"/>
                <w:color w:val="auto"/>
                <w:vertAlign w:val="superscript"/>
              </w:rPr>
              <w:t>3,9</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dollar roll position - at cost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20,631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29,851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21,224</w:t>
            </w:r>
          </w:p>
        </w:tc>
        <w:tc>
          <w:tcPr>
            <w:tcW w:w="0" w:type="dxa"/>
            <w:vAlign w:val="bottom"/>
          </w:tcPr>
          <w:p>
            <w:pPr>
              <w:spacing w:after="0"/>
              <w:rPr>
                <w:sz w:val="1"/>
                <w:szCs w:val="1"/>
                <w:color w:val="auto"/>
              </w:rPr>
            </w:pPr>
          </w:p>
        </w:tc>
      </w:tr>
      <w:tr>
        <w:trPr>
          <w:trHeight w:val="20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61,028</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72,908</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88,403</w:t>
            </w: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4</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41,363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49,923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69,370</w:t>
            </w:r>
          </w:p>
        </w:tc>
        <w:tc>
          <w:tcPr>
            <w:tcW w:w="0" w:type="dxa"/>
            <w:vAlign w:val="bottom"/>
          </w:tcPr>
          <w:p>
            <w:pPr>
              <w:spacing w:after="0"/>
              <w:rPr>
                <w:sz w:val="1"/>
                <w:szCs w:val="1"/>
                <w:color w:val="auto"/>
              </w:rPr>
            </w:pPr>
          </w:p>
        </w:tc>
      </w:tr>
      <w:tr>
        <w:trPr>
          <w:trHeight w:val="209"/>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5</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8,475</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10,885</w:t>
            </w:r>
          </w:p>
        </w:tc>
        <w:tc>
          <w:tcPr>
            <w:tcW w:w="8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10,684</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09"/>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7</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18"/>
                <w:szCs w:val="18"/>
                <w:color w:val="auto"/>
                <w:vertAlign w:val="superscript"/>
              </w:rPr>
              <w:t>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Expenses % of average total assets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0.12 %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0.12 %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0.11 %</w:t>
            </w: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03"/>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Expenses % of average stockholders' equity</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0.81 %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0.87 %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ind w:left="640" w:hanging="32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Net book value per common share is calculated as total stockholders' equity, less preferred stock liquidation preference, divided by number of common shares outstanding as of period end.</w:t>
      </w:r>
    </w:p>
    <w:p>
      <w:pPr>
        <w:spacing w:after="0" w:line="28" w:lineRule="exact"/>
        <w:rPr>
          <w:rFonts w:ascii="Arial" w:cs="Arial" w:eastAsia="Arial" w:hAnsi="Arial"/>
          <w:sz w:val="12"/>
          <w:szCs w:val="12"/>
          <w:color w:val="auto"/>
        </w:rPr>
      </w:pPr>
    </w:p>
    <w:p>
      <w:pPr>
        <w:ind w:left="640" w:hanging="322"/>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8" w:lineRule="exact"/>
        <w:rPr>
          <w:rFonts w:ascii="Arial" w:cs="Arial" w:eastAsia="Arial" w:hAnsi="Arial"/>
          <w:sz w:val="14"/>
          <w:szCs w:val="14"/>
          <w:color w:val="auto"/>
        </w:rPr>
      </w:pPr>
    </w:p>
    <w:p>
      <w:pPr>
        <w:ind w:left="640" w:hanging="322"/>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40" w:hanging="322"/>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ind w:left="640" w:hanging="322"/>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4" w:name="page35"/>
    <w:bookmarkEnd w:id="34"/>
    <w:p>
      <w:pPr>
        <w:jc w:val="both"/>
        <w:ind w:left="640" w:hanging="322"/>
        <w:spacing w:after="0" w:line="252"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40" w:hanging="322"/>
        <w:spacing w:after="0" w:line="269"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640" w:hanging="322"/>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ind w:left="640" w:hanging="322"/>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net TBA dollar roll position and, if applicable, forward settling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Income and Asset Yields</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The following table summarizes our economic interest income (a non-GAAP measure) for fiscal years 2022, 2021 and 2020,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left="390"/>
              <w:spacing w:after="0"/>
              <w:rPr>
                <w:sz w:val="20"/>
                <w:szCs w:val="20"/>
                <w:color w:val="auto"/>
              </w:rPr>
            </w:pPr>
            <w:r>
              <w:rPr>
                <w:rFonts w:ascii="Arial" w:cs="Arial" w:eastAsia="Arial" w:hAnsi="Arial"/>
                <w:sz w:val="14"/>
                <w:szCs w:val="14"/>
                <w:b w:val="1"/>
                <w:bCs w:val="1"/>
                <w:color w:val="auto"/>
                <w:w w:val="89"/>
              </w:rPr>
              <w:t>Fiscal Year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23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21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0"/>
        </w:trPr>
        <w:tc>
          <w:tcPr>
            <w:tcW w:w="5060" w:type="dxa"/>
            <w:vAlign w:val="bottom"/>
          </w:tcPr>
          <w:p>
            <w:pPr>
              <w:ind w:left="20"/>
              <w:spacing w:after="0" w:line="159" w:lineRule="exact"/>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(369)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0" w:type="dxa"/>
            <w:vAlign w:val="bottom"/>
          </w:tcPr>
          <w:p>
            <w:pPr>
              <w:spacing w:after="0"/>
              <w:rPr>
                <w:sz w:val="1"/>
                <w:szCs w:val="1"/>
                <w:color w:val="auto"/>
              </w:rPr>
            </w:pPr>
          </w:p>
        </w:tc>
      </w:tr>
      <w:tr>
        <w:trPr>
          <w:trHeight w:val="138"/>
        </w:trPr>
        <w:tc>
          <w:tcPr>
            <w:tcW w:w="5060" w:type="dxa"/>
            <w:vAlign w:val="bottom"/>
          </w:tcPr>
          <w:p>
            <w:pPr>
              <w:ind w:left="100"/>
              <w:spacing w:after="0" w:line="139" w:lineRule="exact"/>
              <w:rPr>
                <w:sz w:val="20"/>
                <w:szCs w:val="20"/>
                <w:color w:val="auto"/>
              </w:rPr>
            </w:pPr>
            <w:r>
              <w:rPr>
                <w:rFonts w:ascii="Arial" w:cs="Arial" w:eastAsia="Arial" w:hAnsi="Arial"/>
                <w:sz w:val="14"/>
                <w:szCs w:val="14"/>
                <w:color w:val="auto"/>
              </w:rPr>
              <w:t>Estimated "catch-up" premium amortization cost (benefit) due to change in CPR</w:t>
            </w:r>
          </w:p>
        </w:tc>
        <w:tc>
          <w:tcPr>
            <w:tcW w:w="140" w:type="dxa"/>
            <w:vAlign w:val="bottom"/>
          </w:tcPr>
          <w:p>
            <w:pPr>
              <w:spacing w:after="0"/>
              <w:rPr>
                <w:sz w:val="12"/>
                <w:szCs w:val="12"/>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0.63 %</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forecast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1,265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214"/>
        </w:trPr>
        <w:tc>
          <w:tcPr>
            <w:tcW w:w="50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4"/>
                <w:szCs w:val="14"/>
                <w:color w:val="auto"/>
                <w:w w:val="95"/>
              </w:rPr>
              <w:t xml:space="preserve">Economic interest income, excluding "catch-up" amortization (non-GAAP measure) </w:t>
            </w:r>
            <w:r>
              <w:rPr>
                <w:rFonts w:ascii="Arial" w:cs="Arial" w:eastAsia="Arial" w:hAnsi="Arial"/>
                <w:sz w:val="18"/>
                <w:szCs w:val="18"/>
                <w:color w:val="auto"/>
                <w:w w:val="95"/>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2,341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Weighted average actual portfolio CPR for investment securities held during the period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5060" w:type="dxa"/>
            <w:vAlign w:val="bottom"/>
          </w:tcPr>
          <w:p>
            <w:pPr>
              <w:ind w:left="20"/>
              <w:spacing w:after="0" w:line="139" w:lineRule="exact"/>
              <w:rPr>
                <w:sz w:val="20"/>
                <w:szCs w:val="20"/>
                <w:color w:val="auto"/>
              </w:rPr>
            </w:pPr>
            <w:r>
              <w:rPr>
                <w:rFonts w:ascii="Arial" w:cs="Arial" w:eastAsia="Arial" w:hAnsi="Arial"/>
                <w:sz w:val="14"/>
                <w:szCs w:val="14"/>
                <w:color w:val="auto"/>
                <w:w w:val="93"/>
              </w:rPr>
              <w:t>Weighted average projected CPR for the remaining life of investment securities held as</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10.9 %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rPr>
                <w:sz w:val="20"/>
                <w:szCs w:val="20"/>
                <w:color w:val="auto"/>
              </w:rPr>
            </w:pPr>
            <w:r>
              <w:rPr>
                <w:rFonts w:ascii="Arial" w:cs="Arial" w:eastAsia="Arial" w:hAnsi="Arial"/>
                <w:sz w:val="14"/>
                <w:szCs w:val="14"/>
                <w:color w:val="auto"/>
              </w:rPr>
              <w:t>of period end</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6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 xml:space="preserve">30-year fixed rate mortgage rate as of period end </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Arial" w:cs="Arial" w:eastAsia="Arial" w:hAnsi="Arial"/>
                <w:sz w:val="14"/>
                <w:szCs w:val="14"/>
                <w:color w:val="auto"/>
              </w:rPr>
              <w:t xml:space="preserve">10-year U.S. Treasury rate as of period end </w:t>
            </w:r>
            <w:r>
              <w:rPr>
                <w:rFonts w:ascii="Arial" w:cs="Arial" w:eastAsia="Arial" w:hAnsi="Arial"/>
                <w:sz w:val="18"/>
                <w:szCs w:val="18"/>
                <w:color w:val="auto"/>
                <w:vertAlign w:val="superscript"/>
              </w:rPr>
              <w:t>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5" w:lineRule="exact"/>
        <w:rPr>
          <w:sz w:val="20"/>
          <w:szCs w:val="20"/>
          <w:color w:val="auto"/>
        </w:rPr>
      </w:pPr>
    </w:p>
    <w:p>
      <w:pPr>
        <w:ind w:left="640" w:hanging="322"/>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jc w:val="both"/>
        <w:ind w:left="640" w:hanging="322"/>
        <w:spacing w:after="0" w:line="251"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 Expense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 TBA price for</w:t>
      </w:r>
      <w:r>
        <w:rPr>
          <w:rFonts w:ascii="Arial" w:cs="Arial" w:eastAsia="Arial" w:hAnsi="Arial"/>
          <w:sz w:val="14"/>
          <w:szCs w:val="14"/>
          <w:i w:val="1"/>
          <w:iCs w:val="1"/>
          <w:color w:val="auto"/>
        </w:rPr>
        <w:t xml:space="preserve"> </w:t>
      </w:r>
      <w:r>
        <w:rPr>
          <w:rFonts w:ascii="Arial" w:cs="Arial" w:eastAsia="Arial" w:hAnsi="Arial"/>
          <w:sz w:val="14"/>
          <w:szCs w:val="14"/>
          <w:color w:val="auto"/>
        </w:rPr>
        <w:t>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2" w:lineRule="exact"/>
        <w:rPr>
          <w:rFonts w:ascii="Arial" w:cs="Arial" w:eastAsia="Arial" w:hAnsi="Arial"/>
          <w:sz w:val="14"/>
          <w:szCs w:val="14"/>
          <w:color w:val="auto"/>
        </w:rPr>
      </w:pPr>
    </w:p>
    <w:p>
      <w:pPr>
        <w:ind w:left="640" w:hanging="322"/>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1" w:lineRule="exact"/>
        <w:rPr>
          <w:rFonts w:ascii="Arial" w:cs="Arial" w:eastAsia="Arial" w:hAnsi="Arial"/>
          <w:sz w:val="13"/>
          <w:szCs w:val="13"/>
          <w:color w:val="auto"/>
        </w:rPr>
      </w:pPr>
    </w:p>
    <w:p>
      <w:pPr>
        <w:ind w:left="640" w:hanging="322"/>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Source: Bloomberg</w:t>
      </w:r>
    </w:p>
    <w:p>
      <w:pPr>
        <w:spacing w:after="0" w:line="16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2022 and 2021 compared to the prior year period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4"/>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2022 vs 2021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Portfolio</w:t>
            </w:r>
          </w:p>
        </w:tc>
        <w:tc>
          <w:tcPr>
            <w:tcW w:w="320" w:type="dxa"/>
            <w:vAlign w:val="bottom"/>
          </w:tcPr>
          <w:p>
            <w:pPr>
              <w:spacing w:after="0"/>
              <w:rPr>
                <w:sz w:val="11"/>
                <w:szCs w:val="11"/>
                <w:color w:val="auto"/>
              </w:rPr>
            </w:pPr>
          </w:p>
        </w:tc>
        <w:tc>
          <w:tcPr>
            <w:tcW w:w="1100" w:type="dxa"/>
            <w:vAlign w:val="bottom"/>
          </w:tcPr>
          <w:p>
            <w:pPr>
              <w:ind w:left="240"/>
              <w:spacing w:after="0" w:line="135"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7"/>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center"/>
              <w:ind w:left="710"/>
              <w:spacing w:after="0"/>
              <w:rPr>
                <w:sz w:val="20"/>
                <w:szCs w:val="20"/>
                <w:color w:val="auto"/>
              </w:rPr>
            </w:pPr>
            <w:r>
              <w:rPr>
                <w:rFonts w:ascii="Arial" w:cs="Arial" w:eastAsia="Arial" w:hAnsi="Arial"/>
                <w:sz w:val="14"/>
                <w:szCs w:val="14"/>
                <w:color w:val="auto"/>
                <w:w w:val="85"/>
              </w:rPr>
              <w:t>370</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center"/>
              <w:ind w:left="690"/>
              <w:spacing w:after="0"/>
              <w:rPr>
                <w:sz w:val="20"/>
                <w:szCs w:val="20"/>
                <w:color w:val="auto"/>
              </w:rPr>
            </w:pPr>
            <w:r>
              <w:rPr>
                <w:rFonts w:ascii="Arial" w:cs="Arial" w:eastAsia="Arial" w:hAnsi="Arial"/>
                <w:sz w:val="14"/>
                <w:szCs w:val="14"/>
                <w:color w:val="auto"/>
                <w:w w:val="91"/>
              </w:rPr>
              <w:t>(142)</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710"/>
              <w:spacing w:after="0"/>
              <w:rPr>
                <w:sz w:val="20"/>
                <w:szCs w:val="20"/>
                <w:color w:val="auto"/>
              </w:rPr>
            </w:pPr>
            <w:r>
              <w:rPr>
                <w:rFonts w:ascii="Arial" w:cs="Arial" w:eastAsia="Arial" w:hAnsi="Arial"/>
                <w:sz w:val="14"/>
                <w:szCs w:val="14"/>
                <w:color w:val="auto"/>
                <w:w w:val="85"/>
              </w:rPr>
              <w:t>228</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710"/>
              <w:spacing w:after="0"/>
              <w:rPr>
                <w:sz w:val="20"/>
                <w:szCs w:val="20"/>
                <w:color w:val="auto"/>
              </w:rPr>
            </w:pPr>
            <w:r>
              <w:rPr>
                <w:rFonts w:ascii="Arial" w:cs="Arial" w:eastAsia="Arial" w:hAnsi="Arial"/>
                <w:sz w:val="14"/>
                <w:szCs w:val="14"/>
                <w:color w:val="auto"/>
                <w:w w:val="85"/>
              </w:rPr>
              <w:t>381</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4"/>
                <w:szCs w:val="14"/>
                <w:color w:val="auto"/>
                <w:w w:val="85"/>
              </w:rPr>
              <w:t>609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2021 vs 2020</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0"/>
              </w:rPr>
              <w:t>Portfolio</w:t>
            </w:r>
          </w:p>
        </w:tc>
        <w:tc>
          <w:tcPr>
            <w:tcW w:w="320" w:type="dxa"/>
            <w:vAlign w:val="bottom"/>
          </w:tcPr>
          <w:p>
            <w:pPr>
              <w:spacing w:after="0"/>
              <w:rPr>
                <w:sz w:val="11"/>
                <w:szCs w:val="11"/>
                <w:color w:val="auto"/>
              </w:rPr>
            </w:pPr>
          </w:p>
        </w:tc>
        <w:tc>
          <w:tcPr>
            <w:tcW w:w="1100" w:type="dxa"/>
            <w:vAlign w:val="bottom"/>
          </w:tcPr>
          <w:p>
            <w:pPr>
              <w:jc w:val="right"/>
              <w:ind w:right="470"/>
              <w:spacing w:after="0" w:line="127"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7"/>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4"/>
                <w:szCs w:val="14"/>
                <w:color w:val="auto"/>
                <w:w w:val="91"/>
              </w:rPr>
              <w:t>(158)</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center"/>
              <w:ind w:left="810"/>
              <w:spacing w:after="0"/>
              <w:rPr>
                <w:sz w:val="20"/>
                <w:szCs w:val="20"/>
                <w:color w:val="auto"/>
              </w:rPr>
            </w:pPr>
            <w:r>
              <w:rPr>
                <w:rFonts w:ascii="Arial" w:cs="Arial" w:eastAsia="Arial" w:hAnsi="Arial"/>
                <w:sz w:val="14"/>
                <w:szCs w:val="14"/>
                <w:color w:val="auto"/>
                <w:w w:val="91"/>
              </w:rPr>
              <w:t>(553)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4"/>
                <w:szCs w:val="14"/>
                <w:color w:val="auto"/>
                <w:w w:val="85"/>
              </w:rPr>
              <w:t>(711)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850"/>
              <w:spacing w:after="0"/>
              <w:rPr>
                <w:sz w:val="20"/>
                <w:szCs w:val="20"/>
                <w:color w:val="auto"/>
              </w:rPr>
            </w:pPr>
            <w:r>
              <w:rPr>
                <w:rFonts w:ascii="Arial" w:cs="Arial" w:eastAsia="Arial" w:hAnsi="Arial"/>
                <w:sz w:val="14"/>
                <w:szCs w:val="14"/>
                <w:color w:val="auto"/>
                <w:w w:val="94"/>
              </w:rPr>
              <w:t>163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4"/>
                <w:szCs w:val="14"/>
                <w:color w:val="auto"/>
                <w:w w:val="91"/>
              </w:rPr>
              <w:t>(548)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Our average investment portfolio, inclusive of TBAs (at cost), decreased 18% and 10% for fiscal years 2022 and 2021, respectively, primarily due to declines in stockholders' equity. The average yield on our investment portfolio, including TBA implied asset yields and excluding "catch-up" premium amortization, increased 88 basis points for fiscal year 2022. The increase was due to the combination of a higher average coupon on our portfolio as a result of portfolio repositioning up in coupon during the year and slower CPR projections due to higher interest rates. For fiscal year 2021, our average yield decreased 38 basis points due to a lower average coupon and faster CPR projections.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w:t>
      </w:r>
    </w:p>
    <w:p>
      <w:pPr>
        <w:spacing w:after="0" w:line="170" w:lineRule="exact"/>
        <w:rPr>
          <w:sz w:val="20"/>
          <w:szCs w:val="20"/>
          <w:color w:val="auto"/>
        </w:rPr>
      </w:pPr>
    </w:p>
    <w:p>
      <w:pPr>
        <w:jc w:val="both"/>
        <w:ind w:firstLine="431"/>
        <w:spacing w:after="0" w:line="297"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01"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for further discussion of TBA securities and dollar roll transactions). Repurchase agreements used to fund short-term investments in U.S.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right"/>
              <w:spacing w:after="0"/>
              <w:rPr>
                <w:sz w:val="20"/>
                <w:szCs w:val="20"/>
                <w:color w:val="auto"/>
              </w:rPr>
            </w:pPr>
            <w:r>
              <w:rPr>
                <w:rFonts w:ascii="Arial" w:cs="Arial" w:eastAsia="Arial" w:hAnsi="Arial"/>
                <w:sz w:val="12"/>
                <w:szCs w:val="12"/>
                <w:b w:val="1"/>
                <w:bCs w:val="1"/>
                <w:color w:val="auto"/>
              </w:rPr>
              <w:t>Repurchase Agreements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right"/>
              <w:ind w:right="412"/>
              <w:spacing w:after="0"/>
              <w:rPr>
                <w:sz w:val="20"/>
                <w:szCs w:val="20"/>
                <w:color w:val="auto"/>
              </w:rPr>
            </w:pPr>
            <w:r>
              <w:rPr>
                <w:rFonts w:ascii="Arial" w:cs="Arial" w:eastAsia="Arial" w:hAnsi="Arial"/>
                <w:sz w:val="12"/>
                <w:szCs w:val="12"/>
                <w:b w:val="1"/>
                <w:bCs w:val="1"/>
                <w:color w:val="auto"/>
              </w:rPr>
              <w:t>Net TBA Position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Tangible Net Book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4"/>
          </w:tcPr>
          <w:p>
            <w:pPr>
              <w:jc w:val="center"/>
              <w:ind w:right="20"/>
              <w:spacing w:after="0" w:line="118"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jc w:val="right"/>
              <w:ind w:right="492"/>
              <w:spacing w:after="0" w:line="118"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3"/>
                <w:szCs w:val="13"/>
                <w:b w:val="1"/>
                <w:bCs w:val="1"/>
                <w:color w:val="auto"/>
                <w:vertAlign w:val="superscript"/>
              </w:rPr>
              <w:t>2</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5" w:lineRule="exact"/>
              <w:rPr>
                <w:sz w:val="20"/>
                <w:szCs w:val="20"/>
                <w:color w:val="auto"/>
              </w:rPr>
            </w:pPr>
            <w:r>
              <w:rPr>
                <w:rFonts w:ascii="Arial" w:cs="Arial" w:eastAsia="Arial" w:hAnsi="Arial"/>
                <w:sz w:val="9"/>
                <w:szCs w:val="9"/>
                <w:b w:val="1"/>
                <w:bCs w:val="1"/>
                <w:color w:val="auto"/>
              </w:rPr>
              <w:t>Average Tangible Net</w:t>
            </w:r>
          </w:p>
        </w:tc>
        <w:tc>
          <w:tcPr>
            <w:tcW w:w="130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Value "At Risk"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2"/>
              <w:spacing w:after="0"/>
              <w:rPr>
                <w:sz w:val="20"/>
                <w:szCs w:val="20"/>
                <w:color w:val="auto"/>
              </w:rPr>
            </w:pPr>
            <w:r>
              <w:rPr>
                <w:rFonts w:ascii="Arial" w:cs="Arial" w:eastAsia="Arial" w:hAnsi="Arial"/>
                <w:sz w:val="12"/>
                <w:szCs w:val="12"/>
                <w:b w:val="1"/>
                <w:bCs w:val="1"/>
                <w:color w:val="auto"/>
                <w:w w:val="95"/>
              </w:rPr>
              <w:t>Average Daily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Maximum</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Ending</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0"/>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Ending</w:t>
            </w: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w w:val="91"/>
              </w:rPr>
              <w:t>Book Value</w:t>
            </w:r>
          </w:p>
        </w:tc>
        <w:tc>
          <w:tcPr>
            <w:tcW w:w="13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Leverage</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w w:val="95"/>
              </w:rPr>
              <w:t>"At Risk" Leverage</w:t>
            </w:r>
          </w:p>
        </w:tc>
        <w:tc>
          <w:tcPr>
            <w:tcW w:w="13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83"/>
        </w:trPr>
        <w:tc>
          <w:tcPr>
            <w:tcW w:w="3560" w:type="dxa"/>
            <w:vAlign w:val="bottom"/>
            <w:gridSpan w:val="2"/>
          </w:tcPr>
          <w:p>
            <w:pPr>
              <w:spacing w:after="0"/>
              <w:rPr>
                <w:sz w:val="20"/>
                <w:szCs w:val="20"/>
                <w:color w:val="auto"/>
              </w:rPr>
            </w:pPr>
            <w:r>
              <w:rPr>
                <w:rFonts w:ascii="Arial" w:cs="Arial" w:eastAsia="Arial" w:hAnsi="Arial"/>
                <w:sz w:val="12"/>
                <w:szCs w:val="12"/>
                <w:b w:val="1"/>
                <w:bCs w:val="1"/>
                <w:color w:val="auto"/>
              </w:rPr>
              <w:t>Quarter Ended</w:t>
            </w:r>
          </w:p>
        </w:tc>
        <w:tc>
          <w:tcPr>
            <w:tcW w:w="140" w:type="dxa"/>
            <w:vAlign w:val="bottom"/>
          </w:tcPr>
          <w:p>
            <w:pPr>
              <w:spacing w:after="0"/>
              <w:rPr>
                <w:sz w:val="15"/>
                <w:szCs w:val="15"/>
                <w:color w:val="auto"/>
              </w:rPr>
            </w:pPr>
          </w:p>
        </w:tc>
        <w:tc>
          <w:tcPr>
            <w:tcW w:w="720" w:type="dxa"/>
            <w:vAlign w:val="bottom"/>
          </w:tcPr>
          <w:p>
            <w:pPr>
              <w:jc w:val="right"/>
              <w:ind w:right="172"/>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Daily Amount</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 xml:space="preserve">during the Period </w:t>
            </w:r>
            <w:r>
              <w:rPr>
                <w:rFonts w:ascii="Arial" w:cs="Arial" w:eastAsia="Arial" w:hAnsi="Arial"/>
                <w:sz w:val="15"/>
                <w:szCs w:val="15"/>
                <w:b w:val="1"/>
                <w:bCs w:val="1"/>
                <w:color w:val="auto"/>
                <w:w w:val="90"/>
                <w:vertAlign w:val="superscript"/>
              </w:rPr>
              <w:t>3</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Period End </w:t>
            </w:r>
            <w:r>
              <w:rPr>
                <w:rFonts w:ascii="Arial" w:cs="Arial" w:eastAsia="Arial" w:hAnsi="Arial"/>
                <w:sz w:val="15"/>
                <w:szCs w:val="15"/>
                <w:b w:val="1"/>
                <w:bCs w:val="1"/>
                <w:color w:val="auto"/>
                <w:w w:val="91"/>
                <w:vertAlign w:val="superscript"/>
              </w:rPr>
              <w:t>4</w:t>
            </w:r>
          </w:p>
        </w:tc>
        <w:tc>
          <w:tcPr>
            <w:tcW w:w="0" w:type="dxa"/>
            <w:vAlign w:val="bottom"/>
          </w:tcPr>
          <w:p>
            <w:pPr>
              <w:spacing w:after="0"/>
              <w:rPr>
                <w:sz w:val="1"/>
                <w:szCs w:val="1"/>
                <w:color w:val="auto"/>
              </w:rPr>
            </w:pPr>
          </w:p>
        </w:tc>
      </w:tr>
      <w:tr>
        <w:trPr>
          <w:trHeight w:val="189"/>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December 31, 2022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35,486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39,399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4"/>
                <w:szCs w:val="14"/>
                <w:color w:val="auto"/>
              </w:rPr>
              <w:t>September 30, 2022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40,530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41,834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39,169</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20,331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19,116</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8.1:1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8.7:1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42,997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16,001</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4"/>
                <w:szCs w:val="14"/>
                <w:color w:val="auto"/>
              </w:rPr>
              <w:t>March 31, 2022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46,570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47,940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44,150</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23,605</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20,152</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46,999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27,622</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4"/>
                <w:szCs w:val="14"/>
                <w:color w:val="auto"/>
              </w:rPr>
              <w:t>September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45,847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49,021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45,723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30,312</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28,912</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52,374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27,611</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7.9:1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4"/>
                <w:szCs w:val="14"/>
                <w:color w:val="auto"/>
              </w:rPr>
              <w:t>March 31,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54,602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57,153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55,221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32,022</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25,355</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8.0:1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7.7:1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53,645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55,249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31,204</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8.4:1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4"/>
                <w:szCs w:val="14"/>
                <w:color w:val="auto"/>
              </w:rPr>
              <w:t>September 30, 2020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61,008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69,628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54,558</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27,785</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29,460</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8.9:1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8.8:1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69,552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72,399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20,413</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8.8:1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9.2:1</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rPr>
                <w:sz w:val="20"/>
                <w:szCs w:val="20"/>
                <w:color w:val="auto"/>
              </w:rPr>
            </w:pPr>
            <w:r>
              <w:rPr>
                <w:rFonts w:ascii="Arial" w:cs="Arial" w:eastAsia="Arial" w:hAnsi="Arial"/>
                <w:sz w:val="14"/>
                <w:szCs w:val="14"/>
                <w:color w:val="auto"/>
              </w:rPr>
              <w:t>March 31, 2020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93,538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104,773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63,241</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20,648</w:t>
            </w:r>
          </w:p>
        </w:tc>
        <w:tc>
          <w:tcPr>
            <w:tcW w:w="14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9.9:1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9.4:1</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6" w:name="page37"/>
    <w:bookmarkEnd w:id="36"/>
    <w:p>
      <w:pPr>
        <w:ind w:left="640" w:hanging="32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7" w:lineRule="exact"/>
        <w:rPr>
          <w:rFonts w:ascii="Arial" w:cs="Arial" w:eastAsia="Arial" w:hAnsi="Arial"/>
          <w:sz w:val="14"/>
          <w:szCs w:val="14"/>
          <w:color w:val="auto"/>
        </w:rPr>
      </w:pPr>
    </w:p>
    <w:p>
      <w:pPr>
        <w:ind w:left="640" w:hanging="32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 Includes forward settling non-Agency securities.</w:t>
      </w:r>
    </w:p>
    <w:p>
      <w:pPr>
        <w:spacing w:after="0" w:line="8" w:lineRule="exact"/>
        <w:rPr>
          <w:rFonts w:ascii="Arial" w:cs="Arial" w:eastAsia="Arial" w:hAnsi="Arial"/>
          <w:sz w:val="14"/>
          <w:szCs w:val="14"/>
          <w:color w:val="auto"/>
        </w:rPr>
      </w:pPr>
    </w:p>
    <w:p>
      <w:pPr>
        <w:ind w:left="640" w:hanging="322"/>
        <w:spacing w:after="0" w:line="284" w:lineRule="auto"/>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40" w:hanging="322"/>
        <w:spacing w:after="0" w:line="259"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Expense and Aggregate Cost of Funds</w:t>
      </w:r>
    </w:p>
    <w:p>
      <w:pPr>
        <w:spacing w:after="0" w:line="17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fiscal years 2022, 2021 and 2020 (dollars in millions), which includes the combination of interest expense on Agency repurchase agreements and other debt (GAAP measure), implied financing cost (benefit) of our TBA securities and interest rate swap periodic cost (benefit):</w:t>
      </w:r>
    </w:p>
    <w:p>
      <w:pPr>
        <w:spacing w:after="0" w:line="2"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ind w:left="4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182"/>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2020</w:t>
            </w:r>
          </w:p>
        </w:tc>
      </w:tr>
      <w:tr>
        <w:trPr>
          <w:trHeight w:val="196"/>
        </w:trPr>
        <w:tc>
          <w:tcPr>
            <w:tcW w:w="5280" w:type="dxa"/>
            <w:vAlign w:val="bottom"/>
            <w:gridSpan w:val="2"/>
          </w:tcPr>
          <w:p>
            <w:pPr>
              <w:spacing w:after="0" w:line="196" w:lineRule="exact"/>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7"/>
              </w:rPr>
              <w:t>Cost of Funds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Cost of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Cost of Funds</w:t>
            </w:r>
          </w:p>
        </w:tc>
      </w:tr>
      <w:tr>
        <w:trPr>
          <w:trHeight w:val="18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4"/>
                <w:szCs w:val="14"/>
                <w:color w:val="auto"/>
                <w:w w:val="85"/>
              </w:rPr>
              <w:t>625</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674</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0.96 %</w:t>
            </w:r>
          </w:p>
        </w:tc>
      </w:tr>
      <w:tr>
        <w:trPr>
          <w:trHeight w:val="196"/>
        </w:trPr>
        <w:tc>
          <w:tcPr>
            <w:tcW w:w="52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color w:val="auto"/>
                <w:w w:val="85"/>
              </w:rPr>
              <w:t>228</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r>
      <w:tr>
        <w:trPr>
          <w:trHeight w:val="189"/>
        </w:trPr>
        <w:tc>
          <w:tcPr>
            <w:tcW w:w="52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w w:val="99"/>
              </w:rPr>
              <w:t xml:space="preserve">Economic interest expense - before interest rate swap periodic cost (income), net </w:t>
            </w:r>
            <w:r>
              <w:rPr>
                <w:rFonts w:ascii="Arial" w:cs="Arial" w:eastAsia="Arial" w:hAnsi="Arial"/>
                <w:sz w:val="18"/>
                <w:szCs w:val="18"/>
                <w:color w:val="auto"/>
                <w:w w:val="99"/>
                <w:vertAlign w:val="superscript"/>
              </w:rPr>
              <w:t>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270"/>
              <w:spacing w:after="0"/>
              <w:rPr>
                <w:sz w:val="20"/>
                <w:szCs w:val="20"/>
                <w:color w:val="auto"/>
              </w:rPr>
            </w:pPr>
            <w:r>
              <w:rPr>
                <w:rFonts w:ascii="Arial" w:cs="Arial" w:eastAsia="Arial" w:hAnsi="Arial"/>
                <w:sz w:val="14"/>
                <w:szCs w:val="14"/>
                <w:color w:val="auto"/>
                <w:w w:val="85"/>
              </w:rPr>
              <w:t>853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0.67 %</w:t>
            </w:r>
          </w:p>
        </w:tc>
      </w:tr>
      <w:tr>
        <w:trPr>
          <w:trHeight w:val="196"/>
        </w:trPr>
        <w:tc>
          <w:tcPr>
            <w:tcW w:w="52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2,5</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250"/>
              <w:spacing w:after="0"/>
              <w:rPr>
                <w:sz w:val="20"/>
                <w:szCs w:val="20"/>
                <w:color w:val="auto"/>
              </w:rPr>
            </w:pPr>
            <w:r>
              <w:rPr>
                <w:rFonts w:ascii="Arial" w:cs="Arial" w:eastAsia="Arial" w:hAnsi="Arial"/>
                <w:sz w:val="14"/>
                <w:szCs w:val="14"/>
                <w:color w:val="auto"/>
                <w:w w:val="91"/>
              </w:rPr>
              <w:t>(598)</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0.05 %</w:t>
            </w:r>
          </w:p>
        </w:tc>
      </w:tr>
      <w:tr>
        <w:trPr>
          <w:trHeight w:val="214"/>
        </w:trPr>
        <w:tc>
          <w:tcPr>
            <w:tcW w:w="5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4"/>
                <w:szCs w:val="14"/>
                <w:color w:val="auto"/>
                <w:w w:val="85"/>
              </w:rPr>
              <w:t>255</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662</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line="250"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40" w:hanging="32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8" w:lineRule="exact"/>
        <w:rPr>
          <w:rFonts w:ascii="Arial" w:cs="Arial" w:eastAsia="Arial" w:hAnsi="Arial"/>
          <w:sz w:val="14"/>
          <w:szCs w:val="14"/>
          <w:color w:val="auto"/>
        </w:rPr>
      </w:pPr>
    </w:p>
    <w:p>
      <w:pPr>
        <w:jc w:val="both"/>
        <w:ind w:left="640" w:hanging="322"/>
        <w:spacing w:after="0" w:line="248"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40" w:hanging="322"/>
        <w:spacing w:after="0" w:line="246"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40" w:hanging="32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 rate swap periodic income/cost is measured as a percent of average mortgage borrowings outstanding for the period.</w:t>
      </w:r>
    </w:p>
    <w:p>
      <w:pPr>
        <w:spacing w:after="0" w:line="238"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2022 and 2021 compared to the prior year period (in millions):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27940</wp:posOffset>
            </wp:positionV>
            <wp:extent cx="6704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4965" cy="825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p>
      <w:pPr>
        <w:spacing w:after="0" w:line="38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Fiscal Year 2022 vs 2021</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Repurchase agreements and other debt interest expense</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TBA dollar roll income - implied interest benefit/expense</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 periodic income/cost</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change in economic interest benefit/expense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4"/>
          </w:tcPr>
          <w:p>
            <w:pPr>
              <w:ind w:left="54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Total Increase /</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1"/>
              </w:rPr>
              <w:t>Borrowing / Swap</w:t>
            </w:r>
          </w:p>
        </w:tc>
        <w:tc>
          <w:tcPr>
            <w:tcW w:w="120" w:type="dxa"/>
            <w:vAlign w:val="bottom"/>
          </w:tcPr>
          <w:p>
            <w:pPr>
              <w:spacing w:after="0"/>
              <w:rPr>
                <w:sz w:val="11"/>
                <w:szCs w:val="11"/>
                <w:color w:val="auto"/>
              </w:rPr>
            </w:pPr>
          </w:p>
        </w:tc>
        <w:tc>
          <w:tcPr>
            <w:tcW w:w="1260" w:type="dxa"/>
            <w:vAlign w:val="bottom"/>
          </w:tcPr>
          <w:p>
            <w:pPr>
              <w:jc w:val="center"/>
              <w:ind w:right="50"/>
              <w:spacing w:after="0" w:line="127" w:lineRule="exact"/>
              <w:rPr>
                <w:sz w:val="20"/>
                <w:szCs w:val="20"/>
                <w:color w:val="auto"/>
              </w:rPr>
            </w:pPr>
            <w:r>
              <w:rPr>
                <w:rFonts w:ascii="Arial" w:cs="Arial" w:eastAsia="Arial" w:hAnsi="Arial"/>
                <w:sz w:val="14"/>
                <w:szCs w:val="14"/>
                <w:b w:val="1"/>
                <w:bCs w:val="1"/>
                <w:color w:val="auto"/>
                <w:w w:val="89"/>
              </w:rPr>
              <w:t>Borrowing / Swap</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(Decrease)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260" w:type="dxa"/>
            <w:vAlign w:val="bottom"/>
          </w:tcPr>
          <w:p>
            <w:pPr>
              <w:jc w:val="center"/>
              <w:ind w:right="3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76"/>
        </w:trPr>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center"/>
              <w:ind w:left="830"/>
              <w:spacing w:after="0"/>
              <w:rPr>
                <w:sz w:val="20"/>
                <w:szCs w:val="20"/>
                <w:color w:val="auto"/>
              </w:rPr>
            </w:pPr>
            <w:r>
              <w:rPr>
                <w:rFonts w:ascii="Arial" w:cs="Arial" w:eastAsia="Arial" w:hAnsi="Arial"/>
                <w:sz w:val="14"/>
                <w:szCs w:val="14"/>
                <w:color w:val="auto"/>
                <w:w w:val="85"/>
              </w:rPr>
              <w:t>550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center"/>
              <w:ind w:left="870"/>
              <w:spacing w:after="0"/>
              <w:rPr>
                <w:sz w:val="20"/>
                <w:szCs w:val="20"/>
                <w:color w:val="auto"/>
              </w:rPr>
            </w:pPr>
            <w:r>
              <w:rPr>
                <w:rFonts w:ascii="Arial" w:cs="Arial" w:eastAsia="Arial" w:hAnsi="Arial"/>
                <w:sz w:val="14"/>
                <w:szCs w:val="14"/>
                <w:color w:val="auto"/>
                <w:w w:val="85"/>
              </w:rPr>
              <w:t>563</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1220" w:type="dxa"/>
            <w:vAlign w:val="bottom"/>
          </w:tcPr>
          <w:p>
            <w:pPr>
              <w:jc w:val="center"/>
              <w:ind w:left="830"/>
              <w:spacing w:after="0"/>
              <w:rPr>
                <w:sz w:val="20"/>
                <w:szCs w:val="20"/>
                <w:color w:val="auto"/>
              </w:rPr>
            </w:pPr>
            <w:r>
              <w:rPr>
                <w:rFonts w:ascii="Arial" w:cs="Arial" w:eastAsia="Arial" w:hAnsi="Arial"/>
                <w:sz w:val="14"/>
                <w:szCs w:val="14"/>
                <w:color w:val="auto"/>
                <w:w w:val="85"/>
              </w:rPr>
              <w:t>356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left="870"/>
              <w:spacing w:after="0"/>
              <w:rPr>
                <w:sz w:val="20"/>
                <w:szCs w:val="20"/>
                <w:color w:val="auto"/>
              </w:rPr>
            </w:pPr>
            <w:r>
              <w:rPr>
                <w:rFonts w:ascii="Arial" w:cs="Arial" w:eastAsia="Arial" w:hAnsi="Arial"/>
                <w:sz w:val="14"/>
                <w:szCs w:val="14"/>
                <w:color w:val="auto"/>
                <w:w w:val="85"/>
              </w:rPr>
              <w:t>316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220" w:type="dxa"/>
            <w:vAlign w:val="bottom"/>
          </w:tcPr>
          <w:p>
            <w:pPr>
              <w:jc w:val="center"/>
              <w:ind w:left="810"/>
              <w:spacing w:after="0"/>
              <w:rPr>
                <w:sz w:val="20"/>
                <w:szCs w:val="20"/>
                <w:color w:val="auto"/>
              </w:rPr>
            </w:pPr>
            <w:r>
              <w:rPr>
                <w:rFonts w:ascii="Arial" w:cs="Arial" w:eastAsia="Arial" w:hAnsi="Arial"/>
                <w:sz w:val="14"/>
                <w:szCs w:val="14"/>
                <w:color w:val="auto"/>
                <w:w w:val="91"/>
              </w:rPr>
              <w:t>(658)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850"/>
              <w:spacing w:after="0"/>
              <w:rPr>
                <w:sz w:val="20"/>
                <w:szCs w:val="20"/>
                <w:color w:val="auto"/>
              </w:rPr>
            </w:pPr>
            <w:r>
              <w:rPr>
                <w:rFonts w:ascii="Arial" w:cs="Arial" w:eastAsia="Arial" w:hAnsi="Arial"/>
                <w:sz w:val="14"/>
                <w:szCs w:val="14"/>
                <w:color w:val="auto"/>
                <w:w w:val="91"/>
              </w:rPr>
              <w:t>(659)</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center"/>
              <w:ind w:left="830"/>
              <w:spacing w:after="0"/>
              <w:rPr>
                <w:sz w:val="20"/>
                <w:szCs w:val="20"/>
                <w:color w:val="auto"/>
              </w:rPr>
            </w:pPr>
            <w:r>
              <w:rPr>
                <w:rFonts w:ascii="Arial" w:cs="Arial" w:eastAsia="Arial" w:hAnsi="Arial"/>
                <w:sz w:val="14"/>
                <w:szCs w:val="14"/>
                <w:color w:val="auto"/>
                <w:w w:val="85"/>
              </w:rPr>
              <w:t>248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center"/>
              <w:ind w:left="870"/>
              <w:spacing w:after="0"/>
              <w:rPr>
                <w:sz w:val="20"/>
                <w:szCs w:val="20"/>
                <w:color w:val="auto"/>
              </w:rPr>
            </w:pPr>
            <w:r>
              <w:rPr>
                <w:rFonts w:ascii="Arial" w:cs="Arial" w:eastAsia="Arial" w:hAnsi="Arial"/>
                <w:sz w:val="14"/>
                <w:szCs w:val="14"/>
                <w:color w:val="auto"/>
                <w:w w:val="85"/>
              </w:rPr>
              <w:t>220</w:t>
            </w:r>
          </w:p>
        </w:tc>
        <w:tc>
          <w:tcPr>
            <w:tcW w:w="0" w:type="dxa"/>
            <w:vAlign w:val="bottom"/>
          </w:tcPr>
          <w:p>
            <w:pPr>
              <w:spacing w:after="0"/>
              <w:rPr>
                <w:sz w:val="1"/>
                <w:szCs w:val="1"/>
                <w:color w:val="auto"/>
              </w:rPr>
            </w:pPr>
          </w:p>
        </w:tc>
      </w:tr>
      <w:tr>
        <w:trPr>
          <w:trHeight w:val="26"/>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-289560</wp:posOffset>
            </wp:positionV>
            <wp:extent cx="6704965" cy="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4965" cy="12446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-15875</wp:posOffset>
            </wp:positionV>
            <wp:extent cx="6704965"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4965" cy="132715"/>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-547370</wp:posOffset>
            </wp:positionV>
            <wp:extent cx="6704965"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4965" cy="13271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820" w:space="720"/>
            <w:col w:w="4700"/>
          </w:cols>
          <w:pgMar w:left="320" w:top="866" w:right="339" w:bottom="1440" w:gutter="0" w:footer="0" w:header="0"/>
          <w:type w:val="continuous"/>
        </w:sectPr>
      </w:pPr>
    </w:p>
    <w:p>
      <w:pPr>
        <w:ind w:left="8700"/>
        <w:spacing w:after="0"/>
        <w:rPr>
          <w:sz w:val="20"/>
          <w:szCs w:val="20"/>
          <w:color w:val="auto"/>
        </w:rPr>
      </w:pPr>
      <w:r>
        <w:rPr>
          <w:rFonts w:ascii="Arial" w:cs="Arial" w:eastAsia="Arial" w:hAnsi="Arial"/>
          <w:sz w:val="14"/>
          <w:szCs w:val="14"/>
          <w:b w:val="1"/>
          <w:bCs w:val="1"/>
          <w:color w:val="auto"/>
        </w:rPr>
        <w:t>Due to Change in Average</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47"/>
        </w:trPr>
        <w:tc>
          <w:tcPr>
            <w:tcW w:w="620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2021 vs 2020</w:t>
            </w:r>
          </w:p>
        </w:tc>
        <w:tc>
          <w:tcPr>
            <w:tcW w:w="1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Total Increase /</w:t>
            </w: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90"/>
              <w:spacing w:after="0" w:line="147" w:lineRule="exact"/>
              <w:rPr>
                <w:sz w:val="20"/>
                <w:szCs w:val="20"/>
                <w:color w:val="auto"/>
              </w:rPr>
            </w:pPr>
            <w:r>
              <w:rPr>
                <w:rFonts w:ascii="Arial" w:cs="Arial" w:eastAsia="Arial" w:hAnsi="Arial"/>
                <w:sz w:val="14"/>
                <w:szCs w:val="14"/>
                <w:b w:val="1"/>
                <w:bCs w:val="1"/>
                <w:color w:val="auto"/>
                <w:w w:val="91"/>
              </w:rPr>
              <w:t>Borrowing / Swap</w:t>
            </w:r>
          </w:p>
        </w:tc>
        <w:tc>
          <w:tcPr>
            <w:tcW w:w="0" w:type="dxa"/>
            <w:vAlign w:val="bottom"/>
          </w:tcPr>
          <w:p>
            <w:pPr>
              <w:spacing w:after="0"/>
              <w:rPr>
                <w:sz w:val="1"/>
                <w:szCs w:val="1"/>
                <w:color w:val="auto"/>
              </w:rPr>
            </w:pPr>
          </w:p>
        </w:tc>
      </w:tr>
      <w:tr>
        <w:trPr>
          <w:trHeight w:val="192"/>
        </w:trPr>
        <w:tc>
          <w:tcPr>
            <w:tcW w:w="6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(Decrease)</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0"/>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5"/>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rate swap periodic income/cost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firstLine="431"/>
        <w:spacing w:after="0" w:line="288" w:lineRule="auto"/>
        <w:rPr>
          <w:sz w:val="20"/>
          <w:szCs w:val="20"/>
          <w:color w:val="auto"/>
        </w:rPr>
      </w:pPr>
      <w:r>
        <w:rPr>
          <w:rFonts w:ascii="Arial" w:cs="Arial" w:eastAsia="Arial" w:hAnsi="Arial"/>
          <w:sz w:val="17"/>
          <w:szCs w:val="17"/>
          <w:color w:val="auto"/>
        </w:rPr>
        <w:t>Our average mortgage borrowings, inclusive of TBAs, decreased 22% and 12% for fiscal years 2022 and 2021, respectively, due to a decline in our asset base. The average interest rate on our mortgage borrowings increased 141 basis points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color w:val="auto"/>
        </w:rPr>
        <w:t>and decreased 73 basis points during fiscal years 2022 and 2021, respectively, primarily as a function of changes in short-term interest rates.</w:t>
      </w:r>
    </w:p>
    <w:p>
      <w:pPr>
        <w:spacing w:after="0" w:line="197" w:lineRule="exact"/>
        <w:rPr>
          <w:sz w:val="20"/>
          <w:szCs w:val="20"/>
          <w:color w:val="auto"/>
        </w:rPr>
      </w:pPr>
    </w:p>
    <w:p>
      <w:pPr>
        <w:jc w:val="both"/>
        <w:ind w:firstLine="431"/>
        <w:spacing w:after="0" w:line="265" w:lineRule="auto"/>
        <w:rPr>
          <w:sz w:val="20"/>
          <w:szCs w:val="20"/>
          <w:color w:val="auto"/>
        </w:rPr>
      </w:pPr>
      <w:r>
        <w:rPr>
          <w:rFonts w:ascii="Arial" w:cs="Arial" w:eastAsia="Arial" w:hAnsi="Arial"/>
          <w:sz w:val="17"/>
          <w:szCs w:val="17"/>
          <w:color w:val="auto"/>
        </w:rPr>
        <w:t>The decrease in our interest rate swap periodic cost for fiscal year 2022 was primarily due to higher receive rates on our pay-fixed swaps. The modest increase in our interest rate swap periodic cost for fiscal year 2021 was due to lower receive rates, which was partly offset by a decline in our average pay rate. The following is a summary of our average interest rate swaps outstanding and the related average swap pay and receive rates for fiscal years 2022, 2021 and 2020 (dollars in millions). Amounts exclude forward starting swaps not yet in effect.</w:t>
      </w:r>
    </w:p>
    <w:p>
      <w:pPr>
        <w:spacing w:after="0" w:line="2" w:lineRule="exact"/>
        <w:rPr>
          <w:sz w:val="20"/>
          <w:szCs w:val="20"/>
          <w:color w:val="auto"/>
        </w:rPr>
      </w:pPr>
    </w:p>
    <w:tbl>
      <w:tblPr>
        <w:tblLayout w:type="fixed"/>
        <w:tblInd w:w="540" w:type="dxa"/>
        <w:tblCellMar>
          <w:top w:w="0" w:type="dxa"/>
          <w:left w:w="0" w:type="dxa"/>
          <w:bottom w:w="0" w:type="dxa"/>
          <w:right w:w="0" w:type="dxa"/>
        </w:tblCellMar>
      </w:tblPr>
      <w:tr>
        <w:trPr>
          <w:trHeight w:val="182"/>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00" w:type="dxa"/>
            <w:vAlign w:val="bottom"/>
            <w:gridSpan w:val="2"/>
            <w:vMerge w:val="restart"/>
          </w:tcPr>
          <w:p>
            <w:pPr>
              <w:ind w:left="20"/>
              <w:spacing w:after="0" w:line="154" w:lineRule="exact"/>
              <w:rPr>
                <w:sz w:val="20"/>
                <w:szCs w:val="20"/>
                <w:color w:val="auto"/>
              </w:rPr>
            </w:pPr>
            <w:r>
              <w:rPr>
                <w:rFonts w:ascii="Arial" w:cs="Arial" w:eastAsia="Arial" w:hAnsi="Arial"/>
                <w:sz w:val="14"/>
                <w:szCs w:val="14"/>
                <w:b w:val="1"/>
                <w:bCs w:val="1"/>
                <w:color w:val="auto"/>
              </w:rPr>
              <w:t>Average Ratio of Interest Rate Swaps (Excluding Forward Starting Swaps) to Mortgage Borrowings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6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41,363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49,923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69,370</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dollar roll position outstanding - at cost</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20,631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29,851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21,224</w:t>
            </w:r>
          </w:p>
        </w:tc>
        <w:tc>
          <w:tcPr>
            <w:tcW w:w="0" w:type="dxa"/>
            <w:vAlign w:val="bottom"/>
          </w:tcPr>
          <w:p>
            <w:pPr>
              <w:spacing w:after="0"/>
              <w:rPr>
                <w:sz w:val="1"/>
                <w:szCs w:val="1"/>
                <w:color w:val="auto"/>
              </w:rPr>
            </w:pPr>
          </w:p>
        </w:tc>
      </w:tr>
      <w:tr>
        <w:trPr>
          <w:trHeight w:val="19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61,994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79,774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90,594</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49,334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48,634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49,978</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2" w:right="339" w:bottom="1440" w:gutter="0" w:footer="0" w:header="0"/>
        </w:sectPr>
      </w:pPr>
    </w:p>
    <w:p>
      <w:pPr>
        <w:spacing w:after="0" w:line="17"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-83820</wp:posOffset>
            </wp:positionV>
            <wp:extent cx="6464300" cy="124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4300" cy="124460"/>
                    </a:xfrm>
                    <a:prstGeom prst="rect">
                      <a:avLst/>
                    </a:prstGeom>
                    <a:noFill/>
                  </pic:spPr>
                </pic:pic>
              </a:graphicData>
            </a:graphic>
          </wp:anchor>
        </w:drawing>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25400</wp:posOffset>
            </wp:positionV>
            <wp:extent cx="6464300" cy="149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4300" cy="149225"/>
                    </a:xfrm>
                    <a:prstGeom prst="rect">
                      <a:avLst/>
                    </a:prstGeom>
                    <a:noFill/>
                  </pic:spPr>
                </pic:pic>
              </a:graphicData>
            </a:graphic>
          </wp:anchor>
        </w:drawing>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80" w:type="dxa"/>
            <w:vAlign w:val="bottom"/>
          </w:tcPr>
          <w:p>
            <w:pPr>
              <w:jc w:val="right"/>
              <w:spacing w:after="0"/>
              <w:rPr>
                <w:sz w:val="20"/>
                <w:szCs w:val="20"/>
                <w:color w:val="auto"/>
              </w:rPr>
            </w:pPr>
            <w:r>
              <w:rPr>
                <w:rFonts w:ascii="Arial" w:cs="Arial" w:eastAsia="Arial" w:hAnsi="Arial"/>
                <w:sz w:val="14"/>
                <w:szCs w:val="14"/>
                <w:color w:val="auto"/>
              </w:rPr>
              <w:t>0.25 %</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0.17 %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0.66 %</w:t>
            </w:r>
          </w:p>
        </w:tc>
      </w:tr>
      <w:tr>
        <w:trPr>
          <w:trHeight w:val="196"/>
        </w:trPr>
        <w:tc>
          <w:tcPr>
            <w:tcW w:w="108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(0.56)%</w:t>
            </w:r>
          </w:p>
        </w:tc>
      </w:tr>
      <w:tr>
        <w:trPr>
          <w:trHeight w:val="23"/>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0.12 %</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0.10 %</w:t>
            </w: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1042" w:right="339" w:bottom="1440" w:gutter="0" w:footer="0" w:header="0"/>
          <w:type w:val="continuous"/>
        </w:sectPr>
      </w:pPr>
    </w:p>
    <w:p>
      <w:pPr>
        <w:spacing w:after="0" w:line="49"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For fiscal years 2022, 2021 and 2020, we had an average forward starting swap balance of $48 million, $149 million and $784 million, respectively. Forward starting interest rate swaps do not impact our economic interest expense and aggregate cost of funds until they commence accruing net interest settlements on their forward start dates.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Spread</w:t>
      </w:r>
    </w:p>
    <w:p>
      <w:pPr>
        <w:spacing w:after="0" w:line="1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The following table presents a summary of our net interest spread (including the impact of TBA dollar roll income, interest rate swaps and excluding "catch-up" premium amortization) for fiscal years 2022, 2021 and 2020:</w:t>
      </w:r>
    </w:p>
    <w:p>
      <w:pPr>
        <w:spacing w:after="0" w:line="135" w:lineRule="exact"/>
        <w:rPr>
          <w:sz w:val="20"/>
          <w:szCs w:val="20"/>
          <w:color w:val="auto"/>
        </w:rPr>
      </w:pPr>
    </w:p>
    <w:tbl>
      <w:tblPr>
        <w:tblLayout w:type="fixed"/>
        <w:tblInd w:w="540" w:type="dxa"/>
        <w:tblCellMar>
          <w:top w:w="0" w:type="dxa"/>
          <w:left w:w="0" w:type="dxa"/>
          <w:bottom w:w="0" w:type="dxa"/>
          <w:right w:w="0" w:type="dxa"/>
        </w:tblCellMar>
      </w:tblPr>
      <w:tr>
        <w:trPr>
          <w:trHeight w:val="182"/>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700" w:type="dxa"/>
            <w:vAlign w:val="bottom"/>
            <w:gridSpan w:val="2"/>
            <w:vMerge w:val="continue"/>
          </w:tcPr>
          <w:p>
            <w:pPr>
              <w:spacing w:after="0"/>
              <w:rPr>
                <w:sz w:val="15"/>
                <w:szCs w:val="15"/>
                <w:color w:val="auto"/>
              </w:rPr>
            </w:pPr>
          </w:p>
        </w:tc>
        <w:tc>
          <w:tcPr>
            <w:tcW w:w="1080" w:type="dxa"/>
            <w:vAlign w:val="bottom"/>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0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100" w:type="dxa"/>
            <w:vAlign w:val="bottom"/>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Net Spread and Dollar Roll Income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following table presents a reconciliation of net spread and dollar roll income, excluding "catch-up" premium amortization, available to common stockholders (non-GAAP measure) from comprehensive income (loss) available (attributable) to common stockholders (the most comparable GAAP financial measure) for fiscal years 2022, 2021 and 2020 (dollars in millions):</w:t>
      </w:r>
    </w:p>
    <w:p>
      <w:pPr>
        <w:spacing w:after="0" w:line="83"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Fiscal Year</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2"/>
        </w:trPr>
        <w:tc>
          <w:tcPr>
            <w:tcW w:w="70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available (attributable) to common stockholders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Adjustments to exclude realized and unrealized (gains) losses reported through net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(gain) loss on sale of investment securities, net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87"/>
        </w:trPr>
        <w:tc>
          <w:tcPr>
            <w:tcW w:w="7020" w:type="dxa"/>
            <w:vAlign w:val="bottom"/>
          </w:tcPr>
          <w:p>
            <w:pPr>
              <w:ind w:left="120"/>
              <w:spacing w:after="0"/>
              <w:rPr>
                <w:sz w:val="20"/>
                <w:szCs w:val="20"/>
                <w:color w:val="auto"/>
              </w:rPr>
            </w:pPr>
            <w:r>
              <w:rPr>
                <w:rFonts w:ascii="Arial" w:cs="Arial" w:eastAsia="Arial" w:hAnsi="Arial"/>
                <w:sz w:val="14"/>
                <w:szCs w:val="14"/>
                <w:color w:val="auto"/>
              </w:rPr>
              <w:t>Unrealized (gain) loss on investment securities measured at fair value through net income, net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3,795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1,502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5"/>
        </w:trPr>
        <w:tc>
          <w:tcPr>
            <w:tcW w:w="7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loss on derivative instruments and other securities, net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w:t>
            </w:r>
          </w:p>
        </w:tc>
        <w:tc>
          <w:tcPr>
            <w:tcW w:w="0" w:type="dxa"/>
            <w:vAlign w:val="bottom"/>
          </w:tcPr>
          <w:p>
            <w:pPr>
              <w:spacing w:after="0"/>
              <w:rPr>
                <w:sz w:val="1"/>
                <w:szCs w:val="1"/>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Adjustment to exclude unrealized (gain) loss reported through 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Unrealized (gain) loss on available-for-sale securities measure at fair value through other comprehensive income, net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96"/>
        </w:trPr>
        <w:tc>
          <w:tcPr>
            <w:tcW w:w="7020" w:type="dxa"/>
            <w:vAlign w:val="bottom"/>
          </w:tcPr>
          <w:p>
            <w:pPr>
              <w:ind w:left="120"/>
              <w:spacing w:after="0" w:line="196"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120"/>
              <w:spacing w:after="0" w:line="196" w:lineRule="exact"/>
              <w:rPr>
                <w:sz w:val="20"/>
                <w:szCs w:val="20"/>
                <w:color w:val="auto"/>
              </w:rPr>
            </w:pPr>
            <w:r>
              <w:rPr>
                <w:rFonts w:ascii="Arial" w:cs="Arial" w:eastAsia="Arial" w:hAnsi="Arial"/>
                <w:sz w:val="14"/>
                <w:szCs w:val="14"/>
                <w:color w:val="auto"/>
              </w:rPr>
              <w:t xml:space="preserve">Other interest income,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Net spread and dollar roll income available to common stockholders (non-GAAP measure)</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1,694</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5"/>
        </w:trPr>
        <w:tc>
          <w:tcPr>
            <w:tcW w:w="7020" w:type="dxa"/>
            <w:vAlign w:val="bottom"/>
            <w:shd w:val="clear" w:color="auto" w:fill="CCEEFF"/>
          </w:tcPr>
          <w:p>
            <w:pPr>
              <w:ind w:left="120"/>
              <w:spacing w:after="0" w:line="205" w:lineRule="exact"/>
              <w:rPr>
                <w:sz w:val="20"/>
                <w:szCs w:val="20"/>
                <w:color w:val="auto"/>
              </w:rPr>
            </w:pPr>
            <w:r>
              <w:rPr>
                <w:rFonts w:ascii="Arial" w:cs="Arial" w:eastAsia="Arial" w:hAnsi="Arial"/>
                <w:sz w:val="14"/>
                <w:szCs w:val="14"/>
                <w:color w:val="auto"/>
              </w:rPr>
              <w:t xml:space="preserve">Estimated "catch-up" premium amortization cost (benefit) due to change in CPR forecast </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11"/>
        </w:trPr>
        <w:tc>
          <w:tcPr>
            <w:tcW w:w="7020" w:type="dxa"/>
            <w:vAlign w:val="bottom"/>
          </w:tcPr>
          <w:p>
            <w:pPr>
              <w:ind w:left="20"/>
              <w:spacing w:after="0" w:line="111" w:lineRule="exact"/>
              <w:rPr>
                <w:sz w:val="20"/>
                <w:szCs w:val="20"/>
                <w:color w:val="auto"/>
              </w:rPr>
            </w:pPr>
            <w:r>
              <w:rPr>
                <w:rFonts w:ascii="Arial" w:cs="Arial" w:eastAsia="Arial" w:hAnsi="Arial"/>
                <w:sz w:val="12"/>
                <w:szCs w:val="12"/>
                <w:b w:val="1"/>
                <w:bCs w:val="1"/>
                <w:color w:val="auto"/>
              </w:rPr>
              <w:t>Net spread and dollar roll income, excluding "catch-up" premium amortization, available to common stockholders</w:t>
            </w: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1,676</w:t>
            </w:r>
          </w:p>
        </w:tc>
        <w:tc>
          <w:tcPr>
            <w:tcW w:w="140" w:type="dxa"/>
            <w:vAlign w:val="bottom"/>
          </w:tcPr>
          <w:p>
            <w:pPr>
              <w:spacing w:after="0"/>
              <w:rPr>
                <w:sz w:val="9"/>
                <w:szCs w:val="9"/>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1,598</w:t>
            </w:r>
          </w:p>
        </w:tc>
        <w:tc>
          <w:tcPr>
            <w:tcW w:w="140" w:type="dxa"/>
            <w:vAlign w:val="bottom"/>
          </w:tcPr>
          <w:p>
            <w:pPr>
              <w:spacing w:after="0"/>
              <w:rPr>
                <w:sz w:val="9"/>
                <w:szCs w:val="9"/>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17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2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528.1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530.0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3.03</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5" w:lineRule="exact"/>
        <w:rPr>
          <w:rFonts w:ascii="Arial" w:cs="Arial" w:eastAsia="Arial" w:hAnsi="Arial"/>
          <w:sz w:val="14"/>
          <w:szCs w:val="14"/>
          <w:color w:val="auto"/>
        </w:rPr>
      </w:pPr>
    </w:p>
    <w:p>
      <w:pPr>
        <w:ind w:left="640" w:hanging="32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interest income in our consolidated statements of comprehensive income.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Investment Securities,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is a summary of our net gain (loss) on investment securities for fiscal years 2022, 2021 and 2020 (in millions):</w:t>
      </w:r>
    </w:p>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6"/>
        </w:trPr>
        <w:tc>
          <w:tcPr>
            <w:tcW w:w="708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 xml:space="preserve">Unrealized loss on investment securities measured at fair value through net income, net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measured at fair value through other comprehensive income, net</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96"/>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Total loss on investment securities, net</w:t>
            </w: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line="250"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40" w:hanging="322"/>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Gain (Loss) on Derivative Instruments and Other Securities, Net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fiscal years 2022, 2021 and 2020 (in millions):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7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2020</w:t>
            </w:r>
          </w:p>
        </w:tc>
      </w:tr>
      <w:tr>
        <w:trPr>
          <w:trHeight w:val="19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securities, dollar roll income</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7"/>
        </w:trPr>
        <w:tc>
          <w:tcPr>
            <w:tcW w:w="7200" w:type="dxa"/>
            <w:vAlign w:val="bottom"/>
          </w:tcPr>
          <w:p>
            <w:pPr>
              <w:ind w:left="20"/>
              <w:spacing w:after="0"/>
              <w:rPr>
                <w:sz w:val="20"/>
                <w:szCs w:val="20"/>
                <w:color w:val="auto"/>
              </w:rPr>
            </w:pPr>
            <w:r>
              <w:rPr>
                <w:rFonts w:ascii="Arial" w:cs="Arial" w:eastAsia="Arial" w:hAnsi="Arial"/>
                <w:sz w:val="14"/>
                <w:szCs w:val="14"/>
                <w:color w:val="auto"/>
              </w:rPr>
              <w:t>TBA securities, mark-to-market loss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Forward settling non-Agency securities, mark-to-market gain/(loss)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200" w:type="dxa"/>
            <w:vAlign w:val="bottom"/>
          </w:tcPr>
          <w:p>
            <w:pPr>
              <w:ind w:left="20"/>
              <w:spacing w:after="0"/>
              <w:rPr>
                <w:sz w:val="20"/>
                <w:szCs w:val="20"/>
                <w:color w:val="auto"/>
              </w:rPr>
            </w:pPr>
            <w:r>
              <w:rPr>
                <w:rFonts w:ascii="Arial" w:cs="Arial" w:eastAsia="Arial" w:hAnsi="Arial"/>
                <w:sz w:val="14"/>
                <w:szCs w:val="14"/>
                <w:color w:val="auto"/>
              </w:rPr>
              <w:t>Interest rate swaps, periodic cost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 mark-to-market gain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w:t>
            </w:r>
          </w:p>
        </w:tc>
      </w:tr>
      <w:tr>
        <w:trPr>
          <w:trHeight w:val="187"/>
        </w:trPr>
        <w:tc>
          <w:tcPr>
            <w:tcW w:w="7200" w:type="dxa"/>
            <w:vAlign w:val="bottom"/>
          </w:tcPr>
          <w:p>
            <w:pPr>
              <w:ind w:left="20"/>
              <w:spacing w:after="0"/>
              <w:rPr>
                <w:sz w:val="20"/>
                <w:szCs w:val="20"/>
                <w:color w:val="auto"/>
              </w:rPr>
            </w:pPr>
            <w:r>
              <w:rPr>
                <w:rFonts w:ascii="Arial" w:cs="Arial" w:eastAsia="Arial" w:hAnsi="Arial"/>
                <w:sz w:val="14"/>
                <w:szCs w:val="14"/>
                <w:color w:val="auto"/>
              </w:rPr>
              <w:t>Credit default swaps - CDX IG - buy protection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7"/>
        </w:trPr>
        <w:tc>
          <w:tcPr>
            <w:tcW w:w="7200" w:type="dxa"/>
            <w:vAlign w:val="bottom"/>
          </w:tcPr>
          <w:p>
            <w:pPr>
              <w:ind w:left="2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(905)</w:t>
            </w: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87"/>
        </w:trPr>
        <w:tc>
          <w:tcPr>
            <w:tcW w:w="7200" w:type="dxa"/>
            <w:vAlign w:val="bottom"/>
          </w:tcPr>
          <w:p>
            <w:pPr>
              <w:ind w:left="20"/>
              <w:spacing w:after="0"/>
              <w:rPr>
                <w:sz w:val="20"/>
                <w:szCs w:val="20"/>
                <w:color w:val="auto"/>
              </w:rPr>
            </w:pPr>
            <w:r>
              <w:rPr>
                <w:rFonts w:ascii="Arial" w:cs="Arial" w:eastAsia="Arial" w:hAnsi="Arial"/>
                <w:sz w:val="14"/>
                <w:szCs w:val="14"/>
                <w:color w:val="auto"/>
              </w:rPr>
              <w:t>U.S. Treasury futures contracts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98"/>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96"/>
        </w:trPr>
        <w:tc>
          <w:tcPr>
            <w:tcW w:w="720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For further details regarding our use of derivative instruments and related activity refer to Notes 2 and 5 of our Consolidated Financial Statements in this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Taxable Income (Loss)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For fiscal years 2022, 2021 and 2020, we had estimated taxable income (loss) attributed to common stockholders of $353 million, $(488) million and $745 million, respectively, or $0.66, $(0.92) and $1.35 per diluted common share, respectively. Taxable income for fiscal year 2022 excludes $4.3 billion of capital losses. Capital losses can be carried forward for up to five years and applied against future capital gains. We did not incur an income tax liability for fiscal years 2021 and 2020. As of December 31, 2022, we had distributed all of our estimated taxable income for fiscal year 2022. Accordingly, we do not expect to incur an income tax liability on our 2022 taxable income.</w:t>
      </w:r>
    </w:p>
    <w:p>
      <w:pPr>
        <w:spacing w:after="0" w:line="12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remaining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7"/>
          <w:szCs w:val="17"/>
          <w:color w:val="auto"/>
        </w:rPr>
        <w:t>following is a reconciliation of our GAAP net income to our estimated taxable income (loss) for fiscal years 2022, 2021 and 2020 (dollars in millions, except per share amounts):</w:t>
      </w:r>
    </w:p>
    <w:p>
      <w:pPr>
        <w:spacing w:after="0" w:line="70" w:lineRule="exact"/>
        <w:rPr>
          <w:sz w:val="20"/>
          <w:szCs w:val="20"/>
          <w:color w:val="auto"/>
        </w:rPr>
      </w:pPr>
    </w:p>
    <w:tbl>
      <w:tblPr>
        <w:tblLayout w:type="fixed"/>
        <w:tblInd w:w="900" w:type="dxa"/>
        <w:tblCellMar>
          <w:top w:w="0" w:type="dxa"/>
          <w:left w:w="0" w:type="dxa"/>
          <w:bottom w:w="0" w:type="dxa"/>
          <w:right w:w="0" w:type="dxa"/>
        </w:tblCellMar>
      </w:tblPr>
      <w:tr>
        <w:trPr>
          <w:trHeight w:val="182"/>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
        </w:trPr>
        <w:tc>
          <w:tcPr>
            <w:tcW w:w="6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6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2020</w:t>
            </w: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87"/>
        </w:trPr>
        <w:tc>
          <w:tcPr>
            <w:tcW w:w="6460" w:type="dxa"/>
            <w:vAlign w:val="bottom"/>
          </w:tcPr>
          <w:p>
            <w:pPr>
              <w:ind w:left="20"/>
              <w:spacing w:after="0"/>
              <w:rPr>
                <w:sz w:val="20"/>
                <w:szCs w:val="20"/>
                <w:color w:val="auto"/>
              </w:rPr>
            </w:pPr>
            <w:r>
              <w:rPr>
                <w:rFonts w:ascii="Arial" w:cs="Arial" w:eastAsia="Arial" w:hAnsi="Arial"/>
                <w:sz w:val="14"/>
                <w:szCs w:val="14"/>
                <w:color w:val="auto"/>
              </w:rPr>
              <w:t>Book to tax differences: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5"/>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7"/>
        </w:trPr>
        <w:tc>
          <w:tcPr>
            <w:tcW w:w="646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1,535</w:t>
            </w:r>
          </w:p>
        </w:tc>
      </w:tr>
      <w:tr>
        <w:trPr>
          <w:trHeight w:val="205"/>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loss/(utilization of capital loss carryforward)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7"/>
        </w:trPr>
        <w:tc>
          <w:tcPr>
            <w:tcW w:w="6460" w:type="dxa"/>
            <w:vAlign w:val="bottom"/>
          </w:tcPr>
          <w:p>
            <w:pPr>
              <w:ind w:left="140"/>
              <w:spacing w:after="0"/>
              <w:rPr>
                <w:sz w:val="20"/>
                <w:szCs w:val="20"/>
                <w:color w:val="auto"/>
              </w:rPr>
            </w:pPr>
            <w:r>
              <w:rPr>
                <w:rFonts w:ascii="Arial" w:cs="Arial" w:eastAsia="Arial" w:hAnsi="Arial"/>
                <w:sz w:val="14"/>
                <w:szCs w:val="14"/>
                <w:color w:val="auto"/>
              </w:rPr>
              <w:t>Unrealized 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5"/>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2"/>
        </w:trPr>
        <w:tc>
          <w:tcPr>
            <w:tcW w:w="64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REIT taxable income (loss)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89"/>
        </w:trPr>
        <w:tc>
          <w:tcPr>
            <w:tcW w:w="6460" w:type="dxa"/>
            <w:vAlign w:val="bottom"/>
          </w:tcPr>
          <w:p>
            <w:pPr>
              <w:ind w:left="140"/>
              <w:spacing w:after="0"/>
              <w:rPr>
                <w:sz w:val="20"/>
                <w:szCs w:val="20"/>
                <w:color w:val="auto"/>
              </w:rPr>
            </w:pPr>
            <w:r>
              <w:rPr>
                <w:rFonts w:ascii="Arial" w:cs="Arial" w:eastAsia="Arial" w:hAnsi="Arial"/>
                <w:sz w:val="14"/>
                <w:szCs w:val="14"/>
                <w:color w:val="auto"/>
              </w:rPr>
              <w:t>REIT taxable income attributed to preferred stock</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21"/>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attributed to common stock</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646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6460" w:type="dxa"/>
            <w:vAlign w:val="bottom"/>
          </w:tcPr>
          <w:p>
            <w:pPr>
              <w:ind w:left="20"/>
              <w:spacing w:after="0"/>
              <w:rPr>
                <w:sz w:val="20"/>
                <w:szCs w:val="20"/>
                <w:color w:val="auto"/>
              </w:rPr>
            </w:pPr>
            <w:r>
              <w:rPr>
                <w:rFonts w:ascii="Arial" w:cs="Arial" w:eastAsia="Arial" w:hAnsi="Arial"/>
                <w:sz w:val="14"/>
                <w:szCs w:val="14"/>
                <w:color w:val="auto"/>
              </w:rPr>
              <w:t>REIT taxable income (loss) per common share - basic</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per common share - diluted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capital loss carryforward</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Increase (decrease) in capital loss carryforward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19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capital loss carryforward</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Ending capital loss carryforward per common share</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6" w:lineRule="exact"/>
        <w:rPr>
          <w:sz w:val="20"/>
          <w:szCs w:val="20"/>
          <w:color w:val="auto"/>
        </w:rPr>
      </w:pPr>
    </w:p>
    <w:p>
      <w:pPr>
        <w:jc w:val="both"/>
        <w:ind w:firstLine="431"/>
        <w:spacing w:after="0" w:line="260" w:lineRule="auto"/>
        <w:rPr>
          <w:sz w:val="20"/>
          <w:szCs w:val="20"/>
          <w:color w:val="auto"/>
        </w:rPr>
      </w:pPr>
      <w:r>
        <w:rPr>
          <w:rFonts w:ascii="Arial" w:cs="Arial" w:eastAsia="Arial" w:hAnsi="Arial"/>
          <w:sz w:val="17"/>
          <w:szCs w:val="17"/>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Item 7A. </w:t>
      </w:r>
      <w:r>
        <w:rPr>
          <w:rFonts w:ascii="Arial" w:cs="Arial" w:eastAsia="Arial" w:hAnsi="Arial"/>
          <w:sz w:val="17"/>
          <w:szCs w:val="17"/>
          <w:i w:val="1"/>
          <w:iCs w:val="1"/>
          <w:color w:val="auto"/>
        </w:rPr>
        <w:t>Quantitative and Qualitative Disclosures of Market Risks</w:t>
      </w:r>
      <w:r>
        <w:rPr>
          <w:rFonts w:ascii="Arial" w:cs="Arial" w:eastAsia="Arial" w:hAnsi="Arial"/>
          <w:sz w:val="17"/>
          <w:szCs w:val="17"/>
          <w:color w:val="auto"/>
        </w:rPr>
        <w:t xml:space="preserve"> in this Form 10-K.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 and Financing Sources</w:t>
      </w:r>
    </w:p>
    <w:p>
      <w:pPr>
        <w:spacing w:after="0" w:line="170"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7.4x and 7.7x as of December 31, 2022 and 2021, respectively. The following table includes a summary of our mortgage borrowings outstanding as of December 31, 2022 and 2021 (dollars in millions). For additional details of our mortgage borrowings refer to Notes 2, 4 and 5 to our Consolidated Financial Statements in this Form 10-K.</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52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500"/>
              <w:spacing w:after="0"/>
              <w:rPr>
                <w:sz w:val="20"/>
                <w:szCs w:val="20"/>
                <w:color w:val="auto"/>
              </w:rPr>
            </w:pPr>
            <w:r>
              <w:rPr>
                <w:rFonts w:ascii="Arial" w:cs="Arial" w:eastAsia="Arial" w:hAnsi="Arial"/>
                <w:sz w:val="14"/>
                <w:szCs w:val="14"/>
                <w:b w:val="1"/>
                <w:bCs w:val="1"/>
                <w:color w:val="auto"/>
                <w:w w:val="88"/>
              </w:rPr>
              <w:t>December 31, 2021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jc w:val="right"/>
              <w:ind w:right="30"/>
              <w:spacing w:after="0"/>
              <w:rPr>
                <w:sz w:val="20"/>
                <w:szCs w:val="20"/>
                <w:color w:val="auto"/>
              </w:rPr>
            </w:pPr>
            <w:r>
              <w:rPr>
                <w:rFonts w:ascii="Arial" w:cs="Arial" w:eastAsia="Arial" w:hAnsi="Arial"/>
                <w:sz w:val="14"/>
                <w:szCs w:val="14"/>
                <w:b w:val="1"/>
                <w:bCs w:val="1"/>
                <w:color w:val="auto"/>
                <w:w w:val="96"/>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51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35,907</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46,911</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89"/>
        </w:trPr>
        <w:tc>
          <w:tcPr>
            <w:tcW w:w="584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47,037</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21"/>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of December 31, 2022 and 2021, 48% and 42%, respectively, of our repurchase agreements were funded through the Fixed Income Clearing Corporation's GCF Repo service.</w:t>
      </w:r>
    </w:p>
    <w:p>
      <w:pPr>
        <w:spacing w:after="0" w:line="16" w:lineRule="exact"/>
        <w:rPr>
          <w:rFonts w:ascii="Arial" w:cs="Arial" w:eastAsia="Arial" w:hAnsi="Arial"/>
          <w:sz w:val="13"/>
          <w:szCs w:val="13"/>
          <w:color w:val="auto"/>
        </w:rPr>
      </w:pPr>
    </w:p>
    <w:p>
      <w:pPr>
        <w:ind w:left="640" w:hanging="322"/>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U.S. Treasury repurchase agreements.</w:t>
      </w:r>
    </w:p>
    <w:p>
      <w:pPr>
        <w:spacing w:after="0" w:line="164"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14"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Collateral Requirements and Unencumbered Assets</w:t>
      </w:r>
    </w:p>
    <w:p>
      <w:pPr>
        <w:spacing w:after="0" w:line="170"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7"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6"/>
          <w:szCs w:val="16"/>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2022, we had met all our margin requirements.</w:t>
      </w:r>
    </w:p>
    <w:p>
      <w:pPr>
        <w:spacing w:after="0" w:line="118" w:lineRule="exact"/>
        <w:rPr>
          <w:sz w:val="20"/>
          <w:szCs w:val="20"/>
          <w:color w:val="auto"/>
        </w:rPr>
      </w:pPr>
    </w:p>
    <w:p>
      <w:pPr>
        <w:jc w:val="both"/>
        <w:ind w:firstLine="431"/>
        <w:spacing w:after="0" w:line="260" w:lineRule="auto"/>
        <w:rPr>
          <w:sz w:val="20"/>
          <w:szCs w:val="20"/>
          <w:color w:val="auto"/>
        </w:rPr>
      </w:pPr>
      <w:r>
        <w:rPr>
          <w:rFonts w:ascii="Arial" w:cs="Arial" w:eastAsia="Arial" w:hAnsi="Arial"/>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2022, approximately 31% our investment portfolio consisted of TBA securities, which are not subject to monthly principal pay-downs. The remainder of our portfolio, primarily consisted of Agency RMBS, which had an average one-year CPR forecast of 5%.</w:t>
      </w:r>
    </w:p>
    <w:p>
      <w:pPr>
        <w:spacing w:after="0" w:line="13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9" w:lineRule="exact"/>
        <w:rPr>
          <w:sz w:val="20"/>
          <w:szCs w:val="20"/>
          <w:color w:val="auto"/>
        </w:rPr>
      </w:pPr>
    </w:p>
    <w:p>
      <w:pPr>
        <w:jc w:val="both"/>
        <w:ind w:firstLine="431"/>
        <w:spacing w:after="0" w:line="324" w:lineRule="auto"/>
        <w:rPr>
          <w:sz w:val="20"/>
          <w:szCs w:val="20"/>
          <w:color w:val="auto"/>
        </w:rPr>
      </w:pPr>
      <w:r>
        <w:rPr>
          <w:rFonts w:ascii="Arial" w:cs="Arial" w:eastAsia="Arial" w:hAnsi="Arial"/>
          <w:sz w:val="15"/>
          <w:szCs w:val="15"/>
          <w:color w:val="auto"/>
        </w:rPr>
        <w:t>Haircut levels and minimum margin requirements imposed by our counterparties reduce the amount of our unencumbered assets and limit the amount we can borrow against our investment securities. During the fiscal year 2022, haircuts on our repo funding arrangements remained stable. As of December 31, 2022, the weighted average haircut on our repurchase agreements was approximately 3.7% of the value of our collateral, compared to 3.8% as of December 31, 2021.</w:t>
      </w:r>
    </w:p>
    <w:p>
      <w:pPr>
        <w:spacing w:after="0" w:line="8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To mitigate the risk of margins calls, we seek to maintain excess liquidity by holding unencumbered liquid assets that can be used to satisfy collateral requirements, collateralize additional borrowings or sold for cash. As of December 31, 2022, our unencumbered assets totaled approximately $4.4 billion, or 60% of tangible equity, consisting of $4.3 billion of unencumbered cash and Agency RMBS and $0.1 billion of unencumbered credit assets. This compares to $6.5 billion of unencumbered assets, or 67% of tangible equity, as of December 31, 2021, consisting of $5.8 billion of unencumbered cash and Agency RMBS and $0.7 billion of unencumbered credit assets.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Counterparty Risk</w:t>
      </w:r>
    </w:p>
    <w:p>
      <w:pPr>
        <w:spacing w:after="0" w:line="17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3" w:name="page44"/>
    <w:bookmarkEnd w:id="43"/>
    <w:p>
      <w:pPr>
        <w:jc w:val="both"/>
        <w:ind w:firstLine="431"/>
        <w:spacing w:after="0" w:line="284" w:lineRule="auto"/>
        <w:rPr>
          <w:sz w:val="20"/>
          <w:szCs w:val="20"/>
          <w:color w:val="auto"/>
        </w:rPr>
      </w:pPr>
      <w:r>
        <w:rPr>
          <w:rFonts w:ascii="Arial" w:cs="Arial" w:eastAsia="Arial" w:hAnsi="Arial"/>
          <w:sz w:val="16"/>
          <w:szCs w:val="16"/>
          <w:color w:val="auto"/>
        </w:rPr>
        <w:t>As of December 31, 2022, our maximum amount at risk (or the excess/shortfall of the value of collateral pledged/received over our repurchase agreement liabilities/reverse repurchase agreement receivables) with any of our repurchase agreement counterparties, excluding the FICC, was approximately 4% of our tangible stockholders' equity, with our top five repo counterparties, excluding the FICC, representing approximately 7% of our tangible stockholders' equity. As of December 31, 2022, approximately 6% of our tangible stockholder's equity was at risk with the FICC. Excluding central clearing exchanges, as of December 31, 2022, our amount at risk with any counterparty to our derivative agreements was less than 1% of our stockholders' equity.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Sales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Arial" w:cs="Arial" w:eastAsia="Arial" w:hAnsi="Arial"/>
          <w:sz w:val="17"/>
          <w:szCs w:val="17"/>
          <w:i w:val="1"/>
          <w:iCs w:val="1"/>
          <w:color w:val="auto"/>
        </w:rPr>
        <w:t>Trends and Recent Market Impacts</w:t>
      </w:r>
      <w:r>
        <w:rPr>
          <w:rFonts w:ascii="Arial" w:cs="Arial" w:eastAsia="Arial" w:hAnsi="Arial"/>
          <w:sz w:val="17"/>
          <w:szCs w:val="17"/>
          <w:color w:val="auto"/>
        </w:rPr>
        <w:t xml:space="preserve"> of this Management Discussion and Analysis for further information regarding Agency RMBS and TBA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Markets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10-K for further details regarding our recent equity capital transactions, if any.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6"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As of December 31, 2022,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2022, we had not guaranteed obligations of unconsolidated entities or entered into a commitment or intent to provide funding to such entities.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49" w:lineRule="exact"/>
        <w:rPr>
          <w:sz w:val="20"/>
          <w:szCs w:val="20"/>
          <w:color w:val="auto"/>
        </w:rPr>
      </w:pPr>
    </w:p>
    <w:p>
      <w:pPr>
        <w:ind w:left="640" w:hanging="243"/>
        <w:spacing w:after="0" w:line="28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Arial" w:cs="Arial" w:eastAsia="Arial" w:hAnsi="Arial"/>
          <w:sz w:val="17"/>
          <w:szCs w:val="17"/>
          <w:color w:val="auto"/>
        </w:rPr>
      </w:pPr>
    </w:p>
    <w:p>
      <w:pPr>
        <w:ind w:left="620" w:hanging="22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the yield curve;</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mortgage prepayment rates on the loans underlying our Agency RMBS;</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availability and terms of financing;</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market value of our assets, including from changes in net interest spreads, and changes in market liquidity or depth;</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effectiveness of our risk mitigation strategies;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4" w:name="page45"/>
    <w:bookmarkEnd w:id="44"/>
    <w:p>
      <w:pPr>
        <w:ind w:left="620" w:hanging="223"/>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conditions in the market for Agency RMBS and other mortgage securities;</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actions by the federal, state, or local governments to stabilize the economy, the housing sector or financial markets;</w:t>
      </w:r>
    </w:p>
    <w:p>
      <w:pPr>
        <w:spacing w:after="0" w:line="65" w:lineRule="exact"/>
        <w:rPr>
          <w:rFonts w:ascii="Arial" w:cs="Arial" w:eastAsia="Arial" w:hAnsi="Arial"/>
          <w:sz w:val="17"/>
          <w:szCs w:val="17"/>
          <w:color w:val="auto"/>
        </w:rPr>
      </w:pPr>
    </w:p>
    <w:p>
      <w:pPr>
        <w:ind w:left="620" w:hanging="223"/>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to laws, regulations, rules or policies that affect U.S. housing finance activity, the GSE's or the markets for Agency RMBS;</w:t>
      </w:r>
    </w:p>
    <w:p>
      <w:pPr>
        <w:spacing w:after="0" w:line="65" w:lineRule="exact"/>
        <w:rPr>
          <w:rFonts w:ascii="Arial" w:cs="Arial" w:eastAsia="Arial" w:hAnsi="Arial"/>
          <w:sz w:val="17"/>
          <w:szCs w:val="17"/>
          <w:color w:val="auto"/>
        </w:rPr>
      </w:pPr>
    </w:p>
    <w:p>
      <w:pPr>
        <w:ind w:left="640" w:hanging="243"/>
        <w:spacing w:after="0" w:line="288"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legislative or regulatory changes that affect our status as a REIT, our exemption from the Investment Company Act of 1940 or the mortgage markets in which we participate; and</w:t>
      </w:r>
    </w:p>
    <w:p>
      <w:pPr>
        <w:spacing w:after="0" w:line="1" w:lineRule="exact"/>
        <w:rPr>
          <w:rFonts w:ascii="Arial" w:cs="Arial" w:eastAsia="Arial" w:hAnsi="Arial"/>
          <w:sz w:val="17"/>
          <w:szCs w:val="17"/>
          <w:color w:val="auto"/>
        </w:rPr>
      </w:pPr>
    </w:p>
    <w:p>
      <w:pPr>
        <w:ind w:left="620" w:hanging="223"/>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other risks discussed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76"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0"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4"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2"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0.4 years as of December 31, 2022, compared to 0.1 years as of December 31, 2021.</w:t>
      </w:r>
    </w:p>
    <w:p>
      <w:pPr>
        <w:spacing w:after="0" w:line="127"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tangible net book value per common share as of December 31, 2022 and 2021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2022 and 2021.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45" w:name="page46"/>
    <w:bookmarkEnd w:id="45"/>
    <w:p>
      <w:pPr>
        <w:jc w:val="both"/>
        <w:ind w:firstLine="431"/>
        <w:spacing w:after="0" w:line="267" w:lineRule="auto"/>
        <w:rPr>
          <w:sz w:val="20"/>
          <w:szCs w:val="20"/>
          <w:color w:val="auto"/>
        </w:rPr>
      </w:pPr>
      <w:r>
        <w:rPr>
          <w:rFonts w:ascii="Arial" w:cs="Arial" w:eastAsia="Arial" w:hAnsi="Arial"/>
          <w:sz w:val="17"/>
          <w:szCs w:val="17"/>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2022</w:t>
            </w:r>
          </w:p>
        </w:tc>
        <w:tc>
          <w:tcPr>
            <w:tcW w:w="280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Change in</w:t>
            </w:r>
          </w:p>
        </w:tc>
        <w:tc>
          <w:tcPr>
            <w:tcW w:w="13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0"/>
              </w:rPr>
              <w:t>Estimated Change in</w:t>
            </w:r>
          </w:p>
        </w:tc>
        <w:tc>
          <w:tcPr>
            <w:tcW w:w="160" w:type="dxa"/>
            <w:vAlign w:val="bottom"/>
          </w:tcPr>
          <w:p>
            <w:pPr>
              <w:spacing w:after="0"/>
              <w:rPr>
                <w:sz w:val="11"/>
                <w:szCs w:val="11"/>
                <w:color w:val="auto"/>
              </w:rPr>
            </w:pPr>
          </w:p>
        </w:tc>
        <w:tc>
          <w:tcPr>
            <w:tcW w:w="14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Estimated Change in</w:t>
            </w:r>
          </w:p>
        </w:tc>
        <w:tc>
          <w:tcPr>
            <w:tcW w:w="13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9"/>
              </w:rPr>
              <w:t>Estimated Change in</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89"/>
              </w:rPr>
              <w:t>Tangible Net Book</w:t>
            </w:r>
          </w:p>
        </w:tc>
        <w:tc>
          <w:tcPr>
            <w:tcW w:w="1440" w:type="dxa"/>
            <w:vAlign w:val="bottom"/>
            <w:gridSpan w:val="2"/>
            <w:vMerge w:val="continue"/>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Tangible Net Book</w:t>
            </w:r>
          </w:p>
        </w:tc>
        <w:tc>
          <w:tcPr>
            <w:tcW w:w="0" w:type="dxa"/>
            <w:vAlign w:val="bottom"/>
          </w:tcPr>
          <w:p>
            <w:pPr>
              <w:spacing w:after="0"/>
              <w:rPr>
                <w:sz w:val="1"/>
                <w:szCs w:val="1"/>
                <w:color w:val="auto"/>
              </w:rPr>
            </w:pPr>
          </w:p>
        </w:tc>
      </w:tr>
      <w:tr>
        <w:trPr>
          <w:trHeight w:val="134"/>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Portfolio Market</w:t>
            </w: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Value Per Common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Value Per Common</w:t>
            </w:r>
          </w:p>
        </w:tc>
        <w:tc>
          <w:tcPr>
            <w:tcW w:w="0" w:type="dxa"/>
            <w:vAlign w:val="bottom"/>
          </w:tcPr>
          <w:p>
            <w:pPr>
              <w:spacing w:after="0"/>
              <w:rPr>
                <w:sz w:val="1"/>
                <w:szCs w:val="1"/>
                <w:color w:val="auto"/>
              </w:rPr>
            </w:pPr>
          </w:p>
        </w:tc>
      </w:tr>
      <w:tr>
        <w:trPr>
          <w:trHeight w:val="182"/>
        </w:trPr>
        <w:tc>
          <w:tcPr>
            <w:tcW w:w="3100" w:type="dxa"/>
            <w:vAlign w:val="bottom"/>
            <w:gridSpan w:val="2"/>
            <w:vMerge w:val="continue"/>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18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20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-0.3%</w:t>
            </w:r>
          </w:p>
        </w:tc>
        <w:tc>
          <w:tcPr>
            <w:tcW w:w="0" w:type="dxa"/>
            <w:vAlign w:val="bottom"/>
          </w:tcPr>
          <w:p>
            <w:pPr>
              <w:spacing w:after="0"/>
              <w:rPr>
                <w:sz w:val="1"/>
                <w:szCs w:val="1"/>
                <w:color w:val="auto"/>
              </w:rPr>
            </w:pPr>
          </w:p>
        </w:tc>
      </w:tr>
      <w:tr>
        <w:trPr>
          <w:trHeight w:val="18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0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17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-0.7%</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-7.4%</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line="250"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22"/>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Risk and Extension Risk</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7"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3"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As of December 31, 2022 and 2021, our investment securities (excluding TBAs) had a weighted average projected CPR of 7.4% and 10.9%, respectively, and a weighted average yield of 3.37% and 2.43%,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December 31, 2022</w:t>
            </w:r>
          </w:p>
        </w:tc>
        <w:tc>
          <w:tcPr>
            <w:tcW w:w="270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28"/>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00"/>
              <w:spacing w:after="0" w:line="128" w:lineRule="exact"/>
              <w:rPr>
                <w:sz w:val="20"/>
                <w:szCs w:val="20"/>
                <w:color w:val="auto"/>
              </w:rPr>
            </w:pPr>
            <w:r>
              <w:rPr>
                <w:rFonts w:ascii="Arial" w:cs="Arial" w:eastAsia="Arial" w:hAnsi="Arial"/>
                <w:sz w:val="14"/>
                <w:szCs w:val="14"/>
                <w:b w:val="1"/>
                <w:bCs w:val="1"/>
                <w:color w:val="auto"/>
                <w:w w:val="90"/>
              </w:rPr>
              <w:t>Weighted Average</w:t>
            </w:r>
          </w:p>
        </w:tc>
        <w:tc>
          <w:tcPr>
            <w:tcW w:w="12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8"/>
              </w:rPr>
              <w:t>Weighted Average</w:t>
            </w:r>
          </w:p>
        </w:tc>
        <w:tc>
          <w:tcPr>
            <w:tcW w:w="16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100"/>
              <w:spacing w:after="0" w:line="128" w:lineRule="exact"/>
              <w:rPr>
                <w:sz w:val="20"/>
                <w:szCs w:val="20"/>
                <w:color w:val="auto"/>
              </w:rPr>
            </w:pPr>
            <w:r>
              <w:rPr>
                <w:rFonts w:ascii="Arial" w:cs="Arial" w:eastAsia="Arial" w:hAnsi="Arial"/>
                <w:sz w:val="14"/>
                <w:szCs w:val="14"/>
                <w:b w:val="1"/>
                <w:bCs w:val="1"/>
                <w:color w:val="auto"/>
                <w:w w:val="90"/>
              </w:rPr>
              <w:t>Weighted Average</w:t>
            </w:r>
          </w:p>
        </w:tc>
        <w:tc>
          <w:tcPr>
            <w:tcW w:w="13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95"/>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Projected CPR</w:t>
            </w:r>
          </w:p>
        </w:tc>
        <w:tc>
          <w:tcPr>
            <w:tcW w:w="1440" w:type="dxa"/>
            <w:vAlign w:val="bottom"/>
            <w:gridSpan w:val="2"/>
          </w:tcPr>
          <w:p>
            <w:pPr>
              <w:jc w:val="center"/>
              <w:ind w:right="160"/>
              <w:spacing w:after="0" w:line="195"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Projected CPR</w:t>
            </w:r>
          </w:p>
        </w:tc>
        <w:tc>
          <w:tcPr>
            <w:tcW w:w="1300" w:type="dxa"/>
            <w:vAlign w:val="bottom"/>
          </w:tcPr>
          <w:p>
            <w:pPr>
              <w:jc w:val="center"/>
              <w:spacing w:after="0" w:line="195" w:lineRule="exact"/>
              <w:rPr>
                <w:sz w:val="20"/>
                <w:szCs w:val="20"/>
                <w:color w:val="auto"/>
              </w:rPr>
            </w:pPr>
            <w:r>
              <w:rPr>
                <w:rFonts w:ascii="Arial" w:cs="Arial" w:eastAsia="Arial" w:hAnsi="Arial"/>
                <w:sz w:val="14"/>
                <w:szCs w:val="14"/>
                <w:b w:val="1"/>
                <w:bCs w:val="1"/>
                <w:color w:val="auto"/>
                <w:w w:val="85"/>
              </w:rPr>
              <w:t xml:space="preserve">Asset Yield </w:t>
            </w:r>
            <w:r>
              <w:rPr>
                <w:rFonts w:ascii="Arial" w:cs="Arial" w:eastAsia="Arial" w:hAnsi="Arial"/>
                <w:sz w:val="18"/>
                <w:szCs w:val="18"/>
                <w:b w:val="1"/>
                <w:bCs w:val="1"/>
                <w:color w:val="auto"/>
                <w:w w:val="85"/>
                <w:vertAlign w:val="superscript"/>
              </w:rPr>
              <w:t>2</w:t>
            </w:r>
          </w:p>
        </w:tc>
        <w:tc>
          <w:tcPr>
            <w:tcW w:w="0" w:type="dxa"/>
            <w:vAlign w:val="bottom"/>
          </w:tcPr>
          <w:p>
            <w:pPr>
              <w:spacing w:after="0"/>
              <w:rPr>
                <w:sz w:val="1"/>
                <w:szCs w:val="1"/>
                <w:color w:val="auto"/>
              </w:rPr>
            </w:pPr>
          </w:p>
        </w:tc>
      </w:tr>
      <w:tr>
        <w:trPr>
          <w:trHeight w:val="189"/>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-75 Basis Points</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8.3%</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3.33%</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17.0%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2.21%</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3.34%</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2.30%</w:t>
            </w: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7.6%</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12.2%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2.37%</w:t>
            </w:r>
          </w:p>
        </w:tc>
        <w:tc>
          <w:tcPr>
            <w:tcW w:w="0" w:type="dxa"/>
            <w:vAlign w:val="bottom"/>
          </w:tcPr>
          <w:p>
            <w:pPr>
              <w:spacing w:after="0"/>
              <w:rPr>
                <w:sz w:val="1"/>
                <w:szCs w:val="1"/>
                <w:color w:val="auto"/>
              </w:rPr>
            </w:pPr>
          </w:p>
        </w:tc>
      </w:tr>
      <w:tr>
        <w:trPr>
          <w:trHeight w:val="187"/>
        </w:trPr>
        <w:tc>
          <w:tcPr>
            <w:tcW w:w="316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7.4%</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3.37%</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10.9%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2.43%</w:t>
            </w: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2.47%</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3.39%</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6.9%</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Derived from models that are dependent on inputs and assumptions and assumes a static portfolio. Actual results could differ materially from these estimates. Table excludes TBA securities.</w:t>
      </w:r>
    </w:p>
    <w:p>
      <w:pPr>
        <w:spacing w:after="0" w:line="21" w:lineRule="exact"/>
        <w:rPr>
          <w:rFonts w:ascii="Arial" w:cs="Arial" w:eastAsia="Arial" w:hAnsi="Arial"/>
          <w:sz w:val="12"/>
          <w:szCs w:val="12"/>
          <w:color w:val="auto"/>
        </w:rPr>
      </w:pPr>
    </w:p>
    <w:p>
      <w:pPr>
        <w:ind w:left="640" w:hanging="322"/>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3"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2022 and 2021 should spreads widen or tighten by 10, 25 and 50 basis points. The estimated impact of changes in spreads is in addition to our interest rate shock sensitivity included in the interest rate shock table above. The table below assumes a spread duration of 5.8 and 5.4 years as of December 31, 2022 and 2021,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2022</w:t>
            </w:r>
          </w:p>
        </w:tc>
        <w:tc>
          <w:tcPr>
            <w:tcW w:w="272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Estimated Change in</w:t>
            </w:r>
          </w:p>
        </w:tc>
        <w:tc>
          <w:tcPr>
            <w:tcW w:w="13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9"/>
              </w:rPr>
              <w:t>Estimated Change in</w:t>
            </w: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Change in</w:t>
            </w:r>
          </w:p>
        </w:tc>
        <w:tc>
          <w:tcPr>
            <w:tcW w:w="1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9"/>
              </w:rPr>
              <w:t>Estimated Change in</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9"/>
              </w:rPr>
              <w:t>Tangible Net Book</w:t>
            </w:r>
          </w:p>
        </w:tc>
        <w:tc>
          <w:tcPr>
            <w:tcW w:w="1380" w:type="dxa"/>
            <w:vAlign w:val="bottom"/>
            <w:gridSpan w:val="2"/>
            <w:vMerge w:val="continue"/>
          </w:tcPr>
          <w:p>
            <w:pPr>
              <w:spacing w:after="0"/>
              <w:rPr>
                <w:sz w:val="12"/>
                <w:szCs w:val="12"/>
                <w:color w:val="auto"/>
              </w:rPr>
            </w:pPr>
          </w:p>
        </w:tc>
        <w:tc>
          <w:tcPr>
            <w:tcW w:w="13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Tangible Net Book</w:t>
            </w:r>
          </w:p>
        </w:tc>
        <w:tc>
          <w:tcPr>
            <w:tcW w:w="0" w:type="dxa"/>
            <w:vAlign w:val="bottom"/>
          </w:tcPr>
          <w:p>
            <w:pPr>
              <w:spacing w:after="0"/>
              <w:rPr>
                <w:sz w:val="1"/>
                <w:szCs w:val="1"/>
                <w:color w:val="auto"/>
              </w:rPr>
            </w:pPr>
          </w:p>
        </w:tc>
      </w:tr>
      <w:tr>
        <w:trPr>
          <w:trHeight w:val="144"/>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Portfolio Market</w:t>
            </w:r>
          </w:p>
        </w:tc>
        <w:tc>
          <w:tcPr>
            <w:tcW w:w="148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0"/>
              </w:rPr>
              <w:t>Value Per Common</w:t>
            </w:r>
          </w:p>
        </w:tc>
        <w:tc>
          <w:tcPr>
            <w:tcW w:w="13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Portfolio Market</w:t>
            </w:r>
          </w:p>
        </w:tc>
        <w:tc>
          <w:tcPr>
            <w:tcW w:w="13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Value Per Common</w:t>
            </w: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+30.6%</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+27.1%</w:t>
            </w:r>
          </w:p>
        </w:tc>
        <w:tc>
          <w:tcPr>
            <w:tcW w:w="0" w:type="dxa"/>
            <w:vAlign w:val="bottom"/>
          </w:tcPr>
          <w:p>
            <w:pPr>
              <w:spacing w:after="0"/>
              <w:rPr>
                <w:sz w:val="1"/>
                <w:szCs w:val="1"/>
                <w:color w:val="auto"/>
              </w:rPr>
            </w:pPr>
          </w:p>
        </w:tc>
      </w:tr>
      <w:tr>
        <w:trPr>
          <w:trHeight w:val="187"/>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+15.3%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+13.6%</w:t>
            </w: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+6.1%</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0" w:type="dxa"/>
            <w:vAlign w:val="bottom"/>
          </w:tcPr>
          <w:p>
            <w:pPr>
              <w:spacing w:after="0"/>
              <w:rPr>
                <w:sz w:val="1"/>
                <w:szCs w:val="1"/>
                <w:color w:val="auto"/>
              </w:rPr>
            </w:pPr>
          </w:p>
        </w:tc>
      </w:tr>
      <w:tr>
        <w:trPr>
          <w:trHeight w:val="187"/>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r>
        <w:trPr>
          <w:trHeight w:val="20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-13.6%</w:t>
            </w:r>
          </w:p>
        </w:tc>
        <w:tc>
          <w:tcPr>
            <w:tcW w:w="0" w:type="dxa"/>
            <w:vAlign w:val="bottom"/>
          </w:tcPr>
          <w:p>
            <w:pPr>
              <w:spacing w:after="0"/>
              <w:rPr>
                <w:sz w:val="1"/>
                <w:szCs w:val="1"/>
                <w:color w:val="auto"/>
              </w:rPr>
            </w:pPr>
          </w:p>
        </w:tc>
      </w:tr>
      <w:tr>
        <w:trPr>
          <w:trHeight w:val="178"/>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-30.6%</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-2.7%</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-27.1%</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45"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22"/>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170" w:lineRule="exact"/>
        <w:rPr>
          <w:sz w:val="20"/>
          <w:szCs w:val="20"/>
          <w:color w:val="auto"/>
        </w:rPr>
      </w:pPr>
    </w:p>
    <w:p>
      <w:pPr>
        <w:ind w:firstLine="431"/>
        <w:spacing w:after="0" w:line="288"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7" w:name="page48"/>
    <w:bookmarkEnd w:id="47"/>
    <w:p>
      <w:pPr>
        <w:jc w:val="both"/>
        <w:spacing w:after="0" w:line="288" w:lineRule="auto"/>
        <w:rPr>
          <w:sz w:val="20"/>
          <w:szCs w:val="20"/>
          <w:color w:val="auto"/>
        </w:rPr>
      </w:pPr>
      <w:r>
        <w:rPr>
          <w:rFonts w:ascii="Arial" w:cs="Arial" w:eastAsia="Arial" w:hAnsi="Arial"/>
          <w:sz w:val="17"/>
          <w:szCs w:val="17"/>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06"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6"/>
          <w:szCs w:val="16"/>
          <w:color w:val="auto"/>
        </w:rPr>
        <w:t xml:space="preserve">As of December 31, 2022,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10-K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3"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77"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There is no guarantee that our efforts to manage credit risk will be successful and we could suffer losses if credit performance is worse than our expectations or our counterparties default on their obligations. Excluding central clearing exchanges, as of December 31, 2022, our maximum amount at risk with any counterparty related to our repurchase agreements and derivative agreements was approximately 4% and less than 1%, respectively,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w:t>
      </w:r>
    </w:p>
    <w:p>
      <w:pPr>
        <w:spacing w:after="0" w:line="176"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1" w:lineRule="exact"/>
        <w:rPr>
          <w:sz w:val="20"/>
          <w:szCs w:val="20"/>
          <w:color w:val="auto"/>
        </w:rPr>
      </w:pPr>
    </w:p>
    <w:p>
      <w:pPr>
        <w:jc w:val="both"/>
        <w:ind w:firstLine="431"/>
        <w:spacing w:after="0" w:line="313" w:lineRule="auto"/>
        <w:rPr>
          <w:sz w:val="20"/>
          <w:szCs w:val="20"/>
          <w:color w:val="auto"/>
        </w:rPr>
      </w:pPr>
      <w:r>
        <w:rPr>
          <w:rFonts w:ascii="Arial" w:cs="Arial" w:eastAsia="Arial" w:hAnsi="Arial"/>
          <w:sz w:val="15"/>
          <w:szCs w:val="15"/>
          <w:color w:val="auto"/>
        </w:rPr>
        <w:t>The consolidated financial statements as of December 31, 2022 and 2021 and fiscal years 2022, 2021 and 2020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(PCAOB ID: 42) audit opinion included in this Item 8 of our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4" w:lineRule="exact"/>
        <w:rPr>
          <w:sz w:val="20"/>
          <w:szCs w:val="20"/>
          <w:color w:val="auto"/>
        </w:rPr>
      </w:pPr>
    </w:p>
    <w:p>
      <w:pPr>
        <w:jc w:val="both"/>
        <w:ind w:firstLine="431"/>
        <w:spacing w:after="0" w:line="27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66"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2022,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2022. The effectiveness of our internal control over financial reporting as of December 31, 2022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9" w:name="page50"/>
    <w:bookmarkEnd w:id="49"/>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AGNC Investment Corp.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audited AGNC Investment Corp.’s internal control over financial reporting as of December 31, 2022,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2022, based on the COSO criteria</w:t>
      </w:r>
      <w:r>
        <w:rPr>
          <w:rFonts w:ascii="Arial" w:cs="Arial" w:eastAsia="Arial" w:hAnsi="Arial"/>
          <w:sz w:val="17"/>
          <w:szCs w:val="17"/>
          <w:b w:val="1"/>
          <w:bCs w:val="1"/>
          <w:color w:val="auto"/>
        </w:rPr>
        <w:t>.</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and the related consolidated statements of comprehensive income, stockholders’ equity, and cash flows for each of the three years in the period ended December 31, 2022, and the related notes, and our report dated February 24, 2023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0" w:name="page51"/>
    <w:bookmarkEnd w:id="50"/>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AGNC Investment Corp.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audited the accompanying consolidated balance sheets of AGNC Investment Corp. (the Company) as of December 31, 2022 and 2021, and the related consolidated statements of comprehensive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1" w:name="page52"/>
    <w:bookmarkEnd w:id="51"/>
    <w:p>
      <w:pPr>
        <w:ind w:left="2440"/>
        <w:spacing w:after="0"/>
        <w:rPr>
          <w:sz w:val="20"/>
          <w:szCs w:val="20"/>
          <w:color w:val="auto"/>
        </w:rPr>
      </w:pPr>
      <w:r>
        <w:rPr>
          <w:rFonts w:ascii="Arial" w:cs="Arial" w:eastAsia="Arial" w:hAnsi="Arial"/>
          <w:sz w:val="15"/>
          <w:szCs w:val="15"/>
          <w:b w:val="1"/>
          <w:bCs w:val="1"/>
          <w:i w:val="1"/>
          <w:iCs w:val="1"/>
          <w:color w:val="auto"/>
        </w:rPr>
        <w:t>Agency securities and non-agency securities of high credit quality net premium amortization</w:t>
      </w:r>
    </w:p>
    <w:p>
      <w:pPr>
        <w:sectPr>
          <w:pgSz w:w="11900" w:h="16838" w:orient="portrait"/>
          <w:cols w:equalWidth="0" w:num="1">
            <w:col w:w="11200"/>
          </w:cols>
          <w:pgMar w:left="320" w:top="1003" w:right="37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Description</w:t>
      </w:r>
    </w:p>
    <w:p>
      <w:pPr>
        <w:ind w:left="40"/>
        <w:spacing w:after="0"/>
        <w:rPr>
          <w:sz w:val="20"/>
          <w:szCs w:val="20"/>
          <w:color w:val="auto"/>
        </w:rPr>
      </w:pPr>
      <w:r>
        <w:rPr>
          <w:rFonts w:ascii="Arial" w:cs="Arial" w:eastAsia="Arial" w:hAnsi="Arial"/>
          <w:sz w:val="16"/>
          <w:szCs w:val="16"/>
          <w:i w:val="1"/>
          <w:iCs w:val="1"/>
          <w:color w:val="auto"/>
        </w:rPr>
        <w:t>of the Matter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As of December 31, 2022, the Company’s investment securities had a net unamortized premium balance of $1.5 billion, including interest and principal-only securities, and it recorded $13 million of net premium amortization for the year then ended. As explained in Note 2 to the financial statements, premiums or discounts associated with the purchase of Agency</w:t>
      </w:r>
    </w:p>
    <w:p>
      <w:pPr>
        <w:spacing w:after="0" w:line="2" w:lineRule="exact"/>
        <w:rPr>
          <w:sz w:val="20"/>
          <w:szCs w:val="20"/>
          <w:color w:val="auto"/>
        </w:rPr>
      </w:pPr>
    </w:p>
    <w:p>
      <w:pPr>
        <w:sectPr>
          <w:pgSz w:w="11900" w:h="16838" w:orient="portrait"/>
          <w:cols w:equalWidth="0" w:num="2">
            <w:col w:w="1720" w:space="720"/>
            <w:col w:w="8760"/>
          </w:cols>
          <w:pgMar w:left="320" w:top="1003" w:right="379" w:bottom="1440" w:gutter="0" w:footer="0" w:header="0"/>
          <w:type w:val="continuous"/>
        </w:sectPr>
      </w:pPr>
    </w:p>
    <w:p>
      <w:pPr>
        <w:jc w:val="both"/>
        <w:ind w:left="2440"/>
        <w:spacing w:after="0" w:line="216" w:lineRule="auto"/>
        <w:rPr>
          <w:sz w:val="20"/>
          <w:szCs w:val="20"/>
          <w:color w:val="auto"/>
        </w:rPr>
      </w:pPr>
      <w:r>
        <w:rPr>
          <w:rFonts w:ascii="Arial" w:cs="Arial" w:eastAsia="Arial" w:hAnsi="Arial"/>
          <w:sz w:val="16"/>
          <w:szCs w:val="16"/>
          <w:color w:val="auto"/>
        </w:rPr>
        <w:t>residential mortgage-backed securities (“Agency RMBS") and non-Agency mortgage-backed securities of high credit quality are amortized or accreted into interest income, respectively, over the projected lives of the securities, including contractual payments and estimated prepayments using the effective interest method. The effective yield on the Company’s Agency</w:t>
      </w:r>
    </w:p>
    <w:p>
      <w:pPr>
        <w:spacing w:after="0" w:line="2" w:lineRule="exact"/>
        <w:rPr>
          <w:sz w:val="20"/>
          <w:szCs w:val="20"/>
          <w:color w:val="auto"/>
        </w:rPr>
      </w:pPr>
    </w:p>
    <w:p>
      <w:pPr>
        <w:jc w:val="both"/>
        <w:ind w:left="2440"/>
        <w:spacing w:after="0" w:line="242" w:lineRule="auto"/>
        <w:rPr>
          <w:sz w:val="20"/>
          <w:szCs w:val="20"/>
          <w:color w:val="auto"/>
        </w:rPr>
      </w:pPr>
      <w:r>
        <w:rPr>
          <w:rFonts w:ascii="Arial" w:cs="Arial" w:eastAsia="Arial" w:hAnsi="Arial"/>
          <w:sz w:val="15"/>
          <w:szCs w:val="15"/>
          <w:color w:val="auto"/>
        </w:rPr>
        <w:t>RMBS and non-Agency mortgage-backed securities of high credit quality is highly impacted by the Company’s estimate of future prepayments. The Company estimates long-term prepayment speeds of such securities using a third-party service provider and market data. The third-party service provider estimates long-term prepayment speeds using a prepayment model</w:t>
      </w:r>
    </w:p>
    <w:p>
      <w:pPr>
        <w:spacing w:after="0" w:line="1" w:lineRule="exact"/>
        <w:rPr>
          <w:sz w:val="20"/>
          <w:szCs w:val="20"/>
          <w:color w:val="auto"/>
        </w:rPr>
      </w:pPr>
    </w:p>
    <w:p>
      <w:pPr>
        <w:ind w:left="2440"/>
        <w:spacing w:after="0" w:line="231" w:lineRule="auto"/>
        <w:rPr>
          <w:sz w:val="20"/>
          <w:szCs w:val="20"/>
          <w:color w:val="auto"/>
        </w:rPr>
      </w:pPr>
      <w:r>
        <w:rPr>
          <w:rFonts w:ascii="Arial" w:cs="Arial" w:eastAsia="Arial" w:hAnsi="Arial"/>
          <w:sz w:val="17"/>
          <w:szCs w:val="17"/>
          <w:color w:val="auto"/>
        </w:rPr>
        <w:t>that incorporates the forward yield curve, current mortgage rates, mortgage rates of the outstanding loans, age and size of the outstanding loans, loan-to-value ratios, interest rate volatility and other factors.</w:t>
      </w:r>
    </w:p>
    <w:p>
      <w:pPr>
        <w:spacing w:after="0" w:line="18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Auditing the Company's estimation of long-term prepayment speeds used for the amortization of premiums and accretion of</w:t>
      </w:r>
    </w:p>
    <w:p>
      <w:pPr>
        <w:spacing w:after="0" w:line="13" w:lineRule="exact"/>
        <w:rPr>
          <w:sz w:val="20"/>
          <w:szCs w:val="20"/>
          <w:color w:val="auto"/>
        </w:rPr>
      </w:pPr>
    </w:p>
    <w:p>
      <w:pPr>
        <w:ind w:left="2440"/>
        <w:spacing w:after="0" w:line="251" w:lineRule="auto"/>
        <w:rPr>
          <w:sz w:val="20"/>
          <w:szCs w:val="20"/>
          <w:color w:val="auto"/>
        </w:rPr>
      </w:pPr>
      <w:r>
        <w:rPr>
          <w:rFonts w:ascii="Arial" w:cs="Arial" w:eastAsia="Arial" w:hAnsi="Arial"/>
          <w:sz w:val="16"/>
          <w:szCs w:val="16"/>
          <w:color w:val="auto"/>
        </w:rPr>
        <w:t>discounts is subjective due to the significant judgments and estimates required by management and the third-party service provider, as inputs into prepayment models are prone to fluctuation based on changing macroeconomic conditions.</w:t>
      </w:r>
    </w:p>
    <w:p>
      <w:pPr>
        <w:sectPr>
          <w:pgSz w:w="11900" w:h="16838" w:orient="portrait"/>
          <w:cols w:equalWidth="0" w:num="1">
            <w:col w:w="11200"/>
          </w:cols>
          <w:pgMar w:left="320" w:top="1003" w:right="37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estimation of long-term prepayment speeds, including management’s review of the estimated prepayment speeds provided by the third-party service provider.</w:t>
      </w:r>
    </w:p>
    <w:p>
      <w:pPr>
        <w:spacing w:after="0" w:line="133" w:lineRule="exact"/>
        <w:rPr>
          <w:sz w:val="20"/>
          <w:szCs w:val="20"/>
          <w:color w:val="auto"/>
        </w:rPr>
      </w:pPr>
    </w:p>
    <w:p>
      <w:pPr>
        <w:sectPr>
          <w:pgSz w:w="11900" w:h="16838" w:orient="portrait"/>
          <w:cols w:equalWidth="0" w:num="2">
            <w:col w:w="2160" w:space="280"/>
            <w:col w:w="8760"/>
          </w:cols>
          <w:pgMar w:left="320" w:top="1003" w:right="379" w:bottom="1440" w:gutter="0" w:footer="0" w:header="0"/>
          <w:type w:val="continuous"/>
        </w:sectPr>
      </w:pPr>
    </w:p>
    <w:p>
      <w:pPr>
        <w:jc w:val="both"/>
        <w:ind w:left="2440"/>
        <w:spacing w:after="0" w:line="233" w:lineRule="auto"/>
        <w:rPr>
          <w:sz w:val="20"/>
          <w:szCs w:val="20"/>
          <w:color w:val="auto"/>
        </w:rPr>
      </w:pPr>
      <w:r>
        <w:rPr>
          <w:rFonts w:ascii="Arial" w:cs="Arial" w:eastAsia="Arial" w:hAnsi="Arial"/>
          <w:sz w:val="16"/>
          <w:szCs w:val="16"/>
          <w:color w:val="auto"/>
        </w:rPr>
        <w:t>Our audit procedures included, among others, performing comparative analyses between the Company’s long-term prepayment speed estimates and long-term prepayment speed estimates data from independent third-party sources, reconciling the Company’s estimates of long-term prepayment speeds to source prepayment speeds data provided by</w:t>
      </w:r>
    </w:p>
    <w:p>
      <w:pPr>
        <w:spacing w:after="0" w:line="1" w:lineRule="exact"/>
        <w:rPr>
          <w:sz w:val="20"/>
          <w:szCs w:val="20"/>
          <w:color w:val="auto"/>
        </w:rPr>
      </w:pPr>
    </w:p>
    <w:p>
      <w:pPr>
        <w:ind w:left="2440"/>
        <w:spacing w:after="0" w:line="251" w:lineRule="auto"/>
        <w:rPr>
          <w:sz w:val="20"/>
          <w:szCs w:val="20"/>
          <w:color w:val="auto"/>
        </w:rPr>
      </w:pPr>
      <w:r>
        <w:rPr>
          <w:rFonts w:ascii="Arial" w:cs="Arial" w:eastAsia="Arial" w:hAnsi="Arial"/>
          <w:sz w:val="16"/>
          <w:szCs w:val="16"/>
          <w:color w:val="auto"/>
        </w:rPr>
        <w:t>management’s third-party service provider, evaluating the competency and objectivity of management’s third-party service provider, and identifying potential sources of contrary information, with the assistance of an internal valuation specialist.</w:t>
      </w:r>
    </w:p>
    <w:p>
      <w:pPr>
        <w:sectPr>
          <w:pgSz w:w="11900" w:h="16838" w:orient="portrait"/>
          <w:cols w:equalWidth="0" w:num="1">
            <w:col w:w="11200"/>
          </w:cols>
          <w:pgMar w:left="320" w:top="1003" w:right="37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52" w:name="page53"/>
    <w:bookmarkEnd w:id="52"/>
    <w:p>
      <w:pPr>
        <w:jc w:val="center"/>
        <w:ind w:right="40"/>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Agency securities, at fair value (including pledged securities of $35,800 and $47,601, respectively)</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39,346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52,396</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risk transfer securities, at fair value (including pledged securities of $703 and $510,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60"/>
        </w:trPr>
        <w:tc>
          <w:tcPr>
            <w:tcW w:w="7900" w:type="dxa"/>
            <w:vAlign w:val="bottom"/>
          </w:tcPr>
          <w:p>
            <w:pPr>
              <w:ind w:left="200"/>
              <w:spacing w:after="0" w:line="160" w:lineRule="exact"/>
              <w:rPr>
                <w:sz w:val="20"/>
                <w:szCs w:val="20"/>
                <w:color w:val="auto"/>
              </w:rPr>
            </w:pPr>
            <w:r>
              <w:rPr>
                <w:rFonts w:ascii="Arial" w:cs="Arial" w:eastAsia="Arial" w:hAnsi="Arial"/>
                <w:sz w:val="16"/>
                <w:szCs w:val="16"/>
                <w:color w:val="auto"/>
                <w:w w:val="92"/>
              </w:rPr>
              <w:t>Non-Agency securities, at fair value, and other mortgage credit investments (including pledged securities of $605 and</w:t>
            </w:r>
          </w:p>
        </w:tc>
        <w:tc>
          <w:tcPr>
            <w:tcW w:w="1000" w:type="dxa"/>
            <w:vAlign w:val="bottom"/>
          </w:tcPr>
          <w:p>
            <w:pPr>
              <w:spacing w:after="0"/>
              <w:rPr>
                <w:sz w:val="13"/>
                <w:szCs w:val="13"/>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03"/>
        </w:trPr>
        <w:tc>
          <w:tcPr>
            <w:tcW w:w="7900" w:type="dxa"/>
            <w:vAlign w:val="bottom"/>
          </w:tcPr>
          <w:p>
            <w:pPr>
              <w:ind w:left="200"/>
              <w:spacing w:after="0"/>
              <w:rPr>
                <w:sz w:val="20"/>
                <w:szCs w:val="20"/>
                <w:color w:val="auto"/>
              </w:rPr>
            </w:pPr>
            <w:r>
              <w:rPr>
                <w:rFonts w:ascii="Arial" w:cs="Arial" w:eastAsia="Arial" w:hAnsi="Arial"/>
                <w:sz w:val="16"/>
                <w:szCs w:val="16"/>
                <w:color w:val="auto"/>
              </w:rPr>
              <w:t>$571, respectively)</w:t>
            </w:r>
          </w:p>
        </w:tc>
        <w:tc>
          <w:tcPr>
            <w:tcW w:w="10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Treasury securities, at fair value (including pledged securities of $353 and $471,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Derivative assets,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 for investment securities sold (including pledged securities of $119 and $0,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Receivable under reverse repurchase agreements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6,622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10,475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51,748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agreements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36,262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47,381</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Debt of consolidated variable interest entities,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 for investment securities purchased</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Derivative liabilities,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6,534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9"/>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43,878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57,858</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Preferred Stock - aggregate liquidation preference of $1,688 and $1,538</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0"/>
              </w:rPr>
              <w:t>Common stock - $0.01 par value; 1,500 shares authorized; 574.6 and 522.2 shares issued and outstanding,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14,186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13,710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deficit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stockholders' equity</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7,870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205"/>
        </w:trPr>
        <w:tc>
          <w:tcPr>
            <w:tcW w:w="790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51,748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6" w:right="3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millions,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03"/>
        </w:trPr>
        <w:tc>
          <w:tcPr>
            <w:tcW w:w="7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2"/>
        </w:trPr>
        <w:tc>
          <w:tcPr>
            <w:tcW w:w="728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1,590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1,361</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1,519</w:t>
            </w:r>
          </w:p>
        </w:tc>
      </w:tr>
      <w:tr>
        <w:trPr>
          <w:trHeight w:val="222"/>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r>
      <w:tr>
        <w:trPr>
          <w:trHeight w:val="215"/>
        </w:trPr>
        <w:tc>
          <w:tcPr>
            <w:tcW w:w="72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interest income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r>
      <w:tr>
        <w:trPr>
          <w:trHeight w:val="202"/>
        </w:trPr>
        <w:tc>
          <w:tcPr>
            <w:tcW w:w="7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gain (loss),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2"/>
        </w:trPr>
        <w:tc>
          <w:tcPr>
            <w:tcW w:w="7280" w:type="dxa"/>
            <w:vAlign w:val="bottom"/>
          </w:tcPr>
          <w:p>
            <w:pPr>
              <w:ind w:left="320"/>
              <w:spacing w:after="0"/>
              <w:rPr>
                <w:sz w:val="20"/>
                <w:szCs w:val="20"/>
                <w:color w:val="auto"/>
              </w:rPr>
            </w:pPr>
            <w:r>
              <w:rPr>
                <w:rFonts w:ascii="Arial" w:cs="Arial" w:eastAsia="Arial" w:hAnsi="Arial"/>
                <w:sz w:val="17"/>
                <w:szCs w:val="17"/>
                <w:color w:val="auto"/>
              </w:rPr>
              <w:t>Gain (loss) on sale of investment securities,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1,126</w:t>
            </w:r>
          </w:p>
        </w:tc>
      </w:tr>
      <w:tr>
        <w:trPr>
          <w:trHeight w:val="222"/>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22"/>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Gain (loss) on derivative instruments and other investments,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(2,463)</w:t>
            </w:r>
          </w:p>
        </w:tc>
      </w:tr>
      <w:tr>
        <w:trPr>
          <w:trHeight w:val="215"/>
        </w:trPr>
        <w:tc>
          <w:tcPr>
            <w:tcW w:w="7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other loss,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r>
      <w:tr>
        <w:trPr>
          <w:trHeight w:val="202"/>
        </w:trPr>
        <w:tc>
          <w:tcPr>
            <w:tcW w:w="728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2"/>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operating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15"/>
        </w:trPr>
        <w:tc>
          <w:tcPr>
            <w:tcW w:w="7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operating expense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5"/>
        </w:trPr>
        <w:tc>
          <w:tcPr>
            <w:tcW w:w="7280" w:type="dxa"/>
            <w:vAlign w:val="bottom"/>
          </w:tcPr>
          <w:p>
            <w:pPr>
              <w:spacing w:after="0"/>
              <w:rPr>
                <w:sz w:val="20"/>
                <w:szCs w:val="20"/>
                <w:color w:val="auto"/>
              </w:rPr>
            </w:pPr>
            <w:r>
              <w:rPr>
                <w:rFonts w:ascii="Arial" w:cs="Arial" w:eastAsia="Arial" w:hAnsi="Arial"/>
                <w:sz w:val="17"/>
                <w:szCs w:val="17"/>
                <w:b w:val="1"/>
                <w:bCs w:val="1"/>
                <w:color w:val="auto"/>
              </w:rPr>
              <w:t>Net income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22"/>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Dividends on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5"/>
        </w:trPr>
        <w:tc>
          <w:tcPr>
            <w:tcW w:w="7280" w:type="dxa"/>
            <w:vAlign w:val="bottom"/>
          </w:tcPr>
          <w:p>
            <w:pPr>
              <w:spacing w:after="0"/>
              <w:rPr>
                <w:sz w:val="20"/>
                <w:szCs w:val="20"/>
                <w:color w:val="auto"/>
              </w:rPr>
            </w:pPr>
            <w:r>
              <w:rPr>
                <w:rFonts w:ascii="Arial" w:cs="Arial" w:eastAsia="Arial" w:hAnsi="Arial"/>
                <w:sz w:val="17"/>
                <w:szCs w:val="17"/>
                <w:b w:val="1"/>
                <w:bCs w:val="1"/>
                <w:color w:val="auto"/>
              </w:rPr>
              <w:t>Net income (loss) available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7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7"/>
                <w:szCs w:val="17"/>
                <w:b w:val="1"/>
                <w:bCs w:val="1"/>
                <w:color w:val="auto"/>
              </w:rPr>
              <w:t>Net income (loss)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(1,190)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749</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184"/>
        </w:trPr>
        <w:tc>
          <w:tcPr>
            <w:tcW w:w="7280" w:type="dxa"/>
            <w:vAlign w:val="bottom"/>
            <w:shd w:val="clear" w:color="auto" w:fill="CCEEFF"/>
          </w:tcPr>
          <w:p>
            <w:pPr>
              <w:ind w:left="320"/>
              <w:spacing w:after="0" w:line="184" w:lineRule="exact"/>
              <w:rPr>
                <w:sz w:val="20"/>
                <w:szCs w:val="20"/>
                <w:color w:val="auto"/>
              </w:rPr>
            </w:pPr>
            <w:r>
              <w:rPr>
                <w:rFonts w:ascii="Arial" w:cs="Arial" w:eastAsia="Arial" w:hAnsi="Arial"/>
                <w:sz w:val="17"/>
                <w:szCs w:val="17"/>
                <w:color w:val="auto"/>
                <w:w w:val="92"/>
              </w:rPr>
              <w:t>Unrealized gain (loss) on investment securities measured at fair value through other comprehensive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1"/>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(loss),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r>
      <w:tr>
        <w:trPr>
          <w:trHeight w:val="215"/>
        </w:trPr>
        <w:tc>
          <w:tcPr>
            <w:tcW w:w="7280" w:type="dxa"/>
            <w:vAlign w:val="bottom"/>
          </w:tcPr>
          <w:p>
            <w:pPr>
              <w:spacing w:after="0"/>
              <w:rPr>
                <w:sz w:val="20"/>
                <w:szCs w:val="20"/>
                <w:color w:val="auto"/>
              </w:rPr>
            </w:pPr>
            <w:r>
              <w:rPr>
                <w:rFonts w:ascii="Arial" w:cs="Arial" w:eastAsia="Arial" w:hAnsi="Arial"/>
                <w:sz w:val="17"/>
                <w:szCs w:val="17"/>
                <w:b w:val="1"/>
                <w:bCs w:val="1"/>
                <w:color w:val="auto"/>
              </w:rPr>
              <w:t>Comprehensive income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22"/>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Dividends on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5"/>
        </w:trPr>
        <w:tc>
          <w:tcPr>
            <w:tcW w:w="728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 available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7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7"/>
                <w:szCs w:val="17"/>
                <w:b w:val="1"/>
                <w:bCs w:val="1"/>
                <w:color w:val="auto"/>
              </w:rPr>
              <w:t>Weighted average number of common shares outstanding - basic</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9"/>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Weighted average number of common shares outstanding - diluted</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280" w:type="dxa"/>
            <w:vAlign w:val="bottom"/>
          </w:tcPr>
          <w:p>
            <w:pPr>
              <w:spacing w:after="0" w:line="194" w:lineRule="exact"/>
              <w:rPr>
                <w:sz w:val="20"/>
                <w:szCs w:val="20"/>
                <w:color w:val="auto"/>
              </w:rPr>
            </w:pPr>
            <w:r>
              <w:rPr>
                <w:rFonts w:ascii="Arial" w:cs="Arial" w:eastAsia="Arial" w:hAnsi="Arial"/>
                <w:sz w:val="17"/>
                <w:szCs w:val="17"/>
                <w:b w:val="1"/>
                <w:bCs w:val="1"/>
                <w:color w:val="auto"/>
              </w:rPr>
              <w:t>Net income (loss) per common share - basic</w:t>
            </w: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(2.41)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1.23</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3"/>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(0.66)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9"/>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 (loss) per common share - diluted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80"/>
          </w:cols>
          <w:pgMar w:left="460" w:top="866" w:right="459" w:bottom="1440" w:gutter="0" w:footer="0" w:header="0"/>
        </w:sectPr>
      </w:pPr>
    </w:p>
    <w:bookmarkStart w:id="54" w:name="page55"/>
    <w:bookmarkEnd w:id="54"/>
    <w:p>
      <w:pPr>
        <w:jc w:val="center"/>
        <w:ind w:right="-279"/>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line="124" w:lineRule="exact"/>
              <w:rPr>
                <w:sz w:val="20"/>
                <w:szCs w:val="20"/>
                <w:color w:val="auto"/>
              </w:rPr>
            </w:pPr>
            <w:r>
              <w:rPr>
                <w:rFonts w:ascii="Arial" w:cs="Arial" w:eastAsia="Arial" w:hAnsi="Arial"/>
                <w:sz w:val="14"/>
                <w:szCs w:val="14"/>
                <w:b w:val="1"/>
                <w:bCs w:val="1"/>
                <w:color w:val="auto"/>
                <w:w w:val="93"/>
              </w:rPr>
              <w:t>Preferred</w:t>
            </w:r>
          </w:p>
        </w:tc>
        <w:tc>
          <w:tcPr>
            <w:tcW w:w="16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4"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9"/>
                <w:szCs w:val="9"/>
                <w:color w:val="auto"/>
              </w:rPr>
            </w:pPr>
          </w:p>
        </w:tc>
        <w:tc>
          <w:tcPr>
            <w:tcW w:w="880" w:type="dxa"/>
            <w:vAlign w:val="bottom"/>
            <w:gridSpan w:val="2"/>
            <w:vMerge w:val="restart"/>
          </w:tcPr>
          <w:p>
            <w:pPr>
              <w:jc w:val="center"/>
              <w:ind w:right="260"/>
              <w:spacing w:after="0" w:line="124"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40"/>
              <w:spacing w:after="0" w:line="124"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Issuance of preferred stock</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374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34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374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10,291</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34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Issuance of preferred stock</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87"/>
        </w:trPr>
        <w:tc>
          <w:tcPr>
            <w:tcW w:w="37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374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866" w:right="61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8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r>
      <w:tr>
        <w:trPr>
          <w:trHeight w:val="23"/>
        </w:trPr>
        <w:tc>
          <w:tcPr>
            <w:tcW w:w="7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2"/>
        </w:trPr>
        <w:tc>
          <w:tcPr>
            <w:tcW w:w="7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96"/>
        </w:trPr>
        <w:tc>
          <w:tcPr>
            <w:tcW w:w="7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75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2"/>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1,082</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(Gain) loss on sale of investment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(Gain) loss on derivative instruments and other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2,463</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other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Increase (decrease) in other liabilities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05"/>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1,747</w:t>
            </w:r>
          </w:p>
        </w:tc>
      </w:tr>
      <w:tr>
        <w:trPr>
          <w:trHeight w:val="186"/>
        </w:trPr>
        <w:tc>
          <w:tcPr>
            <w:tcW w:w="75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(56,521)</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Purchases of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77,294</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1,434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896</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Principal collections on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17,373</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131</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U.S. Treasury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(24,497)</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Proceeds from U.S. Treasury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19,795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25,978</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proceeds from (payments on) reverse repurchase agreements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proceeds from (payments on) derivative instruments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r>
      <w:tr>
        <w:trPr>
          <w:trHeight w:val="205"/>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3,836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36,525</w:t>
            </w:r>
          </w:p>
        </w:tc>
      </w:tr>
      <w:tr>
        <w:trPr>
          <w:trHeight w:val="186"/>
        </w:trPr>
        <w:tc>
          <w:tcPr>
            <w:tcW w:w="75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repurchase arrangements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2,360,328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2,189,555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3,133,008</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Payments on repurchase agreements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(2,371,447)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(2,194,540)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(3,169,824)</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debt of consolidated variable interest entities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Net proceeds from preferred stock issuances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557</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proceeds from common stock issuances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439</w:t>
            </w:r>
          </w:p>
        </w:tc>
      </w:tr>
      <w:tr>
        <w:trPr>
          <w:trHeight w:val="206"/>
        </w:trPr>
        <w:tc>
          <w:tcPr>
            <w:tcW w:w="7500" w:type="dxa"/>
            <w:vAlign w:val="bottom"/>
          </w:tcPr>
          <w:p>
            <w:pPr>
              <w:ind w:left="320"/>
              <w:spacing w:after="0"/>
              <w:rPr>
                <w:sz w:val="20"/>
                <w:szCs w:val="20"/>
                <w:color w:val="auto"/>
              </w:rPr>
            </w:pPr>
            <w:r>
              <w:rPr>
                <w:rFonts w:ascii="Arial" w:cs="Arial" w:eastAsia="Arial" w:hAnsi="Arial"/>
                <w:sz w:val="16"/>
                <w:szCs w:val="16"/>
                <w:color w:val="auto"/>
              </w:rPr>
              <w:t>Payments for common stock repurchases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2"/>
        </w:trPr>
        <w:tc>
          <w:tcPr>
            <w:tcW w:w="7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dividends paid</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199"/>
        </w:trPr>
        <w:tc>
          <w:tcPr>
            <w:tcW w:w="7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(37,230)</w:t>
            </w:r>
          </w:p>
        </w:tc>
      </w:tr>
      <w:tr>
        <w:trPr>
          <w:trHeight w:val="205"/>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1,042</w:t>
            </w:r>
          </w:p>
        </w:tc>
      </w:tr>
      <w:tr>
        <w:trPr>
          <w:trHeight w:val="206"/>
        </w:trPr>
        <w:tc>
          <w:tcPr>
            <w:tcW w:w="7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1,282</w:t>
            </w:r>
          </w:p>
        </w:tc>
      </w:tr>
      <w:tr>
        <w:trPr>
          <w:trHeight w:val="230"/>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Interest paid</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866</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w:t>
      </w:r>
    </w:p>
    <w:p>
      <w:pPr>
        <w:spacing w:after="0" w:line="17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19"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2"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1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19"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26"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7" w:name="page58"/>
    <w:bookmarkEnd w:id="57"/>
    <w:p>
      <w:pPr>
        <w:jc w:val="both"/>
        <w:ind w:firstLine="431"/>
        <w:spacing w:after="0" w:line="27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21"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w:t>
      </w:r>
    </w:p>
    <w:p>
      <w:pPr>
        <w:spacing w:after="0" w:line="123"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21"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70"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agreements with our lending counterparties. Repurchase arrangements involve the sale and a simultaneous agreement to repurchase the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6"/>
          <w:szCs w:val="16"/>
          <w:i w:val="1"/>
          <w:iCs w:val="1"/>
          <w:color w:val="auto"/>
        </w:rPr>
        <w:t>Transfers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Servicing</w:t>
      </w:r>
      <w:r>
        <w:rPr>
          <w:rFonts w:ascii="Arial" w:cs="Arial" w:eastAsia="Arial" w:hAnsi="Arial"/>
          <w:sz w:val="16"/>
          <w:szCs w:val="16"/>
          <w:color w:val="auto"/>
        </w:rPr>
        <w:t>, we account for repurchase agreements as collateralized financing transactions, which are carried at their contractual amounts (cost), plus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Our repurchase agreements typically have maturities of less than one year.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Reverse Repurchase Agreements and Obligation to Return Securities Borrowed under Reverse Repurchase Agreements</w:t>
      </w:r>
    </w:p>
    <w:p>
      <w:pPr>
        <w:spacing w:after="0" w:line="170"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below). We account for these as securities borrowing transactions and recognize an obligation to return the borrowed securities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7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2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27"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rate swap agreements</w:t>
      </w:r>
    </w:p>
    <w:p>
      <w:pPr>
        <w:spacing w:after="0" w:line="170" w:lineRule="exact"/>
        <w:rPr>
          <w:sz w:val="20"/>
          <w:szCs w:val="20"/>
          <w:color w:val="auto"/>
        </w:rPr>
      </w:pPr>
    </w:p>
    <w:p>
      <w:pPr>
        <w:jc w:val="both"/>
        <w:ind w:firstLine="431"/>
        <w:spacing w:after="0" w:line="279"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rate swaptions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9" w:name="page60"/>
    <w:bookmarkEnd w:id="59"/>
    <w:p>
      <w:pPr>
        <w:ind w:left="400"/>
        <w:spacing w:after="0"/>
        <w:rPr>
          <w:sz w:val="20"/>
          <w:szCs w:val="20"/>
          <w:color w:val="auto"/>
        </w:rPr>
      </w:pPr>
      <w:r>
        <w:rPr>
          <w:rFonts w:ascii="Arial" w:cs="Arial" w:eastAsia="Arial" w:hAnsi="Arial"/>
          <w:sz w:val="17"/>
          <w:szCs w:val="17"/>
          <w:i w:val="1"/>
          <w:iCs w:val="1"/>
          <w:color w:val="auto"/>
        </w:rPr>
        <w:t>TBA securities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9"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U.S. Treasury securities and US Treasury futures contracts</w:t>
      </w:r>
    </w:p>
    <w:p>
      <w:pPr>
        <w:spacing w:after="0" w:line="170" w:lineRule="exact"/>
        <w:rPr>
          <w:sz w:val="20"/>
          <w:szCs w:val="20"/>
          <w:color w:val="auto"/>
        </w:rPr>
      </w:pPr>
    </w:p>
    <w:p>
      <w:pPr>
        <w:jc w:val="both"/>
        <w:ind w:firstLine="431"/>
        <w:spacing w:after="0" w:line="304" w:lineRule="auto"/>
        <w:rPr>
          <w:sz w:val="20"/>
          <w:szCs w:val="20"/>
          <w:color w:val="auto"/>
        </w:rPr>
      </w:pPr>
      <w:r>
        <w:rPr>
          <w:rFonts w:ascii="Arial" w:cs="Arial" w:eastAsia="Arial" w:hAnsi="Arial"/>
          <w:sz w:val="15"/>
          <w:szCs w:val="15"/>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three levels of valuation hierarchy are defined as follows:</w:t>
      </w:r>
    </w:p>
    <w:p>
      <w:pPr>
        <w:spacing w:after="0" w:line="170" w:lineRule="exact"/>
        <w:rPr>
          <w:sz w:val="20"/>
          <w:szCs w:val="20"/>
          <w:color w:val="auto"/>
        </w:rPr>
      </w:pPr>
    </w:p>
    <w:p>
      <w:pPr>
        <w:ind w:left="640" w:hanging="322"/>
        <w:spacing w:after="0" w:line="288"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1 Inputs —Quoted prices (unadjusted) for identical unrestricted assets and liabilities in active markets that are accessible at the measurement date.</w:t>
      </w:r>
    </w:p>
    <w:p>
      <w:pPr>
        <w:spacing w:after="0" w:line="10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3 Inputs —Instruments with primarily unobservable market data that cannot be corroborated.</w:t>
      </w:r>
    </w:p>
    <w:p>
      <w:pPr>
        <w:spacing w:after="0" w:line="170"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would indicate and we cannot obtain an understanding from the third-party source as to the significant inputs used to determine the price.</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3" w:lineRule="exact"/>
        <w:rPr>
          <w:sz w:val="20"/>
          <w:szCs w:val="20"/>
          <w:color w:val="auto"/>
        </w:rPr>
      </w:pPr>
    </w:p>
    <w:p>
      <w:pPr>
        <w:jc w:val="both"/>
        <w:ind w:firstLine="431"/>
        <w:spacing w:after="0" w:line="26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7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 are valued using the daily settlement price, or fair value, determined by the clearing exchange based on a pricing model that</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references observable market inputs, including current benchmark rates and the forward yield curve.</w:t>
      </w:r>
    </w:p>
    <w:p>
      <w:pPr>
        <w:spacing w:after="0" w:line="106"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i w:val="1"/>
          <w:iCs w:val="1"/>
          <w:color w:val="auto"/>
        </w:rPr>
        <w:t xml:space="preserve">Interest rate swaptions </w:t>
      </w:r>
      <w:r>
        <w:rPr>
          <w:rFonts w:ascii="Arial" w:cs="Arial" w:eastAsia="Arial" w:hAnsi="Arial"/>
          <w:sz w:val="17"/>
          <w:szCs w:val="17"/>
          <w:color w:val="auto"/>
        </w:rPr>
        <w:t>- are valued using prices obtained from the counterparty and other third-party pricing models. The pricing models are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future interest rate swap that we have the option to enter into as well as the remaining length of time that we have to exercise the option based on observable market inputs, adjusted for non-performance risk, if any.</w:t>
      </w:r>
    </w:p>
    <w:p>
      <w:pPr>
        <w:spacing w:after="0" w:line="12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U.S. Treasury securities and futures are valued based on quoted prices for identical instruments in active markets and are classified as Level 1 assets. None of our financial instruments are classified as Level 3 inputs.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Variable Interest Entities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 xml:space="preserve">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requires an enterprise to consolidate a variable interest entity ("VIE") if it is deemed the primary beneficiary of the VIE. As of December 31, 2022 and 2021,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Cash and cash equivalents include cash held in bank accounts and cash held in money market funds on an overnight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Restricted cash includes cash pledged as collateral for clearing and executing trades, repurchase agreements, and interest rate swaps and other derivative instruments.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Goodwill is the cost of an acquisition in excess of the fair value of identified assets acquired and liabilities assumed and is recognized as an asset on our consolidated balance sheets. As of December 31, 2022 and 2021,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1" w:name="page62"/>
    <w:bookmarkEnd w:id="61"/>
    <w:p>
      <w:pPr>
        <w:jc w:val="both"/>
        <w:spacing w:after="0" w:line="267" w:lineRule="auto"/>
        <w:rPr>
          <w:sz w:val="20"/>
          <w:szCs w:val="20"/>
          <w:color w:val="auto"/>
        </w:rPr>
      </w:pPr>
      <w:r>
        <w:rPr>
          <w:rFonts w:ascii="Arial" w:cs="Arial" w:eastAsia="Arial" w:hAnsi="Arial"/>
          <w:sz w:val="17"/>
          <w:szCs w:val="17"/>
          <w:color w:val="auto"/>
        </w:rPr>
        <w:t>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each of the three fiscal years ended December 31, 2022, we did not recognize a goodwill impairment charge.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32" w:lineRule="exact"/>
        <w:rPr>
          <w:sz w:val="20"/>
          <w:szCs w:val="20"/>
          <w:color w:val="auto"/>
        </w:rPr>
      </w:pPr>
    </w:p>
    <w:p>
      <w:pPr>
        <w:jc w:val="both"/>
        <w:ind w:firstLine="431"/>
        <w:spacing w:after="0" w:line="284" w:lineRule="auto"/>
        <w:rPr>
          <w:sz w:val="20"/>
          <w:szCs w:val="20"/>
          <w:color w:val="auto"/>
        </w:rPr>
      </w:pPr>
      <w:r>
        <w:rPr>
          <w:rFonts w:ascii="Arial" w:cs="Arial" w:eastAsia="Arial" w:hAnsi="Arial"/>
          <w:sz w:val="16"/>
          <w:szCs w:val="16"/>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14"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 Securities</w:t>
      </w:r>
    </w:p>
    <w:p>
      <w:pPr>
        <w:spacing w:after="0" w:line="176"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As of December 31, 2022 and 2021, our investment portfolio consisted of: $40.9 billion and $54.4 billion investment securities, at fair value, respectively; $18.6 billion and $27.1 billion net TBA securities, at fair value, respectively; and, as of 2021, $0.4 billion forward settling non-Agency securities, at fair value. Our net TBA position and forward settling non-Agency securities are reported at their net carrying value totaling $0.2 billion and $(44) million as of December 31, 2022 and 2021,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2022 and 2021, our investment securities had a net unamortized premium balance of $1.5 billion and $1.8 billion,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2" w:name="page63"/>
    <w:bookmarkEnd w:id="62"/>
    <w:p>
      <w:pPr>
        <w:jc w:val="both"/>
        <w:ind w:firstLine="392"/>
        <w:spacing w:after="0" w:line="272" w:lineRule="auto"/>
        <w:rPr>
          <w:sz w:val="20"/>
          <w:szCs w:val="20"/>
          <w:color w:val="auto"/>
        </w:rPr>
      </w:pPr>
      <w:r>
        <w:rPr>
          <w:rFonts w:ascii="Arial" w:cs="Arial" w:eastAsia="Arial" w:hAnsi="Arial"/>
          <w:sz w:val="17"/>
          <w:szCs w:val="17"/>
          <w:color w:val="auto"/>
        </w:rPr>
        <w:t>The following tables summarize our investment securities as of December 31, 2022 and 2021, excluding TBA and forward settling securities and other mortgage credit investments (dollars in millions). Details of our TBA and forward settling securities are included in Note 5. As of December 31, 2022, we had other mortgage credit investments of $25 million, which we account for under the equity method of accounting.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w w:val="93"/>
              </w:rPr>
              <w:t>December 31, 2021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w w:val="90"/>
              </w:rPr>
              <w:t>Amortized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212"/>
              <w:spacing w:after="0" w:line="127"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43,046</w:t>
            </w:r>
          </w:p>
        </w:tc>
        <w:tc>
          <w:tcPr>
            <w:tcW w:w="3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39,169</w:t>
            </w:r>
          </w:p>
        </w:tc>
        <w:tc>
          <w:tcPr>
            <w:tcW w:w="740" w:type="dxa"/>
            <w:vAlign w:val="bottom"/>
            <w:gridSpan w:val="3"/>
          </w:tcPr>
          <w:p>
            <w:pPr>
              <w:jc w:val="right"/>
              <w:ind w:right="3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51,546</w:t>
            </w:r>
          </w:p>
        </w:tc>
        <w:tc>
          <w:tcPr>
            <w:tcW w:w="340" w:type="dxa"/>
            <w:vAlign w:val="bottom"/>
            <w:gridSpan w:val="3"/>
          </w:tcPr>
          <w:p>
            <w:pPr>
              <w:jc w:val="right"/>
              <w:ind w:right="3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color w:val="auto"/>
              </w:rPr>
              <w:t>52,289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5"/>
              </w:rPr>
              <w:t>129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43,385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39,490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51,843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color w:val="auto"/>
              </w:rPr>
              <w:t>52,604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605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5"/>
              </w:rPr>
              <w:t>567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779</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757</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44,880</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40,904</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53,628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54,421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Agency RMBS</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right"/>
              <w:ind w:right="577"/>
              <w:spacing w:after="0" w:line="189" w:lineRule="exact"/>
              <w:rPr>
                <w:sz w:val="20"/>
                <w:szCs w:val="20"/>
                <w:color w:val="auto"/>
              </w:rPr>
            </w:pPr>
            <w:r>
              <w:rPr>
                <w:rFonts w:ascii="Arial" w:cs="Arial" w:eastAsia="Arial" w:hAnsi="Arial"/>
                <w:sz w:val="14"/>
                <w:szCs w:val="14"/>
                <w:b w:val="1"/>
                <w:bCs w:val="1"/>
                <w:color w:val="auto"/>
              </w:rPr>
              <w:t xml:space="preserve">Non-Agency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0"/>
                <w:szCs w:val="10"/>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Freddie Mac</w:t>
            </w:r>
          </w:p>
        </w:tc>
        <w:tc>
          <w:tcPr>
            <w:tcW w:w="80" w:type="dxa"/>
            <w:vAlign w:val="bottom"/>
          </w:tcPr>
          <w:p>
            <w:pPr>
              <w:spacing w:after="0"/>
              <w:rPr>
                <w:sz w:val="10"/>
                <w:szCs w:val="10"/>
                <w:color w:val="auto"/>
              </w:rPr>
            </w:pPr>
          </w:p>
        </w:tc>
        <w:tc>
          <w:tcPr>
            <w:tcW w:w="880" w:type="dxa"/>
            <w:vAlign w:val="bottom"/>
          </w:tcPr>
          <w:p>
            <w:pPr>
              <w:jc w:val="right"/>
              <w:ind w:right="215"/>
              <w:spacing w:after="0" w:line="124" w:lineRule="exact"/>
              <w:rPr>
                <w:sz w:val="20"/>
                <w:szCs w:val="20"/>
                <w:color w:val="auto"/>
              </w:rPr>
            </w:pPr>
            <w:r>
              <w:rPr>
                <w:rFonts w:ascii="Arial" w:cs="Arial" w:eastAsia="Arial" w:hAnsi="Arial"/>
                <w:sz w:val="14"/>
                <w:szCs w:val="14"/>
                <w:b w:val="1"/>
                <w:bCs w:val="1"/>
                <w:color w:val="auto"/>
              </w:rPr>
              <w:t>Ginnie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RMBS</w:t>
            </w:r>
          </w:p>
        </w:tc>
        <w:tc>
          <w:tcPr>
            <w:tcW w:w="240" w:type="dxa"/>
            <w:vAlign w:val="bottom"/>
          </w:tcPr>
          <w:p>
            <w:pPr>
              <w:spacing w:after="0"/>
              <w:rPr>
                <w:sz w:val="10"/>
                <w:szCs w:val="10"/>
                <w:color w:val="auto"/>
              </w:rPr>
            </w:pPr>
          </w:p>
        </w:tc>
        <w:tc>
          <w:tcPr>
            <w:tcW w:w="8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CMBS</w:t>
            </w:r>
          </w:p>
        </w:tc>
        <w:tc>
          <w:tcPr>
            <w:tcW w:w="140" w:type="dxa"/>
            <w:vAlign w:val="bottom"/>
          </w:tcPr>
          <w:p>
            <w:pPr>
              <w:spacing w:after="0"/>
              <w:rPr>
                <w:sz w:val="10"/>
                <w:szCs w:val="10"/>
                <w:color w:val="auto"/>
              </w:rPr>
            </w:pPr>
          </w:p>
        </w:tc>
        <w:tc>
          <w:tcPr>
            <w:tcW w:w="9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0"/>
                <w:szCs w:val="10"/>
                <w:color w:val="auto"/>
              </w:rPr>
            </w:pPr>
          </w:p>
        </w:tc>
        <w:tc>
          <w:tcPr>
            <w:tcW w:w="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Available-for-sale securities: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4,696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1,535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center"/>
              <w:ind w:left="13"/>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6,232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6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right"/>
              <w:ind w:right="3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4,970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1,628</w:t>
            </w: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5"/>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7"/>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6"/>
              <w:spacing w:after="0"/>
              <w:rPr>
                <w:sz w:val="20"/>
                <w:szCs w:val="20"/>
                <w:color w:val="auto"/>
              </w:rPr>
            </w:pPr>
            <w:r>
              <w:rPr>
                <w:rFonts w:ascii="Arial" w:cs="Arial" w:eastAsia="Arial" w:hAnsi="Arial"/>
                <w:sz w:val="12"/>
                <w:szCs w:val="12"/>
                <w:color w:val="auto"/>
              </w:rPr>
              <w:t>6,599</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right"/>
              <w:ind w:right="3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4,470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1,456</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2"/>
                <w:szCs w:val="12"/>
                <w:color w:val="auto"/>
              </w:rPr>
              <w:t>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2"/>
                <w:szCs w:val="12"/>
                <w:color w:val="auto"/>
                <w:w w:val="82"/>
              </w:rPr>
              <w:t>—</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2"/>
                <w:szCs w:val="12"/>
                <w:color w:val="auto"/>
              </w:rPr>
              <w:t>5,927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gridSpan w:val="2"/>
          </w:tcPr>
          <w:p>
            <w:pPr>
              <w:spacing w:after="0" w:line="135" w:lineRule="exact"/>
              <w:rPr>
                <w:sz w:val="20"/>
                <w:szCs w:val="20"/>
                <w:color w:val="auto"/>
              </w:rPr>
            </w:pPr>
            <w:r>
              <w:rPr>
                <w:rFonts w:ascii="Arial" w:cs="Arial" w:eastAsia="Arial" w:hAnsi="Arial"/>
                <w:sz w:val="12"/>
                <w:szCs w:val="12"/>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24,231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11,444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97"/>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w w:val="79"/>
              </w:rPr>
              <w:t>773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37,171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77"/>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2"/>
                <w:szCs w:val="12"/>
                <w:color w:val="auto"/>
              </w:rPr>
              <w:t>(6)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97"/>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1,226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25,025</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11,759</w:t>
            </w: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5"/>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jc w:val="right"/>
              <w:ind w:right="97"/>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79"/>
              </w:rPr>
              <w:t>779</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6"/>
              <w:spacing w:after="0"/>
              <w:rPr>
                <w:sz w:val="20"/>
                <w:szCs w:val="20"/>
                <w:color w:val="auto"/>
              </w:rPr>
            </w:pPr>
            <w:r>
              <w:rPr>
                <w:rFonts w:ascii="Arial" w:cs="Arial" w:eastAsia="Arial" w:hAnsi="Arial"/>
                <w:sz w:val="12"/>
                <w:szCs w:val="12"/>
                <w:color w:val="auto"/>
              </w:rPr>
              <w:t>38,281</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rPr>
              <w:t>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2"/>
                <w:szCs w:val="12"/>
                <w:color w:val="auto"/>
              </w:rPr>
              <w:t>(937)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77"/>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2"/>
                <w:szCs w:val="12"/>
                <w:color w:val="auto"/>
                <w:w w:val="84"/>
              </w:rPr>
              <w:t>(30)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2"/>
                <w:szCs w:val="12"/>
                <w:color w:val="auto"/>
              </w:rPr>
              <w:t>(3,333)</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22,731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10,830</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2"/>
                <w:szCs w:val="12"/>
                <w:color w:val="auto"/>
              </w:rPr>
              <w:t>2</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2"/>
                <w:szCs w:val="12"/>
                <w:color w:val="auto"/>
              </w:rPr>
              <w:t>90</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3"/>
            <w:shd w:val="clear" w:color="auto" w:fill="CCEEFF"/>
          </w:tcPr>
          <w:p>
            <w:pPr>
              <w:jc w:val="right"/>
              <w:ind w:right="97"/>
              <w:spacing w:after="0"/>
              <w:rPr>
                <w:sz w:val="20"/>
                <w:szCs w:val="20"/>
                <w:color w:val="auto"/>
              </w:rPr>
            </w:pPr>
            <w:r>
              <w:rPr>
                <w:rFonts w:ascii="Arial" w:cs="Arial" w:eastAsia="Arial" w:hAnsi="Arial"/>
                <w:sz w:val="12"/>
                <w:szCs w:val="12"/>
                <w:color w:val="auto"/>
              </w:rPr>
              <w:t>567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2"/>
                <w:szCs w:val="12"/>
                <w:color w:val="auto"/>
                <w:w w:val="79"/>
              </w:rPr>
              <w:t>757</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2"/>
                <w:szCs w:val="12"/>
                <w:color w:val="auto"/>
              </w:rPr>
              <w:t>34,977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27,201</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12,286</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79"/>
              </w:rPr>
              <w:t>757</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color w:val="auto"/>
              </w:rPr>
              <w:t>40,904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coupon as of December 31, 2022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3.92 %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4.66 %</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6.06 %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8.48 %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Weighted average yield as of December 31, 2022 </w:t>
            </w:r>
            <w:r>
              <w:rPr>
                <w:rFonts w:ascii="Arial" w:cs="Arial" w:eastAsia="Arial" w:hAnsi="Arial"/>
                <w:sz w:val="15"/>
                <w:szCs w:val="15"/>
                <w:color w:val="auto"/>
                <w:vertAlign w:val="superscript"/>
              </w:rPr>
              <w:t>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3.17 %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3.41 %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2.58 %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4.34 %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6.02 %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7.93 %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3.37 %</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excludes other mortgage credit investments of $25 million as of December 31, 2022.</w:t>
      </w:r>
    </w:p>
    <w:p>
      <w:pPr>
        <w:spacing w:after="0" w:line="5" w:lineRule="exact"/>
        <w:rPr>
          <w:rFonts w:ascii="Arial" w:cs="Arial" w:eastAsia="Arial" w:hAnsi="Arial"/>
          <w:sz w:val="14"/>
          <w:szCs w:val="14"/>
          <w:color w:val="auto"/>
        </w:rPr>
      </w:pPr>
    </w:p>
    <w:p>
      <w:pPr>
        <w:ind w:left="640" w:hanging="322"/>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7.4% based on forward rates as of December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3" w:name="page64"/>
    <w:bookmarkEnd w:id="63"/>
    <w:tbl>
      <w:tblPr>
        <w:tblLayout w:type="fixed"/>
        <w:tblInd w:w="32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December 31, 2021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Fannie</w:t>
            </w:r>
          </w:p>
        </w:tc>
        <w:tc>
          <w:tcPr>
            <w:tcW w:w="80" w:type="dxa"/>
            <w:vAlign w:val="bottom"/>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60" w:type="dxa"/>
            <w:vAlign w:val="bottom"/>
          </w:tcPr>
          <w:p>
            <w:pPr>
              <w:spacing w:after="0"/>
              <w:rPr>
                <w:sz w:val="11"/>
                <w:szCs w:val="11"/>
                <w:color w:val="auto"/>
              </w:rPr>
            </w:pPr>
          </w:p>
        </w:tc>
        <w:tc>
          <w:tcPr>
            <w:tcW w:w="740" w:type="dxa"/>
            <w:vAlign w:val="bottom"/>
          </w:tcPr>
          <w:p>
            <w:pPr>
              <w:jc w:val="right"/>
              <w:ind w:right="198"/>
              <w:spacing w:after="0" w:line="135"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RMBS</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200" w:type="dxa"/>
            <w:vAlign w:val="bottom"/>
          </w:tcPr>
          <w:p>
            <w:pPr>
              <w:spacing w:after="0"/>
              <w:rPr>
                <w:sz w:val="11"/>
                <w:szCs w:val="11"/>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Mae</w:t>
            </w: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6,345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2,111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300" w:type="dxa"/>
            <w:vAlign w:val="bottom"/>
            <w:gridSpan w:val="3"/>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8,458</w:t>
            </w:r>
          </w:p>
        </w:tc>
        <w:tc>
          <w:tcPr>
            <w:tcW w:w="0" w:type="dxa"/>
            <w:vAlign w:val="bottom"/>
          </w:tcPr>
          <w:p>
            <w:pPr>
              <w:spacing w:after="0"/>
              <w:rPr>
                <w:sz w:val="1"/>
                <w:szCs w:val="1"/>
                <w:color w:val="auto"/>
              </w:rPr>
            </w:pPr>
          </w:p>
        </w:tc>
      </w:tr>
      <w:tr>
        <w:trPr>
          <w:trHeight w:val="162"/>
        </w:trPr>
        <w:tc>
          <w:tcPr>
            <w:tcW w:w="3540" w:type="dxa"/>
            <w:vAlign w:val="bottom"/>
            <w:gridSpan w:val="2"/>
          </w:tcPr>
          <w:p>
            <w:pPr>
              <w:ind w:left="18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299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5"/>
        </w:trPr>
        <w:tc>
          <w:tcPr>
            <w:tcW w:w="3540" w:type="dxa"/>
            <w:vAlign w:val="bottom"/>
            <w:gridSpan w:val="2"/>
          </w:tcPr>
          <w:p>
            <w:pPr>
              <w:ind w:left="220"/>
              <w:spacing w:after="0"/>
              <w:rPr>
                <w:sz w:val="20"/>
                <w:szCs w:val="20"/>
                <w:color w:val="auto"/>
              </w:rPr>
            </w:pPr>
            <w:r>
              <w:rPr>
                <w:rFonts w:ascii="Arial" w:cs="Arial" w:eastAsia="Arial" w:hAnsi="Arial"/>
                <w:sz w:val="12"/>
                <w:szCs w:val="12"/>
                <w:color w:val="auto"/>
              </w:rPr>
              <w:t>Amortized cost</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6,641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2,215</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2</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8,858</w:t>
            </w: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234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301</w:t>
            </w:r>
          </w:p>
        </w:tc>
        <w:tc>
          <w:tcPr>
            <w:tcW w:w="0" w:type="dxa"/>
            <w:vAlign w:val="bottom"/>
          </w:tcPr>
          <w:p>
            <w:pPr>
              <w:spacing w:after="0"/>
              <w:rPr>
                <w:sz w:val="1"/>
                <w:szCs w:val="1"/>
                <w:color w:val="auto"/>
              </w:rPr>
            </w:pPr>
          </w:p>
        </w:tc>
      </w:tr>
      <w:tr>
        <w:trPr>
          <w:trHeight w:val="163"/>
        </w:trPr>
        <w:tc>
          <w:tcPr>
            <w:tcW w:w="3540" w:type="dxa"/>
            <w:vAlign w:val="bottom"/>
            <w:gridSpan w:val="2"/>
          </w:tcPr>
          <w:p>
            <w:pPr>
              <w:ind w:left="180"/>
              <w:spacing w:after="0"/>
              <w:rPr>
                <w:sz w:val="20"/>
                <w:szCs w:val="20"/>
                <w:color w:val="auto"/>
              </w:rPr>
            </w:pPr>
            <w:r>
              <w:rPr>
                <w:rFonts w:ascii="Arial" w:cs="Arial" w:eastAsia="Arial" w:hAnsi="Arial"/>
                <w:sz w:val="12"/>
                <w:szCs w:val="12"/>
                <w:color w:val="auto"/>
              </w:rPr>
              <w:t>Gross unrealized losses</w:t>
            </w:r>
          </w:p>
        </w:tc>
        <w:tc>
          <w:tcPr>
            <w:tcW w:w="1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6,875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2,282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9,159</w:t>
            </w:r>
          </w:p>
        </w:tc>
        <w:tc>
          <w:tcPr>
            <w:tcW w:w="0" w:type="dxa"/>
            <w:vAlign w:val="bottom"/>
          </w:tcPr>
          <w:p>
            <w:pPr>
              <w:spacing w:after="0"/>
              <w:rPr>
                <w:sz w:val="1"/>
                <w:szCs w:val="1"/>
                <w:color w:val="auto"/>
              </w:rPr>
            </w:pPr>
          </w:p>
        </w:tc>
      </w:tr>
      <w:tr>
        <w:trPr>
          <w:trHeight w:val="142"/>
        </w:trPr>
        <w:tc>
          <w:tcPr>
            <w:tcW w:w="35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Securities remeasured at fair value through earnings: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27,952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13,680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950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43,420</w:t>
            </w:r>
          </w:p>
        </w:tc>
        <w:tc>
          <w:tcPr>
            <w:tcW w:w="0" w:type="dxa"/>
            <w:vAlign w:val="bottom"/>
          </w:tcPr>
          <w:p>
            <w:pPr>
              <w:spacing w:after="0"/>
              <w:rPr>
                <w:sz w:val="1"/>
                <w:szCs w:val="1"/>
                <w:color w:val="auto"/>
              </w:rPr>
            </w:pPr>
          </w:p>
        </w:tc>
      </w:tr>
      <w:tr>
        <w:trPr>
          <w:trHeight w:val="162"/>
        </w:trPr>
        <w:tc>
          <w:tcPr>
            <w:tcW w:w="3540" w:type="dxa"/>
            <w:vAlign w:val="bottom"/>
            <w:gridSpan w:val="2"/>
          </w:tcPr>
          <w:p>
            <w:pPr>
              <w:ind w:left="22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79"/>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924</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1,387</w:t>
            </w:r>
          </w:p>
        </w:tc>
        <w:tc>
          <w:tcPr>
            <w:tcW w:w="0" w:type="dxa"/>
            <w:vAlign w:val="bottom"/>
          </w:tcPr>
          <w:p>
            <w:pPr>
              <w:spacing w:after="0"/>
              <w:rPr>
                <w:sz w:val="1"/>
                <w:szCs w:val="1"/>
                <w:color w:val="auto"/>
              </w:rPr>
            </w:pPr>
          </w:p>
        </w:tc>
      </w:tr>
      <w:tr>
        <w:trPr>
          <w:trHeight w:val="155"/>
        </w:trPr>
        <w:tc>
          <w:tcPr>
            <w:tcW w:w="3540" w:type="dxa"/>
            <w:vAlign w:val="bottom"/>
            <w:gridSpan w:val="2"/>
          </w:tcPr>
          <w:p>
            <w:pPr>
              <w:ind w:left="220"/>
              <w:spacing w:after="0"/>
              <w:rPr>
                <w:sz w:val="20"/>
                <w:szCs w:val="20"/>
                <w:color w:val="auto"/>
              </w:rPr>
            </w:pPr>
            <w:r>
              <w:rPr>
                <w:rFonts w:ascii="Arial" w:cs="Arial" w:eastAsia="Arial" w:hAnsi="Arial"/>
                <w:sz w:val="12"/>
                <w:szCs w:val="12"/>
                <w:color w:val="auto"/>
              </w:rPr>
              <w:t>Amortized cost</w:t>
            </w:r>
          </w:p>
        </w:tc>
        <w:tc>
          <w:tcPr>
            <w:tcW w:w="16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28,862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14,120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78"/>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98"/>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505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955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44,770</w:t>
            </w: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63"/>
        </w:trPr>
        <w:tc>
          <w:tcPr>
            <w:tcW w:w="3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(89)</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7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29,198</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14,244</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329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514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974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45,262</w:t>
            </w:r>
          </w:p>
        </w:tc>
        <w:tc>
          <w:tcPr>
            <w:tcW w:w="0" w:type="dxa"/>
            <w:vAlign w:val="bottom"/>
          </w:tcPr>
          <w:p>
            <w:pPr>
              <w:spacing w:after="0"/>
              <w:rPr>
                <w:sz w:val="1"/>
                <w:szCs w:val="1"/>
                <w:color w:val="auto"/>
              </w:rPr>
            </w:pPr>
          </w:p>
        </w:tc>
      </w:tr>
      <w:tr>
        <w:trPr>
          <w:trHeight w:val="163"/>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Total securities, at fair value</w:t>
            </w: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36,073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16,526</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329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974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54,421</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coupon as of December 31, 2021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3.08 %</w:t>
            </w:r>
          </w:p>
        </w:tc>
        <w:tc>
          <w:tcPr>
            <w:tcW w:w="0" w:type="dxa"/>
            <w:vAlign w:val="bottom"/>
          </w:tcPr>
          <w:p>
            <w:pPr>
              <w:spacing w:after="0"/>
              <w:rPr>
                <w:sz w:val="1"/>
                <w:szCs w:val="1"/>
                <w:color w:val="auto"/>
              </w:rPr>
            </w:pPr>
          </w:p>
        </w:tc>
      </w:tr>
      <w:tr>
        <w:trPr>
          <w:trHeight w:val="206"/>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 xml:space="preserve">Weighted average yield as of December 31, 2021 </w:t>
            </w:r>
            <w:r>
              <w:rPr>
                <w:rFonts w:ascii="Arial" w:cs="Arial" w:eastAsia="Arial" w:hAnsi="Arial"/>
                <w:sz w:val="15"/>
                <w:szCs w:val="15"/>
                <w:color w:val="auto"/>
                <w:vertAlign w:val="superscript"/>
              </w:rPr>
              <w:t>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2.38 %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2.43 %</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10.9% based on forward rates as of December 31, 2021.</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2022 and 2021, our investments in CRT and non-Agency securities had the following credit ratings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December 31, 2021</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gridSpan w:val="2"/>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RMBS </w:t>
            </w:r>
            <w:r>
              <w:rPr>
                <w:rFonts w:ascii="Arial" w:cs="Arial" w:eastAsia="Arial" w:hAnsi="Arial"/>
                <w:sz w:val="18"/>
                <w:szCs w:val="18"/>
                <w:b w:val="1"/>
                <w:bCs w:val="1"/>
                <w:color w:val="auto"/>
                <w:w w:val="92"/>
                <w:vertAlign w:val="superscript"/>
              </w:rPr>
              <w:t>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RMBS</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7"/>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5"/>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7"/>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5"/>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7"/>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5"/>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42"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40" w:hanging="322"/>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RMBS excludes other mortgage credit investments of $25 million as of December 31, 2022.</w:t>
      </w:r>
    </w:p>
    <w:p>
      <w:pPr>
        <w:spacing w:after="0" w:line="164"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Our CRT securities reference the performance of loans underlying Agency RMBS issued by Fannie Mae or Freddie Mac, which were subject to their underwriting standards.</w:t>
      </w:r>
    </w:p>
    <w:p>
      <w:pPr>
        <w:spacing w:after="0" w:line="106"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2022 and 2021, the weighted average expected constant prepayment rate ("CPR") over the remaining life of our Agency and high credit quality non-Agency RMBS investment portfolio was 7.4% and 10.9%, respectively. Our estimates can differ materially for different securities and thus our individual holdings have a wide range of projected CPRs. The following table summarizes our investments as of December 31, 2022 and 2021 according to their estimated weighted average life classification (dollars in millions):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Borders>
              <w:top w:val="single" w:sz="8" w:color="auto"/>
            </w:tcBorders>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Amortized</w:t>
            </w:r>
          </w:p>
        </w:tc>
        <w:tc>
          <w:tcPr>
            <w:tcW w:w="1040" w:type="dxa"/>
            <w:vAlign w:val="bottom"/>
            <w:tcBorders>
              <w:top w:val="single" w:sz="8" w:color="auto"/>
            </w:tcBorders>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0"/>
        </w:trPr>
        <w:tc>
          <w:tcPr>
            <w:tcW w:w="2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6"/>
        </w:trPr>
        <w:tc>
          <w:tcPr>
            <w:tcW w:w="2740" w:type="dxa"/>
            <w:vAlign w:val="bottom"/>
            <w:gridSpan w:val="2"/>
          </w:tcPr>
          <w:p>
            <w:pPr>
              <w:ind w:left="20"/>
              <w:spacing w:after="0" w:line="196" w:lineRule="exact"/>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Coupon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Coupon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Yield</w:t>
            </w:r>
          </w:p>
        </w:tc>
        <w:tc>
          <w:tcPr>
            <w:tcW w:w="0" w:type="dxa"/>
            <w:vAlign w:val="bottom"/>
          </w:tcPr>
          <w:p>
            <w:pPr>
              <w:spacing w:after="0"/>
              <w:rPr>
                <w:sz w:val="1"/>
                <w:szCs w:val="1"/>
                <w:color w:val="auto"/>
              </w:rPr>
            </w:pPr>
          </w:p>
        </w:tc>
      </w:tr>
      <w:tr>
        <w:trPr>
          <w:trHeight w:val="189"/>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512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5.19%</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4.66%</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3.64%</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3.69%</w:t>
            </w:r>
          </w:p>
        </w:tc>
        <w:tc>
          <w:tcPr>
            <w:tcW w:w="0" w:type="dxa"/>
            <w:vAlign w:val="bottom"/>
          </w:tcPr>
          <w:p>
            <w:pPr>
              <w:spacing w:after="0"/>
              <w:rPr>
                <w:sz w:val="1"/>
                <w:szCs w:val="1"/>
                <w:color w:val="auto"/>
              </w:rPr>
            </w:pPr>
          </w:p>
        </w:tc>
      </w:tr>
      <w:tr>
        <w:trPr>
          <w:trHeight w:val="187"/>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4.57%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3.97%</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2.74%</w:t>
            </w:r>
          </w:p>
        </w:tc>
        <w:tc>
          <w:tcPr>
            <w:tcW w:w="0" w:type="dxa"/>
            <w:vAlign w:val="bottom"/>
          </w:tcPr>
          <w:p>
            <w:pPr>
              <w:spacing w:after="0"/>
              <w:rPr>
                <w:sz w:val="1"/>
                <w:szCs w:val="1"/>
                <w:color w:val="auto"/>
              </w:rPr>
            </w:pPr>
          </w:p>
        </w:tc>
      </w:tr>
      <w:tr>
        <w:trPr>
          <w:trHeight w:val="20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6,791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7,534</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2.48%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2.09%</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40,904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3.37%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53,628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3.08%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2.43%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46" w:lineRule="exact"/>
        <w:rPr>
          <w:sz w:val="20"/>
          <w:szCs w:val="20"/>
          <w:color w:val="auto"/>
        </w:rPr>
      </w:pPr>
    </w:p>
    <w:p>
      <w:pPr>
        <w:ind w:left="640" w:hanging="322"/>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$25 million as of December 31, 2022.</w:t>
      </w:r>
    </w:p>
    <w:p>
      <w:pPr>
        <w:spacing w:after="0" w:line="172" w:lineRule="exact"/>
        <w:rPr>
          <w:sz w:val="20"/>
          <w:szCs w:val="20"/>
          <w:color w:val="auto"/>
        </w:rPr>
      </w:pPr>
    </w:p>
    <w:p>
      <w:pPr>
        <w:ind w:right="320" w:firstLine="470"/>
        <w:spacing w:after="0" w:line="274" w:lineRule="auto"/>
        <w:rPr>
          <w:sz w:val="20"/>
          <w:szCs w:val="20"/>
          <w:color w:val="auto"/>
        </w:rPr>
      </w:pPr>
      <w:r>
        <w:rPr>
          <w:rFonts w:ascii="Arial" w:cs="Arial" w:eastAsia="Arial" w:hAnsi="Arial"/>
          <w:sz w:val="17"/>
          <w:szCs w:val="17"/>
          <w:color w:val="auto"/>
        </w:rPr>
        <w:t>The following table presents the gross unrealized loss and fair values of securities classified as available-for-sale by length of time that such securities have been in a continuous unrealized loss position as of December 31, 2022 and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5"/>
              </w:rPr>
              <w:t>Unrealized Loss Position For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5"/>
                <w:szCs w:val="15"/>
                <w:color w:val="auto"/>
              </w:rPr>
            </w:pPr>
          </w:p>
        </w:tc>
        <w:tc>
          <w:tcPr>
            <w:tcW w:w="19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12 Months or More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9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10"/>
              <w:spacing w:after="0" w:line="135"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7"/>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331"/>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3"/>
              </w:rPr>
              <w:t>(7)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33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December 31, 2021</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and Losses on Sale of Investment Securities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 is a summary of our net gain (loss) from the sale of investment securities for fiscal years 2022, 2021 and 2020 by investment classification of accounting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Fiscal Year 2022</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Fiscal Year 2021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Fiscal Year 2020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11"/>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3"/>
              </w:rPr>
              <w:t>Available-for-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w w:val="94"/>
              </w:rPr>
              <w:t>Fair Value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3"/>
              </w:rPr>
              <w:t>Available-for-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4"/>
              </w:rPr>
              <w:t>Fair Value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3"/>
              </w:rPr>
              <w:t>Available-for-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7"/>
              </w:rPr>
              <w:t>Fair Value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18"/>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88"/>
              </w:rPr>
              <w:t>Sale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8"/>
              </w:rPr>
              <w:t>Option</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88"/>
              </w:rPr>
              <w:t>Sale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2"/>
              </w:rPr>
              <w:t>Option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88"/>
              </w:rPr>
              <w:t>Sale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2"/>
              </w:rPr>
              <w:t>Option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286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120" w:type="dxa"/>
            <w:vAlign w:val="bottom"/>
          </w:tcPr>
          <w:p>
            <w:pPr>
              <w:spacing w:after="0"/>
              <w:rPr>
                <w:sz w:val="15"/>
                <w:szCs w:val="15"/>
                <w:color w:val="auto"/>
              </w:rPr>
            </w:pPr>
          </w:p>
        </w:tc>
        <w:tc>
          <w:tcPr>
            <w:tcW w:w="74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5"/>
                <w:szCs w:val="15"/>
                <w:color w:val="auto"/>
              </w:rPr>
            </w:pPr>
          </w:p>
        </w:tc>
        <w:tc>
          <w:tcPr>
            <w:tcW w:w="74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Securities</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5"/>
                <w:szCs w:val="15"/>
                <w:color w:val="auto"/>
              </w:rPr>
            </w:pPr>
          </w:p>
        </w:tc>
        <w:tc>
          <w:tcPr>
            <w:tcW w:w="74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Securities</w:t>
            </w:r>
          </w:p>
        </w:tc>
        <w:tc>
          <w:tcPr>
            <w:tcW w:w="18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2"/>
                <w:szCs w:val="12"/>
                <w:b w:val="1"/>
                <w:bCs w:val="1"/>
                <w:color w:val="auto"/>
              </w:rPr>
              <w:t>Total</w:t>
            </w:r>
          </w:p>
        </w:tc>
      </w:tr>
      <w:tr>
        <w:trPr>
          <w:trHeight w:val="180"/>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(29,427)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(30,213)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(30,903)</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(35,875)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(74,964)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(77,274)</w:t>
            </w:r>
          </w:p>
        </w:tc>
      </w:tr>
      <w:tr>
        <w:trPr>
          <w:trHeight w:val="205"/>
        </w:trPr>
        <w:tc>
          <w:tcPr>
            <w:tcW w:w="28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27,297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76,009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78,400</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w w:val="97"/>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5"/>
        </w:trPr>
        <w:tc>
          <w:tcPr>
            <w:tcW w:w="2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7"/>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1,230</w:t>
            </w:r>
          </w:p>
        </w:tc>
      </w:tr>
      <w:tr>
        <w:trPr>
          <w:trHeight w:val="20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w w:val="97"/>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w:t>
            </w: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59" w:lineRule="exact"/>
        <w:rPr>
          <w:sz w:val="20"/>
          <w:szCs w:val="20"/>
          <w:color w:val="auto"/>
        </w:rPr>
      </w:pPr>
    </w:p>
    <w:p>
      <w:pPr>
        <w:ind w:left="640" w:hanging="322"/>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61" w:lineRule="exact"/>
        <w:rPr>
          <w:rFonts w:ascii="Arial" w:cs="Arial" w:eastAsia="Arial" w:hAnsi="Arial"/>
          <w:sz w:val="14"/>
          <w:szCs w:val="14"/>
          <w:color w:val="auto"/>
        </w:rPr>
      </w:pPr>
    </w:p>
    <w:p>
      <w:pPr>
        <w:ind w:left="640" w:hanging="322"/>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Repurchase Agreements and Reverse Repurchase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70"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2022, we had met all margin call requirements. For additional information regarding our pledged assets, please refer to Note 6.</w:t>
      </w:r>
    </w:p>
    <w:p>
      <w:pPr>
        <w:spacing w:after="0" w:line="126"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As of December 31, 2022 and 2021, we had $36.3 billion and $47.4 billion, respectively, of repurchase agreements outstanding used to fund our investment portfolio and temporary holdings of U.S. Treasury securities. The terms and conditions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5" w:name="page66"/>
    <w:bookmarkEnd w:id="65"/>
    <w:p>
      <w:pPr>
        <w:jc w:val="both"/>
        <w:spacing w:after="0" w:line="297" w:lineRule="auto"/>
        <w:rPr>
          <w:sz w:val="20"/>
          <w:szCs w:val="20"/>
          <w:color w:val="auto"/>
        </w:rPr>
      </w:pPr>
      <w:r>
        <w:rPr>
          <w:rFonts w:ascii="Arial" w:cs="Arial" w:eastAsia="Arial" w:hAnsi="Arial"/>
          <w:sz w:val="16"/>
          <w:szCs w:val="16"/>
          <w:color w:val="auto"/>
        </w:rPr>
        <w:t>of our repurchase agreements are typically negotiated on a transaction-by-transaction basis or subject to a tri-party repo agreement. Our repurchase agreements with original maturities greater than one year may have floating interest rates based on an index plus or minus a fixed spread. The following table summarizes our borrowings under repurchase agreements by their remaining maturities as of December 31, 2022 and 2021 (dollars in millions):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December 31, 2021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w w:val="88"/>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6"/>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2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0"/>
              </w:rPr>
              <w:t>Interest</w:t>
            </w:r>
          </w:p>
        </w:tc>
        <w:tc>
          <w:tcPr>
            <w:tcW w:w="160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6"/>
              </w:rPr>
              <w:t>Average Days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Average Days</w:t>
            </w: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Maturity</w:t>
            </w:r>
          </w:p>
        </w:tc>
        <w:tc>
          <w:tcPr>
            <w:tcW w:w="0" w:type="dxa"/>
            <w:vAlign w:val="bottom"/>
          </w:tcPr>
          <w:p>
            <w:pPr>
              <w:spacing w:after="0"/>
              <w:rPr>
                <w:sz w:val="1"/>
                <w:szCs w:val="1"/>
                <w:color w:val="auto"/>
              </w:rPr>
            </w:pPr>
          </w:p>
        </w:tc>
      </w:tr>
      <w:tr>
        <w:trPr>
          <w:trHeight w:val="207"/>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Agency repo:</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Arial" w:cs="Arial" w:eastAsia="Arial" w:hAnsi="Arial"/>
                <w:sz w:val="16"/>
                <w:szCs w:val="16"/>
                <w:color w:val="auto"/>
              </w:rPr>
              <w:t>≤ 1 month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26,712</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4.42 %</w:t>
            </w: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23,747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0.14 %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1 to ≤ 3 months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7,762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Arial" w:cs="Arial" w:eastAsia="Arial" w:hAnsi="Arial"/>
                <w:sz w:val="16"/>
                <w:szCs w:val="16"/>
                <w:color w:val="auto"/>
              </w:rPr>
              <w:t>&gt; 3 to ≤ 6 months</w:t>
            </w: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141</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4,576</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0.19 %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6 to ≤ 9 months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Arial" w:cs="Arial" w:eastAsia="Arial" w:hAnsi="Arial"/>
                <w:sz w:val="16"/>
                <w:szCs w:val="16"/>
                <w:color w:val="auto"/>
              </w:rPr>
              <w:t>&gt; 9 to ≤ 12 months</w:t>
            </w: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1,362</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0.23 %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Agency repo</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35,907</w:t>
            </w: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46,911</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6"/>
        </w:trPr>
        <w:tc>
          <w:tcPr>
            <w:tcW w:w="2880" w:type="dxa"/>
            <w:vAlign w:val="bottom"/>
            <w:gridSpan w:val="2"/>
          </w:tcPr>
          <w:p>
            <w:pPr>
              <w:spacing w:after="0" w:line="183" w:lineRule="exact"/>
              <w:rPr>
                <w:sz w:val="20"/>
                <w:szCs w:val="20"/>
                <w:color w:val="auto"/>
              </w:rPr>
            </w:pPr>
            <w:r>
              <w:rPr>
                <w:rFonts w:ascii="Arial" w:cs="Arial" w:eastAsia="Arial" w:hAnsi="Arial"/>
                <w:sz w:val="16"/>
                <w:szCs w:val="16"/>
                <w:color w:val="auto"/>
              </w:rPr>
              <w:t>U.S. Treasury repo:</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355</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36,262</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47,381</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As of December 31, 2022 and 2021, $9.6 billion and $0.8 billion, respectively, of our Agency repurchase agreements had an overnight maturity of one business day and none of our repurchase agreements were due on demand. As of December 31, 2022, we had $6.4 billion of forward commitments to enter into repurchase agreements with a weighted average forward start date of 4 days and a weighted average interest rate of 4.38%. As of 2021, we had $9.8 billion of forward commitments to enter into repurchase agreements, with a weighted average forward start date of 3 days and a weighted average interest rate of 0.08%. As of December 31, 2022 and 2021, 50% and 43%,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48% and 42% of our repurchase agreement funding outstanding as of December 31, 2022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w:t>
      </w:r>
    </w:p>
    <w:p>
      <w:pPr>
        <w:spacing w:after="0" w:line="170"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As of December 31, 2022 and 2021, we had $6.6 billion and $10.5 billion, respectively, of reverse repurchase agreements outstanding used primarily to borrow securities to cover short sales of U.S. Treasury securities, for which we had associated obligations to return borrowed securities at fair value of $6.5 billion and $9.7 billion, respectively. As of December 31, 2022 and 2021, $1.5 billion and $3.0 billion, respectively, of our reverse repurchase agreements were with the FICC sourced through BES.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Derivative and Other Hedging Instruments</w:t>
      </w:r>
    </w:p>
    <w:p>
      <w:pPr>
        <w:spacing w:after="0" w:line="176"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Derivative and Other Hedging Instrument Assets (Liabilities), at Fair Value</w:t>
      </w:r>
    </w:p>
    <w:p>
      <w:pPr>
        <w:spacing w:after="0" w:line="170" w:lineRule="exact"/>
        <w:rPr>
          <w:sz w:val="20"/>
          <w:szCs w:val="20"/>
          <w:color w:val="auto"/>
        </w:rPr>
      </w:pPr>
    </w:p>
    <w:p>
      <w:pPr>
        <w:ind w:firstLine="392"/>
        <w:spacing w:after="0" w:line="288" w:lineRule="auto"/>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December 31, 2022 and 2021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r>
      <w:tr>
        <w:trPr>
          <w:trHeight w:val="23"/>
        </w:trPr>
        <w:tc>
          <w:tcPr>
            <w:tcW w:w="4440" w:type="dxa"/>
            <w:vAlign w:val="bottom"/>
            <w:gridSpan w:val="2"/>
          </w:tcPr>
          <w:p>
            <w:pPr>
              <w:spacing w:after="0"/>
              <w:rPr>
                <w:sz w:val="2"/>
                <w:szCs w:val="2"/>
                <w:color w:val="auto"/>
              </w:rPr>
            </w:pPr>
          </w:p>
        </w:tc>
        <w:tc>
          <w:tcPr>
            <w:tcW w:w="4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6"/>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4300" w:type="dxa"/>
            <w:vAlign w:val="bottom"/>
            <w:gridSpan w:val="2"/>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24"/>
                <w:szCs w:val="24"/>
                <w:color w:val="auto"/>
              </w:rPr>
            </w:pPr>
          </w:p>
        </w:tc>
        <w:tc>
          <w:tcPr>
            <w:tcW w:w="920" w:type="dxa"/>
            <w:vAlign w:val="bottom"/>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r>
      <w:tr>
        <w:trPr>
          <w:trHeight w:val="2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2"/>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6"/>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4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Credit default swaps </w:t>
            </w:r>
            <w:r>
              <w:rPr>
                <w:rFonts w:ascii="Arial" w:cs="Arial" w:eastAsia="Arial" w:hAnsi="Arial"/>
                <w:sz w:val="20"/>
                <w:szCs w:val="20"/>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4"/>
        </w:trPr>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3" w:lineRule="exact"/>
        <w:rPr>
          <w:sz w:val="20"/>
          <w:szCs w:val="20"/>
          <w:color w:val="auto"/>
        </w:rPr>
      </w:pPr>
    </w:p>
    <w:p>
      <w:pPr>
        <w:sectPr>
          <w:pgSz w:w="11900" w:h="16838" w:orient="portrait"/>
          <w:cols w:equalWidth="0" w:num="1">
            <w:col w:w="11240"/>
          </w:cols>
          <w:pgMar w:left="320" w:top="1029" w:right="339" w:bottom="1440" w:gutter="0" w:footer="0" w:header="0"/>
        </w:sectPr>
      </w:pPr>
    </w:p>
    <w:p>
      <w:pPr>
        <w:ind w:left="20"/>
        <w:spacing w:after="0"/>
        <w:rPr>
          <w:sz w:val="20"/>
          <w:szCs w:val="20"/>
          <w:color w:val="auto"/>
        </w:rPr>
      </w:pPr>
      <w:r>
        <w:rPr>
          <w:rFonts w:ascii="Arial" w:cs="Arial" w:eastAsia="Arial" w:hAnsi="Arial"/>
          <w:sz w:val="16"/>
          <w:szCs w:val="16"/>
          <w:color w:val="auto"/>
        </w:rPr>
        <w:t>U.S. Treasury securities - long</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Treasury securities - short</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U.S. Treasury securities, net at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U.S. Treasury securities, at fair value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66"/>
        </w:trPr>
        <w:tc>
          <w:tcPr>
            <w:tcW w:w="4280" w:type="dxa"/>
            <w:vAlign w:val="bottom"/>
          </w:tcPr>
          <w:p>
            <w:pPr>
              <w:spacing w:after="0" w:line="166" w:lineRule="exact"/>
              <w:rPr>
                <w:sz w:val="20"/>
                <w:szCs w:val="20"/>
                <w:color w:val="auto"/>
              </w:rPr>
            </w:pPr>
            <w:r>
              <w:rPr>
                <w:rFonts w:ascii="Arial" w:cs="Arial" w:eastAsia="Arial" w:hAnsi="Arial"/>
                <w:sz w:val="16"/>
                <w:szCs w:val="16"/>
                <w:color w:val="auto"/>
                <w:w w:val="91"/>
              </w:rPr>
              <w:t>Obligation to return securities borrowed under reverse repurchase</w:t>
            </w: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(6,534)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6"/>
                <w:szCs w:val="16"/>
                <w:color w:val="auto"/>
              </w:rPr>
              <w:t>agreements, at fair value</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(9,226)</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-405765</wp:posOffset>
            </wp:positionV>
            <wp:extent cx="7136765" cy="2324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23241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740" w:space="720"/>
            <w:col w:w="6780"/>
          </w:cols>
          <w:pgMar w:left="320" w:top="1029" w:right="339" w:bottom="1440" w:gutter="0" w:footer="0" w:header="0"/>
          <w:type w:val="continuous"/>
        </w:sectPr>
      </w:pPr>
    </w:p>
    <w:p>
      <w:pPr>
        <w:jc w:val="both"/>
        <w:ind w:left="640" w:hanging="322"/>
        <w:spacing w:after="0" w:line="266"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December 31, 2022 and 2021, the net fair value of our interest rate swaps excluding the recognition of variation margin settlements as a direct reduction of carrying value (see Note 2) was a net asset (liability) of $4.5 billion and $1.6 billion, respectively. As of December 31, 2022, the net fair value of our credit default swaps excluding the recognition of variation margin settlements was $(2) million. We did not have credit default swaps outstanding as of December 31, 2021.</w:t>
      </w:r>
    </w:p>
    <w:p>
      <w:pPr>
        <w:spacing w:after="0" w:line="137" w:lineRule="exact"/>
        <w:rPr>
          <w:sz w:val="20"/>
          <w:szCs w:val="20"/>
          <w:color w:val="auto"/>
        </w:rPr>
      </w:pPr>
    </w:p>
    <w:p>
      <w:pPr>
        <w:ind w:firstLine="392"/>
        <w:spacing w:after="0" w:line="288" w:lineRule="auto"/>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December 31, 2022 and 2021 (dollars in millions):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tcBorders>
              <w:top w:val="single" w:sz="8" w:color="auto"/>
            </w:tcBorders>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Borders>
              <w:top w:val="single" w:sz="8" w:color="auto"/>
            </w:tcBorders>
            <w:gridSpan w:val="3"/>
          </w:tcPr>
          <w:p>
            <w:pPr>
              <w:jc w:val="center"/>
              <w:ind w:right="100"/>
              <w:spacing w:after="0" w:line="127"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ind w:left="140"/>
              <w:spacing w:after="0"/>
              <w:rPr>
                <w:sz w:val="20"/>
                <w:szCs w:val="20"/>
                <w:color w:val="auto"/>
              </w:rPr>
            </w:pPr>
            <w:r>
              <w:rPr>
                <w:rFonts w:ascii="Arial" w:cs="Arial" w:eastAsia="Arial" w:hAnsi="Arial"/>
                <w:sz w:val="14"/>
                <w:szCs w:val="14"/>
                <w:b w:val="1"/>
                <w:bCs w:val="1"/>
                <w:color w:val="auto"/>
              </w:rPr>
              <w:t>Notional</w:t>
            </w:r>
          </w:p>
        </w:tc>
        <w:tc>
          <w:tcPr>
            <w:tcW w:w="1140" w:type="dxa"/>
            <w:vAlign w:val="bottom"/>
            <w:tcBorders>
              <w:top w:val="single" w:sz="8" w:color="auto"/>
            </w:tcBorders>
            <w:gridSpan w:val="3"/>
          </w:tcPr>
          <w:p>
            <w:pPr>
              <w:jc w:val="center"/>
              <w:ind w:right="180"/>
              <w:spacing w:after="0" w:line="127"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Borders>
              <w:top w:val="single" w:sz="8" w:color="auto"/>
            </w:tcBorders>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4"/>
        </w:trPr>
        <w:tc>
          <w:tcPr>
            <w:tcW w:w="2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88"/>
              </w:rPr>
              <w:t>Fixed Pay</w:t>
            </w:r>
          </w:p>
        </w:tc>
        <w:tc>
          <w:tcPr>
            <w:tcW w:w="106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83"/>
              </w:rPr>
              <w:t>Receive</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9"/>
              </w:rPr>
              <w:t>Maturity</w:t>
            </w: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40" w:type="dxa"/>
            <w:vAlign w:val="bottom"/>
            <w:gridSpan w:val="3"/>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Fixed Pay</w:t>
            </w: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7"/>
        </w:trPr>
        <w:tc>
          <w:tcPr>
            <w:tcW w:w="2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Rate Swaps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7"/>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22,500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0.05%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6"/>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4.31%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16,800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0.06%</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212"/>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0.05%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06"/>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1.60%</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4.31%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4,400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0.05%</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0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3.54%</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4.30%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1,475</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0.47%</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0.05%</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13.2</w:t>
            </w:r>
          </w:p>
        </w:tc>
        <w:tc>
          <w:tcPr>
            <w:tcW w:w="0" w:type="dxa"/>
            <w:vAlign w:val="bottom"/>
          </w:tcPr>
          <w:p>
            <w:pPr>
              <w:spacing w:after="0"/>
              <w:rPr>
                <w:sz w:val="1"/>
                <w:szCs w:val="1"/>
                <w:color w:val="auto"/>
              </w:rPr>
            </w:pPr>
          </w:p>
        </w:tc>
      </w:tr>
      <w:tr>
        <w:trPr>
          <w:trHeight w:val="205"/>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47,825</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0.37%</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4.31%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3.2</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51,225</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0.20%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0.05%</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2680" w:type="dxa"/>
            <w:vAlign w:val="bottom"/>
            <w:gridSpan w:val="7"/>
          </w:tcPr>
          <w:p>
            <w:pPr>
              <w:spacing w:after="0"/>
              <w:rPr>
                <w:sz w:val="20"/>
                <w:szCs w:val="20"/>
                <w:color w:val="auto"/>
              </w:rPr>
            </w:pPr>
            <w:r>
              <w:rPr>
                <w:rFonts w:ascii="Arial" w:cs="Arial" w:eastAsia="Arial" w:hAnsi="Arial"/>
                <w:sz w:val="14"/>
                <w:szCs w:val="14"/>
                <w:b w:val="1"/>
                <w:bCs w:val="1"/>
                <w:color w:val="auto"/>
              </w:rPr>
              <w:t>Receive Index (% of Notional Amount)</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SOFR</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81 %</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75 %</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OIS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19 %</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25 %</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6"/>
              </w:rPr>
              <w:t>100 %</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100 %</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82"/>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Payer Swaptions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Underlying Payer Swap</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Fixed</w:t>
            </w:r>
          </w:p>
        </w:tc>
        <w:tc>
          <w:tcPr>
            <w:tcW w:w="92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2"/>
              </w:rPr>
              <w:t>Months to</w:t>
            </w:r>
          </w:p>
        </w:tc>
        <w:tc>
          <w:tcPr>
            <w:tcW w:w="200" w:type="dxa"/>
            <w:vAlign w:val="bottom"/>
          </w:tcPr>
          <w:p>
            <w:pPr>
              <w:spacing w:after="0"/>
              <w:rPr>
                <w:sz w:val="12"/>
                <w:szCs w:val="12"/>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Notional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120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4"/>
              </w:rPr>
              <w:t>Current Option</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80"/>
              <w:spacing w:after="0" w:line="140" w:lineRule="exact"/>
              <w:rPr>
                <w:sz w:val="20"/>
                <w:szCs w:val="20"/>
                <w:color w:val="auto"/>
              </w:rPr>
            </w:pPr>
            <w:r>
              <w:rPr>
                <w:rFonts w:ascii="Arial" w:cs="Arial" w:eastAsia="Arial" w:hAnsi="Arial"/>
                <w:sz w:val="14"/>
                <w:szCs w:val="14"/>
                <w:b w:val="1"/>
                <w:bCs w:val="1"/>
                <w:color w:val="auto"/>
                <w:w w:val="88"/>
              </w:rPr>
              <w:t>Pay</w:t>
            </w:r>
          </w:p>
        </w:tc>
        <w:tc>
          <w:tcPr>
            <w:tcW w:w="92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Expiration Date </w:t>
            </w:r>
            <w:r>
              <w:rPr>
                <w:rFonts w:ascii="Arial" w:cs="Arial" w:eastAsia="Arial" w:hAnsi="Arial"/>
                <w:sz w:val="9"/>
                <w:szCs w:val="9"/>
                <w:b w:val="1"/>
                <w:bCs w:val="1"/>
                <w:color w:val="auto"/>
                <w:w w:val="91"/>
              </w:rPr>
              <w:t>1</w:t>
            </w:r>
          </w:p>
        </w:tc>
        <w:tc>
          <w:tcPr>
            <w:tcW w:w="20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60"/>
              <w:spacing w:after="0" w:line="196" w:lineRule="exact"/>
              <w:rPr>
                <w:sz w:val="20"/>
                <w:szCs w:val="20"/>
                <w:color w:val="auto"/>
              </w:rPr>
            </w:pPr>
            <w:r>
              <w:rPr>
                <w:rFonts w:ascii="Arial" w:cs="Arial" w:eastAsia="Arial" w:hAnsi="Arial"/>
                <w:sz w:val="14"/>
                <w:szCs w:val="14"/>
                <w:b w:val="1"/>
                <w:bCs w:val="1"/>
                <w:color w:val="auto"/>
                <w:w w:val="87"/>
              </w:rPr>
              <w:t xml:space="preserve">Rate </w:t>
            </w:r>
            <w:r>
              <w:rPr>
                <w:rFonts w:ascii="Arial" w:cs="Arial" w:eastAsia="Arial" w:hAnsi="Arial"/>
                <w:sz w:val="18"/>
                <w:szCs w:val="18"/>
                <w:b w:val="1"/>
                <w:bCs w:val="1"/>
                <w:color w:val="auto"/>
                <w:w w:val="87"/>
                <w:vertAlign w:val="superscript"/>
              </w:rPr>
              <w:t>2</w:t>
            </w: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2"/>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1,300</w:t>
            </w:r>
          </w:p>
        </w:tc>
        <w:tc>
          <w:tcPr>
            <w:tcW w:w="1260" w:type="dxa"/>
            <w:vAlign w:val="bottom"/>
            <w:gridSpan w:val="3"/>
          </w:tcPr>
          <w:p>
            <w:pPr>
              <w:jc w:val="center"/>
              <w:ind w:left="83"/>
              <w:spacing w:after="0"/>
              <w:rPr>
                <w:sz w:val="20"/>
                <w:szCs w:val="20"/>
                <w:color w:val="auto"/>
              </w:rPr>
            </w:pPr>
            <w:r>
              <w:rPr>
                <w:rFonts w:ascii="Arial" w:cs="Arial" w:eastAsia="Arial" w:hAnsi="Arial"/>
                <w:sz w:val="16"/>
                <w:szCs w:val="16"/>
                <w:color w:val="auto"/>
                <w:w w:val="92"/>
              </w:rPr>
              <w:t>2.04%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4"/>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right="8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3,050</w:t>
            </w:r>
          </w:p>
        </w:tc>
        <w:tc>
          <w:tcPr>
            <w:tcW w:w="1260" w:type="dxa"/>
            <w:vAlign w:val="bottom"/>
            <w:gridSpan w:val="3"/>
          </w:tcPr>
          <w:p>
            <w:pPr>
              <w:jc w:val="center"/>
              <w:ind w:left="83"/>
              <w:spacing w:after="0"/>
              <w:rPr>
                <w:sz w:val="20"/>
                <w:szCs w:val="20"/>
                <w:color w:val="auto"/>
              </w:rPr>
            </w:pPr>
            <w:r>
              <w:rPr>
                <w:rFonts w:ascii="Arial" w:cs="Arial" w:eastAsia="Arial" w:hAnsi="Arial"/>
                <w:sz w:val="16"/>
                <w:szCs w:val="16"/>
                <w:color w:val="auto"/>
                <w:w w:val="92"/>
              </w:rPr>
              <w:t>2.32%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4"/>
              <w:spacing w:after="0"/>
              <w:rPr>
                <w:sz w:val="20"/>
                <w:szCs w:val="20"/>
                <w:color w:val="auto"/>
              </w:rPr>
            </w:pPr>
            <w:r>
              <w:rPr>
                <w:rFonts w:ascii="Arial" w:cs="Arial" w:eastAsia="Arial" w:hAnsi="Arial"/>
                <w:sz w:val="16"/>
                <w:szCs w:val="16"/>
                <w:color w:val="auto"/>
                <w:w w:val="89"/>
              </w:rPr>
              <w:t>9.8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1260" w:type="dxa"/>
            <w:vAlign w:val="bottom"/>
            <w:gridSpan w:val="3"/>
            <w:shd w:val="clear" w:color="auto" w:fill="CCEEFF"/>
          </w:tcPr>
          <w:p>
            <w:pPr>
              <w:jc w:val="center"/>
              <w:ind w:left="83"/>
              <w:spacing w:after="0"/>
              <w:rPr>
                <w:sz w:val="20"/>
                <w:szCs w:val="20"/>
                <w:color w:val="auto"/>
              </w:rPr>
            </w:pPr>
            <w:r>
              <w:rPr>
                <w:rFonts w:ascii="Arial" w:cs="Arial" w:eastAsia="Arial" w:hAnsi="Arial"/>
                <w:sz w:val="16"/>
                <w:szCs w:val="16"/>
                <w:color w:val="auto"/>
                <w:w w:val="92"/>
              </w:rPr>
              <w:t>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84"/>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5,150</w:t>
            </w:r>
          </w:p>
        </w:tc>
        <w:tc>
          <w:tcPr>
            <w:tcW w:w="1260" w:type="dxa"/>
            <w:vAlign w:val="bottom"/>
            <w:gridSpan w:val="3"/>
          </w:tcPr>
          <w:p>
            <w:pPr>
              <w:jc w:val="center"/>
              <w:ind w:left="83"/>
              <w:spacing w:after="0"/>
              <w:rPr>
                <w:sz w:val="20"/>
                <w:szCs w:val="20"/>
                <w:color w:val="auto"/>
              </w:rPr>
            </w:pPr>
            <w:r>
              <w:rPr>
                <w:rFonts w:ascii="Arial" w:cs="Arial" w:eastAsia="Arial" w:hAnsi="Arial"/>
                <w:sz w:val="16"/>
                <w:szCs w:val="16"/>
                <w:color w:val="auto"/>
                <w:w w:val="92"/>
              </w:rPr>
              <w:t>1.69%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right="8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13,000</w:t>
            </w:r>
          </w:p>
        </w:tc>
        <w:tc>
          <w:tcPr>
            <w:tcW w:w="1260" w:type="dxa"/>
            <w:vAlign w:val="bottom"/>
            <w:gridSpan w:val="3"/>
          </w:tcPr>
          <w:p>
            <w:pPr>
              <w:jc w:val="center"/>
              <w:ind w:left="83"/>
              <w:spacing w:after="0"/>
              <w:rPr>
                <w:sz w:val="20"/>
                <w:szCs w:val="20"/>
                <w:color w:val="auto"/>
              </w:rPr>
            </w:pPr>
            <w:r>
              <w:rPr>
                <w:rFonts w:ascii="Arial" w:cs="Arial" w:eastAsia="Arial" w:hAnsi="Arial"/>
                <w:sz w:val="16"/>
                <w:szCs w:val="16"/>
                <w:color w:val="auto"/>
                <w:w w:val="92"/>
              </w:rPr>
              <w:t>1.93%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4"/>
              <w:spacing w:after="0"/>
              <w:rPr>
                <w:sz w:val="20"/>
                <w:szCs w:val="20"/>
                <w:color w:val="auto"/>
              </w:rPr>
            </w:pPr>
            <w:r>
              <w:rPr>
                <w:rFonts w:ascii="Arial" w:cs="Arial" w:eastAsia="Arial" w:hAnsi="Arial"/>
                <w:sz w:val="16"/>
                <w:szCs w:val="16"/>
                <w:color w:val="auto"/>
                <w:w w:val="89"/>
              </w:rPr>
              <w:t>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52"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2021, ≤ 1 year notional amount includes $700 million of Bermudan swaptions where the options may be exercised on predetermined dates up to their final exercise date, which is six months prior to the underlying swaps' maturity date.</w:t>
      </w:r>
    </w:p>
    <w:p>
      <w:pPr>
        <w:ind w:left="640" w:hanging="322"/>
        <w:spacing w:after="0" w:line="247"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2022, 100% of the underlying swap receive rates were tied to SOFR. As of December 31, 2021, 95% and 5% of the underlying swap receive rates were tied to SOFR and 3-Month LIBOR, respectively.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U.S. Treasury Securities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8"/>
              </w:rPr>
              <w:t>December 31, 2021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1"/>
                <w:szCs w:val="11"/>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3"/>
              </w:rPr>
              <w:t>Cost Basis</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44"/>
              <w:spacing w:after="0" w:line="127" w:lineRule="exact"/>
              <w:rPr>
                <w:sz w:val="20"/>
                <w:szCs w:val="20"/>
                <w:color w:val="auto"/>
              </w:rPr>
            </w:pPr>
            <w:r>
              <w:rPr>
                <w:rFonts w:ascii="Arial" w:cs="Arial" w:eastAsia="Arial" w:hAnsi="Arial"/>
                <w:sz w:val="14"/>
                <w:szCs w:val="14"/>
                <w:b w:val="1"/>
                <w:bCs w:val="1"/>
                <w:color w:val="auto"/>
                <w:w w:val="96"/>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6"/>
              </w:rPr>
              <w:t>Cost Basis</w:t>
            </w:r>
          </w:p>
        </w:tc>
        <w:tc>
          <w:tcPr>
            <w:tcW w:w="1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7"/>
              </w:rPr>
              <w:t>Long/(Short)</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 years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jc w:val="both"/>
        <w:ind w:left="640" w:hanging="322"/>
        <w:spacing w:after="0" w:line="249"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2022 and 2021, short U.S. Treasury securities totaling $(6.5) billion and $(9.7) billion, at fair value, respectively, had a weighted average yield of 2.80% and 1.56%, respectively. As of December 31, 2022 and 2021, long U.S. Treasury securities totaling $0.4 billion and $0.5 billion, at fair value, respectively, had a weighted average yield of 3.86% and 1.18%,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gridSpan w:val="2"/>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5"/>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1"/>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80" w:type="dxa"/>
            <w:vAlign w:val="bottom"/>
            <w:gridSpan w:val="2"/>
          </w:tcPr>
          <w:p>
            <w:pPr>
              <w:ind w:left="20"/>
              <w:spacing w:after="0"/>
              <w:rPr>
                <w:sz w:val="20"/>
                <w:szCs w:val="20"/>
                <w:color w:val="auto"/>
              </w:rPr>
            </w:pPr>
            <w:r>
              <w:rPr>
                <w:rFonts w:ascii="Arial" w:cs="Arial" w:eastAsia="Arial" w:hAnsi="Arial"/>
                <w:sz w:val="12"/>
                <w:szCs w:val="12"/>
                <w:b w:val="1"/>
                <w:bCs w:val="1"/>
                <w:color w:val="auto"/>
              </w:rPr>
              <w:t>Maturity</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0" w:type="dxa"/>
            <w:vAlign w:val="bottom"/>
          </w:tcPr>
          <w:p>
            <w:pPr>
              <w:spacing w:after="0"/>
              <w:rPr>
                <w:sz w:val="1"/>
                <w:szCs w:val="1"/>
                <w:color w:val="auto"/>
              </w:rPr>
            </w:pPr>
          </w:p>
        </w:tc>
      </w:tr>
      <w:tr>
        <w:trPr>
          <w:trHeight w:val="18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center"/>
              <w:ind w:left="494"/>
              <w:spacing w:after="0"/>
              <w:rPr>
                <w:sz w:val="20"/>
                <w:szCs w:val="20"/>
                <w:color w:val="auto"/>
              </w:rPr>
            </w:pPr>
            <w:r>
              <w:rPr>
                <w:rFonts w:ascii="Arial" w:cs="Arial" w:eastAsia="Arial" w:hAnsi="Arial"/>
                <w:sz w:val="14"/>
                <w:szCs w:val="14"/>
                <w:color w:val="auto"/>
                <w:w w:val="96"/>
              </w:rPr>
              <w:t>(15)</w:t>
            </w:r>
          </w:p>
        </w:tc>
        <w:tc>
          <w:tcPr>
            <w:tcW w:w="0" w:type="dxa"/>
            <w:vAlign w:val="bottom"/>
          </w:tcPr>
          <w:p>
            <w:pPr>
              <w:spacing w:after="0"/>
              <w:rPr>
                <w:sz w:val="1"/>
                <w:szCs w:val="1"/>
                <w:color w:val="auto"/>
              </w:rPr>
            </w:pPr>
          </w:p>
        </w:tc>
      </w:tr>
      <w:tr>
        <w:trPr>
          <w:trHeight w:val="189"/>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20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center"/>
              <w:ind w:left="514"/>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1"/>
        </w:trPr>
        <w:tc>
          <w:tcPr>
            <w:tcW w:w="2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U.S. Treasury futures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center"/>
              <w:ind w:left="494"/>
              <w:spacing w:after="0"/>
              <w:rPr>
                <w:sz w:val="20"/>
                <w:szCs w:val="20"/>
                <w:color w:val="auto"/>
              </w:rPr>
            </w:pPr>
            <w:r>
              <w:rPr>
                <w:rFonts w:ascii="Arial" w:cs="Arial" w:eastAsia="Arial" w:hAnsi="Arial"/>
                <w:sz w:val="14"/>
                <w:szCs w:val="14"/>
                <w:color w:val="auto"/>
                <w:w w:val="96"/>
              </w:rPr>
              <w:t>(15)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45"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w w:val="91"/>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7"/>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1"/>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TBA Securities by Coupon </w:t>
            </w:r>
            <w:r>
              <w:rPr>
                <w:rFonts w:ascii="Arial" w:cs="Arial" w:eastAsia="Arial" w:hAnsi="Arial"/>
                <w:sz w:val="15"/>
                <w:szCs w:val="15"/>
                <w:b w:val="1"/>
                <w:bCs w:val="1"/>
                <w:color w:val="auto"/>
                <w:vertAlign w:val="superscript"/>
              </w:rPr>
              <w:t>2</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 xml:space="preserve">Value </w:t>
            </w:r>
            <w:r>
              <w:rPr>
                <w:rFonts w:ascii="Arial" w:cs="Arial" w:eastAsia="Arial" w:hAnsi="Arial"/>
                <w:sz w:val="15"/>
                <w:szCs w:val="15"/>
                <w:b w:val="1"/>
                <w:bCs w:val="1"/>
                <w:color w:val="auto"/>
                <w:w w:val="92"/>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 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2,056</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252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30-Year TBA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2.5%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7"/>
        </w:trPr>
        <w:tc>
          <w:tcPr>
            <w:tcW w:w="2420" w:type="dxa"/>
            <w:vAlign w:val="bottom"/>
          </w:tcPr>
          <w:p>
            <w:pPr>
              <w:ind w:left="18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5"/>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4.5%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24,634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25,128</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25,081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1"/>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42"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640" w:hanging="322"/>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Table excludes forward settling non-Agency securities totaling $0.4 billion (fair value) and $0.2 million (net carrying value) as of December 31, 2021.</w:t>
      </w:r>
    </w:p>
    <w:p>
      <w:pPr>
        <w:spacing w:after="0" w:line="229" w:lineRule="exact"/>
        <w:rPr>
          <w:sz w:val="20"/>
          <w:szCs w:val="20"/>
          <w:color w:val="auto"/>
        </w:rPr>
      </w:pPr>
    </w:p>
    <w:p>
      <w:pPr>
        <w:jc w:val="both"/>
        <w:ind w:firstLine="431"/>
        <w:spacing w:after="0" w:line="248" w:lineRule="auto"/>
        <w:rPr>
          <w:sz w:val="20"/>
          <w:szCs w:val="20"/>
          <w:color w:val="auto"/>
        </w:rPr>
      </w:pPr>
      <w:r>
        <w:rPr>
          <w:rFonts w:ascii="Arial" w:cs="Arial" w:eastAsia="Arial" w:hAnsi="Arial"/>
          <w:sz w:val="17"/>
          <w:szCs w:val="17"/>
          <w:color w:val="auto"/>
        </w:rPr>
        <w:t>As of December 31, 2022, we had $215 million notional value of centrally cleared credit default swaps ("CDS") outstanding that reference the Markit CDX Investment Grade Index, maturing in June 2027. Under the terms of our CDS, we pay fixed periodic payments equal to 1% per annum of the notional value and we are entitled to receive payments for qualified credit events. As of December 31, 2022, the CDS had a market value of $(2) million, and a carrying value of zero dollars, net of variation margin settlements. Pursuant to rules governing central clearing activities, we recognize variation margin settlements as a direct reduction of the carrying value of the CDS asset or liability.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From Derivative Instruments and Other Securities, Net</w:t>
      </w:r>
    </w:p>
    <w:p>
      <w:pPr>
        <w:spacing w:after="0" w:line="170" w:lineRule="exact"/>
        <w:rPr>
          <w:sz w:val="20"/>
          <w:szCs w:val="20"/>
          <w:color w:val="auto"/>
        </w:rPr>
      </w:pPr>
    </w:p>
    <w:p>
      <w:pPr>
        <w:jc w:val="both"/>
        <w:ind w:firstLine="392"/>
        <w:spacing w:after="0" w:line="274" w:lineRule="auto"/>
        <w:rPr>
          <w:sz w:val="20"/>
          <w:szCs w:val="20"/>
          <w:color w:val="auto"/>
        </w:rPr>
      </w:pPr>
      <w:r>
        <w:rPr>
          <w:rFonts w:ascii="Arial" w:cs="Arial" w:eastAsia="Arial" w:hAnsi="Arial"/>
          <w:sz w:val="17"/>
          <w:szCs w:val="17"/>
          <w:color w:val="auto"/>
        </w:rPr>
        <w:t>The following table summarizes changes in our derivative and other hedge portfolio and their effect on our consolidated statements of comprehensive income for fiscal years 2022, 2021 and 2020 (in millions):</w:t>
      </w:r>
    </w:p>
    <w:tbl>
      <w:tblPr>
        <w:tblLayout w:type="fixed"/>
        <w:tblInd w:w="0" w:type="dxa"/>
        <w:tblCellMar>
          <w:top w:w="0" w:type="dxa"/>
          <w:left w:w="0" w:type="dxa"/>
          <w:bottom w:w="0" w:type="dxa"/>
          <w:right w:w="0" w:type="dxa"/>
        </w:tblCellMar>
      </w:tblPr>
      <w:tr>
        <w:trPr>
          <w:trHeight w:val="141"/>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6"/>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6"/>
              <w:spacing w:after="0" w:line="141" w:lineRule="exact"/>
              <w:rPr>
                <w:sz w:val="20"/>
                <w:szCs w:val="20"/>
                <w:color w:val="auto"/>
              </w:rPr>
            </w:pPr>
            <w:r>
              <w:rPr>
                <w:rFonts w:ascii="Arial" w:cs="Arial" w:eastAsia="Arial" w:hAnsi="Arial"/>
                <w:sz w:val="14"/>
                <w:szCs w:val="14"/>
                <w:b w:val="1"/>
                <w:bCs w:val="1"/>
                <w:color w:val="auto"/>
                <w:w w:val="90"/>
              </w:rPr>
              <w:t>Gain/(Loss)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66"/>
              <w:spacing w:after="0" w:line="131" w:lineRule="exact"/>
              <w:rPr>
                <w:sz w:val="20"/>
                <w:szCs w:val="20"/>
                <w:color w:val="auto"/>
              </w:rPr>
            </w:pPr>
            <w:r>
              <w:rPr>
                <w:rFonts w:ascii="Arial" w:cs="Arial" w:eastAsia="Arial" w:hAnsi="Arial"/>
                <w:sz w:val="14"/>
                <w:szCs w:val="14"/>
                <w:b w:val="1"/>
                <w:bCs w:val="1"/>
                <w:color w:val="auto"/>
                <w:w w:val="90"/>
              </w:rPr>
              <w:t>on Derivative</w:t>
            </w: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0" w:type="dxa"/>
            <w:vAlign w:val="bottom"/>
          </w:tcPr>
          <w:p>
            <w:pPr>
              <w:jc w:val="center"/>
              <w:ind w:right="6"/>
              <w:spacing w:after="0" w:line="95" w:lineRule="exact"/>
              <w:rPr>
                <w:sz w:val="20"/>
                <w:szCs w:val="20"/>
                <w:color w:val="auto"/>
              </w:rPr>
            </w:pPr>
            <w:r>
              <w:rPr>
                <w:rFonts w:ascii="Arial" w:cs="Arial" w:eastAsia="Arial" w:hAnsi="Arial"/>
                <w:sz w:val="10"/>
                <w:szCs w:val="10"/>
                <w:b w:val="1"/>
                <w:bCs w:val="1"/>
                <w:color w:val="auto"/>
              </w:rPr>
              <w:t>Termination,</w:t>
            </w: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center"/>
              <w:ind w:right="46"/>
              <w:spacing w:after="0" w:line="147" w:lineRule="exact"/>
              <w:rPr>
                <w:sz w:val="20"/>
                <w:szCs w:val="20"/>
                <w:color w:val="auto"/>
              </w:rPr>
            </w:pPr>
            <w:r>
              <w:rPr>
                <w:rFonts w:ascii="Arial" w:cs="Arial" w:eastAsia="Arial" w:hAnsi="Arial"/>
                <w:sz w:val="14"/>
                <w:szCs w:val="14"/>
                <w:b w:val="1"/>
                <w:bCs w:val="1"/>
                <w:color w:val="auto"/>
                <w:w w:val="89"/>
              </w:rPr>
              <w:t>Instruments and</w:t>
            </w:r>
          </w:p>
        </w:tc>
        <w:tc>
          <w:tcPr>
            <w:tcW w:w="0" w:type="dxa"/>
            <w:vAlign w:val="bottom"/>
          </w:tcPr>
          <w:p>
            <w:pPr>
              <w:spacing w:after="0"/>
              <w:rPr>
                <w:sz w:val="1"/>
                <w:szCs w:val="1"/>
                <w:color w:val="auto"/>
              </w:rPr>
            </w:pPr>
          </w:p>
        </w:tc>
      </w:tr>
      <w:tr>
        <w:trPr>
          <w:trHeight w:val="52"/>
        </w:trPr>
        <w:tc>
          <w:tcPr>
            <w:tcW w:w="3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4"/>
                <w:szCs w:val="4"/>
                <w:color w:val="auto"/>
              </w:rPr>
            </w:pPr>
          </w:p>
        </w:tc>
        <w:tc>
          <w:tcPr>
            <w:tcW w:w="1200" w:type="dxa"/>
            <w:vAlign w:val="bottom"/>
            <w:vMerge w:val="restart"/>
          </w:tcPr>
          <w:p>
            <w:pPr>
              <w:jc w:val="center"/>
              <w:ind w:right="6"/>
              <w:spacing w:after="0"/>
              <w:rPr>
                <w:sz w:val="20"/>
                <w:szCs w:val="20"/>
                <w:color w:val="auto"/>
              </w:rPr>
            </w:pPr>
            <w:r>
              <w:rPr>
                <w:rFonts w:ascii="Arial" w:cs="Arial" w:eastAsia="Arial" w:hAnsi="Arial"/>
                <w:sz w:val="14"/>
                <w:szCs w:val="14"/>
                <w:b w:val="1"/>
                <w:bCs w:val="1"/>
                <w:color w:val="auto"/>
                <w:w w:val="92"/>
              </w:rPr>
              <w:t>Expiration or</w:t>
            </w:r>
          </w:p>
        </w:tc>
        <w:tc>
          <w:tcPr>
            <w:tcW w:w="300" w:type="dxa"/>
            <w:vAlign w:val="bottom"/>
          </w:tcPr>
          <w:p>
            <w:pPr>
              <w:spacing w:after="0"/>
              <w:rPr>
                <w:sz w:val="4"/>
                <w:szCs w:val="4"/>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Ending</w:t>
            </w:r>
          </w:p>
        </w:tc>
        <w:tc>
          <w:tcPr>
            <w:tcW w:w="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2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9"/>
              </w:rPr>
              <w:t>Other Securities, Net</w:t>
            </w:r>
          </w:p>
        </w:tc>
        <w:tc>
          <w:tcPr>
            <w:tcW w:w="0" w:type="dxa"/>
            <w:vAlign w:val="bottom"/>
          </w:tcPr>
          <w:p>
            <w:pPr>
              <w:spacing w:after="0"/>
              <w:rPr>
                <w:sz w:val="1"/>
                <w:szCs w:val="1"/>
                <w:color w:val="auto"/>
              </w:rPr>
            </w:pPr>
          </w:p>
        </w:tc>
      </w:tr>
      <w:tr>
        <w:trPr>
          <w:trHeight w:val="91"/>
        </w:trPr>
        <w:tc>
          <w:tcPr>
            <w:tcW w:w="3840" w:type="dxa"/>
            <w:vAlign w:val="bottom"/>
            <w:vMerge w:val="restart"/>
          </w:tcPr>
          <w:p>
            <w:pPr>
              <w:ind w:left="20"/>
              <w:spacing w:after="0" w:line="157" w:lineRule="exact"/>
              <w:rPr>
                <w:sz w:val="20"/>
                <w:szCs w:val="20"/>
                <w:color w:val="auto"/>
              </w:rPr>
            </w:pPr>
            <w:r>
              <w:rPr>
                <w:rFonts w:ascii="Arial" w:cs="Arial" w:eastAsia="Arial" w:hAnsi="Arial"/>
                <w:sz w:val="14"/>
                <w:szCs w:val="14"/>
                <w:b w:val="1"/>
                <w:bCs w:val="1"/>
                <w:color w:val="auto"/>
              </w:rPr>
              <w:t>Derivative and Other Hedging Instruments</w:t>
            </w:r>
          </w:p>
        </w:tc>
        <w:tc>
          <w:tcPr>
            <w:tcW w:w="2160" w:type="dxa"/>
            <w:vAlign w:val="bottom"/>
            <w:gridSpan w:val="2"/>
            <w:vMerge w:val="restart"/>
          </w:tcPr>
          <w:p>
            <w:pPr>
              <w:jc w:val="right"/>
              <w:ind w:right="182"/>
              <w:spacing w:after="0" w:line="157" w:lineRule="exact"/>
              <w:rPr>
                <w:sz w:val="20"/>
                <w:szCs w:val="20"/>
                <w:color w:val="auto"/>
              </w:rPr>
            </w:pPr>
            <w:r>
              <w:rPr>
                <w:rFonts w:ascii="Arial" w:cs="Arial" w:eastAsia="Arial" w:hAnsi="Arial"/>
                <w:sz w:val="14"/>
                <w:szCs w:val="14"/>
                <w:b w:val="1"/>
                <w:bCs w:val="1"/>
                <w:color w:val="auto"/>
              </w:rPr>
              <w:t>Notional Amount</w:t>
            </w:r>
          </w:p>
        </w:tc>
        <w:tc>
          <w:tcPr>
            <w:tcW w:w="1240" w:type="dxa"/>
            <w:vAlign w:val="bottom"/>
            <w:vMerge w:val="restart"/>
          </w:tcPr>
          <w:p>
            <w:pPr>
              <w:jc w:val="right"/>
              <w:ind w:right="362"/>
              <w:spacing w:after="0" w:line="157" w:lineRule="exact"/>
              <w:rPr>
                <w:sz w:val="20"/>
                <w:szCs w:val="20"/>
                <w:color w:val="auto"/>
              </w:rPr>
            </w:pPr>
            <w:r>
              <w:rPr>
                <w:rFonts w:ascii="Arial" w:cs="Arial" w:eastAsia="Arial" w:hAnsi="Arial"/>
                <w:sz w:val="14"/>
                <w:szCs w:val="14"/>
                <w:b w:val="1"/>
                <w:bCs w:val="1"/>
                <w:color w:val="auto"/>
              </w:rPr>
              <w:t>Additions</w:t>
            </w:r>
          </w:p>
        </w:tc>
        <w:tc>
          <w:tcPr>
            <w:tcW w:w="1200" w:type="dxa"/>
            <w:vAlign w:val="bottom"/>
            <w:vMerge w:val="restart"/>
          </w:tcPr>
          <w:p>
            <w:pPr>
              <w:jc w:val="center"/>
              <w:ind w:right="6"/>
              <w:spacing w:after="0" w:line="157"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3"/>
            <w:vMerge w:val="restart"/>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Notional Amount</w:t>
            </w:r>
          </w:p>
        </w:tc>
        <w:tc>
          <w:tcPr>
            <w:tcW w:w="140" w:type="dxa"/>
            <w:vAlign w:val="bottom"/>
          </w:tcPr>
          <w:p>
            <w:pPr>
              <w:spacing w:after="0"/>
              <w:rPr>
                <w:sz w:val="7"/>
                <w:szCs w:val="7"/>
                <w:color w:val="auto"/>
              </w:rPr>
            </w:pPr>
          </w:p>
        </w:tc>
        <w:tc>
          <w:tcPr>
            <w:tcW w:w="1180" w:type="dxa"/>
            <w:vAlign w:val="bottom"/>
          </w:tcPr>
          <w:p>
            <w:pPr>
              <w:jc w:val="center"/>
              <w:ind w:right="66"/>
              <w:spacing w:after="0" w:line="92" w:lineRule="exact"/>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65"/>
        </w:trPr>
        <w:tc>
          <w:tcPr>
            <w:tcW w:w="384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2022:</w:t>
            </w: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26,673</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312,307</w:t>
            </w: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(319,930)</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19,050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settling non-Agency securities</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450</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(450)</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51,225</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5,895</w:t>
            </w: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(9,295)</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47,825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4,400</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default swaps - CDX IG - buy protection</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(5,835)</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5,620</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13,000</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1,750</w:t>
            </w: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(11,700)</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3,050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(150)</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150</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(9,590)</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(15,548)</w:t>
            </w:r>
          </w:p>
        </w:tc>
        <w:tc>
          <w:tcPr>
            <w:tcW w:w="1200" w:type="dxa"/>
            <w:vAlign w:val="bottom"/>
          </w:tcPr>
          <w:p>
            <w:pPr>
              <w:jc w:val="right"/>
              <w:ind w:right="46"/>
              <w:spacing w:after="0"/>
              <w:rPr>
                <w:sz w:val="20"/>
                <w:szCs w:val="20"/>
                <w:color w:val="auto"/>
              </w:rPr>
            </w:pPr>
            <w:r>
              <w:rPr>
                <w:rFonts w:ascii="Arial" w:cs="Arial" w:eastAsia="Arial" w:hAnsi="Arial"/>
                <w:sz w:val="16"/>
                <w:szCs w:val="16"/>
                <w:color w:val="auto"/>
              </w:rPr>
              <w:t>17,765</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(7,373)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472</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10,202</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(10,317)</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(1,500)</w:t>
            </w:r>
          </w:p>
        </w:tc>
        <w:tc>
          <w:tcPr>
            <w:tcW w:w="124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rPr>
              <w:t>(37,493)</w:t>
            </w:r>
          </w:p>
        </w:tc>
        <w:tc>
          <w:tcPr>
            <w:tcW w:w="120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29,780</w:t>
            </w:r>
          </w:p>
        </w:tc>
        <w:tc>
          <w:tcPr>
            <w:tcW w:w="30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tcPr>
          <w:p>
            <w:pPr>
              <w:jc w:val="right"/>
              <w:ind w:right="82"/>
              <w:spacing w:after="0"/>
              <w:rPr>
                <w:sz w:val="20"/>
                <w:szCs w:val="20"/>
                <w:color w:val="auto"/>
              </w:rPr>
            </w:pPr>
            <w:r>
              <w:rPr>
                <w:rFonts w:ascii="Arial" w:cs="Arial" w:eastAsia="Arial" w:hAnsi="Arial"/>
                <w:sz w:val="16"/>
                <w:szCs w:val="16"/>
                <w:color w:val="auto"/>
              </w:rPr>
              <w:t>(9,213)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2021:</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30,364</w:t>
            </w:r>
          </w:p>
        </w:tc>
        <w:tc>
          <w:tcPr>
            <w:tcW w:w="1260" w:type="dxa"/>
            <w:vAlign w:val="bottom"/>
          </w:tcPr>
          <w:p>
            <w:pPr>
              <w:jc w:val="right"/>
              <w:ind w:right="302"/>
              <w:spacing w:after="0"/>
              <w:rPr>
                <w:sz w:val="20"/>
                <w:szCs w:val="20"/>
                <w:color w:val="auto"/>
              </w:rPr>
            </w:pPr>
            <w:r>
              <w:rPr>
                <w:rFonts w:ascii="Arial" w:cs="Arial" w:eastAsia="Arial" w:hAnsi="Arial"/>
                <w:sz w:val="16"/>
                <w:szCs w:val="16"/>
                <w:color w:val="auto"/>
              </w:rPr>
              <w:t>352,658</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(356,349)</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26,673</w:t>
            </w:r>
          </w:p>
        </w:tc>
        <w:tc>
          <w:tcPr>
            <w:tcW w:w="8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settling non-Agency securities</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1,800</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43,225</w:t>
            </w:r>
          </w:p>
        </w:tc>
        <w:tc>
          <w:tcPr>
            <w:tcW w:w="1260" w:type="dxa"/>
            <w:vAlign w:val="bottom"/>
          </w:tcPr>
          <w:p>
            <w:pPr>
              <w:jc w:val="right"/>
              <w:ind w:right="302"/>
              <w:spacing w:after="0"/>
              <w:rPr>
                <w:sz w:val="20"/>
                <w:szCs w:val="20"/>
                <w:color w:val="auto"/>
              </w:rPr>
            </w:pPr>
            <w:r>
              <w:rPr>
                <w:rFonts w:ascii="Arial" w:cs="Arial" w:eastAsia="Arial" w:hAnsi="Arial"/>
                <w:sz w:val="16"/>
                <w:szCs w:val="16"/>
                <w:color w:val="auto"/>
              </w:rPr>
              <w:t>9,000</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51,225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10,400</w:t>
            </w:r>
          </w:p>
        </w:tc>
        <w:tc>
          <w:tcPr>
            <w:tcW w:w="12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8,050</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(5,450)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82"/>
              <w:spacing w:after="0"/>
              <w:rPr>
                <w:sz w:val="20"/>
                <w:szCs w:val="20"/>
                <w:color w:val="auto"/>
              </w:rPr>
            </w:pPr>
            <w:r>
              <w:rPr>
                <w:rFonts w:ascii="Arial" w:cs="Arial" w:eastAsia="Arial" w:hAnsi="Arial"/>
                <w:sz w:val="16"/>
                <w:szCs w:val="16"/>
                <w:color w:val="auto"/>
              </w:rPr>
              <w:t>(11,287)</w:t>
            </w:r>
          </w:p>
        </w:tc>
        <w:tc>
          <w:tcPr>
            <w:tcW w:w="1260" w:type="dxa"/>
            <w:vAlign w:val="bottom"/>
          </w:tcPr>
          <w:p>
            <w:pPr>
              <w:jc w:val="right"/>
              <w:ind w:right="262"/>
              <w:spacing w:after="0"/>
              <w:rPr>
                <w:sz w:val="20"/>
                <w:szCs w:val="20"/>
                <w:color w:val="auto"/>
              </w:rPr>
            </w:pPr>
            <w:r>
              <w:rPr>
                <w:rFonts w:ascii="Arial" w:cs="Arial" w:eastAsia="Arial" w:hAnsi="Arial"/>
                <w:sz w:val="16"/>
                <w:szCs w:val="16"/>
                <w:color w:val="auto"/>
              </w:rPr>
              <w:t>(12,691)</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14,388</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(9,590)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7,618</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(7,146)</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80" w:type="dxa"/>
            <w:vAlign w:val="bottom"/>
            <w:tcBorders>
              <w:bottom w:val="single" w:sz="8" w:color="CCEEFF"/>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82"/>
              <w:spacing w:after="0"/>
              <w:rPr>
                <w:sz w:val="20"/>
                <w:szCs w:val="20"/>
                <w:color w:val="auto"/>
              </w:rPr>
            </w:pPr>
            <w:r>
              <w:rPr>
                <w:rFonts w:ascii="Arial" w:cs="Arial" w:eastAsia="Arial" w:hAnsi="Arial"/>
                <w:sz w:val="16"/>
                <w:szCs w:val="16"/>
                <w:color w:val="auto"/>
              </w:rPr>
              <w:t>(1,000)</w:t>
            </w:r>
          </w:p>
        </w:tc>
        <w:tc>
          <w:tcPr>
            <w:tcW w:w="1260" w:type="dxa"/>
            <w:vAlign w:val="bottom"/>
            <w:tcBorders>
              <w:bottom w:val="single" w:sz="8" w:color="CCEEFF"/>
            </w:tcBorders>
          </w:tcPr>
          <w:p>
            <w:pPr>
              <w:jc w:val="right"/>
              <w:ind w:right="262"/>
              <w:spacing w:after="0"/>
              <w:rPr>
                <w:sz w:val="20"/>
                <w:szCs w:val="20"/>
                <w:color w:val="auto"/>
              </w:rPr>
            </w:pPr>
            <w:r>
              <w:rPr>
                <w:rFonts w:ascii="Arial" w:cs="Arial" w:eastAsia="Arial" w:hAnsi="Arial"/>
                <w:sz w:val="16"/>
                <w:szCs w:val="16"/>
                <w:color w:val="auto"/>
              </w:rPr>
              <w:t>(6,000)</w:t>
            </w:r>
          </w:p>
        </w:tc>
        <w:tc>
          <w:tcPr>
            <w:tcW w:w="102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5,500</w:t>
            </w:r>
          </w:p>
        </w:tc>
        <w:tc>
          <w:tcPr>
            <w:tcW w:w="420" w:type="dxa"/>
            <w:vAlign w:val="bottom"/>
            <w:tcBorders>
              <w:bottom w:val="single" w:sz="8" w:color="CCEEFF"/>
            </w:tcBorders>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tcPr>
          <w:p>
            <w:pPr>
              <w:jc w:val="right"/>
              <w:ind w:right="82"/>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27"/>
        </w:trPr>
        <w:tc>
          <w:tcPr>
            <w:tcW w:w="38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3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2020:</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7,322</w:t>
            </w:r>
          </w:p>
        </w:tc>
        <w:tc>
          <w:tcPr>
            <w:tcW w:w="1260" w:type="dxa"/>
            <w:vAlign w:val="bottom"/>
          </w:tcPr>
          <w:p>
            <w:pPr>
              <w:jc w:val="right"/>
              <w:ind w:right="302"/>
              <w:spacing w:after="0"/>
              <w:rPr>
                <w:sz w:val="20"/>
                <w:szCs w:val="20"/>
                <w:color w:val="auto"/>
              </w:rPr>
            </w:pPr>
            <w:r>
              <w:rPr>
                <w:rFonts w:ascii="Arial" w:cs="Arial" w:eastAsia="Arial" w:hAnsi="Arial"/>
                <w:sz w:val="16"/>
                <w:szCs w:val="16"/>
                <w:color w:val="auto"/>
              </w:rPr>
              <w:t>286,586</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(263,544)</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30,364</w:t>
            </w:r>
          </w:p>
        </w:tc>
        <w:tc>
          <w:tcPr>
            <w:tcW w:w="8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1,497</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79,075</w:t>
            </w:r>
          </w:p>
        </w:tc>
        <w:tc>
          <w:tcPr>
            <w:tcW w:w="12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101,950</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(137,800)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43,225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8,850</w:t>
            </w:r>
          </w:p>
        </w:tc>
        <w:tc>
          <w:tcPr>
            <w:tcW w:w="1260" w:type="dxa"/>
            <w:vAlign w:val="bottom"/>
          </w:tcPr>
          <w:p>
            <w:pPr>
              <w:jc w:val="right"/>
              <w:ind w:right="302"/>
              <w:spacing w:after="0"/>
              <w:rPr>
                <w:sz w:val="20"/>
                <w:szCs w:val="20"/>
                <w:color w:val="auto"/>
              </w:rPr>
            </w:pPr>
            <w:r>
              <w:rPr>
                <w:rFonts w:ascii="Arial" w:cs="Arial" w:eastAsia="Arial" w:hAnsi="Arial"/>
                <w:sz w:val="16"/>
                <w:szCs w:val="16"/>
                <w:color w:val="auto"/>
              </w:rPr>
              <w:t>7,000</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(5,450)</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10,400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(9,224)</w:t>
            </w:r>
          </w:p>
        </w:tc>
        <w:tc>
          <w:tcPr>
            <w:tcW w:w="12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(18,912)</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16,849</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(11,287)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95</w:t>
            </w:r>
          </w:p>
        </w:tc>
        <w:tc>
          <w:tcPr>
            <w:tcW w:w="1260" w:type="dxa"/>
            <w:vAlign w:val="bottom"/>
          </w:tcPr>
          <w:p>
            <w:pPr>
              <w:jc w:val="right"/>
              <w:ind w:right="302"/>
              <w:spacing w:after="0"/>
              <w:rPr>
                <w:sz w:val="20"/>
                <w:szCs w:val="20"/>
                <w:color w:val="auto"/>
              </w:rPr>
            </w:pPr>
            <w:r>
              <w:rPr>
                <w:rFonts w:ascii="Arial" w:cs="Arial" w:eastAsia="Arial" w:hAnsi="Arial"/>
                <w:sz w:val="16"/>
                <w:szCs w:val="16"/>
                <w:color w:val="auto"/>
              </w:rPr>
              <w:t>7,011</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(7,106)</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(1,000)</w:t>
            </w:r>
          </w:p>
        </w:tc>
        <w:tc>
          <w:tcPr>
            <w:tcW w:w="12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(4,000)</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4,000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42"/>
        </w:trPr>
        <w:tc>
          <w:tcPr>
            <w:tcW w:w="3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Amounts exclude other miscellaneous gains and losses recognized in gain (loss) on derivative instruments and other securities, net in our consolidated statements of comprehensive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Pledged Assets</w:t>
      </w:r>
    </w:p>
    <w:p>
      <w:pPr>
        <w:spacing w:after="0" w:line="176"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3"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5"/>
          <w:szCs w:val="15"/>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06"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As of December 31, 2022, our maximum amount at risk with any counterparty related to our repurchase agreements, excluding the Fixed Income Clearing Corporation, was less than 4% of our tangible stockholders' equity (or the excess/shortfall of the value of collateral pledged/received over our repurchase agreement liabilities/reverse repurchase agreement receivables). As of December 31, 2022, approximately 6% of our tangible stockholder's equity was at risk with the Fixed Income Clearing Corporation.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Assets Pledged to Counterparties</w:t>
      </w:r>
    </w:p>
    <w:p>
      <w:pPr>
        <w:spacing w:after="0" w:line="170" w:lineRule="exact"/>
        <w:rPr>
          <w:sz w:val="20"/>
          <w:szCs w:val="20"/>
          <w:color w:val="auto"/>
        </w:rPr>
      </w:pPr>
    </w:p>
    <w:p>
      <w:pPr>
        <w:ind w:firstLine="431"/>
        <w:spacing w:after="0" w:line="274"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December 31, 2022 and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6"/>
          </w:tcPr>
          <w:p>
            <w:pPr>
              <w:ind w:left="108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0"/>
              <w:spacing w:after="0" w:line="127" w:lineRule="exact"/>
              <w:rPr>
                <w:sz w:val="20"/>
                <w:szCs w:val="20"/>
                <w:color w:val="auto"/>
              </w:rPr>
            </w:pPr>
            <w:r>
              <w:rPr>
                <w:rFonts w:ascii="Arial" w:cs="Arial" w:eastAsia="Arial" w:hAnsi="Arial"/>
                <w:sz w:val="14"/>
                <w:szCs w:val="14"/>
                <w:b w:val="1"/>
                <w:bCs w:val="1"/>
                <w:color w:val="auto"/>
                <w:w w:val="91"/>
              </w:rPr>
              <w:t>Debt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 xml:space="preserve">Repurchase Agreements </w:t>
            </w:r>
            <w:r>
              <w:rPr>
                <w:rFonts w:ascii="Arial" w:cs="Arial" w:eastAsia="Arial" w:hAnsi="Arial"/>
                <w:sz w:val="18"/>
                <w:szCs w:val="18"/>
                <w:b w:val="1"/>
                <w:bCs w:val="1"/>
                <w:color w:val="auto"/>
                <w:w w:val="93"/>
                <w:vertAlign w:val="superscript"/>
              </w:rPr>
              <w:t>2</w:t>
            </w:r>
          </w:p>
        </w:tc>
        <w:tc>
          <w:tcPr>
            <w:tcW w:w="1260" w:type="dxa"/>
            <w:vAlign w:val="bottom"/>
          </w:tcPr>
          <w:p>
            <w:pPr>
              <w:jc w:val="center"/>
              <w:ind w:left="250"/>
              <w:spacing w:after="0" w:line="140" w:lineRule="exact"/>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Arial" w:cs="Arial" w:eastAsia="Arial" w:hAnsi="Arial"/>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196" w:lineRule="exact"/>
              <w:rPr>
                <w:sz w:val="20"/>
                <w:szCs w:val="20"/>
                <w:color w:val="auto"/>
              </w:rPr>
            </w:pPr>
            <w:r>
              <w:rPr>
                <w:rFonts w:ascii="Arial" w:cs="Arial" w:eastAsia="Arial" w:hAnsi="Arial"/>
                <w:sz w:val="14"/>
                <w:szCs w:val="14"/>
                <w:b w:val="1"/>
                <w:bCs w:val="1"/>
                <w:color w:val="auto"/>
                <w:w w:val="88"/>
              </w:rPr>
              <w:t xml:space="preserve">and Other </w:t>
            </w:r>
            <w:r>
              <w:rPr>
                <w:rFonts w:ascii="Arial" w:cs="Arial" w:eastAsia="Arial" w:hAnsi="Arial"/>
                <w:sz w:val="18"/>
                <w:szCs w:val="18"/>
                <w:b w:val="1"/>
                <w:bCs w:val="1"/>
                <w:color w:val="auto"/>
                <w:w w:val="88"/>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35,765</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36,112</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39,217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0" w:type="dxa"/>
            <w:vAlign w:val="bottom"/>
            <w:gridSpan w:val="6"/>
          </w:tcPr>
          <w:p>
            <w:pPr>
              <w:ind w:left="108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0"/>
              <w:spacing w:after="0" w:line="127" w:lineRule="exact"/>
              <w:rPr>
                <w:sz w:val="20"/>
                <w:szCs w:val="20"/>
                <w:color w:val="auto"/>
              </w:rPr>
            </w:pPr>
            <w:r>
              <w:rPr>
                <w:rFonts w:ascii="Arial" w:cs="Arial" w:eastAsia="Arial" w:hAnsi="Arial"/>
                <w:sz w:val="14"/>
                <w:szCs w:val="14"/>
                <w:b w:val="1"/>
                <w:bCs w:val="1"/>
                <w:color w:val="auto"/>
                <w:w w:val="91"/>
              </w:rPr>
              <w:t>Debt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 xml:space="preserve">Repurchase Agreements </w:t>
            </w:r>
            <w:r>
              <w:rPr>
                <w:rFonts w:ascii="Arial" w:cs="Arial" w:eastAsia="Arial" w:hAnsi="Arial"/>
                <w:sz w:val="18"/>
                <w:szCs w:val="18"/>
                <w:b w:val="1"/>
                <w:bCs w:val="1"/>
                <w:color w:val="auto"/>
                <w:w w:val="93"/>
                <w:vertAlign w:val="superscript"/>
              </w:rPr>
              <w:t>2</w:t>
            </w:r>
          </w:p>
        </w:tc>
        <w:tc>
          <w:tcPr>
            <w:tcW w:w="1260" w:type="dxa"/>
            <w:vAlign w:val="bottom"/>
          </w:tcPr>
          <w:p>
            <w:pPr>
              <w:jc w:val="center"/>
              <w:ind w:left="250"/>
              <w:spacing w:after="0" w:line="140" w:lineRule="exact"/>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Arial" w:cs="Arial" w:eastAsia="Arial" w:hAnsi="Arial"/>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196" w:lineRule="exact"/>
              <w:rPr>
                <w:sz w:val="20"/>
                <w:szCs w:val="20"/>
                <w:color w:val="auto"/>
              </w:rPr>
            </w:pPr>
            <w:r>
              <w:rPr>
                <w:rFonts w:ascii="Arial" w:cs="Arial" w:eastAsia="Arial" w:hAnsi="Arial"/>
                <w:sz w:val="14"/>
                <w:szCs w:val="14"/>
                <w:b w:val="1"/>
                <w:bCs w:val="1"/>
                <w:color w:val="auto"/>
                <w:w w:val="88"/>
              </w:rPr>
              <w:t xml:space="preserve">and Other </w:t>
            </w:r>
            <w:r>
              <w:rPr>
                <w:rFonts w:ascii="Arial" w:cs="Arial" w:eastAsia="Arial" w:hAnsi="Arial"/>
                <w:sz w:val="18"/>
                <w:szCs w:val="18"/>
                <w:b w:val="1"/>
                <w:bCs w:val="1"/>
                <w:color w:val="auto"/>
                <w:w w:val="88"/>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46,943</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47,890</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50,910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5" w:lineRule="exact"/>
        <w:rPr>
          <w:sz w:val="20"/>
          <w:szCs w:val="20"/>
          <w:color w:val="auto"/>
        </w:rPr>
      </w:pPr>
    </w:p>
    <w:p>
      <w:pPr>
        <w:ind w:left="640" w:hanging="322"/>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ind w:left="640" w:hanging="322"/>
        <w:spacing w:after="0"/>
        <w:tabs>
          <w:tab w:leader="none" w:pos="6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$49 million and $81 million of retained interests in our consolidated VIEs pledged as collateral under repurchase agreements as of December 31, 2022 and 2021, respectively.</w:t>
      </w:r>
    </w:p>
    <w:p>
      <w:pPr>
        <w:spacing w:after="0" w:line="16" w:lineRule="exact"/>
        <w:rPr>
          <w:rFonts w:ascii="Arial" w:cs="Arial" w:eastAsia="Arial" w:hAnsi="Arial"/>
          <w:sz w:val="13"/>
          <w:szCs w:val="13"/>
          <w:color w:val="auto"/>
        </w:rPr>
      </w:pPr>
    </w:p>
    <w:p>
      <w:pPr>
        <w:ind w:left="640" w:hanging="322"/>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deposits under brokerage and clearing agreements.</w:t>
      </w:r>
    </w:p>
    <w:p>
      <w:pPr>
        <w:spacing w:after="0" w:line="164"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by the remaining maturity of our borrowings, including securities pledged related to sold but not yet settled securities, as of December 31, 2022 and 2021 (in millions). For the corresponding borrowings associated with the following amounts and the interest rates thereon, refer to Note 4</w:t>
      </w:r>
      <w:r>
        <w:rPr>
          <w:rFonts w:ascii="Arial" w:cs="Arial" w:eastAsia="Arial" w:hAnsi="Arial"/>
          <w:sz w:val="17"/>
          <w:szCs w:val="17"/>
          <w:i w:val="1"/>
          <w:iCs w:val="1"/>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4" w:lineRule="exact"/>
              <w:rPr>
                <w:sz w:val="20"/>
                <w:szCs w:val="20"/>
                <w:color w:val="auto"/>
              </w:rPr>
            </w:pPr>
            <w:r>
              <w:rPr>
                <w:rFonts w:ascii="Arial" w:cs="Arial" w:eastAsia="Arial" w:hAnsi="Arial"/>
                <w:sz w:val="14"/>
                <w:szCs w:val="14"/>
                <w:b w:val="1"/>
                <w:bCs w:val="1"/>
                <w:color w:val="auto"/>
                <w:w w:val="90"/>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0"/>
              <w:spacing w:after="0" w:line="124" w:lineRule="exact"/>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4" w:lineRule="exact"/>
              <w:rPr>
                <w:sz w:val="20"/>
                <w:szCs w:val="20"/>
                <w:color w:val="auto"/>
              </w:rPr>
            </w:pPr>
            <w:r>
              <w:rPr>
                <w:rFonts w:ascii="Arial" w:cs="Arial" w:eastAsia="Arial" w:hAnsi="Arial"/>
                <w:sz w:val="14"/>
                <w:szCs w:val="14"/>
                <w:b w:val="1"/>
                <w:bCs w:val="1"/>
                <w:color w:val="auto"/>
                <w:w w:val="89"/>
              </w:rPr>
              <w:t>Accrued</w:t>
            </w:r>
          </w:p>
        </w:tc>
        <w:tc>
          <w:tcPr>
            <w:tcW w:w="0" w:type="dxa"/>
            <w:vAlign w:val="bottom"/>
          </w:tcPr>
          <w:p>
            <w:pPr>
              <w:spacing w:after="0"/>
              <w:rPr>
                <w:sz w:val="1"/>
                <w:szCs w:val="1"/>
                <w:color w:val="auto"/>
              </w:rPr>
            </w:pPr>
          </w:p>
        </w:tc>
      </w:tr>
      <w:tr>
        <w:trPr>
          <w:trHeight w:val="144"/>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2"/>
                <w:szCs w:val="12"/>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7"/>
              </w:rPr>
              <w:t>Cost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9"/>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0"/>
              <w:spacing w:after="0" w:line="144" w:lineRule="exact"/>
              <w:rPr>
                <w:sz w:val="20"/>
                <w:szCs w:val="20"/>
                <w:color w:val="auto"/>
              </w:rPr>
            </w:pPr>
            <w:r>
              <w:rPr>
                <w:rFonts w:ascii="Arial" w:cs="Arial" w:eastAsia="Arial" w:hAnsi="Arial"/>
                <w:sz w:val="14"/>
                <w:szCs w:val="14"/>
                <w:b w:val="1"/>
                <w:bCs w:val="1"/>
                <w:color w:val="auto"/>
                <w:w w:val="89"/>
              </w:rPr>
              <w:t>Interest on</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4"/>
              </w:rPr>
              <w:t>Pledged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87"/>
              </w:rPr>
              <w:t>Cost of</w:t>
            </w:r>
          </w:p>
        </w:tc>
        <w:tc>
          <w:tcPr>
            <w:tcW w:w="140" w:type="dxa"/>
            <w:vAlign w:val="bottom"/>
          </w:tcPr>
          <w:p>
            <w:pPr>
              <w:spacing w:after="0"/>
              <w:rPr>
                <w:sz w:val="12"/>
                <w:szCs w:val="12"/>
                <w:color w:val="auto"/>
              </w:rPr>
            </w:pPr>
          </w:p>
        </w:tc>
        <w:tc>
          <w:tcPr>
            <w:tcW w:w="900" w:type="dxa"/>
            <w:vAlign w:val="bottom"/>
          </w:tcPr>
          <w:p>
            <w:pPr>
              <w:jc w:val="center"/>
              <w:ind w:right="70"/>
              <w:spacing w:after="0" w:line="144" w:lineRule="exact"/>
              <w:rPr>
                <w:sz w:val="20"/>
                <w:szCs w:val="20"/>
                <w:color w:val="auto"/>
              </w:rPr>
            </w:pPr>
            <w:r>
              <w:rPr>
                <w:rFonts w:ascii="Arial" w:cs="Arial" w:eastAsia="Arial" w:hAnsi="Arial"/>
                <w:sz w:val="14"/>
                <w:szCs w:val="14"/>
                <w:b w:val="1"/>
                <w:bCs w:val="1"/>
                <w:color w:val="auto"/>
                <w:w w:val="88"/>
              </w:rPr>
              <w:t>Pledged</w:t>
            </w:r>
          </w:p>
        </w:tc>
        <w:tc>
          <w:tcPr>
            <w:tcW w:w="0" w:type="dxa"/>
            <w:vAlign w:val="bottom"/>
          </w:tcPr>
          <w:p>
            <w:pPr>
              <w:spacing w:after="0"/>
              <w:rPr>
                <w:sz w:val="1"/>
                <w:szCs w:val="1"/>
                <w:color w:val="auto"/>
              </w:rPr>
            </w:pP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9"/>
                <w:szCs w:val="9"/>
                <w:b w:val="1"/>
                <w:bCs w:val="1"/>
                <w:color w:val="auto"/>
              </w:rPr>
              <w:t>1,2</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Pledged Securities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Pledged Securities</w:t>
            </w:r>
          </w:p>
        </w:tc>
        <w:tc>
          <w:tcPr>
            <w:tcW w:w="140" w:type="dxa"/>
            <w:vAlign w:val="bottom"/>
          </w:tcPr>
          <w:p>
            <w:pPr>
              <w:spacing w:after="0"/>
              <w:rPr>
                <w:sz w:val="16"/>
                <w:szCs w:val="16"/>
                <w:color w:val="auto"/>
              </w:rPr>
            </w:pPr>
          </w:p>
        </w:tc>
        <w:tc>
          <w:tcPr>
            <w:tcW w:w="900" w:type="dxa"/>
            <w:vAlign w:val="bottom"/>
          </w:tcPr>
          <w:p>
            <w:pPr>
              <w:jc w:val="center"/>
              <w:ind w:right="9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96"/>
        </w:trPr>
        <w:tc>
          <w:tcPr>
            <w:tcW w:w="3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24,548</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7"/>
        </w:trPr>
        <w:tc>
          <w:tcPr>
            <w:tcW w:w="396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48,496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$49 million and $81 million of retained interests in our consolidated VIEs pledged as collateral under repurchase agreements as of December 31, 2022 and 2021, respectively.</w:t>
      </w:r>
    </w:p>
    <w:p>
      <w:pPr>
        <w:spacing w:after="0" w:line="16" w:lineRule="exact"/>
        <w:rPr>
          <w:rFonts w:ascii="Arial" w:cs="Arial" w:eastAsia="Arial" w:hAnsi="Arial"/>
          <w:sz w:val="13"/>
          <w:szCs w:val="13"/>
          <w:color w:val="auto"/>
        </w:rPr>
      </w:pPr>
    </w:p>
    <w:p>
      <w:pPr>
        <w:ind w:left="640" w:hanging="322"/>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zero and $0.6 billion of repledged U.S. Treasury securities received as collateral from counterparties as of December 31, 2022 and 2021,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Pledged from Counterparties</w:t>
      </w:r>
    </w:p>
    <w:p>
      <w:pPr>
        <w:spacing w:after="0" w:line="170" w:lineRule="exact"/>
        <w:rPr>
          <w:sz w:val="20"/>
          <w:szCs w:val="20"/>
          <w:color w:val="auto"/>
        </w:rPr>
      </w:pPr>
    </w:p>
    <w:p>
      <w:pPr>
        <w:ind w:firstLine="392"/>
        <w:spacing w:after="0" w:line="288" w:lineRule="auto"/>
        <w:rPr>
          <w:sz w:val="20"/>
          <w:szCs w:val="20"/>
          <w:color w:val="auto"/>
        </w:rPr>
      </w:pPr>
      <w:r>
        <w:rPr>
          <w:rFonts w:ascii="Arial" w:cs="Arial" w:eastAsia="Arial" w:hAnsi="Arial"/>
          <w:sz w:val="17"/>
          <w:szCs w:val="17"/>
          <w:color w:val="auto"/>
        </w:rPr>
        <w:t>As of December 31, 2022 and 2021,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Derivative</w:t>
            </w:r>
          </w:p>
        </w:tc>
        <w:tc>
          <w:tcPr>
            <w:tcW w:w="120" w:type="dxa"/>
            <w:vAlign w:val="bottom"/>
          </w:tcPr>
          <w:p>
            <w:pPr>
              <w:spacing w:after="0"/>
              <w:rPr>
                <w:sz w:val="11"/>
                <w:szCs w:val="11"/>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89"/>
              </w:rPr>
              <w:t>Repurchase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89"/>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Agreements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Arial" w:cs="Arial" w:eastAsia="Arial" w:hAnsi="Arial"/>
                <w:sz w:val="14"/>
                <w:szCs w:val="14"/>
                <w:b w:val="1"/>
                <w:bCs w:val="1"/>
                <w:color w:val="auto"/>
                <w:w w:val="88"/>
              </w:rPr>
              <w:t>Agreements</w:t>
            </w:r>
          </w:p>
        </w:tc>
        <w:tc>
          <w:tcPr>
            <w:tcW w:w="3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4"/>
                <w:szCs w:val="14"/>
                <w:color w:val="auto"/>
                <w:w w:val="94"/>
              </w:rPr>
              <w:t xml:space="preserve">U.S. Treasury securities - fair value </w:t>
            </w:r>
            <w:r>
              <w:rPr>
                <w:rFonts w:ascii="Arial" w:cs="Arial" w:eastAsia="Arial" w:hAnsi="Arial"/>
                <w:sz w:val="18"/>
                <w:szCs w:val="18"/>
                <w:b w:val="1"/>
                <w:bCs w:val="1"/>
                <w:color w:val="auto"/>
                <w:w w:val="94"/>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21"/>
        </w:trPr>
        <w:tc>
          <w:tcPr>
            <w:tcW w:w="2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245"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2022 and 2021, amounts include $6.5 billion and $9.7 billion, respectively, of U.S. Treasury securities received from counterparties that were used to cover short sales of U.S. Treasury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Offsetting Assets and Liabilities</w:t>
      </w:r>
    </w:p>
    <w:p>
      <w:pPr>
        <w:spacing w:after="0" w:line="170"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2022 and 2021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0" w:type="dxa"/>
            <w:vAlign w:val="bottom"/>
            <w:gridSpan w:val="9"/>
          </w:tcPr>
          <w:p>
            <w:pPr>
              <w:jc w:val="right"/>
              <w:ind w:right="50"/>
              <w:spacing w:after="0"/>
              <w:rPr>
                <w:sz w:val="20"/>
                <w:szCs w:val="20"/>
                <w:color w:val="auto"/>
              </w:rPr>
            </w:pPr>
            <w:r>
              <w:rPr>
                <w:rFonts w:ascii="Arial" w:cs="Arial" w:eastAsia="Arial" w:hAnsi="Arial"/>
                <w:sz w:val="14"/>
                <w:szCs w:val="14"/>
                <w:b w:val="1"/>
                <w:bCs w:val="1"/>
                <w:color w:val="auto"/>
                <w:w w:val="89"/>
              </w:rPr>
              <w:t>Offsetting of Financial and Derivative Assets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Gross Amounts Not Offset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50"/>
              <w:spacing w:after="0" w:line="140"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Gross Amounts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Net Amounts of</w:t>
            </w:r>
          </w:p>
        </w:tc>
        <w:tc>
          <w:tcPr>
            <w:tcW w:w="140" w:type="dxa"/>
            <w:vAlign w:val="bottom"/>
          </w:tcPr>
          <w:p>
            <w:pPr>
              <w:spacing w:after="0"/>
              <w:rPr>
                <w:sz w:val="13"/>
                <w:szCs w:val="13"/>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7"/>
              </w:rPr>
              <w:t>Gross Amounts</w:t>
            </w:r>
          </w:p>
        </w:tc>
        <w:tc>
          <w:tcPr>
            <w:tcW w:w="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Offset in the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5"/>
              </w:rPr>
              <w:t>of Recognized</w:t>
            </w:r>
          </w:p>
        </w:tc>
        <w:tc>
          <w:tcPr>
            <w:tcW w:w="8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Balance Sheets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7"/>
                <w:szCs w:val="17"/>
                <w:color w:val="auto"/>
              </w:rPr>
            </w:pPr>
          </w:p>
        </w:tc>
        <w:tc>
          <w:tcPr>
            <w:tcW w:w="1060" w:type="dxa"/>
            <w:vAlign w:val="bottom"/>
            <w:gridSpan w:val="2"/>
          </w:tcPr>
          <w:p>
            <w:pPr>
              <w:ind w:left="80"/>
              <w:spacing w:after="0" w:line="196"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4"/>
                <w:szCs w:val="14"/>
                <w:color w:val="auto"/>
              </w:rPr>
              <w:t xml:space="preserve">TBA and forward settling non-Agency securities, at fair value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4"/>
                <w:szCs w:val="14"/>
                <w:color w:val="auto"/>
              </w:rPr>
              <w:t xml:space="preserve">TBA securities, at fair value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27940</wp:posOffset>
            </wp:positionV>
            <wp:extent cx="4538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3898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December 31, 2022</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xml:space="preserve">TBA securities, at fair value </w:t>
      </w:r>
      <w:r>
        <w:rPr>
          <w:rFonts w:ascii="Arial" w:cs="Arial" w:eastAsia="Arial" w:hAnsi="Arial"/>
          <w:sz w:val="15"/>
          <w:szCs w:val="15"/>
          <w:color w:val="auto"/>
          <w:vertAlign w:val="superscript"/>
        </w:rPr>
        <w:t>1</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Repurchase agreements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w:t>
      </w:r>
    </w:p>
    <w:p>
      <w:pPr>
        <w:spacing w:after="0" w:line="24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December 31, 2021</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Repurchase agreements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594"/>
              <w:spacing w:after="0" w:line="140" w:lineRule="exact"/>
              <w:rPr>
                <w:sz w:val="20"/>
                <w:szCs w:val="20"/>
                <w:color w:val="auto"/>
              </w:rPr>
            </w:pPr>
            <w:r>
              <w:rPr>
                <w:rFonts w:ascii="Arial" w:cs="Arial" w:eastAsia="Arial" w:hAnsi="Arial"/>
                <w:sz w:val="14"/>
                <w:szCs w:val="14"/>
                <w:b w:val="1"/>
                <w:bCs w:val="1"/>
                <w:color w:val="auto"/>
                <w:w w:val="90"/>
              </w:rPr>
              <w:t>in the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Gross Amounts</w:t>
            </w:r>
          </w:p>
        </w:tc>
        <w:tc>
          <w:tcPr>
            <w:tcW w:w="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Net Amounts of</w:t>
            </w:r>
          </w:p>
        </w:tc>
        <w:tc>
          <w:tcPr>
            <w:tcW w:w="120" w:type="dxa"/>
            <w:vAlign w:val="bottom"/>
          </w:tcPr>
          <w:p>
            <w:pPr>
              <w:spacing w:after="0"/>
              <w:rPr>
                <w:sz w:val="13"/>
                <w:szCs w:val="13"/>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Gross Amounts</w:t>
            </w: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200"/>
              <w:spacing w:after="0" w:line="140" w:lineRule="exact"/>
              <w:rPr>
                <w:sz w:val="20"/>
                <w:szCs w:val="20"/>
                <w:color w:val="auto"/>
              </w:rPr>
            </w:pPr>
            <w:r>
              <w:rPr>
                <w:rFonts w:ascii="Arial" w:cs="Arial" w:eastAsia="Arial" w:hAnsi="Arial"/>
                <w:sz w:val="14"/>
                <w:szCs w:val="14"/>
                <w:b w:val="1"/>
                <w:bCs w:val="1"/>
                <w:color w:val="auto"/>
                <w:w w:val="92"/>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Offset in the</w:t>
            </w: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Presented in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of Recognized</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9"/>
              </w:rPr>
              <w:t>Collateral Pledged</w:t>
            </w:r>
          </w:p>
        </w:tc>
        <w:tc>
          <w:tcPr>
            <w:tcW w:w="120" w:type="dxa"/>
            <w:vAlign w:val="bottom"/>
          </w:tcPr>
          <w:p>
            <w:pPr>
              <w:spacing w:after="0"/>
              <w:rPr>
                <w:sz w:val="15"/>
                <w:szCs w:val="15"/>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02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Liabilities</w:t>
            </w:r>
          </w:p>
        </w:tc>
        <w:tc>
          <w:tcPr>
            <w:tcW w:w="120" w:type="dxa"/>
            <w:vAlign w:val="bottom"/>
          </w:tcPr>
          <w:p>
            <w:pPr>
              <w:spacing w:after="0"/>
              <w:rPr>
                <w:sz w:val="4"/>
                <w:szCs w:val="4"/>
                <w:color w:val="auto"/>
              </w:rPr>
            </w:pPr>
          </w:p>
        </w:tc>
        <w:tc>
          <w:tcPr>
            <w:tcW w:w="120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Balance Sheets</w:t>
            </w: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Balance Sheets</w:t>
            </w:r>
          </w:p>
        </w:tc>
        <w:tc>
          <w:tcPr>
            <w:tcW w:w="120" w:type="dxa"/>
            <w:vAlign w:val="bottom"/>
          </w:tcPr>
          <w:p>
            <w:pPr>
              <w:spacing w:after="0"/>
              <w:rPr>
                <w:sz w:val="4"/>
                <w:szCs w:val="4"/>
                <w:color w:val="auto"/>
              </w:rPr>
            </w:pPr>
          </w:p>
        </w:tc>
        <w:tc>
          <w:tcPr>
            <w:tcW w:w="1060" w:type="dxa"/>
            <w:vAlign w:val="bottom"/>
            <w:gridSpan w:val="2"/>
          </w:tcPr>
          <w:p>
            <w:pPr>
              <w:jc w:val="center"/>
              <w:ind w:right="260"/>
              <w:spacing w:after="0" w:line="53" w:lineRule="exact"/>
              <w:rPr>
                <w:sz w:val="20"/>
                <w:szCs w:val="20"/>
                <w:color w:val="auto"/>
              </w:rPr>
            </w:pPr>
            <w:r>
              <w:rPr>
                <w:rFonts w:ascii="Arial" w:cs="Arial" w:eastAsia="Arial" w:hAnsi="Arial"/>
                <w:sz w:val="6"/>
                <w:szCs w:val="6"/>
                <w:b w:val="1"/>
                <w:bCs w:val="1"/>
                <w:color w:val="auto"/>
              </w:rPr>
              <w:t>Instruments</w:t>
            </w:r>
          </w:p>
        </w:tc>
        <w:tc>
          <w:tcPr>
            <w:tcW w:w="340" w:type="dxa"/>
            <w:vAlign w:val="bottom"/>
          </w:tcPr>
          <w:p>
            <w:pPr>
              <w:spacing w:after="0"/>
              <w:rPr>
                <w:sz w:val="4"/>
                <w:szCs w:val="4"/>
                <w:color w:val="auto"/>
              </w:rPr>
            </w:pPr>
          </w:p>
        </w:tc>
        <w:tc>
          <w:tcPr>
            <w:tcW w:w="800" w:type="dxa"/>
            <w:vAlign w:val="bottom"/>
            <w:vMerge w:val="restart"/>
          </w:tcPr>
          <w:p>
            <w:pPr>
              <w:jc w:val="right"/>
              <w:ind w:right="494"/>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36,262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36,361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5"/>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47,381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47,381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(6,087)</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(41,294)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47,452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(6,114)</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(41,338)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-821055</wp:posOffset>
            </wp:positionV>
            <wp:extent cx="7078345" cy="124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-547370</wp:posOffset>
            </wp:positionV>
            <wp:extent cx="7078345" cy="13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8345" cy="13271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-289560</wp:posOffset>
            </wp:positionV>
            <wp:extent cx="7078345" cy="124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-1078230</wp:posOffset>
            </wp:positionV>
            <wp:extent cx="7078345" cy="132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78345" cy="13271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340" w:space="720"/>
            <w:col w:w="7180"/>
          </w:cols>
          <w:pgMar w:left="320" w:top="901" w:right="339" w:bottom="1440" w:gutter="0" w:footer="0" w:header="0"/>
          <w:type w:val="continuous"/>
        </w:sectPr>
      </w:pPr>
    </w:p>
    <w:p>
      <w:pPr>
        <w:ind w:left="640" w:right="40" w:hanging="322"/>
        <w:spacing w:after="0" w:line="264"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72" w:name="page73"/>
    <w:bookmarkEnd w:id="72"/>
    <w:p>
      <w:pPr>
        <w:ind w:left="640" w:right="140" w:hanging="322"/>
        <w:spacing w:after="0" w:line="278" w:lineRule="auto"/>
        <w:tabs>
          <w:tab w:leader="none" w:pos="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Measurements</w:t>
      </w:r>
    </w:p>
    <w:p>
      <w:pPr>
        <w:spacing w:after="0" w:line="176"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December 31, 2022 and 2021, based on their categorization within the valuation hierarchy (in millions). There were no transfers between valuation hierarchy levels during the periods presented in our accompanying consolidated statements of comprehensive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2</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39,346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52,396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of consolidated VIEs</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660" w:type="dxa"/>
            <w:vAlign w:val="bottom"/>
          </w:tcPr>
          <w:p>
            <w:pPr>
              <w:ind w:left="180"/>
              <w:spacing w:after="0" w:line="139" w:lineRule="exact"/>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9,697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180"/>
              <w:spacing w:after="0"/>
              <w:rPr>
                <w:sz w:val="20"/>
                <w:szCs w:val="20"/>
                <w:color w:val="auto"/>
              </w:rPr>
            </w:pPr>
            <w:r>
              <w:rPr>
                <w:rFonts w:ascii="Arial" w:cs="Arial" w:eastAsia="Arial" w:hAnsi="Arial"/>
                <w:sz w:val="14"/>
                <w:szCs w:val="14"/>
                <w:color w:val="auto"/>
              </w:rPr>
              <w:t>repurchase agreements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Credit default swaps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p>
    <w:p>
      <w:pPr>
        <w:jc w:val="both"/>
        <w:ind w:left="640" w:hanging="322"/>
        <w:spacing w:after="0" w:line="319"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 of December 31, 2022 and 2021, the net fair value of our interest rate swaps excluding the recognition of variation margin settlements as a direct reduction of carrying value was a net asset (liability) of $4.5 billion and $1.6 billion, respectively, based on "Level 2" inputs. As of December 31, 2022, the net fair value of our credit default swaps excluding the recognition of variation margin settlements was $(2) million based on "Level 2" inputs. We did not have credit default swaps outstanding as of December 31, 2021. See Notes 2 and 5 for additional details.</w:t>
      </w:r>
    </w:p>
    <w:p>
      <w:pPr>
        <w:spacing w:after="0" w:line="266" w:lineRule="exact"/>
        <w:rPr>
          <w:sz w:val="20"/>
          <w:szCs w:val="20"/>
          <w:color w:val="auto"/>
        </w:rPr>
      </w:pPr>
    </w:p>
    <w:p>
      <w:pPr>
        <w:jc w:val="both"/>
        <w:ind w:firstLine="431"/>
        <w:spacing w:after="0" w:line="263" w:lineRule="auto"/>
        <w:rPr>
          <w:sz w:val="20"/>
          <w:szCs w:val="20"/>
          <w:color w:val="auto"/>
        </w:rPr>
      </w:pPr>
      <w:r>
        <w:rPr>
          <w:rFonts w:ascii="Arial" w:cs="Arial" w:eastAsia="Arial" w:hAnsi="Arial"/>
          <w:sz w:val="17"/>
          <w:szCs w:val="17"/>
          <w:color w:val="auto"/>
        </w:rPr>
        <w:t>Excluded from the table above are financial instruments reported at cost and other mortgage credit investments reported under the equity method of accounting in our consolidated financial statements. As of December 31, 2022 and 2021,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2022, the carrying value of other mortgage credit investments reported under the equity method of accounting was $25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Income (Loss) Per Common Share</w:t>
      </w:r>
    </w:p>
    <w:p>
      <w:pPr>
        <w:spacing w:after="0" w:line="255"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3" w:name="page74"/>
    <w:bookmarkEnd w:id="73"/>
    <w:tbl>
      <w:tblPr>
        <w:tblLayout w:type="fixed"/>
        <w:tblInd w:w="50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2"/>
        </w:trPr>
        <w:tc>
          <w:tcPr>
            <w:tcW w:w="7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2020</w:t>
            </w:r>
          </w:p>
        </w:tc>
      </w:tr>
      <w:tr>
        <w:trPr>
          <w:trHeight w:val="19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r>
      <w:tr>
        <w:trPr>
          <w:trHeight w:val="18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3"/>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92"/>
        <w:spacing w:after="0" w:line="321" w:lineRule="auto"/>
        <w:rPr>
          <w:sz w:val="20"/>
          <w:szCs w:val="20"/>
          <w:color w:val="auto"/>
        </w:rPr>
      </w:pPr>
      <w:r>
        <w:rPr>
          <w:rFonts w:ascii="Arial" w:cs="Arial" w:eastAsia="Arial" w:hAnsi="Arial"/>
          <w:sz w:val="16"/>
          <w:szCs w:val="16"/>
          <w:color w:val="auto"/>
        </w:rPr>
        <w:t>For fiscal years 2022 and 2020, 1.1 million and 1.1 million, respectively, of potentially dilutive unvested time and performance based RSUs outstanding were excluded from the computation of diluted net income (loss) per common share because to do so would have been anti-dilutive for the period.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0"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December 31, 2022 and 2021,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December 31, 2022, an additional 6,900 shares were designated as 7.75% Series G Fixed-Rate Reset Cumulative Redeemable Preferred Stock (referred to as "Series G Preferred Stock"). As of December 31, 2022 and 2021, 13,000, 9,400, 16,100 and 23,000 shares of Series C, D, E and F Preferred Stock, respectively, were issued and outstanding. As of December 31, 2022, an additional 6,000 shares of Series G Preferred Stock were issued and outstanding. Each share of preferred stock is represented by 1,000 depositary shares. Each share of preferred stock has a liquidation preference of $25,000 per share ($25 per depositary share).</w:t>
      </w:r>
    </w:p>
    <w:p>
      <w:pPr>
        <w:spacing w:after="0" w:line="13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The following table includes a summary of preferred stock depositary shares issued and outstanding as of December 31, 2022 (dollars and shares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Depositary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Cumulative Redeemable</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Issued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2"/>
                <w:szCs w:val="12"/>
                <w:color w:val="auto"/>
              </w:rPr>
            </w:pPr>
          </w:p>
        </w:tc>
        <w:tc>
          <w:tcPr>
            <w:tcW w:w="920" w:type="dxa"/>
            <w:vAlign w:val="bottom"/>
          </w:tcPr>
          <w:p>
            <w:pPr>
              <w:jc w:val="center"/>
              <w:ind w:right="53"/>
              <w:spacing w:after="0" w:line="144" w:lineRule="exact"/>
              <w:rPr>
                <w:sz w:val="20"/>
                <w:szCs w:val="20"/>
                <w:color w:val="auto"/>
              </w:rPr>
            </w:pPr>
            <w:r>
              <w:rPr>
                <w:rFonts w:ascii="Arial" w:cs="Arial" w:eastAsia="Arial" w:hAnsi="Arial"/>
                <w:sz w:val="13"/>
                <w:szCs w:val="13"/>
                <w:b w:val="1"/>
                <w:bCs w:val="1"/>
                <w:color w:val="auto"/>
                <w:w w:val="93"/>
              </w:rPr>
              <w:t>Aggregate</w:t>
            </w:r>
          </w:p>
        </w:tc>
        <w:tc>
          <w:tcPr>
            <w:tcW w:w="11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5"/>
              </w:rPr>
              <w:t>Per Annum</w:t>
            </w:r>
          </w:p>
        </w:tc>
        <w:tc>
          <w:tcPr>
            <w:tcW w:w="15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First Optional</w:t>
            </w:r>
          </w:p>
        </w:tc>
        <w:tc>
          <w:tcPr>
            <w:tcW w:w="1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Conversion</w:t>
            </w:r>
          </w:p>
        </w:tc>
        <w:tc>
          <w:tcPr>
            <w:tcW w:w="0" w:type="dxa"/>
            <w:vAlign w:val="bottom"/>
          </w:tcPr>
          <w:p>
            <w:pPr>
              <w:spacing w:after="0"/>
              <w:rPr>
                <w:sz w:val="1"/>
                <w:szCs w:val="1"/>
                <w:color w:val="auto"/>
              </w:rPr>
            </w:pPr>
          </w:p>
        </w:tc>
      </w:tr>
      <w:tr>
        <w:trPr>
          <w:trHeight w:val="131"/>
        </w:trPr>
        <w:tc>
          <w:tcPr>
            <w:tcW w:w="190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4"/>
              </w:rPr>
              <w:t>and</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3"/>
              <w:spacing w:after="0" w:line="131" w:lineRule="exact"/>
              <w:rPr>
                <w:sz w:val="20"/>
                <w:szCs w:val="20"/>
                <w:color w:val="auto"/>
              </w:rPr>
            </w:pPr>
            <w:r>
              <w:rPr>
                <w:rFonts w:ascii="Arial" w:cs="Arial" w:eastAsia="Arial" w:hAnsi="Arial"/>
                <w:sz w:val="13"/>
                <w:szCs w:val="13"/>
                <w:b w:val="1"/>
                <w:bCs w:val="1"/>
                <w:color w:val="auto"/>
                <w:w w:val="96"/>
              </w:rPr>
              <w:t>Liquidation</w:t>
            </w:r>
          </w:p>
        </w:tc>
        <w:tc>
          <w:tcPr>
            <w:tcW w:w="114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8"/>
              </w:rPr>
              <w:t>Dividend</w:t>
            </w:r>
          </w:p>
        </w:tc>
        <w:tc>
          <w:tcPr>
            <w:tcW w:w="15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4"/>
              </w:rPr>
              <w:t>Redemption Date /</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900" w:type="dxa"/>
            <w:vAlign w:val="bottom"/>
            <w:gridSpan w:val="2"/>
          </w:tcPr>
          <w:p>
            <w:pPr>
              <w:ind w:left="400"/>
              <w:spacing w:after="0"/>
              <w:rPr>
                <w:sz w:val="20"/>
                <w:szCs w:val="20"/>
                <w:color w:val="auto"/>
              </w:rPr>
            </w:pPr>
            <w:r>
              <w:rPr>
                <w:rFonts w:ascii="Arial" w:cs="Arial" w:eastAsia="Arial" w:hAnsi="Arial"/>
                <w:sz w:val="13"/>
                <w:szCs w:val="13"/>
                <w:b w:val="1"/>
                <w:bCs w:val="1"/>
                <w:color w:val="auto"/>
              </w:rPr>
              <w:t xml:space="preserve">Preferred Stock </w:t>
            </w:r>
            <w:r>
              <w:rPr>
                <w:rFonts w:ascii="Arial" w:cs="Arial" w:eastAsia="Arial" w:hAnsi="Arial"/>
                <w:sz w:val="17"/>
                <w:szCs w:val="17"/>
                <w:b w:val="1"/>
                <w:bCs w:val="1"/>
                <w:color w:val="auto"/>
                <w:vertAlign w:val="superscript"/>
              </w:rPr>
              <w:t>1</w:t>
            </w:r>
          </w:p>
        </w:tc>
        <w:tc>
          <w:tcPr>
            <w:tcW w:w="1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Issue Date</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Outstanding</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7"/>
                <w:szCs w:val="17"/>
                <w:color w:val="auto"/>
              </w:rPr>
            </w:pPr>
          </w:p>
        </w:tc>
        <w:tc>
          <w:tcPr>
            <w:tcW w:w="92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Preference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 xml:space="preserve">Rate </w:t>
            </w:r>
            <w:r>
              <w:rPr>
                <w:rFonts w:ascii="Arial" w:cs="Arial" w:eastAsia="Arial" w:hAnsi="Arial"/>
                <w:sz w:val="17"/>
                <w:szCs w:val="17"/>
                <w:b w:val="1"/>
                <w:bCs w:val="1"/>
                <w:color w:val="auto"/>
                <w:w w:val="89"/>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 xml:space="preserve">Conversion Date </w:t>
            </w:r>
            <w:r>
              <w:rPr>
                <w:rFonts w:ascii="Arial" w:cs="Arial" w:eastAsia="Arial" w:hAnsi="Arial"/>
                <w:sz w:val="17"/>
                <w:szCs w:val="17"/>
                <w:b w:val="1"/>
                <w:bCs w:val="1"/>
                <w:color w:val="auto"/>
                <w:w w:val="91"/>
                <w:vertAlign w:val="superscript"/>
              </w:rPr>
              <w:t>3</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2"/>
              </w:rPr>
              <w:t>Rate</w:t>
            </w:r>
          </w:p>
        </w:tc>
        <w:tc>
          <w:tcPr>
            <w:tcW w:w="0" w:type="dxa"/>
            <w:vAlign w:val="bottom"/>
          </w:tcPr>
          <w:p>
            <w:pPr>
              <w:spacing w:after="0"/>
              <w:rPr>
                <w:sz w:val="1"/>
                <w:szCs w:val="1"/>
                <w:color w:val="auto"/>
              </w:rPr>
            </w:pPr>
          </w:p>
        </w:tc>
      </w:tr>
      <w:tr>
        <w:trPr>
          <w:trHeight w:val="176"/>
        </w:trPr>
        <w:tc>
          <w:tcPr>
            <w:tcW w:w="1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00" w:type="dxa"/>
            <w:vAlign w:val="bottom"/>
            <w:gridSpan w:val="2"/>
          </w:tcPr>
          <w:p>
            <w:pPr>
              <w:ind w:left="220"/>
              <w:spacing w:after="0"/>
              <w:rPr>
                <w:sz w:val="20"/>
                <w:szCs w:val="20"/>
                <w:color w:val="auto"/>
              </w:rPr>
            </w:pPr>
            <w:r>
              <w:rPr>
                <w:rFonts w:ascii="Arial" w:cs="Arial" w:eastAsia="Arial" w:hAnsi="Arial"/>
                <w:sz w:val="13"/>
                <w:szCs w:val="13"/>
                <w:color w:val="auto"/>
              </w:rPr>
              <w:t>Series C</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August 22, 2017</w:t>
            </w:r>
          </w:p>
        </w:tc>
        <w:tc>
          <w:tcPr>
            <w:tcW w:w="106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325</w:t>
            </w:r>
          </w:p>
        </w:tc>
        <w:tc>
          <w:tcPr>
            <w:tcW w:w="1040" w:type="dxa"/>
            <w:vAlign w:val="bottom"/>
          </w:tcPr>
          <w:p>
            <w:pPr>
              <w:jc w:val="center"/>
              <w:ind w:left="73"/>
              <w:spacing w:after="0"/>
              <w:rPr>
                <w:sz w:val="20"/>
                <w:szCs w:val="20"/>
                <w:color w:val="auto"/>
              </w:rPr>
            </w:pPr>
            <w:r>
              <w:rPr>
                <w:rFonts w:ascii="Arial" w:cs="Arial" w:eastAsia="Arial" w:hAnsi="Arial"/>
                <w:sz w:val="13"/>
                <w:szCs w:val="13"/>
                <w:color w:val="auto"/>
                <w:w w:val="95"/>
              </w:rPr>
              <w:t>9.190%</w:t>
            </w:r>
          </w:p>
        </w:tc>
        <w:tc>
          <w:tcPr>
            <w:tcW w:w="10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October 15, 2022</w:t>
            </w:r>
          </w:p>
        </w:tc>
        <w:tc>
          <w:tcPr>
            <w:tcW w:w="1780" w:type="dxa"/>
            <w:vAlign w:val="bottom"/>
          </w:tcPr>
          <w:p>
            <w:pPr>
              <w:jc w:val="center"/>
              <w:spacing w:after="0"/>
              <w:rPr>
                <w:sz w:val="20"/>
                <w:szCs w:val="20"/>
                <w:color w:val="auto"/>
              </w:rPr>
            </w:pPr>
            <w:r>
              <w:rPr>
                <w:rFonts w:ascii="Arial" w:cs="Arial" w:eastAsia="Arial" w:hAnsi="Arial"/>
                <w:sz w:val="13"/>
                <w:szCs w:val="13"/>
                <w:color w:val="auto"/>
                <w:w w:val="98"/>
              </w:rPr>
              <w:t>3M LIBOR + 5.111%</w:t>
            </w:r>
          </w:p>
        </w:tc>
        <w:tc>
          <w:tcPr>
            <w:tcW w:w="0" w:type="dxa"/>
            <w:vAlign w:val="bottom"/>
          </w:tcPr>
          <w:p>
            <w:pPr>
              <w:spacing w:after="0"/>
              <w:rPr>
                <w:sz w:val="1"/>
                <w:szCs w:val="1"/>
                <w:color w:val="auto"/>
              </w:rPr>
            </w:pPr>
          </w:p>
        </w:tc>
      </w:tr>
      <w:tr>
        <w:trPr>
          <w:trHeight w:val="188"/>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Series D</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March 6, 2019</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3"/>
                <w:szCs w:val="13"/>
                <w:color w:val="auto"/>
                <w:w w:val="95"/>
              </w:rPr>
              <w:t>6.875%</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April 15, 2024</w:t>
            </w: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3M LIBOR + 4.332%</w:t>
            </w:r>
          </w:p>
        </w:tc>
        <w:tc>
          <w:tcPr>
            <w:tcW w:w="0" w:type="dxa"/>
            <w:vAlign w:val="bottom"/>
          </w:tcPr>
          <w:p>
            <w:pPr>
              <w:spacing w:after="0"/>
              <w:rPr>
                <w:sz w:val="1"/>
                <w:szCs w:val="1"/>
                <w:color w:val="auto"/>
              </w:rPr>
            </w:pPr>
          </w:p>
        </w:tc>
      </w:tr>
      <w:tr>
        <w:trPr>
          <w:trHeight w:val="178"/>
        </w:trPr>
        <w:tc>
          <w:tcPr>
            <w:tcW w:w="1900" w:type="dxa"/>
            <w:vAlign w:val="bottom"/>
            <w:gridSpan w:val="2"/>
          </w:tcPr>
          <w:p>
            <w:pPr>
              <w:ind w:left="220"/>
              <w:spacing w:after="0"/>
              <w:rPr>
                <w:sz w:val="20"/>
                <w:szCs w:val="20"/>
                <w:color w:val="auto"/>
              </w:rPr>
            </w:pPr>
            <w:r>
              <w:rPr>
                <w:rFonts w:ascii="Arial" w:cs="Arial" w:eastAsia="Arial" w:hAnsi="Arial"/>
                <w:sz w:val="13"/>
                <w:szCs w:val="13"/>
                <w:color w:val="auto"/>
              </w:rPr>
              <w:t>Series E</w:t>
            </w:r>
          </w:p>
        </w:tc>
        <w:tc>
          <w:tcPr>
            <w:tcW w:w="15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October 3, 2019</w:t>
            </w:r>
          </w:p>
        </w:tc>
        <w:tc>
          <w:tcPr>
            <w:tcW w:w="106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403</w:t>
            </w:r>
          </w:p>
        </w:tc>
        <w:tc>
          <w:tcPr>
            <w:tcW w:w="1040" w:type="dxa"/>
            <w:vAlign w:val="bottom"/>
          </w:tcPr>
          <w:p>
            <w:pPr>
              <w:jc w:val="center"/>
              <w:ind w:left="73"/>
              <w:spacing w:after="0"/>
              <w:rPr>
                <w:sz w:val="20"/>
                <w:szCs w:val="20"/>
                <w:color w:val="auto"/>
              </w:rPr>
            </w:pPr>
            <w:r>
              <w:rPr>
                <w:rFonts w:ascii="Arial" w:cs="Arial" w:eastAsia="Arial" w:hAnsi="Arial"/>
                <w:sz w:val="13"/>
                <w:szCs w:val="13"/>
                <w:color w:val="auto"/>
                <w:w w:val="95"/>
              </w:rPr>
              <w:t>6.500%</w:t>
            </w:r>
          </w:p>
        </w:tc>
        <w:tc>
          <w:tcPr>
            <w:tcW w:w="10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October 15, 2024</w:t>
            </w:r>
          </w:p>
        </w:tc>
        <w:tc>
          <w:tcPr>
            <w:tcW w:w="1780" w:type="dxa"/>
            <w:vAlign w:val="bottom"/>
          </w:tcPr>
          <w:p>
            <w:pPr>
              <w:jc w:val="center"/>
              <w:spacing w:after="0"/>
              <w:rPr>
                <w:sz w:val="20"/>
                <w:szCs w:val="20"/>
                <w:color w:val="auto"/>
              </w:rPr>
            </w:pPr>
            <w:r>
              <w:rPr>
                <w:rFonts w:ascii="Arial" w:cs="Arial" w:eastAsia="Arial" w:hAnsi="Arial"/>
                <w:sz w:val="13"/>
                <w:szCs w:val="13"/>
                <w:color w:val="auto"/>
                <w:w w:val="98"/>
              </w:rPr>
              <w:t>3M LIBOR + 4.993%</w:t>
            </w:r>
          </w:p>
        </w:tc>
        <w:tc>
          <w:tcPr>
            <w:tcW w:w="0" w:type="dxa"/>
            <w:vAlign w:val="bottom"/>
          </w:tcPr>
          <w:p>
            <w:pPr>
              <w:spacing w:after="0"/>
              <w:rPr>
                <w:sz w:val="1"/>
                <w:szCs w:val="1"/>
                <w:color w:val="auto"/>
              </w:rPr>
            </w:pPr>
          </w:p>
        </w:tc>
      </w:tr>
      <w:tr>
        <w:trPr>
          <w:trHeight w:val="188"/>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Series F</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February 11,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3"/>
                <w:szCs w:val="13"/>
                <w:color w:val="auto"/>
                <w:w w:val="95"/>
              </w:rPr>
              <w:t>6.125%</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April 15, 2025</w:t>
            </w: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3M LIBOR + 4.697%</w:t>
            </w:r>
          </w:p>
        </w:tc>
        <w:tc>
          <w:tcPr>
            <w:tcW w:w="0" w:type="dxa"/>
            <w:vAlign w:val="bottom"/>
          </w:tcPr>
          <w:p>
            <w:pPr>
              <w:spacing w:after="0"/>
              <w:rPr>
                <w:sz w:val="1"/>
                <w:szCs w:val="1"/>
                <w:color w:val="auto"/>
              </w:rPr>
            </w:pPr>
          </w:p>
        </w:tc>
      </w:tr>
      <w:tr>
        <w:trPr>
          <w:trHeight w:val="178"/>
        </w:trPr>
        <w:tc>
          <w:tcPr>
            <w:tcW w:w="1900" w:type="dxa"/>
            <w:vAlign w:val="bottom"/>
            <w:gridSpan w:val="2"/>
          </w:tcPr>
          <w:p>
            <w:pPr>
              <w:ind w:left="60"/>
              <w:spacing w:after="0"/>
              <w:rPr>
                <w:sz w:val="20"/>
                <w:szCs w:val="20"/>
                <w:color w:val="auto"/>
              </w:rPr>
            </w:pPr>
            <w:r>
              <w:rPr>
                <w:rFonts w:ascii="Arial" w:cs="Arial" w:eastAsia="Arial" w:hAnsi="Arial"/>
                <w:sz w:val="13"/>
                <w:szCs w:val="13"/>
                <w:color w:val="auto"/>
              </w:rPr>
              <w:t>Fixed-Rate Reset:</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Series G</w:t>
            </w:r>
          </w:p>
        </w:tc>
        <w:tc>
          <w:tcPr>
            <w:tcW w:w="15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1"/>
              </w:rPr>
              <w:t>September 14, 2022</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40" w:type="dxa"/>
            <w:vAlign w:val="bottom"/>
            <w:vMerge w:val="restart"/>
            <w:shd w:val="clear" w:color="auto" w:fill="CCEEFF"/>
          </w:tcPr>
          <w:p>
            <w:pPr>
              <w:jc w:val="center"/>
              <w:ind w:left="73"/>
              <w:spacing w:after="0"/>
              <w:rPr>
                <w:sz w:val="20"/>
                <w:szCs w:val="20"/>
                <w:color w:val="auto"/>
              </w:rPr>
            </w:pPr>
            <w:r>
              <w:rPr>
                <w:rFonts w:ascii="Arial" w:cs="Arial" w:eastAsia="Arial" w:hAnsi="Arial"/>
                <w:sz w:val="13"/>
                <w:szCs w:val="13"/>
                <w:color w:val="auto"/>
                <w:w w:val="95"/>
              </w:rPr>
              <w:t>7.750%</w:t>
            </w:r>
          </w:p>
        </w:tc>
        <w:tc>
          <w:tcPr>
            <w:tcW w:w="100" w:type="dxa"/>
            <w:vAlign w:val="bottom"/>
            <w:shd w:val="clear" w:color="auto" w:fill="CCEEFF"/>
          </w:tcPr>
          <w:p>
            <w:pPr>
              <w:spacing w:after="0"/>
              <w:rPr>
                <w:sz w:val="11"/>
                <w:szCs w:val="11"/>
                <w:color w:val="auto"/>
              </w:rPr>
            </w:pPr>
          </w:p>
        </w:tc>
        <w:tc>
          <w:tcPr>
            <w:tcW w:w="1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3"/>
              </w:rPr>
              <w:t>October 15, 2027</w:t>
            </w:r>
          </w:p>
        </w:tc>
        <w:tc>
          <w:tcPr>
            <w:tcW w:w="17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4"/>
              </w:rPr>
              <w:t>5 YR US Treasury Rate +</w:t>
            </w:r>
          </w:p>
        </w:tc>
        <w:tc>
          <w:tcPr>
            <w:tcW w:w="0" w:type="dxa"/>
            <w:vAlign w:val="bottom"/>
          </w:tcPr>
          <w:p>
            <w:pPr>
              <w:spacing w:after="0"/>
              <w:rPr>
                <w:sz w:val="1"/>
                <w:szCs w:val="1"/>
                <w:color w:val="auto"/>
              </w:rPr>
            </w:pPr>
          </w:p>
        </w:tc>
      </w:tr>
      <w:tr>
        <w:trPr>
          <w:trHeight w:val="105"/>
        </w:trPr>
        <w:tc>
          <w:tcPr>
            <w:tcW w:w="190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4.39%</w:t>
            </w:r>
          </w:p>
        </w:tc>
        <w:tc>
          <w:tcPr>
            <w:tcW w:w="0" w:type="dxa"/>
            <w:vAlign w:val="bottom"/>
          </w:tcPr>
          <w:p>
            <w:pPr>
              <w:spacing w:after="0"/>
              <w:rPr>
                <w:sz w:val="1"/>
                <w:szCs w:val="1"/>
                <w:color w:val="auto"/>
              </w:rPr>
            </w:pPr>
          </w:p>
        </w:tc>
      </w:tr>
      <w:tr>
        <w:trPr>
          <w:trHeight w:val="91"/>
        </w:trPr>
        <w:tc>
          <w:tcPr>
            <w:tcW w:w="18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7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ind w:left="220"/>
              <w:spacing w:after="0"/>
              <w:rPr>
                <w:sz w:val="20"/>
                <w:szCs w:val="20"/>
                <w:color w:val="auto"/>
              </w:rPr>
            </w:pPr>
            <w:r>
              <w:rPr>
                <w:rFonts w:ascii="Arial" w:cs="Arial" w:eastAsia="Arial" w:hAnsi="Arial"/>
                <w:sz w:val="13"/>
                <w:szCs w:val="13"/>
                <w:color w:val="auto"/>
              </w:rPr>
              <w:t>Total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line="303" w:lineRule="auto"/>
        <w:tabs>
          <w:tab w:leader="none" w:pos="6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4" w:name="page75"/>
    <w:bookmarkEnd w:id="74"/>
    <w:p>
      <w:pPr>
        <w:ind w:left="640" w:right="320" w:hanging="322"/>
        <w:spacing w:after="0" w:line="242"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series C per annum dividend rate represents the dividend rate in effect as of December 31, 2022. This rate resets quarterly in accordance with the certificate of designations for such series.</w:t>
      </w:r>
    </w:p>
    <w:p>
      <w:pPr>
        <w:ind w:left="640" w:hanging="322"/>
        <w:spacing w:after="0"/>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 Program</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the sales agreements during fiscal years 2022 and 2020 (in millions, except for per share data). During fiscal year 2021 we did not issue shares under this program. As of December 31, 2022, shares of our common stock with an aggregate offering price of $0.7 billion remained authorized for issuance under this program through June 11, 2024.</w:t>
      </w:r>
    </w:p>
    <w:p>
      <w:pPr>
        <w:spacing w:after="0" w:line="21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ATM Offerings</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 Price Received</w:t>
            </w: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87"/>
        </w:trPr>
        <w:tc>
          <w:tcPr>
            <w:tcW w:w="2840" w:type="dxa"/>
            <w:vAlign w:val="bottom"/>
            <w:gridSpan w:val="2"/>
            <w:vMerge w:val="continue"/>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Share, Net</w:t>
            </w: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Fiscal Year 2022</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rPr>
              <w:t>$9.39</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78"/>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Fiscal Year 2020</w:t>
            </w:r>
          </w:p>
        </w:tc>
        <w:tc>
          <w:tcPr>
            <w:tcW w:w="1480" w:type="dxa"/>
            <w:vAlign w:val="bottom"/>
          </w:tcPr>
          <w:p>
            <w:pPr>
              <w:jc w:val="right"/>
              <w:ind w:right="490"/>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Repurchase Program</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7"/>
          <w:szCs w:val="17"/>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The following table includes a summary of shares of our common stock repurchased during fiscal years 2022, 2021 and 2020 (in millions, except for per share data). As of December 31, 2022, shares of our common stock with an aggregate repurchase price of $1 billion remained authorized for repurchase through December 31, 2024.</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 Stock Repurchases</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Average Price Paid Per</w:t>
            </w: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20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Net Cost</w:t>
            </w:r>
          </w:p>
        </w:tc>
        <w:tc>
          <w:tcPr>
            <w:tcW w:w="0" w:type="dxa"/>
            <w:vAlign w:val="bottom"/>
          </w:tcPr>
          <w:p>
            <w:pPr>
              <w:spacing w:after="0"/>
              <w:rPr>
                <w:sz w:val="1"/>
                <w:szCs w:val="1"/>
                <w:color w:val="auto"/>
              </w:rPr>
            </w:pPr>
          </w:p>
        </w:tc>
      </w:tr>
      <w:tr>
        <w:trPr>
          <w:trHeight w:val="195"/>
        </w:trPr>
        <w:tc>
          <w:tcPr>
            <w:tcW w:w="3000" w:type="dxa"/>
            <w:vAlign w:val="bottom"/>
            <w:gridSpan w:val="2"/>
            <w:vMerge w:val="continue"/>
          </w:tcPr>
          <w:p>
            <w:pPr>
              <w:spacing w:after="0"/>
              <w:rPr>
                <w:sz w:val="16"/>
                <w:szCs w:val="16"/>
                <w:color w:val="auto"/>
              </w:rPr>
            </w:pPr>
          </w:p>
        </w:tc>
        <w:tc>
          <w:tcPr>
            <w:tcW w:w="1600" w:type="dxa"/>
            <w:vAlign w:val="bottom"/>
            <w:gridSpan w:val="2"/>
          </w:tcPr>
          <w:p>
            <w:pPr>
              <w:jc w:val="center"/>
              <w:ind w:right="140"/>
              <w:spacing w:after="0" w:line="195" w:lineRule="exact"/>
              <w:rPr>
                <w:sz w:val="20"/>
                <w:szCs w:val="20"/>
                <w:color w:val="auto"/>
              </w:rPr>
            </w:pPr>
            <w:r>
              <w:rPr>
                <w:rFonts w:ascii="Arial" w:cs="Arial" w:eastAsia="Arial" w:hAnsi="Arial"/>
                <w:sz w:val="14"/>
                <w:szCs w:val="14"/>
                <w:b w:val="1"/>
                <w:bCs w:val="1"/>
                <w:color w:val="auto"/>
                <w:w w:val="84"/>
              </w:rPr>
              <w:t xml:space="preserve">Share </w:t>
            </w:r>
            <w:r>
              <w:rPr>
                <w:rFonts w:ascii="Arial" w:cs="Arial" w:eastAsia="Arial" w:hAnsi="Arial"/>
                <w:sz w:val="18"/>
                <w:szCs w:val="18"/>
                <w:b w:val="1"/>
                <w:bCs w:val="1"/>
                <w:color w:val="auto"/>
                <w:w w:val="84"/>
                <w:vertAlign w:val="superscript"/>
              </w:rPr>
              <w:t>1</w:t>
            </w:r>
          </w:p>
        </w:tc>
        <w:tc>
          <w:tcPr>
            <w:tcW w:w="1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Fiscal Year 2022</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$10.78</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 xml:space="preserve">Fiscal Year 2021 </w:t>
            </w:r>
            <w:r>
              <w:rPr>
                <w:rFonts w:ascii="Arial" w:cs="Arial" w:eastAsia="Arial" w:hAnsi="Arial"/>
                <w:sz w:val="18"/>
                <w:szCs w:val="18"/>
                <w:color w:val="auto"/>
                <w:vertAlign w:val="superscript"/>
              </w:rPr>
              <w:t>2</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$15.96</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7"/>
                <w:szCs w:val="17"/>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9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Fiscal Year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$13.33</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Average price paid per share includes transaction costs.</w:t>
      </w:r>
    </w:p>
    <w:p>
      <w:pPr>
        <w:spacing w:after="0" w:line="5" w:lineRule="exact"/>
        <w:rPr>
          <w:rFonts w:ascii="Arial" w:cs="Arial" w:eastAsia="Arial" w:hAnsi="Arial"/>
          <w:sz w:val="14"/>
          <w:szCs w:val="14"/>
          <w:color w:val="auto"/>
        </w:rPr>
      </w:pPr>
    </w:p>
    <w:p>
      <w:pPr>
        <w:ind w:left="640" w:hanging="322"/>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December 2020 share repurchases that settled in January 2021 totaling $24 million, or 1.6 million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i w:val="1"/>
          <w:iCs w:val="1"/>
          <w:color w:val="auto"/>
        </w:rPr>
        <w:t>Distributions to Stockholders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dividends declared during fiscal years 2022, 2021 and 2020 (in millions, except per share amounts):</w:t>
      </w:r>
    </w:p>
    <w:p>
      <w:pPr>
        <w:spacing w:after="0" w:line="100"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88"/>
              </w:rPr>
              <w:t>Dividends Declared</w:t>
            </w: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Dividends Declared Per</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2"/>
              <w:spacing w:after="0" w:line="209"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9"/>
        </w:trPr>
        <w:tc>
          <w:tcPr>
            <w:tcW w:w="3060" w:type="dxa"/>
            <w:vAlign w:val="bottom"/>
          </w:tcPr>
          <w:p>
            <w:pPr>
              <w:spacing w:after="0"/>
              <w:rPr>
                <w:sz w:val="20"/>
                <w:szCs w:val="20"/>
                <w:color w:val="auto"/>
              </w:rPr>
            </w:pPr>
            <w:r>
              <w:rPr>
                <w:rFonts w:ascii="Arial" w:cs="Arial" w:eastAsia="Arial" w:hAnsi="Arial"/>
                <w:sz w:val="16"/>
                <w:szCs w:val="16"/>
                <w:b w:val="1"/>
                <w:bCs w:val="1"/>
                <w:color w:val="auto"/>
              </w:rPr>
              <w:t>Series C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1.886880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Arial" w:cs="Arial" w:eastAsia="Arial" w:hAnsi="Arial"/>
                <w:sz w:val="16"/>
                <w:szCs w:val="16"/>
                <w:color w:val="auto"/>
              </w:rPr>
              <w:t>Fiscal year 2021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6"/>
                <w:szCs w:val="16"/>
                <w:b w:val="1"/>
                <w:bCs w:val="1"/>
                <w:color w:val="auto"/>
              </w:rPr>
              <w:t>Series D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1.718750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Arial" w:cs="Arial" w:eastAsia="Arial" w:hAnsi="Arial"/>
                <w:sz w:val="16"/>
                <w:szCs w:val="16"/>
                <w:color w:val="auto"/>
              </w:rPr>
              <w:t>Fiscal year 2021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1.718750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1.718750</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6"/>
                <w:szCs w:val="16"/>
                <w:b w:val="1"/>
                <w:bCs w:val="1"/>
                <w:color w:val="auto"/>
              </w:rPr>
              <w:t>Series E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Arial" w:cs="Arial" w:eastAsia="Arial" w:hAnsi="Arial"/>
                <w:sz w:val="16"/>
                <w:szCs w:val="16"/>
                <w:color w:val="auto"/>
              </w:rPr>
              <w:t>Fiscal year 2021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6"/>
                <w:szCs w:val="16"/>
                <w:b w:val="1"/>
                <w:bCs w:val="1"/>
                <w:color w:val="auto"/>
              </w:rPr>
              <w:t>Series F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1.531250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Arial" w:cs="Arial" w:eastAsia="Arial" w:hAnsi="Arial"/>
                <w:sz w:val="16"/>
                <w:szCs w:val="16"/>
                <w:color w:val="auto"/>
              </w:rPr>
              <w:t>Fiscal year 2021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1.531250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1.420658</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6"/>
                <w:szCs w:val="16"/>
                <w:b w:val="1"/>
                <w:bCs w:val="1"/>
                <w:color w:val="auto"/>
              </w:rPr>
              <w:t>Series G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0.651220</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6"/>
                <w:szCs w:val="16"/>
                <w:b w:val="1"/>
                <w:bCs w:val="1"/>
                <w:color w:val="auto"/>
              </w:rPr>
              <w:t>Common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775</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1.440000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Arial" w:cs="Arial" w:eastAsia="Arial" w:hAnsi="Arial"/>
                <w:sz w:val="16"/>
                <w:szCs w:val="16"/>
                <w:color w:val="auto"/>
              </w:rPr>
              <w:t>Fiscal year 2021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757</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1.440000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858</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1.560000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2"/>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Preferred stock per share amounts are per depositary share.</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33" w:right="1440" w:bottom="1440" w:gutter="0" w:footer="0" w:header="0"/>
        </w:sectPr>
      </w:pPr>
    </w:p>
    <w:bookmarkStart w:id="76" w:name="page77"/>
    <w:bookmarkEnd w:id="76"/>
    <w:p>
      <w:pPr>
        <w:jc w:val="both"/>
        <w:ind w:right="100" w:firstLine="470"/>
        <w:spacing w:after="0" w:line="272" w:lineRule="auto"/>
        <w:rPr>
          <w:sz w:val="20"/>
          <w:szCs w:val="20"/>
          <w:color w:val="auto"/>
        </w:rPr>
      </w:pPr>
      <w:r>
        <w:rPr>
          <w:rFonts w:ascii="Arial" w:cs="Arial" w:eastAsia="Arial" w:hAnsi="Arial"/>
          <w:sz w:val="17"/>
          <w:szCs w:val="17"/>
          <w:color w:val="auto"/>
        </w:rPr>
        <w:t>The following table summarizes our tax characterization of distributions to stockholders for fiscal years 2022, 2021 and 2020. Distributions included in the table below are based on the fiscal tax year for which the distribution is attributed to for stockholders in accordance with rules promulgated under the Internal Revenue Code:</w:t>
      </w:r>
    </w:p>
    <w:p>
      <w:pPr>
        <w:spacing w:after="0" w:line="80"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 xml:space="preserve">Tax Characterization </w:t>
            </w:r>
            <w:r>
              <w:rPr>
                <w:rFonts w:ascii="Arial" w:cs="Arial" w:eastAsia="Arial" w:hAnsi="Arial"/>
                <w:sz w:val="18"/>
                <w:szCs w:val="18"/>
                <w:b w:val="1"/>
                <w:bCs w:val="1"/>
                <w:color w:val="auto"/>
                <w:w w:val="91"/>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7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Fiscal Tax Year</w:t>
            </w:r>
          </w:p>
        </w:tc>
        <w:tc>
          <w:tcPr>
            <w:tcW w:w="1960" w:type="dxa"/>
            <w:vAlign w:val="bottom"/>
            <w:gridSpan w:val="2"/>
            <w:vMerge w:val="restart"/>
          </w:tcPr>
          <w:p>
            <w:pPr>
              <w:jc w:val="right"/>
              <w:ind w:right="82"/>
              <w:spacing w:after="0"/>
              <w:rPr>
                <w:sz w:val="20"/>
                <w:szCs w:val="20"/>
                <w:color w:val="auto"/>
              </w:rPr>
            </w:pPr>
            <w:r>
              <w:rPr>
                <w:rFonts w:ascii="Arial" w:cs="Arial" w:eastAsia="Arial" w:hAnsi="Arial"/>
                <w:sz w:val="14"/>
                <w:szCs w:val="14"/>
                <w:b w:val="1"/>
                <w:bCs w:val="1"/>
                <w:color w:val="auto"/>
              </w:rPr>
              <w:t xml:space="preserve">Distribution Rate </w:t>
            </w:r>
            <w:r>
              <w:rPr>
                <w:rFonts w:ascii="Arial" w:cs="Arial" w:eastAsia="Arial" w:hAnsi="Arial"/>
                <w:sz w:val="18"/>
                <w:szCs w:val="18"/>
                <w:b w:val="1"/>
                <w:bCs w:val="1"/>
                <w:color w:val="auto"/>
                <w:vertAlign w:val="superscript"/>
              </w:rPr>
              <w:t>1</w:t>
            </w:r>
          </w:p>
        </w:tc>
        <w:tc>
          <w:tcPr>
            <w:tcW w:w="1260" w:type="dxa"/>
            <w:vAlign w:val="bottom"/>
            <w:gridSpan w:val="2"/>
          </w:tcPr>
          <w:p>
            <w:pPr>
              <w:ind w:left="40"/>
              <w:spacing w:after="0" w:line="124" w:lineRule="exact"/>
              <w:rPr>
                <w:sz w:val="20"/>
                <w:szCs w:val="20"/>
                <w:color w:val="auto"/>
              </w:rPr>
            </w:pPr>
            <w:r>
              <w:rPr>
                <w:rFonts w:ascii="Arial" w:cs="Arial" w:eastAsia="Arial" w:hAnsi="Arial"/>
                <w:sz w:val="14"/>
                <w:szCs w:val="14"/>
                <w:b w:val="1"/>
                <w:bCs w:val="1"/>
                <w:color w:val="auto"/>
                <w:w w:val="98"/>
              </w:rPr>
              <w:t>Ordinary Dividend</w:t>
            </w:r>
          </w:p>
        </w:tc>
        <w:tc>
          <w:tcPr>
            <w:tcW w:w="260" w:type="dxa"/>
            <w:vAlign w:val="bottom"/>
          </w:tcPr>
          <w:p>
            <w:pPr>
              <w:spacing w:after="0"/>
              <w:rPr>
                <w:sz w:val="10"/>
                <w:szCs w:val="10"/>
                <w:color w:val="auto"/>
              </w:rPr>
            </w:pPr>
          </w:p>
        </w:tc>
        <w:tc>
          <w:tcPr>
            <w:tcW w:w="1020" w:type="dxa"/>
            <w:vAlign w:val="bottom"/>
          </w:tcPr>
          <w:p>
            <w:pPr>
              <w:ind w:left="140"/>
              <w:spacing w:after="0" w:line="124" w:lineRule="exact"/>
              <w:rPr>
                <w:sz w:val="20"/>
                <w:szCs w:val="20"/>
                <w:color w:val="auto"/>
              </w:rPr>
            </w:pPr>
            <w:r>
              <w:rPr>
                <w:rFonts w:ascii="Arial" w:cs="Arial" w:eastAsia="Arial" w:hAnsi="Arial"/>
                <w:sz w:val="14"/>
                <w:szCs w:val="14"/>
                <w:b w:val="1"/>
                <w:bCs w:val="1"/>
                <w:color w:val="auto"/>
              </w:rPr>
              <w:t>Qualified</w:t>
            </w:r>
          </w:p>
        </w:tc>
        <w:tc>
          <w:tcPr>
            <w:tcW w:w="260" w:type="dxa"/>
            <w:vAlign w:val="bottom"/>
          </w:tcPr>
          <w:p>
            <w:pPr>
              <w:spacing w:after="0"/>
              <w:rPr>
                <w:sz w:val="10"/>
                <w:szCs w:val="10"/>
                <w:color w:val="auto"/>
              </w:rPr>
            </w:pPr>
          </w:p>
        </w:tc>
        <w:tc>
          <w:tcPr>
            <w:tcW w:w="1160" w:type="dxa"/>
            <w:vAlign w:val="bottom"/>
          </w:tcPr>
          <w:p>
            <w:pPr>
              <w:jc w:val="right"/>
              <w:ind w:right="242"/>
              <w:spacing w:after="0" w:line="124" w:lineRule="exact"/>
              <w:rPr>
                <w:sz w:val="20"/>
                <w:szCs w:val="20"/>
                <w:color w:val="auto"/>
              </w:rPr>
            </w:pPr>
            <w:r>
              <w:rPr>
                <w:rFonts w:ascii="Arial" w:cs="Arial" w:eastAsia="Arial" w:hAnsi="Arial"/>
                <w:sz w:val="14"/>
                <w:szCs w:val="14"/>
                <w:b w:val="1"/>
                <w:bCs w:val="1"/>
                <w:color w:val="auto"/>
              </w:rPr>
              <w:t>Capital Gain</w:t>
            </w:r>
          </w:p>
        </w:tc>
        <w:tc>
          <w:tcPr>
            <w:tcW w:w="160" w:type="dxa"/>
            <w:vAlign w:val="bottom"/>
          </w:tcPr>
          <w:p>
            <w:pPr>
              <w:spacing w:after="0"/>
              <w:rPr>
                <w:sz w:val="10"/>
                <w:szCs w:val="10"/>
                <w:color w:val="auto"/>
              </w:rPr>
            </w:pPr>
          </w:p>
        </w:tc>
        <w:tc>
          <w:tcPr>
            <w:tcW w:w="1100" w:type="dxa"/>
            <w:vAlign w:val="bottom"/>
          </w:tcPr>
          <w:p>
            <w:pPr>
              <w:jc w:val="right"/>
              <w:ind w:right="143"/>
              <w:spacing w:after="0" w:line="124" w:lineRule="exact"/>
              <w:rPr>
                <w:sz w:val="20"/>
                <w:szCs w:val="20"/>
                <w:color w:val="auto"/>
              </w:rPr>
            </w:pPr>
            <w:r>
              <w:rPr>
                <w:rFonts w:ascii="Arial" w:cs="Arial" w:eastAsia="Arial" w:hAnsi="Arial"/>
                <w:sz w:val="14"/>
                <w:szCs w:val="14"/>
                <w:b w:val="1"/>
                <w:bCs w:val="1"/>
                <w:color w:val="auto"/>
                <w:w w:val="94"/>
              </w:rPr>
              <w:t>Non-Dividend</w:t>
            </w:r>
          </w:p>
        </w:tc>
        <w:tc>
          <w:tcPr>
            <w:tcW w:w="22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4"/>
                <w:szCs w:val="14"/>
                <w:b w:val="1"/>
                <w:bCs w:val="1"/>
                <w:color w:val="auto"/>
                <w:w w:val="94"/>
              </w:rPr>
              <w:t>Section 19</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Per Share</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Dividends</w:t>
            </w: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8"/>
              </w:rPr>
              <w:t>Dividend Per Share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7"/>
              </w:rPr>
              <w:t>Distributions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Stock</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2022</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1.750000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1.750000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2021</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1.750000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0.341718</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0.095782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1.312500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2020</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1.750000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0.570268</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1.179732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D Preferred Stock</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2022</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1.718750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1.718750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2021</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1.718750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0.335616</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0.094072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1.289063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2020</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1.718750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0.560086</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1.158664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E Preferred Stock</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2022</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1.625000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1.625000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2021</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1.625000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0.317310</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0.088940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1.218750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2020</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1.679170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0.547188</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1.131982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F Preferred Stock</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2022</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1.531250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1.531250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2021</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1.531250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0.299004</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0.083809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1.148438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2020</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1.037845</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0.338201</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0.699644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2022</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1.440000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0.669420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0.770580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Fiscal year 2021</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1.320000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0.095930</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0.026889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1.197181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3"/>
        </w:trPr>
        <w:tc>
          <w:tcPr>
            <w:tcW w:w="2760" w:type="dxa"/>
            <w:vAlign w:val="bottom"/>
          </w:tcPr>
          <w:p>
            <w:pPr>
              <w:ind w:left="160"/>
              <w:spacing w:after="0"/>
              <w:rPr>
                <w:sz w:val="20"/>
                <w:szCs w:val="20"/>
                <w:color w:val="auto"/>
              </w:rPr>
            </w:pPr>
            <w:r>
              <w:rPr>
                <w:rFonts w:ascii="Arial" w:cs="Arial" w:eastAsia="Arial" w:hAnsi="Arial"/>
                <w:sz w:val="16"/>
                <w:szCs w:val="16"/>
                <w:color w:val="auto"/>
              </w:rPr>
              <w:t>Fiscal year 2020</w:t>
            </w: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1.720000</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0.560492</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1.159508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Preferred stock per share amounts are per depositary share.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changes to accumulated OCI for fiscal years 2022, 2021 and 2020 (in millions):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 Other Comprehensive Income (Loss)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2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OCI before reclassifications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38"/>
        </w:trPr>
        <w:tc>
          <w:tcPr>
            <w:tcW w:w="7200" w:type="dxa"/>
            <w:vAlign w:val="bottom"/>
            <w:gridSpan w:val="2"/>
          </w:tcPr>
          <w:p>
            <w:pPr>
              <w:ind w:left="160"/>
              <w:spacing w:after="0" w:line="139" w:lineRule="exact"/>
              <w:rPr>
                <w:sz w:val="20"/>
                <w:szCs w:val="20"/>
                <w:color w:val="auto"/>
              </w:rPr>
            </w:pPr>
            <w:r>
              <w:rPr>
                <w:rFonts w:ascii="Arial" w:cs="Arial" w:eastAsia="Arial" w:hAnsi="Arial"/>
                <w:sz w:val="14"/>
                <w:szCs w:val="14"/>
                <w:color w:val="auto"/>
                <w:w w:val="97"/>
              </w:rPr>
              <w:t>Net loss amounts for available-for-sale securities reclassified from accumulated OCI to realized gain (loss) on sale of</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investment securities, net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Ending Balance</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Compensation</w:t>
      </w:r>
    </w:p>
    <w:p>
      <w:pPr>
        <w:spacing w:after="0" w:line="176" w:lineRule="exact"/>
        <w:rPr>
          <w:sz w:val="20"/>
          <w:szCs w:val="20"/>
          <w:color w:val="auto"/>
        </w:rPr>
      </w:pPr>
    </w:p>
    <w:p>
      <w:pPr>
        <w:jc w:val="both"/>
        <w:ind w:right="100" w:firstLine="392"/>
        <w:spacing w:after="0" w:line="284" w:lineRule="auto"/>
        <w:rPr>
          <w:sz w:val="20"/>
          <w:szCs w:val="20"/>
          <w:color w:val="auto"/>
        </w:rPr>
      </w:pPr>
      <w:r>
        <w:rPr>
          <w:rFonts w:ascii="Arial" w:cs="Arial" w:eastAsia="Arial" w:hAnsi="Arial"/>
          <w:sz w:val="16"/>
          <w:szCs w:val="16"/>
          <w:color w:val="auto"/>
        </w:rPr>
        <w:t>During fiscal years 2022, 2021 and 2020, we granted RSU awards to employees with a grant date fair value of $8 million, $8 million and $7 million, respectively, which generally vest annually over a three-year period, and we granted RSU awards to independent directors of $1.0 million, $0.9 million and $0.8 million, respectively, which vest at the end of a one-year period from grant date. We also granted PSU awards to employees which generally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w:t>
      </w: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029" w:right="239" w:bottom="1440" w:gutter="0" w:footer="0" w:header="0"/>
        </w:sectPr>
      </w:pPr>
    </w:p>
    <w:bookmarkStart w:id="77" w:name="page78"/>
    <w:bookmarkEnd w:id="77"/>
    <w:p>
      <w:pPr>
        <w:jc w:val="both"/>
        <w:spacing w:after="0" w:line="272" w:lineRule="auto"/>
        <w:rPr>
          <w:sz w:val="20"/>
          <w:szCs w:val="20"/>
          <w:color w:val="auto"/>
        </w:rPr>
      </w:pPr>
      <w:r>
        <w:rPr>
          <w:rFonts w:ascii="Arial" w:cs="Arial" w:eastAsia="Arial" w:hAnsi="Arial"/>
          <w:sz w:val="17"/>
          <w:szCs w:val="17"/>
          <w:color w:val="auto"/>
        </w:rPr>
        <w:t>and relative to a select group of our peers. The fair value of the PSU awards granted during fiscal years 2022, 2021 and 2020 as of the grant date was $11 million, $10 million and $10 million, respectively, assuming the target levels of performance are achieved. The actual value of the awards will vary within a range of 0% to 200% of the target based on the actual performance achieved relative to the targets.</w:t>
      </w:r>
    </w:p>
    <w:p>
      <w:pPr>
        <w:spacing w:after="0" w:line="120"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5"/>
          <w:szCs w:val="15"/>
          <w:color w:val="auto"/>
        </w:rPr>
        <w:t>Our 2016 Equity Plan, as amended, authorizes a total of 40 million shares of our common stock that may be used to satisfy awards granted under the Plan, subject to the share counting rules set forth within the Plan. As of December 31, 2022, 31.3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w:t>
      </w:r>
    </w:p>
    <w:p>
      <w:pPr>
        <w:spacing w:after="0" w:line="1" w:lineRule="exact"/>
        <w:rPr>
          <w:sz w:val="20"/>
          <w:szCs w:val="20"/>
          <w:color w:val="auto"/>
        </w:rPr>
      </w:pPr>
    </w:p>
    <w:p>
      <w:pPr>
        <w:ind w:firstLine="5"/>
        <w:spacing w:after="0" w:line="305" w:lineRule="auto"/>
        <w:tabs>
          <w:tab w:leader="none" w:pos="3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accrued dividend equivalent units on outstanding awards through December 31, 2022. Unvested PSU awards assume the maximum potential payout under the terms of the award. As of December 31, 2022, 1.4 million of deferred awards, including accrued dividend equivalents, were outstanding.</w:t>
      </w:r>
    </w:p>
    <w:p>
      <w:pPr>
        <w:spacing w:after="0" w:line="95"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During fiscal years 2022, 2021 and 2020, we recognized total compensation expense of $11.6 million, $21.4 million and $20.6 million, respectively, for stock-based awards to employees, and we recognized other operating expense of $1.0 million, $0.8 million and $0.7 million, respectively, for stock-based awards to independent directors. Compensation expense for PSU awards is based on our estimate of the probability that the performance criteria for PSU awards will be achieved and, if applicable, includes a cumulative effect adjustment for changes in our estimate from the prior year period. As of December 31, 2022, we had $12 million of unrecognized expense related to stock-based awards that we expect to recognize over a weighted average period of 1.8 years.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awards under our 2016 Equity Plan for fiscal years 2022,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Weighted Average</w:t>
            </w: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7"/>
        </w:trPr>
        <w:tc>
          <w:tcPr>
            <w:tcW w:w="7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RSU Awards</w:t>
            </w: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RSU Awards</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7" w:lineRule="exact"/>
              <w:rPr>
                <w:sz w:val="20"/>
                <w:szCs w:val="20"/>
                <w:color w:val="auto"/>
              </w:rPr>
            </w:pPr>
            <w:r>
              <w:rPr>
                <w:rFonts w:ascii="Arial" w:cs="Arial" w:eastAsia="Arial" w:hAnsi="Arial"/>
                <w:sz w:val="16"/>
                <w:szCs w:val="16"/>
                <w:b w:val="1"/>
                <w:bCs w:val="1"/>
                <w:color w:val="auto"/>
                <w:w w:val="95"/>
              </w:rPr>
              <w:t>Grant Date Fair</w:t>
            </w:r>
          </w:p>
        </w:tc>
        <w:tc>
          <w:tcPr>
            <w:tcW w:w="140" w:type="dxa"/>
            <w:vAlign w:val="bottom"/>
          </w:tcPr>
          <w:p>
            <w:pPr>
              <w:spacing w:after="0"/>
              <w:rPr>
                <w:sz w:val="13"/>
                <w:szCs w:val="13"/>
                <w:color w:val="auto"/>
              </w:rPr>
            </w:pPr>
          </w:p>
        </w:tc>
        <w:tc>
          <w:tcPr>
            <w:tcW w:w="1160" w:type="dxa"/>
            <w:vAlign w:val="bottom"/>
          </w:tcPr>
          <w:p>
            <w:pPr>
              <w:jc w:val="right"/>
              <w:ind w:right="82"/>
              <w:spacing w:after="0" w:line="157" w:lineRule="exact"/>
              <w:rPr>
                <w:sz w:val="20"/>
                <w:szCs w:val="20"/>
                <w:color w:val="auto"/>
              </w:rPr>
            </w:pPr>
            <w:r>
              <w:rPr>
                <w:rFonts w:ascii="Arial" w:cs="Arial" w:eastAsia="Arial" w:hAnsi="Arial"/>
                <w:sz w:val="16"/>
                <w:szCs w:val="16"/>
                <w:b w:val="1"/>
                <w:bCs w:val="1"/>
                <w:color w:val="auto"/>
                <w:w w:val="91"/>
              </w:rPr>
              <w:t>Vest Date Fair</w:t>
            </w: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line="209" w:lineRule="exact"/>
              <w:rPr>
                <w:sz w:val="20"/>
                <w:szCs w:val="20"/>
                <w:color w:val="auto"/>
              </w:rPr>
            </w:pPr>
            <w:r>
              <w:rPr>
                <w:rFonts w:ascii="Arial" w:cs="Arial" w:eastAsia="Arial" w:hAnsi="Arial"/>
                <w:sz w:val="16"/>
                <w:szCs w:val="16"/>
                <w:b w:val="1"/>
                <w:bCs w:val="1"/>
                <w:color w:val="auto"/>
                <w:w w:val="84"/>
              </w:rPr>
              <w:t xml:space="preserve">Value </w:t>
            </w:r>
            <w:r>
              <w:rPr>
                <w:rFonts w:ascii="Arial" w:cs="Arial" w:eastAsia="Arial" w:hAnsi="Arial"/>
                <w:sz w:val="20"/>
                <w:szCs w:val="20"/>
                <w:b w:val="1"/>
                <w:bCs w:val="1"/>
                <w:color w:val="auto"/>
                <w:w w:val="84"/>
                <w:vertAlign w:val="superscript"/>
              </w:rPr>
              <w:t>1</w:t>
            </w:r>
          </w:p>
        </w:tc>
        <w:tc>
          <w:tcPr>
            <w:tcW w:w="140" w:type="dxa"/>
            <w:vAlign w:val="bottom"/>
          </w:tcPr>
          <w:p>
            <w:pPr>
              <w:spacing w:after="0"/>
              <w:rPr>
                <w:sz w:val="18"/>
                <w:szCs w:val="18"/>
                <w:color w:val="auto"/>
              </w:rPr>
            </w:pPr>
          </w:p>
        </w:tc>
        <w:tc>
          <w:tcPr>
            <w:tcW w:w="1160" w:type="dxa"/>
            <w:vAlign w:val="bottom"/>
          </w:tcPr>
          <w:p>
            <w:pPr>
              <w:jc w:val="right"/>
              <w:ind w:right="38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2"/>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758,230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433,414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6"/>
                <w:szCs w:val="16"/>
                <w:color w:val="auto"/>
              </w:rPr>
              <w:t>Vested</w:t>
            </w:r>
          </w:p>
        </w:tc>
        <w:tc>
          <w:tcPr>
            <w:tcW w:w="1300" w:type="dxa"/>
            <w:vAlign w:val="bottom"/>
          </w:tcPr>
          <w:p>
            <w:pPr>
              <w:jc w:val="right"/>
              <w:spacing w:after="0"/>
              <w:rPr>
                <w:sz w:val="20"/>
                <w:szCs w:val="20"/>
                <w:color w:val="auto"/>
              </w:rPr>
            </w:pPr>
            <w:r>
              <w:rPr>
                <w:rFonts w:ascii="Arial" w:cs="Arial" w:eastAsia="Arial" w:hAnsi="Arial"/>
                <w:sz w:val="16"/>
                <w:szCs w:val="16"/>
                <w:color w:val="auto"/>
              </w:rPr>
              <w:t>(377,244)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Unvested balance as of December 31, 2020</w:t>
            </w:r>
          </w:p>
        </w:tc>
        <w:tc>
          <w:tcPr>
            <w:tcW w:w="1300" w:type="dxa"/>
            <w:vAlign w:val="bottom"/>
          </w:tcPr>
          <w:p>
            <w:pPr>
              <w:jc w:val="right"/>
              <w:spacing w:after="0"/>
              <w:rPr>
                <w:sz w:val="20"/>
                <w:szCs w:val="20"/>
                <w:color w:val="auto"/>
              </w:rPr>
            </w:pPr>
            <w:r>
              <w:rPr>
                <w:rFonts w:ascii="Arial" w:cs="Arial" w:eastAsia="Arial" w:hAnsi="Arial"/>
                <w:sz w:val="16"/>
                <w:szCs w:val="16"/>
                <w:color w:val="auto"/>
              </w:rPr>
              <w:t>908,984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06"/>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687,733</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6"/>
                <w:szCs w:val="16"/>
                <w:color w:val="auto"/>
              </w:rPr>
              <w:t>Vested</w:t>
            </w:r>
          </w:p>
        </w:tc>
        <w:tc>
          <w:tcPr>
            <w:tcW w:w="1300" w:type="dxa"/>
            <w:vAlign w:val="bottom"/>
          </w:tcPr>
          <w:p>
            <w:pPr>
              <w:jc w:val="right"/>
              <w:spacing w:after="0"/>
              <w:rPr>
                <w:sz w:val="20"/>
                <w:szCs w:val="20"/>
                <w:color w:val="auto"/>
              </w:rPr>
            </w:pPr>
            <w:r>
              <w:rPr>
                <w:rFonts w:ascii="Arial" w:cs="Arial" w:eastAsia="Arial" w:hAnsi="Arial"/>
                <w:sz w:val="16"/>
                <w:szCs w:val="16"/>
                <w:color w:val="auto"/>
              </w:rPr>
              <w:t>(558,796)</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Unvested balance as of December 31,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1,333,691</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2"/>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Accrued RSU award dividend equivalents have a weighted average grant date fair value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8" w:name="page79"/>
    <w:bookmarkEnd w:id="78"/>
    <w:tbl>
      <w:tblPr>
        <w:tblLayout w:type="fixed"/>
        <w:tblInd w:w="18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1"/>
              </w:rPr>
              <w:t>PSUs</w:t>
            </w:r>
          </w:p>
        </w:tc>
        <w:tc>
          <w:tcPr>
            <w:tcW w:w="140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87"/>
              </w:rPr>
              <w:t>Weighted Average</w:t>
            </w: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7"/>
        </w:trPr>
        <w:tc>
          <w:tcPr>
            <w:tcW w:w="6780" w:type="dxa"/>
            <w:vAlign w:val="bottom"/>
          </w:tcPr>
          <w:p>
            <w:pPr>
              <w:spacing w:after="0"/>
              <w:rPr>
                <w:sz w:val="13"/>
                <w:szCs w:val="13"/>
                <w:color w:val="auto"/>
              </w:rPr>
            </w:pPr>
          </w:p>
        </w:tc>
        <w:tc>
          <w:tcPr>
            <w:tcW w:w="140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91"/>
              </w:rPr>
              <w:t>at Target</w:t>
            </w:r>
          </w:p>
        </w:tc>
        <w:tc>
          <w:tcPr>
            <w:tcW w:w="1400" w:type="dxa"/>
            <w:vAlign w:val="bottom"/>
            <w:gridSpan w:val="3"/>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PSU Awards</w:t>
            </w:r>
          </w:p>
        </w:tc>
        <w:tc>
          <w:tcPr>
            <w:tcW w:w="140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87"/>
              </w:rPr>
              <w:t>Performance</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7" w:lineRule="exact"/>
              <w:rPr>
                <w:sz w:val="20"/>
                <w:szCs w:val="20"/>
                <w:color w:val="auto"/>
              </w:rPr>
            </w:pPr>
            <w:r>
              <w:rPr>
                <w:rFonts w:ascii="Arial" w:cs="Arial" w:eastAsia="Arial" w:hAnsi="Arial"/>
                <w:sz w:val="16"/>
                <w:szCs w:val="16"/>
                <w:b w:val="1"/>
                <w:bCs w:val="1"/>
                <w:color w:val="auto"/>
                <w:w w:val="93"/>
              </w:rPr>
              <w:t>Grant Date Fair</w:t>
            </w:r>
          </w:p>
        </w:tc>
        <w:tc>
          <w:tcPr>
            <w:tcW w:w="140" w:type="dxa"/>
            <w:vAlign w:val="bottom"/>
          </w:tcPr>
          <w:p>
            <w:pPr>
              <w:spacing w:after="0"/>
              <w:rPr>
                <w:sz w:val="13"/>
                <w:szCs w:val="13"/>
                <w:color w:val="auto"/>
              </w:rPr>
            </w:pPr>
          </w:p>
        </w:tc>
        <w:tc>
          <w:tcPr>
            <w:tcW w:w="118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9"/>
              </w:rPr>
              <w:t>Vest Date Fair</w:t>
            </w:r>
          </w:p>
        </w:tc>
        <w:tc>
          <w:tcPr>
            <w:tcW w:w="0" w:type="dxa"/>
            <w:vAlign w:val="bottom"/>
          </w:tcPr>
          <w:p>
            <w:pPr>
              <w:spacing w:after="0"/>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line="209" w:lineRule="exact"/>
              <w:rPr>
                <w:sz w:val="20"/>
                <w:szCs w:val="20"/>
                <w:color w:val="auto"/>
              </w:rPr>
            </w:pPr>
            <w:r>
              <w:rPr>
                <w:rFonts w:ascii="Arial" w:cs="Arial" w:eastAsia="Arial" w:hAnsi="Arial"/>
                <w:sz w:val="16"/>
                <w:szCs w:val="16"/>
                <w:b w:val="1"/>
                <w:bCs w:val="1"/>
                <w:color w:val="auto"/>
                <w:w w:val="87"/>
              </w:rPr>
              <w:t xml:space="preserve">Value </w:t>
            </w:r>
            <w:r>
              <w:rPr>
                <w:rFonts w:ascii="Arial" w:cs="Arial" w:eastAsia="Arial" w:hAnsi="Arial"/>
                <w:sz w:val="20"/>
                <w:szCs w:val="20"/>
                <w:b w:val="1"/>
                <w:bCs w:val="1"/>
                <w:color w:val="auto"/>
                <w:w w:val="87"/>
                <w:vertAlign w:val="superscript"/>
              </w:rPr>
              <w:t>1</w:t>
            </w:r>
          </w:p>
        </w:tc>
        <w:tc>
          <w:tcPr>
            <w:tcW w:w="140" w:type="dxa"/>
            <w:vAlign w:val="bottom"/>
          </w:tcPr>
          <w:p>
            <w:pPr>
              <w:spacing w:after="0"/>
              <w:rPr>
                <w:sz w:val="18"/>
                <w:szCs w:val="18"/>
                <w:color w:val="auto"/>
              </w:rPr>
            </w:pPr>
          </w:p>
        </w:tc>
        <w:tc>
          <w:tcPr>
            <w:tcW w:w="1180" w:type="dxa"/>
            <w:vAlign w:val="bottom"/>
          </w:tcPr>
          <w:p>
            <w:pPr>
              <w:jc w:val="center"/>
              <w:ind w:right="62"/>
              <w:spacing w:after="0" w:line="209" w:lineRule="exact"/>
              <w:rPr>
                <w:sz w:val="20"/>
                <w:szCs w:val="20"/>
                <w:color w:val="auto"/>
              </w:rPr>
            </w:pPr>
            <w:r>
              <w:rPr>
                <w:rFonts w:ascii="Arial" w:cs="Arial" w:eastAsia="Arial" w:hAnsi="Arial"/>
                <w:sz w:val="16"/>
                <w:szCs w:val="16"/>
                <w:b w:val="1"/>
                <w:bCs w:val="1"/>
                <w:color w:val="auto"/>
                <w:w w:val="87"/>
              </w:rPr>
              <w:t xml:space="preserve">Value </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1,351,413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14.96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508,757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19.62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PSU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160"/>
              <w:spacing w:after="0" w:line="209" w:lineRule="exact"/>
              <w:rPr>
                <w:sz w:val="20"/>
                <w:szCs w:val="20"/>
                <w:color w:val="auto"/>
              </w:rPr>
            </w:pPr>
            <w:r>
              <w:rPr>
                <w:rFonts w:ascii="Arial" w:cs="Arial" w:eastAsia="Arial" w:hAnsi="Arial"/>
                <w:sz w:val="16"/>
                <w:szCs w:val="16"/>
                <w:color w:val="auto"/>
              </w:rPr>
              <w:t xml:space="preserve">Performance adjustment - base grant </w:t>
            </w:r>
            <w:r>
              <w:rPr>
                <w:rFonts w:ascii="Arial" w:cs="Arial" w:eastAsia="Arial" w:hAnsi="Arial"/>
                <w:sz w:val="20"/>
                <w:szCs w:val="20"/>
                <w:color w:val="auto"/>
                <w:vertAlign w:val="superscript"/>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62,796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160"/>
              <w:spacing w:after="0" w:line="209" w:lineRule="exact"/>
              <w:rPr>
                <w:sz w:val="20"/>
                <w:szCs w:val="20"/>
                <w:color w:val="auto"/>
              </w:rPr>
            </w:pPr>
            <w:r>
              <w:rPr>
                <w:rFonts w:ascii="Arial" w:cs="Arial" w:eastAsia="Arial" w:hAnsi="Arial"/>
                <w:sz w:val="16"/>
                <w:szCs w:val="16"/>
                <w:color w:val="auto"/>
              </w:rPr>
              <w:t xml:space="preserve">Performance adjustment - accrued PSU dividend equivalents </w:t>
            </w:r>
            <w:r>
              <w:rPr>
                <w:rFonts w:ascii="Arial" w:cs="Arial" w:eastAsia="Arial" w:hAnsi="Arial"/>
                <w:sz w:val="20"/>
                <w:szCs w:val="20"/>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Vested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1,626,785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630,886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PSU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160"/>
              <w:spacing w:after="0" w:line="209" w:lineRule="exact"/>
              <w:rPr>
                <w:sz w:val="20"/>
                <w:szCs w:val="20"/>
                <w:color w:val="auto"/>
              </w:rPr>
            </w:pPr>
            <w:r>
              <w:rPr>
                <w:rFonts w:ascii="Arial" w:cs="Arial" w:eastAsia="Arial" w:hAnsi="Arial"/>
                <w:sz w:val="16"/>
                <w:szCs w:val="16"/>
                <w:color w:val="auto"/>
              </w:rPr>
              <w:t xml:space="preserve">Performance adjustment - base grant </w:t>
            </w:r>
            <w:r>
              <w:rPr>
                <w:rFonts w:ascii="Arial" w:cs="Arial" w:eastAsia="Arial" w:hAnsi="Arial"/>
                <w:sz w:val="20"/>
                <w:szCs w:val="20"/>
                <w:color w:val="auto"/>
                <w:vertAlign w:val="superscript"/>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206,547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17.56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160"/>
              <w:spacing w:after="0" w:line="209" w:lineRule="exact"/>
              <w:rPr>
                <w:sz w:val="20"/>
                <w:szCs w:val="20"/>
                <w:color w:val="auto"/>
              </w:rPr>
            </w:pPr>
            <w:r>
              <w:rPr>
                <w:rFonts w:ascii="Arial" w:cs="Arial" w:eastAsia="Arial" w:hAnsi="Arial"/>
                <w:sz w:val="16"/>
                <w:szCs w:val="16"/>
                <w:color w:val="auto"/>
              </w:rPr>
              <w:t xml:space="preserve">Performance adjustment - accrued PSU dividend equivalents </w:t>
            </w:r>
            <w:r>
              <w:rPr>
                <w:rFonts w:ascii="Arial" w:cs="Arial" w:eastAsia="Arial" w:hAnsi="Arial"/>
                <w:sz w:val="20"/>
                <w:szCs w:val="20"/>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Pr>
          <w:p>
            <w:pPr>
              <w:ind w:left="160"/>
              <w:spacing w:after="0"/>
              <w:rPr>
                <w:sz w:val="20"/>
                <w:szCs w:val="20"/>
                <w:color w:val="auto"/>
              </w:rPr>
            </w:pPr>
            <w:r>
              <w:rPr>
                <w:rFonts w:ascii="Arial" w:cs="Arial" w:eastAsia="Arial" w:hAnsi="Arial"/>
                <w:sz w:val="16"/>
                <w:szCs w:val="16"/>
                <w:color w:val="auto"/>
              </w:rPr>
              <w:t>Vested</w:t>
            </w:r>
          </w:p>
        </w:tc>
        <w:tc>
          <w:tcPr>
            <w:tcW w:w="1300" w:type="dxa"/>
            <w:vAlign w:val="bottom"/>
          </w:tcPr>
          <w:p>
            <w:pPr>
              <w:jc w:val="right"/>
              <w:spacing w:after="0"/>
              <w:rPr>
                <w:sz w:val="20"/>
                <w:szCs w:val="20"/>
                <w:color w:val="auto"/>
              </w:rPr>
            </w:pPr>
            <w:r>
              <w:rPr>
                <w:rFonts w:ascii="Arial" w:cs="Arial" w:eastAsia="Arial" w:hAnsi="Arial"/>
                <w:sz w:val="16"/>
                <w:szCs w:val="16"/>
                <w:color w:val="auto"/>
              </w:rPr>
              <w:t>(466,224)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Unvested balance as of December 31, 2021</w:t>
            </w:r>
          </w:p>
        </w:tc>
        <w:tc>
          <w:tcPr>
            <w:tcW w:w="1300" w:type="dxa"/>
            <w:vAlign w:val="bottom"/>
          </w:tcPr>
          <w:p>
            <w:pPr>
              <w:jc w:val="right"/>
              <w:spacing w:after="0"/>
              <w:rPr>
                <w:sz w:val="20"/>
                <w:szCs w:val="20"/>
                <w:color w:val="auto"/>
              </w:rPr>
            </w:pPr>
            <w:r>
              <w:rPr>
                <w:rFonts w:ascii="Arial" w:cs="Arial" w:eastAsia="Arial" w:hAnsi="Arial"/>
                <w:sz w:val="16"/>
                <w:szCs w:val="16"/>
                <w:color w:val="auto"/>
              </w:rPr>
              <w:t>2,212,660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14.52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Pr>
          <w:p>
            <w:pPr>
              <w:ind w:left="160"/>
              <w:spacing w:after="0"/>
              <w:rPr>
                <w:sz w:val="20"/>
                <w:szCs w:val="20"/>
                <w:color w:val="auto"/>
              </w:rPr>
            </w:pPr>
            <w:r>
              <w:rPr>
                <w:rFonts w:ascii="Arial" w:cs="Arial" w:eastAsia="Arial" w:hAnsi="Arial"/>
                <w:sz w:val="16"/>
                <w:szCs w:val="16"/>
                <w:color w:val="auto"/>
              </w:rPr>
              <w:t>Accrued PSU dividend equivalents</w:t>
            </w:r>
          </w:p>
        </w:tc>
        <w:tc>
          <w:tcPr>
            <w:tcW w:w="1300" w:type="dxa"/>
            <w:vAlign w:val="bottom"/>
          </w:tcPr>
          <w:p>
            <w:pPr>
              <w:jc w:val="right"/>
              <w:spacing w:after="0"/>
              <w:rPr>
                <w:sz w:val="20"/>
                <w:szCs w:val="20"/>
                <w:color w:val="auto"/>
              </w:rPr>
            </w:pPr>
            <w:r>
              <w:rPr>
                <w:rFonts w:ascii="Arial" w:cs="Arial" w:eastAsia="Arial" w:hAnsi="Arial"/>
                <w:sz w:val="16"/>
                <w:szCs w:val="16"/>
                <w:color w:val="auto"/>
              </w:rPr>
              <w:t>279,484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05"/>
        </w:trPr>
        <w:tc>
          <w:tcPr>
            <w:tcW w:w="6780" w:type="dxa"/>
            <w:vAlign w:val="bottom"/>
          </w:tcPr>
          <w:p>
            <w:pPr>
              <w:ind w:left="20"/>
              <w:spacing w:after="0" w:line="206" w:lineRule="exact"/>
              <w:rPr>
                <w:sz w:val="20"/>
                <w:szCs w:val="20"/>
                <w:color w:val="auto"/>
              </w:rPr>
            </w:pPr>
            <w:r>
              <w:rPr>
                <w:rFonts w:ascii="Arial" w:cs="Arial" w:eastAsia="Arial" w:hAnsi="Arial"/>
                <w:sz w:val="16"/>
                <w:szCs w:val="16"/>
                <w:b w:val="1"/>
                <w:bCs w:val="1"/>
                <w:color w:val="auto"/>
              </w:rPr>
              <w:t xml:space="preserve">Unvested balance as of December 31, 2022 </w:t>
            </w:r>
            <w:r>
              <w:rPr>
                <w:rFonts w:ascii="Arial" w:cs="Arial" w:eastAsia="Arial" w:hAnsi="Arial"/>
                <w:sz w:val="20"/>
                <w:szCs w:val="20"/>
                <w:b w:val="1"/>
                <w:bCs w:val="1"/>
                <w:color w:val="auto"/>
                <w:vertAlign w:val="superscript"/>
              </w:rPr>
              <w:t>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2,380,575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0" w:lineRule="exact"/>
        <w:rPr>
          <w:sz w:val="20"/>
          <w:szCs w:val="20"/>
          <w:color w:val="auto"/>
        </w:rPr>
      </w:pPr>
    </w:p>
    <w:p>
      <w:pPr>
        <w:ind w:left="640" w:hanging="322"/>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Accrued PSU award dividend equivalents have a weighted average grant date fair value of $0.</w:t>
      </w:r>
    </w:p>
    <w:p>
      <w:pPr>
        <w:spacing w:after="0" w:line="5" w:lineRule="exact"/>
        <w:rPr>
          <w:rFonts w:ascii="Arial" w:cs="Arial" w:eastAsia="Arial" w:hAnsi="Arial"/>
          <w:sz w:val="14"/>
          <w:szCs w:val="14"/>
          <w:color w:val="auto"/>
        </w:rPr>
      </w:pPr>
    </w:p>
    <w:p>
      <w:pPr>
        <w:ind w:left="640" w:right="240" w:hanging="322"/>
        <w:spacing w:after="0" w:line="253" w:lineRule="auto"/>
        <w:tabs>
          <w:tab w:leader="none" w:pos="64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color w:val="auto"/>
        </w:rPr>
        <w:t>This amount assumes target levels of performance are achieved for outstanding unvested PSU awards. The actual number of PSUs that vest will vary within a range of 0% to 200% of the target based on the actual performance achieved relative to the targets.</w:t>
      </w:r>
    </w:p>
    <w:p>
      <w:pPr>
        <w:ind w:left="640" w:hanging="322"/>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Performance adjustments reflect adjustments for actual performance achieved relative to target.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63" w:lineRule="exact"/>
        <w:rPr>
          <w:sz w:val="20"/>
          <w:szCs w:val="20"/>
          <w:color w:val="auto"/>
        </w:rPr>
      </w:pPr>
    </w:p>
    <w:p>
      <w:pPr>
        <w:jc w:val="both"/>
        <w:ind w:firstLine="431"/>
        <w:spacing w:after="0" w:line="256" w:lineRule="auto"/>
        <w:rPr>
          <w:sz w:val="20"/>
          <w:szCs w:val="20"/>
          <w:color w:val="auto"/>
        </w:rPr>
      </w:pPr>
      <w:r>
        <w:rPr>
          <w:rFonts w:ascii="Arial" w:cs="Arial" w:eastAsia="Arial" w:hAnsi="Arial"/>
          <w:sz w:val="17"/>
          <w:szCs w:val="17"/>
          <w:color w:val="auto"/>
        </w:rPr>
        <w:t>We did not incur an income tax liability for the years ended December 31, 2021 and 2020 and we do not expect to incur an income tax liability for the year ended December 31, 2022.</w:t>
      </w:r>
    </w:p>
    <w:p>
      <w:pPr>
        <w:spacing w:after="0" w:line="106" w:lineRule="exact"/>
        <w:rPr>
          <w:sz w:val="20"/>
          <w:szCs w:val="20"/>
          <w:color w:val="auto"/>
        </w:rPr>
      </w:pPr>
    </w:p>
    <w:p>
      <w:pPr>
        <w:jc w:val="both"/>
        <w:ind w:firstLine="431"/>
        <w:spacing w:after="0"/>
        <w:rPr>
          <w:sz w:val="20"/>
          <w:szCs w:val="20"/>
          <w:color w:val="auto"/>
        </w:rPr>
      </w:pPr>
      <w:r>
        <w:rPr>
          <w:rFonts w:ascii="Arial" w:cs="Arial" w:eastAsia="Arial" w:hAnsi="Arial"/>
          <w:sz w:val="17"/>
          <w:szCs w:val="17"/>
          <w:color w:val="auto"/>
        </w:rPr>
        <w:t xml:space="preserve">Based on our analysis of any potential uncertain income tax positions, we concluded that we do not have any uncertain tax positions that meet the recognition or measurement criteria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as of December 31, 2022 or prior periods. Our tax returns for tax years 2019 and forward are open to examination by the IRS. If we incur income tax related interest and penalties, our policy is to classify them as a component of provision for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24"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We, including our Chief Executive Officer and Chief Financial Officer, evaluated the effectiveness of the design and operation of our disclosure controls and procedures as of December 31, 2022. Based on the foregoing, our Chief Executive Officer and Chief Financial Officer concluded that our disclosure controls and procedures were effective.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Management Report on Internal Control over Financial Reporting is included in "Item 8. Financial Statements and Supplementary Data."</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Attestation Report of Registered Public Accounting Firm</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attestation report of our registered public accounting firm is included in "Item 8. Financial Statements and Supplementary Data."</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8"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24"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2023 Annual Meeting of Stockholders (the "2023 Proxy Statement") under the headings "PROPOSAL 1: ELECTION OF DIRECTORS", "EXECUTIVE OFFICERS OF REGISTRANT", and "BOARD AND GOVERNANCE MATTERS."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24"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the 2023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2023 Proxy Statement under the heading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"SECURITY OWNERSHIP OF MANAGEMENT AND CERTAIN BENEFICIAL OWNERS."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24"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the 2023 Proxy Statement under the headings "CERTAIN TRANSACTIONS WITH RELATED PERSONS" and "PROPOSAL 1: ELECTION OF DIRECTORS."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2023 Proxy Statement under the heading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"PROPOSAL 4: RATIFICATION OF APPOINTMENT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PART IV.</w:t>
      </w:r>
    </w:p>
    <w:p>
      <w:pPr>
        <w:spacing w:after="0" w:line="11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6" w:lineRule="exact"/>
        <w:rPr>
          <w:sz w:val="20"/>
          <w:szCs w:val="20"/>
          <w:color w:val="auto"/>
        </w:rPr>
      </w:pPr>
    </w:p>
    <w:p>
      <w:pPr>
        <w:ind w:left="240" w:hanging="235"/>
        <w:spacing w:after="0"/>
        <w:tabs>
          <w:tab w:leader="none" w:pos="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List of documents filed as part of this report:</w:t>
      </w:r>
    </w:p>
    <w:p>
      <w:pPr>
        <w:spacing w:after="0" w:line="157" w:lineRule="exact"/>
        <w:rPr>
          <w:rFonts w:ascii="Arial" w:cs="Arial" w:eastAsia="Arial" w:hAnsi="Arial"/>
          <w:sz w:val="17"/>
          <w:szCs w:val="17"/>
          <w:color w:val="auto"/>
        </w:rPr>
      </w:pPr>
    </w:p>
    <w:p>
      <w:pPr>
        <w:ind w:left="1360" w:hanging="375"/>
        <w:spacing w:after="0"/>
        <w:tabs>
          <w:tab w:leader="none" w:pos="13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following financial statements are filed herewith:</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Consolidated Balance Sheets as of December 31, 2022 and 2021</w:t>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Consolidated Statements of Comprehensive Income for fiscal years 2022, 2021 and 2020</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Consolidated Statements of Stockholders' Equity for fiscal years 2022, 2021 and 2020</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Consolidated Statements of Cash Flows for fiscal years 2022, 2021 and 2020</w:t>
      </w:r>
    </w:p>
    <w:p>
      <w:pPr>
        <w:spacing w:after="0" w:line="158"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6"/>
          <w:szCs w:val="16"/>
          <w:color w:val="auto"/>
        </w:rPr>
        <w:t>The following exhibits are filed herewith or incorporated herein by reference</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6" w:lineRule="exact"/>
        <w:rPr>
          <w:sz w:val="20"/>
          <w:szCs w:val="20"/>
          <w:color w:val="auto"/>
        </w:rPr>
      </w:pPr>
    </w:p>
    <w:p>
      <w:pPr>
        <w:jc w:val="both"/>
        <w:ind w:left="500" w:hanging="1254"/>
        <w:spacing w:after="0" w:line="288" w:lineRule="auto"/>
        <w:tabs>
          <w:tab w:leader="none" w:pos="480" w:val="left"/>
        </w:tabs>
        <w:rPr>
          <w:rFonts w:ascii="Arial" w:cs="Arial" w:eastAsia="Arial" w:hAnsi="Arial"/>
          <w:sz w:val="17"/>
          <w:szCs w:val="17"/>
          <w:color w:val="auto"/>
        </w:rPr>
      </w:pPr>
      <w:hyperlink r:id="rId107">
        <w:r>
          <w:rPr>
            <w:rFonts w:ascii="Arial" w:cs="Arial" w:eastAsia="Arial" w:hAnsi="Arial"/>
            <w:sz w:val="17"/>
            <w:szCs w:val="17"/>
            <w:color w:val="auto"/>
          </w:rPr>
          <w:t>*3.1</w:t>
        </w:r>
      </w:hyperlink>
      <w:r>
        <w:rPr>
          <w:rFonts w:ascii="Arial" w:cs="Arial" w:eastAsia="Arial" w:hAnsi="Arial"/>
          <w:sz w:val="17"/>
          <w:szCs w:val="17"/>
          <w:color w:val="auto"/>
        </w:rPr>
        <w:tab/>
      </w:r>
      <w:hyperlink r:id="rId107">
        <w:r>
          <w:rPr>
            <w:rFonts w:ascii="Arial" w:cs="Arial" w:eastAsia="Arial" w:hAnsi="Arial"/>
            <w:sz w:val="17"/>
            <w:szCs w:val="17"/>
            <w:color w:val="auto"/>
          </w:rPr>
          <w:t>AGNC Investment Corp. Amended and Restated Certificate of Incorporation, as amended, incorporated by reference from Exhibit 3.1 of Form 10-K for</w:t>
        </w:r>
      </w:hyperlink>
      <w:r>
        <w:rPr>
          <w:rFonts w:ascii="Arial" w:cs="Arial" w:eastAsia="Arial" w:hAnsi="Arial"/>
          <w:sz w:val="17"/>
          <w:szCs w:val="17"/>
          <w:color w:val="auto"/>
        </w:rPr>
        <w:t xml:space="preserve"> </w:t>
      </w:r>
      <w:hyperlink r:id="rId107">
        <w:r>
          <w:rPr>
            <w:rFonts w:ascii="Arial" w:cs="Arial" w:eastAsia="Arial" w:hAnsi="Arial"/>
            <w:sz w:val="17"/>
            <w:szCs w:val="17"/>
            <w:color w:val="auto"/>
          </w:rPr>
          <w:t>the year ended December 31, 2021 (File No. 001-34057), filed February 23, 2022.</w:t>
        </w:r>
      </w:hyperlink>
    </w:p>
    <w:p>
      <w:pPr>
        <w:spacing w:after="0" w:line="106" w:lineRule="exact"/>
        <w:rPr>
          <w:rFonts w:ascii="Arial" w:cs="Arial" w:eastAsia="Arial" w:hAnsi="Arial"/>
          <w:sz w:val="17"/>
          <w:szCs w:val="17"/>
          <w:color w:val="auto"/>
        </w:rPr>
      </w:pPr>
    </w:p>
    <w:p>
      <w:pPr>
        <w:spacing w:after="0"/>
        <w:tabs>
          <w:tab w:leader="none" w:pos="460" w:val="left"/>
        </w:tabs>
        <w:rPr>
          <w:rFonts w:ascii="Arial" w:cs="Arial" w:eastAsia="Arial" w:hAnsi="Arial"/>
          <w:sz w:val="16"/>
          <w:szCs w:val="16"/>
          <w:color w:val="auto"/>
        </w:rPr>
      </w:pPr>
      <w:hyperlink r:id="rId108">
        <w:r>
          <w:rPr>
            <w:rFonts w:ascii="Arial" w:cs="Arial" w:eastAsia="Arial" w:hAnsi="Arial"/>
            <w:sz w:val="17"/>
            <w:szCs w:val="17"/>
            <w:color w:val="auto"/>
          </w:rPr>
          <w:t>*3.2</w:t>
        </w:r>
      </w:hyperlink>
      <w:r>
        <w:rPr>
          <w:rFonts w:ascii="Arial" w:cs="Arial" w:eastAsia="Arial" w:hAnsi="Arial"/>
          <w:sz w:val="17"/>
          <w:szCs w:val="17"/>
          <w:color w:val="auto"/>
        </w:rPr>
        <w:tab/>
      </w:r>
      <w:hyperlink r:id="rId108">
        <w:r>
          <w:rPr>
            <w:rFonts w:ascii="Arial" w:cs="Arial" w:eastAsia="Arial" w:hAnsi="Arial"/>
            <w:sz w:val="16"/>
            <w:szCs w:val="16"/>
            <w:color w:val="auto"/>
          </w:rPr>
          <w:t>AGNC Investment Corp. Fourth Amended and Restated Bylaws, as amended, incorporated herein by reference to Exhibit 3.1 of Form 8-K (File No. 001-</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108">
        <w:r>
          <w:rPr>
            <w:rFonts w:ascii="Arial" w:cs="Arial" w:eastAsia="Arial" w:hAnsi="Arial"/>
            <w:sz w:val="17"/>
            <w:szCs w:val="17"/>
            <w:color w:val="auto"/>
          </w:rPr>
          <w:t>34057), filed March 11, 2021.</w:t>
        </w:r>
      </w:hyperlink>
    </w:p>
    <w:p>
      <w:pPr>
        <w:spacing w:after="0" w:line="158" w:lineRule="exact"/>
        <w:rPr>
          <w:sz w:val="20"/>
          <w:szCs w:val="20"/>
          <w:color w:val="auto"/>
        </w:rPr>
      </w:pPr>
    </w:p>
    <w:p>
      <w:pPr>
        <w:jc w:val="both"/>
        <w:ind w:left="580" w:hanging="1254"/>
        <w:spacing w:after="0" w:line="288" w:lineRule="auto"/>
        <w:tabs>
          <w:tab w:leader="none" w:pos="560" w:val="left"/>
        </w:tabs>
        <w:rPr>
          <w:rFonts w:ascii="Arial" w:cs="Arial" w:eastAsia="Arial" w:hAnsi="Arial"/>
          <w:sz w:val="17"/>
          <w:szCs w:val="17"/>
          <w:color w:val="auto"/>
        </w:rPr>
      </w:pPr>
      <w:hyperlink r:id="rId109">
        <w:r>
          <w:rPr>
            <w:rFonts w:ascii="Arial" w:cs="Arial" w:eastAsia="Arial" w:hAnsi="Arial"/>
            <w:sz w:val="17"/>
            <w:szCs w:val="17"/>
            <w:color w:val="auto"/>
          </w:rPr>
          <w:t>*3.3</w:t>
        </w:r>
      </w:hyperlink>
      <w:r>
        <w:rPr>
          <w:rFonts w:ascii="Arial" w:cs="Arial" w:eastAsia="Arial" w:hAnsi="Arial"/>
          <w:sz w:val="17"/>
          <w:szCs w:val="17"/>
          <w:color w:val="auto"/>
        </w:rPr>
        <w:tab/>
      </w:r>
      <w:hyperlink r:id="rId109">
        <w:r>
          <w:rPr>
            <w:rFonts w:ascii="Arial" w:cs="Arial" w:eastAsia="Arial" w:hAnsi="Arial"/>
            <w:sz w:val="17"/>
            <w:szCs w:val="17"/>
            <w:color w:val="auto"/>
          </w:rPr>
          <w:t>Certificate of Designations of 7.00% Series C Fixed-to-Floating Rate Cumulative Redeemable Preferred Stock, incorporated herein by reference to</w:t>
        </w:r>
      </w:hyperlink>
      <w:r>
        <w:rPr>
          <w:rFonts w:ascii="Arial" w:cs="Arial" w:eastAsia="Arial" w:hAnsi="Arial"/>
          <w:sz w:val="17"/>
          <w:szCs w:val="17"/>
          <w:color w:val="auto"/>
        </w:rPr>
        <w:t xml:space="preserve"> </w:t>
      </w:r>
      <w:hyperlink r:id="rId109">
        <w:r>
          <w:rPr>
            <w:rFonts w:ascii="Arial" w:cs="Arial" w:eastAsia="Arial" w:hAnsi="Arial"/>
            <w:sz w:val="17"/>
            <w:szCs w:val="17"/>
            <w:color w:val="auto"/>
          </w:rPr>
          <w:t>Exhibit 3.5 of Form 8-A (File No. 001-34057), filed August 18, 2017.</w:t>
        </w:r>
      </w:hyperlink>
    </w:p>
    <w:p>
      <w:pPr>
        <w:spacing w:after="0" w:line="106" w:lineRule="exact"/>
        <w:rPr>
          <w:rFonts w:ascii="Arial" w:cs="Arial" w:eastAsia="Arial" w:hAnsi="Arial"/>
          <w:sz w:val="17"/>
          <w:szCs w:val="17"/>
          <w:color w:val="auto"/>
        </w:rPr>
      </w:pPr>
    </w:p>
    <w:p>
      <w:pPr>
        <w:jc w:val="both"/>
        <w:ind w:left="480" w:hanging="1254"/>
        <w:spacing w:after="0" w:line="288" w:lineRule="auto"/>
        <w:tabs>
          <w:tab w:leader="none" w:pos="460" w:val="left"/>
        </w:tabs>
        <w:rPr>
          <w:rFonts w:ascii="Arial" w:cs="Arial" w:eastAsia="Arial" w:hAnsi="Arial"/>
          <w:sz w:val="17"/>
          <w:szCs w:val="17"/>
          <w:color w:val="auto"/>
        </w:rPr>
      </w:pPr>
      <w:hyperlink r:id="rId110">
        <w:r>
          <w:rPr>
            <w:rFonts w:ascii="Arial" w:cs="Arial" w:eastAsia="Arial" w:hAnsi="Arial"/>
            <w:sz w:val="17"/>
            <w:szCs w:val="17"/>
            <w:color w:val="auto"/>
          </w:rPr>
          <w:t>*3.4</w:t>
        </w:r>
      </w:hyperlink>
      <w:r>
        <w:rPr>
          <w:rFonts w:ascii="Arial" w:cs="Arial" w:eastAsia="Arial" w:hAnsi="Arial"/>
          <w:sz w:val="17"/>
          <w:szCs w:val="17"/>
          <w:color w:val="auto"/>
        </w:rPr>
        <w:tab/>
      </w:r>
      <w:hyperlink r:id="rId110">
        <w:r>
          <w:rPr>
            <w:rFonts w:ascii="Arial" w:cs="Arial" w:eastAsia="Arial" w:hAnsi="Arial"/>
            <w:sz w:val="17"/>
            <w:szCs w:val="17"/>
            <w:color w:val="auto"/>
          </w:rPr>
          <w:t>Certificate of Elimination of 8.000% Series A Cumulative Redeemable Preferred Stock, incorporated herein by reference to Exhibit 3.1 of Form 8-K (File</w:t>
        </w:r>
      </w:hyperlink>
      <w:r>
        <w:rPr>
          <w:rFonts w:ascii="Arial" w:cs="Arial" w:eastAsia="Arial" w:hAnsi="Arial"/>
          <w:sz w:val="17"/>
          <w:szCs w:val="17"/>
          <w:color w:val="auto"/>
        </w:rPr>
        <w:t xml:space="preserve"> </w:t>
      </w:r>
      <w:hyperlink r:id="rId110">
        <w:r>
          <w:rPr>
            <w:rFonts w:ascii="Arial" w:cs="Arial" w:eastAsia="Arial" w:hAnsi="Arial"/>
            <w:sz w:val="17"/>
            <w:szCs w:val="17"/>
            <w:color w:val="auto"/>
          </w:rPr>
          <w:t>No 001-34057), filed October 26, 2017.</w:t>
        </w:r>
      </w:hyperlink>
    </w:p>
    <w:p>
      <w:pPr>
        <w:spacing w:after="0" w:line="106" w:lineRule="exact"/>
        <w:rPr>
          <w:rFonts w:ascii="Arial" w:cs="Arial" w:eastAsia="Arial" w:hAnsi="Arial"/>
          <w:sz w:val="17"/>
          <w:szCs w:val="17"/>
          <w:color w:val="auto"/>
        </w:rPr>
      </w:pPr>
    </w:p>
    <w:p>
      <w:pPr>
        <w:jc w:val="both"/>
        <w:ind w:left="560" w:hanging="1254"/>
        <w:spacing w:after="0" w:line="288" w:lineRule="auto"/>
        <w:tabs>
          <w:tab w:leader="none" w:pos="540" w:val="left"/>
        </w:tabs>
        <w:rPr>
          <w:rFonts w:ascii="Arial" w:cs="Arial" w:eastAsia="Arial" w:hAnsi="Arial"/>
          <w:sz w:val="17"/>
          <w:szCs w:val="17"/>
          <w:color w:val="auto"/>
        </w:rPr>
      </w:pPr>
      <w:hyperlink r:id="rId111">
        <w:r>
          <w:rPr>
            <w:rFonts w:ascii="Arial" w:cs="Arial" w:eastAsia="Arial" w:hAnsi="Arial"/>
            <w:sz w:val="17"/>
            <w:szCs w:val="17"/>
            <w:color w:val="auto"/>
          </w:rPr>
          <w:t>*3.5</w:t>
        </w:r>
      </w:hyperlink>
      <w:r>
        <w:rPr>
          <w:rFonts w:ascii="Arial" w:cs="Arial" w:eastAsia="Arial" w:hAnsi="Arial"/>
          <w:sz w:val="17"/>
          <w:szCs w:val="17"/>
          <w:color w:val="auto"/>
        </w:rPr>
        <w:tab/>
      </w:r>
      <w:hyperlink r:id="rId111">
        <w:r>
          <w:rPr>
            <w:rFonts w:ascii="Arial" w:cs="Arial" w:eastAsia="Arial" w:hAnsi="Arial"/>
            <w:sz w:val="17"/>
            <w:szCs w:val="17"/>
            <w:color w:val="auto"/>
          </w:rPr>
          <w:t>Certificate of Designations of 6.875% Series D Fixed-to-Floating Rate Cumulative Redeemable Preferred Stock, incorporated herein by reference to</w:t>
        </w:r>
      </w:hyperlink>
      <w:r>
        <w:rPr>
          <w:rFonts w:ascii="Arial" w:cs="Arial" w:eastAsia="Arial" w:hAnsi="Arial"/>
          <w:sz w:val="17"/>
          <w:szCs w:val="17"/>
          <w:color w:val="auto"/>
        </w:rPr>
        <w:t xml:space="preserve"> </w:t>
      </w:r>
      <w:hyperlink r:id="rId111">
        <w:r>
          <w:rPr>
            <w:rFonts w:ascii="Arial" w:cs="Arial" w:eastAsia="Arial" w:hAnsi="Arial"/>
            <w:sz w:val="17"/>
            <w:szCs w:val="17"/>
            <w:color w:val="auto"/>
          </w:rPr>
          <w:t>Exhibit 3.5 of Form 8-A (File No 001-34057), filed March 6, 2019.</w:t>
        </w:r>
      </w:hyperlink>
    </w:p>
    <w:p>
      <w:pPr>
        <w:spacing w:after="0" w:line="106" w:lineRule="exact"/>
        <w:rPr>
          <w:rFonts w:ascii="Arial" w:cs="Arial" w:eastAsia="Arial" w:hAnsi="Arial"/>
          <w:sz w:val="17"/>
          <w:szCs w:val="17"/>
          <w:color w:val="auto"/>
        </w:rPr>
      </w:pPr>
    </w:p>
    <w:p>
      <w:pPr>
        <w:jc w:val="both"/>
        <w:ind w:left="580" w:hanging="1254"/>
        <w:spacing w:after="0" w:line="288" w:lineRule="auto"/>
        <w:tabs>
          <w:tab w:leader="none" w:pos="560" w:val="left"/>
        </w:tabs>
        <w:rPr>
          <w:rFonts w:ascii="Arial" w:cs="Arial" w:eastAsia="Arial" w:hAnsi="Arial"/>
          <w:sz w:val="17"/>
          <w:szCs w:val="17"/>
          <w:color w:val="auto"/>
        </w:rPr>
      </w:pPr>
      <w:hyperlink r:id="rId112">
        <w:r>
          <w:rPr>
            <w:rFonts w:ascii="Arial" w:cs="Arial" w:eastAsia="Arial" w:hAnsi="Arial"/>
            <w:sz w:val="17"/>
            <w:szCs w:val="17"/>
            <w:color w:val="auto"/>
          </w:rPr>
          <w:t>*3.6</w:t>
        </w:r>
      </w:hyperlink>
      <w:r>
        <w:rPr>
          <w:rFonts w:ascii="Arial" w:cs="Arial" w:eastAsia="Arial" w:hAnsi="Arial"/>
          <w:sz w:val="17"/>
          <w:szCs w:val="17"/>
          <w:color w:val="auto"/>
        </w:rPr>
        <w:tab/>
      </w:r>
      <w:hyperlink r:id="rId112">
        <w:r>
          <w:rPr>
            <w:rFonts w:ascii="Arial" w:cs="Arial" w:eastAsia="Arial" w:hAnsi="Arial"/>
            <w:sz w:val="17"/>
            <w:szCs w:val="17"/>
            <w:color w:val="auto"/>
          </w:rPr>
          <w:t>Certificate of Designations of 6.50% Series E Fixed-to-Floating Rate Cumulative Redeemable Preferred Stock, incorporated herein by reference to</w:t>
        </w:r>
      </w:hyperlink>
      <w:r>
        <w:rPr>
          <w:rFonts w:ascii="Arial" w:cs="Arial" w:eastAsia="Arial" w:hAnsi="Arial"/>
          <w:sz w:val="17"/>
          <w:szCs w:val="17"/>
          <w:color w:val="auto"/>
        </w:rPr>
        <w:t xml:space="preserve"> </w:t>
      </w:r>
      <w:hyperlink r:id="rId112">
        <w:r>
          <w:rPr>
            <w:rFonts w:ascii="Arial" w:cs="Arial" w:eastAsia="Arial" w:hAnsi="Arial"/>
            <w:sz w:val="17"/>
            <w:szCs w:val="17"/>
            <w:color w:val="auto"/>
          </w:rPr>
          <w:t>Exhibit 3.6 of Form 8-A (File No 001-34057), filed October 3, 2019.</w:t>
        </w:r>
      </w:hyperlink>
    </w:p>
    <w:p>
      <w:pPr>
        <w:spacing w:after="0" w:line="106" w:lineRule="exact"/>
        <w:rPr>
          <w:rFonts w:ascii="Arial" w:cs="Arial" w:eastAsia="Arial" w:hAnsi="Arial"/>
          <w:sz w:val="17"/>
          <w:szCs w:val="17"/>
          <w:color w:val="auto"/>
        </w:rPr>
      </w:pPr>
    </w:p>
    <w:p>
      <w:pPr>
        <w:jc w:val="both"/>
        <w:ind w:left="480" w:hanging="1254"/>
        <w:spacing w:after="0" w:line="288" w:lineRule="auto"/>
        <w:tabs>
          <w:tab w:leader="none" w:pos="460" w:val="left"/>
        </w:tabs>
        <w:rPr>
          <w:rFonts w:ascii="Arial" w:cs="Arial" w:eastAsia="Arial" w:hAnsi="Arial"/>
          <w:sz w:val="17"/>
          <w:szCs w:val="17"/>
          <w:color w:val="auto"/>
        </w:rPr>
      </w:pPr>
      <w:hyperlink r:id="rId113">
        <w:r>
          <w:rPr>
            <w:rFonts w:ascii="Arial" w:cs="Arial" w:eastAsia="Arial" w:hAnsi="Arial"/>
            <w:sz w:val="17"/>
            <w:szCs w:val="17"/>
            <w:color w:val="auto"/>
          </w:rPr>
          <w:t>*3.7</w:t>
        </w:r>
      </w:hyperlink>
      <w:r>
        <w:rPr>
          <w:rFonts w:ascii="Arial" w:cs="Arial" w:eastAsia="Arial" w:hAnsi="Arial"/>
          <w:sz w:val="17"/>
          <w:szCs w:val="17"/>
          <w:color w:val="auto"/>
        </w:rPr>
        <w:tab/>
      </w:r>
      <w:hyperlink r:id="rId113">
        <w:r>
          <w:rPr>
            <w:rFonts w:ascii="Arial" w:cs="Arial" w:eastAsia="Arial" w:hAnsi="Arial"/>
            <w:sz w:val="17"/>
            <w:szCs w:val="17"/>
            <w:color w:val="auto"/>
          </w:rPr>
          <w:t>Certificate of Elimination of 7.750% Series B Cumulative Redeemable Preferred Stock, incorporated herein by reference to Exhibit 3.1 of Form 8-K (File</w:t>
        </w:r>
      </w:hyperlink>
      <w:r>
        <w:rPr>
          <w:rFonts w:ascii="Arial" w:cs="Arial" w:eastAsia="Arial" w:hAnsi="Arial"/>
          <w:sz w:val="17"/>
          <w:szCs w:val="17"/>
          <w:color w:val="auto"/>
        </w:rPr>
        <w:t xml:space="preserve"> </w:t>
      </w:r>
      <w:hyperlink r:id="rId113">
        <w:r>
          <w:rPr>
            <w:rFonts w:ascii="Arial" w:cs="Arial" w:eastAsia="Arial" w:hAnsi="Arial"/>
            <w:sz w:val="17"/>
            <w:szCs w:val="17"/>
            <w:color w:val="auto"/>
          </w:rPr>
          <w:t>No 001-34057), filed December 13, 2019.</w:t>
        </w:r>
      </w:hyperlink>
    </w:p>
    <w:p>
      <w:pPr>
        <w:spacing w:after="0" w:line="106" w:lineRule="exact"/>
        <w:rPr>
          <w:rFonts w:ascii="Arial" w:cs="Arial" w:eastAsia="Arial" w:hAnsi="Arial"/>
          <w:sz w:val="17"/>
          <w:szCs w:val="17"/>
          <w:color w:val="auto"/>
        </w:rPr>
      </w:pPr>
    </w:p>
    <w:p>
      <w:pPr>
        <w:jc w:val="both"/>
        <w:ind w:left="560" w:hanging="1254"/>
        <w:spacing w:after="0" w:line="288" w:lineRule="auto"/>
        <w:tabs>
          <w:tab w:leader="none" w:pos="540" w:val="left"/>
        </w:tabs>
        <w:rPr>
          <w:rFonts w:ascii="Arial" w:cs="Arial" w:eastAsia="Arial" w:hAnsi="Arial"/>
          <w:sz w:val="17"/>
          <w:szCs w:val="17"/>
          <w:color w:val="auto"/>
        </w:rPr>
      </w:pPr>
      <w:hyperlink r:id="rId114">
        <w:r>
          <w:rPr>
            <w:rFonts w:ascii="Arial" w:cs="Arial" w:eastAsia="Arial" w:hAnsi="Arial"/>
            <w:sz w:val="17"/>
            <w:szCs w:val="17"/>
            <w:color w:val="auto"/>
          </w:rPr>
          <w:t>*3.8</w:t>
        </w:r>
      </w:hyperlink>
      <w:r>
        <w:rPr>
          <w:rFonts w:ascii="Arial" w:cs="Arial" w:eastAsia="Arial" w:hAnsi="Arial"/>
          <w:sz w:val="17"/>
          <w:szCs w:val="17"/>
          <w:color w:val="auto"/>
        </w:rPr>
        <w:tab/>
      </w:r>
      <w:hyperlink r:id="rId114">
        <w:r>
          <w:rPr>
            <w:rFonts w:ascii="Arial" w:cs="Arial" w:eastAsia="Arial" w:hAnsi="Arial"/>
            <w:sz w:val="17"/>
            <w:szCs w:val="17"/>
            <w:color w:val="auto"/>
          </w:rPr>
          <w:t>Certificate of Designations of 6.125% Series F Fixed-to-Floating Rate Cumulative Redeemable Preferred Stock, incorporated herein by reference to</w:t>
        </w:r>
      </w:hyperlink>
      <w:r>
        <w:rPr>
          <w:rFonts w:ascii="Arial" w:cs="Arial" w:eastAsia="Arial" w:hAnsi="Arial"/>
          <w:sz w:val="17"/>
          <w:szCs w:val="17"/>
          <w:color w:val="auto"/>
        </w:rPr>
        <w:t xml:space="preserve"> </w:t>
      </w:r>
      <w:hyperlink r:id="rId114">
        <w:r>
          <w:rPr>
            <w:rFonts w:ascii="Arial" w:cs="Arial" w:eastAsia="Arial" w:hAnsi="Arial"/>
            <w:sz w:val="17"/>
            <w:szCs w:val="17"/>
            <w:color w:val="auto"/>
          </w:rPr>
          <w:t>Exhibit 3.6 of Form 8-A (File No 001-34057), filed February 11, 2020.</w:t>
        </w:r>
      </w:hyperlink>
    </w:p>
    <w:p>
      <w:pPr>
        <w:spacing w:after="0" w:line="106" w:lineRule="exact"/>
        <w:rPr>
          <w:rFonts w:ascii="Arial" w:cs="Arial" w:eastAsia="Arial" w:hAnsi="Arial"/>
          <w:sz w:val="17"/>
          <w:szCs w:val="17"/>
          <w:color w:val="auto"/>
        </w:rPr>
      </w:pPr>
    </w:p>
    <w:p>
      <w:pPr>
        <w:jc w:val="both"/>
        <w:ind w:left="480" w:hanging="1254"/>
        <w:spacing w:after="0" w:line="288" w:lineRule="auto"/>
        <w:tabs>
          <w:tab w:leader="none" w:pos="460" w:val="left"/>
        </w:tabs>
        <w:rPr>
          <w:rFonts w:ascii="Arial" w:cs="Arial" w:eastAsia="Arial" w:hAnsi="Arial"/>
          <w:sz w:val="17"/>
          <w:szCs w:val="17"/>
          <w:color w:val="auto"/>
        </w:rPr>
      </w:pPr>
      <w:hyperlink r:id="rId115">
        <w:r>
          <w:rPr>
            <w:rFonts w:ascii="Arial" w:cs="Arial" w:eastAsia="Arial" w:hAnsi="Arial"/>
            <w:sz w:val="17"/>
            <w:szCs w:val="17"/>
            <w:color w:val="auto"/>
          </w:rPr>
          <w:t>*3.9</w:t>
        </w:r>
      </w:hyperlink>
      <w:r>
        <w:rPr>
          <w:rFonts w:ascii="Arial" w:cs="Arial" w:eastAsia="Arial" w:hAnsi="Arial"/>
          <w:sz w:val="17"/>
          <w:szCs w:val="17"/>
          <w:color w:val="auto"/>
        </w:rPr>
        <w:tab/>
      </w:r>
      <w:hyperlink r:id="rId115">
        <w:r>
          <w:rPr>
            <w:rFonts w:ascii="Arial" w:cs="Arial" w:eastAsia="Arial" w:hAnsi="Arial"/>
            <w:sz w:val="17"/>
            <w:szCs w:val="17"/>
            <w:color w:val="auto"/>
          </w:rPr>
          <w:t>Certificate of Designations of 7.75% Series G Fixed-Rate Reset Cumulative Redeemable Preferred Stock, incorporated herein by reference to Exhibit 3.7</w:t>
        </w:r>
      </w:hyperlink>
      <w:r>
        <w:rPr>
          <w:rFonts w:ascii="Arial" w:cs="Arial" w:eastAsia="Arial" w:hAnsi="Arial"/>
          <w:sz w:val="17"/>
          <w:szCs w:val="17"/>
          <w:color w:val="auto"/>
        </w:rPr>
        <w:t xml:space="preserve"> </w:t>
      </w:r>
      <w:hyperlink r:id="rId115">
        <w:r>
          <w:rPr>
            <w:rFonts w:ascii="Arial" w:cs="Arial" w:eastAsia="Arial" w:hAnsi="Arial"/>
            <w:sz w:val="17"/>
            <w:szCs w:val="17"/>
            <w:color w:val="auto"/>
          </w:rPr>
          <w:t>of Form 8-A (File No 001-34057), filed September 14, 2022.</w:t>
        </w:r>
      </w:hyperlink>
    </w:p>
    <w:p>
      <w:pPr>
        <w:spacing w:after="0" w:line="106" w:lineRule="exact"/>
        <w:rPr>
          <w:rFonts w:ascii="Arial" w:cs="Arial" w:eastAsia="Arial" w:hAnsi="Arial"/>
          <w:sz w:val="17"/>
          <w:szCs w:val="17"/>
          <w:color w:val="auto"/>
        </w:rPr>
      </w:pPr>
    </w:p>
    <w:p>
      <w:pPr>
        <w:jc w:val="both"/>
        <w:ind w:left="620" w:hanging="1254"/>
        <w:spacing w:after="0" w:line="272" w:lineRule="auto"/>
        <w:tabs>
          <w:tab w:leader="none" w:pos="600" w:val="left"/>
        </w:tabs>
        <w:rPr>
          <w:rFonts w:ascii="Arial" w:cs="Arial" w:eastAsia="Arial" w:hAnsi="Arial"/>
          <w:sz w:val="17"/>
          <w:szCs w:val="17"/>
          <w:color w:val="auto"/>
        </w:rPr>
      </w:pPr>
      <w:hyperlink r:id="rId107">
        <w:r>
          <w:rPr>
            <w:rFonts w:ascii="Arial" w:cs="Arial" w:eastAsia="Arial" w:hAnsi="Arial"/>
            <w:sz w:val="17"/>
            <w:szCs w:val="17"/>
            <w:color w:val="auto"/>
          </w:rPr>
          <w:t>*4.1</w:t>
        </w:r>
      </w:hyperlink>
      <w:r>
        <w:rPr>
          <w:rFonts w:ascii="Arial" w:cs="Arial" w:eastAsia="Arial" w:hAnsi="Arial"/>
          <w:sz w:val="17"/>
          <w:szCs w:val="17"/>
          <w:color w:val="auto"/>
        </w:rPr>
        <w:tab/>
      </w:r>
      <w:hyperlink r:id="rId107">
        <w:r>
          <w:rPr>
            <w:rFonts w:ascii="Arial" w:cs="Arial" w:eastAsia="Arial" w:hAnsi="Arial"/>
            <w:sz w:val="17"/>
            <w:szCs w:val="17"/>
            <w:color w:val="auto"/>
          </w:rPr>
          <w:t>Instruments defining the rights of holders of securities: See Article IV of our Amended and Restated Certificate of Incorporation, as amended,</w:t>
        </w:r>
      </w:hyperlink>
      <w:r>
        <w:rPr>
          <w:rFonts w:ascii="Arial" w:cs="Arial" w:eastAsia="Arial" w:hAnsi="Arial"/>
          <w:sz w:val="17"/>
          <w:szCs w:val="17"/>
          <w:color w:val="auto"/>
        </w:rPr>
        <w:t xml:space="preserve"> </w:t>
      </w:r>
      <w:hyperlink r:id="rId107">
        <w:r>
          <w:rPr>
            <w:rFonts w:ascii="Arial" w:cs="Arial" w:eastAsia="Arial" w:hAnsi="Arial"/>
            <w:sz w:val="17"/>
            <w:szCs w:val="17"/>
            <w:color w:val="auto"/>
          </w:rPr>
          <w:t>incorporated herein by reference to Exhibit 3.1 of Form 10-K for the year ended December 31, 2021 (File No. 001-34057), filed February 23,</w:t>
        </w:r>
      </w:hyperlink>
      <w:r>
        <w:rPr>
          <w:rFonts w:ascii="Arial" w:cs="Arial" w:eastAsia="Arial" w:hAnsi="Arial"/>
          <w:sz w:val="17"/>
          <w:szCs w:val="17"/>
          <w:color w:val="auto"/>
        </w:rPr>
        <w:t xml:space="preserve"> </w:t>
      </w:r>
      <w:hyperlink r:id="rId107">
        <w:r>
          <w:rPr>
            <w:rFonts w:ascii="Arial" w:cs="Arial" w:eastAsia="Arial" w:hAnsi="Arial"/>
            <w:sz w:val="17"/>
            <w:szCs w:val="17"/>
            <w:color w:val="auto"/>
          </w:rPr>
          <w:t>2022.</w:t>
        </w:r>
      </w:hyperlink>
    </w:p>
    <w:p>
      <w:pPr>
        <w:spacing w:after="0" w:line="119" w:lineRule="exact"/>
        <w:rPr>
          <w:rFonts w:ascii="Arial" w:cs="Arial" w:eastAsia="Arial" w:hAnsi="Arial"/>
          <w:sz w:val="17"/>
          <w:szCs w:val="17"/>
          <w:color w:val="auto"/>
        </w:rPr>
      </w:pPr>
    </w:p>
    <w:p>
      <w:pPr>
        <w:jc w:val="both"/>
        <w:ind w:left="500" w:hanging="1254"/>
        <w:spacing w:after="0" w:line="288" w:lineRule="auto"/>
        <w:tabs>
          <w:tab w:leader="none" w:pos="480" w:val="left"/>
        </w:tabs>
        <w:rPr>
          <w:rFonts w:ascii="Arial" w:cs="Arial" w:eastAsia="Arial" w:hAnsi="Arial"/>
          <w:sz w:val="17"/>
          <w:szCs w:val="17"/>
          <w:color w:val="auto"/>
        </w:rPr>
      </w:pPr>
      <w:hyperlink r:id="rId108">
        <w:r>
          <w:rPr>
            <w:rFonts w:ascii="Arial" w:cs="Arial" w:eastAsia="Arial" w:hAnsi="Arial"/>
            <w:sz w:val="17"/>
            <w:szCs w:val="17"/>
            <w:color w:val="auto"/>
          </w:rPr>
          <w:t>*4.2</w:t>
        </w:r>
      </w:hyperlink>
      <w:r>
        <w:rPr>
          <w:rFonts w:ascii="Arial" w:cs="Arial" w:eastAsia="Arial" w:hAnsi="Arial"/>
          <w:sz w:val="17"/>
          <w:szCs w:val="17"/>
          <w:color w:val="auto"/>
        </w:rPr>
        <w:tab/>
      </w:r>
      <w:hyperlink r:id="rId108">
        <w:r>
          <w:rPr>
            <w:rFonts w:ascii="Arial" w:cs="Arial" w:eastAsia="Arial" w:hAnsi="Arial"/>
            <w:sz w:val="17"/>
            <w:szCs w:val="17"/>
            <w:color w:val="auto"/>
          </w:rPr>
          <w:t>Instruments defining the rights of holders of securities: See Article VI of our Fourth Amended and Restated Bylaws, as amended, incorporated herein by</w:t>
        </w:r>
      </w:hyperlink>
      <w:r>
        <w:rPr>
          <w:rFonts w:ascii="Arial" w:cs="Arial" w:eastAsia="Arial" w:hAnsi="Arial"/>
          <w:sz w:val="17"/>
          <w:szCs w:val="17"/>
          <w:color w:val="auto"/>
        </w:rPr>
        <w:t xml:space="preserve"> </w:t>
      </w:r>
      <w:hyperlink r:id="rId108">
        <w:r>
          <w:rPr>
            <w:rFonts w:ascii="Arial" w:cs="Arial" w:eastAsia="Arial" w:hAnsi="Arial"/>
            <w:sz w:val="17"/>
            <w:szCs w:val="17"/>
            <w:color w:val="auto"/>
          </w:rPr>
          <w:t>reference to Exhibit 3.1 of Form 8-K, filed March 11, 2021.</w:t>
        </w:r>
      </w:hyperlink>
    </w:p>
    <w:p>
      <w:pPr>
        <w:spacing w:after="0" w:line="106" w:lineRule="exact"/>
        <w:rPr>
          <w:rFonts w:ascii="Arial" w:cs="Arial" w:eastAsia="Arial" w:hAnsi="Arial"/>
          <w:sz w:val="17"/>
          <w:szCs w:val="17"/>
          <w:color w:val="auto"/>
        </w:rPr>
      </w:pPr>
    </w:p>
    <w:p>
      <w:pPr>
        <w:spacing w:after="0"/>
        <w:tabs>
          <w:tab w:leader="none" w:pos="460" w:val="left"/>
        </w:tabs>
        <w:rPr>
          <w:rFonts w:ascii="Arial" w:cs="Arial" w:eastAsia="Arial" w:hAnsi="Arial"/>
          <w:sz w:val="16"/>
          <w:szCs w:val="16"/>
          <w:color w:val="auto"/>
        </w:rPr>
      </w:pPr>
      <w:hyperlink r:id="rId116">
        <w:r>
          <w:rPr>
            <w:rFonts w:ascii="Arial" w:cs="Arial" w:eastAsia="Arial" w:hAnsi="Arial"/>
            <w:sz w:val="17"/>
            <w:szCs w:val="17"/>
            <w:color w:val="auto"/>
          </w:rPr>
          <w:t>*4.3</w:t>
        </w:r>
      </w:hyperlink>
      <w:r>
        <w:rPr>
          <w:rFonts w:ascii="Arial" w:cs="Arial" w:eastAsia="Arial" w:hAnsi="Arial"/>
          <w:sz w:val="17"/>
          <w:szCs w:val="17"/>
          <w:color w:val="auto"/>
        </w:rPr>
        <w:tab/>
      </w:r>
      <w:hyperlink r:id="rId116">
        <w:r>
          <w:rPr>
            <w:rFonts w:ascii="Arial" w:cs="Arial" w:eastAsia="Arial" w:hAnsi="Arial"/>
            <w:sz w:val="16"/>
            <w:szCs w:val="16"/>
            <w:color w:val="auto"/>
          </w:rPr>
          <w:t>Form of Certificate for Common Stock, incorporated herein by reference to Exhibit 4.3 of Form 10-Q for the quarter ended September 30, 2022 (File No.</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116">
        <w:r>
          <w:rPr>
            <w:rFonts w:ascii="Arial" w:cs="Arial" w:eastAsia="Arial" w:hAnsi="Arial"/>
            <w:sz w:val="17"/>
            <w:szCs w:val="17"/>
            <w:color w:val="auto"/>
          </w:rPr>
          <w:t>001-34057), filed November 7, 2022.</w:t>
        </w:r>
      </w:hyperlink>
    </w:p>
    <w:p>
      <w:pPr>
        <w:spacing w:after="0" w:line="158" w:lineRule="exact"/>
        <w:rPr>
          <w:sz w:val="20"/>
          <w:szCs w:val="20"/>
          <w:color w:val="auto"/>
        </w:rPr>
      </w:pPr>
    </w:p>
    <w:p>
      <w:pPr>
        <w:jc w:val="both"/>
        <w:ind w:left="500" w:hanging="1254"/>
        <w:spacing w:after="0" w:line="288" w:lineRule="auto"/>
        <w:tabs>
          <w:tab w:leader="none" w:pos="480" w:val="left"/>
        </w:tabs>
        <w:rPr>
          <w:rFonts w:ascii="Arial" w:cs="Arial" w:eastAsia="Arial" w:hAnsi="Arial"/>
          <w:sz w:val="17"/>
          <w:szCs w:val="17"/>
          <w:color w:val="auto"/>
        </w:rPr>
      </w:pPr>
      <w:hyperlink r:id="rId117">
        <w:r>
          <w:rPr>
            <w:rFonts w:ascii="Arial" w:cs="Arial" w:eastAsia="Arial" w:hAnsi="Arial"/>
            <w:sz w:val="17"/>
            <w:szCs w:val="17"/>
            <w:color w:val="auto"/>
          </w:rPr>
          <w:t>*4.4</w:t>
        </w:r>
      </w:hyperlink>
      <w:r>
        <w:rPr>
          <w:rFonts w:ascii="Arial" w:cs="Arial" w:eastAsia="Arial" w:hAnsi="Arial"/>
          <w:sz w:val="17"/>
          <w:szCs w:val="17"/>
          <w:color w:val="auto"/>
        </w:rPr>
        <w:tab/>
      </w:r>
      <w:hyperlink r:id="rId117">
        <w:r>
          <w:rPr>
            <w:rFonts w:ascii="Arial" w:cs="Arial" w:eastAsia="Arial" w:hAnsi="Arial"/>
            <w:sz w:val="17"/>
            <w:szCs w:val="17"/>
            <w:color w:val="auto"/>
          </w:rPr>
          <w:t>Specimen 7.00% Series C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117">
        <w:r>
          <w:rPr>
            <w:rFonts w:ascii="Arial" w:cs="Arial" w:eastAsia="Arial" w:hAnsi="Arial"/>
            <w:sz w:val="17"/>
            <w:szCs w:val="17"/>
            <w:color w:val="auto"/>
          </w:rPr>
          <w:t>Form 8-A (File No. 001-34057), filed August 18, 2017.</w:t>
        </w:r>
      </w:hyperlink>
    </w:p>
    <w:p>
      <w:pPr>
        <w:spacing w:after="0" w:line="106" w:lineRule="exact"/>
        <w:rPr>
          <w:rFonts w:ascii="Arial" w:cs="Arial" w:eastAsia="Arial" w:hAnsi="Arial"/>
          <w:sz w:val="17"/>
          <w:szCs w:val="17"/>
          <w:color w:val="auto"/>
        </w:rPr>
      </w:pPr>
    </w:p>
    <w:p>
      <w:pPr>
        <w:jc w:val="both"/>
        <w:ind w:left="480" w:hanging="1254"/>
        <w:spacing w:after="0" w:line="288" w:lineRule="auto"/>
        <w:tabs>
          <w:tab w:leader="none" w:pos="460" w:val="left"/>
        </w:tabs>
        <w:rPr>
          <w:rFonts w:ascii="Arial" w:cs="Arial" w:eastAsia="Arial" w:hAnsi="Arial"/>
          <w:sz w:val="17"/>
          <w:szCs w:val="17"/>
          <w:color w:val="auto"/>
        </w:rPr>
      </w:pPr>
      <w:hyperlink r:id="rId118">
        <w:r>
          <w:rPr>
            <w:rFonts w:ascii="Arial" w:cs="Arial" w:eastAsia="Arial" w:hAnsi="Arial"/>
            <w:sz w:val="17"/>
            <w:szCs w:val="17"/>
            <w:color w:val="auto"/>
          </w:rPr>
          <w:t>*4.5</w:t>
        </w:r>
      </w:hyperlink>
      <w:r>
        <w:rPr>
          <w:rFonts w:ascii="Arial" w:cs="Arial" w:eastAsia="Arial" w:hAnsi="Arial"/>
          <w:sz w:val="17"/>
          <w:szCs w:val="17"/>
          <w:color w:val="auto"/>
        </w:rPr>
        <w:tab/>
      </w:r>
      <w:hyperlink r:id="rId118">
        <w:r>
          <w:rPr>
            <w:rFonts w:ascii="Arial" w:cs="Arial" w:eastAsia="Arial" w:hAnsi="Arial"/>
            <w:sz w:val="17"/>
            <w:szCs w:val="17"/>
            <w:color w:val="auto"/>
          </w:rPr>
          <w:t>Specimen 6.875% Series D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118">
        <w:r>
          <w:rPr>
            <w:rFonts w:ascii="Arial" w:cs="Arial" w:eastAsia="Arial" w:hAnsi="Arial"/>
            <w:sz w:val="17"/>
            <w:szCs w:val="17"/>
            <w:color w:val="auto"/>
          </w:rPr>
          <w:t>Form 8-A (File No. 001-34057), filed March 6, 2019.</w:t>
        </w:r>
      </w:hyperlink>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1" w:name="page82"/>
    <w:bookmarkEnd w:id="81"/>
    <w:p>
      <w:pPr>
        <w:jc w:val="both"/>
        <w:ind w:left="500" w:hanging="1254"/>
        <w:spacing w:after="0" w:line="288" w:lineRule="auto"/>
        <w:tabs>
          <w:tab w:leader="none" w:pos="480" w:val="left"/>
        </w:tabs>
        <w:rPr>
          <w:rFonts w:ascii="Arial" w:cs="Arial" w:eastAsia="Arial" w:hAnsi="Arial"/>
          <w:sz w:val="17"/>
          <w:szCs w:val="17"/>
          <w:color w:val="auto"/>
        </w:rPr>
      </w:pPr>
      <w:hyperlink r:id="rId120">
        <w:r>
          <w:rPr>
            <w:rFonts w:ascii="Arial" w:cs="Arial" w:eastAsia="Arial" w:hAnsi="Arial"/>
            <w:sz w:val="17"/>
            <w:szCs w:val="17"/>
            <w:color w:val="auto"/>
          </w:rPr>
          <w:t>*4.6</w:t>
        </w:r>
      </w:hyperlink>
      <w:r>
        <w:rPr>
          <w:rFonts w:ascii="Arial" w:cs="Arial" w:eastAsia="Arial" w:hAnsi="Arial"/>
          <w:sz w:val="17"/>
          <w:szCs w:val="17"/>
          <w:color w:val="auto"/>
        </w:rPr>
        <w:tab/>
      </w:r>
      <w:hyperlink r:id="rId120">
        <w:r>
          <w:rPr>
            <w:rFonts w:ascii="Arial" w:cs="Arial" w:eastAsia="Arial" w:hAnsi="Arial"/>
            <w:sz w:val="17"/>
            <w:szCs w:val="17"/>
            <w:color w:val="auto"/>
          </w:rPr>
          <w:t>Specimen 6.50% Series E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120">
        <w:r>
          <w:rPr>
            <w:rFonts w:ascii="Arial" w:cs="Arial" w:eastAsia="Arial" w:hAnsi="Arial"/>
            <w:sz w:val="17"/>
            <w:szCs w:val="17"/>
            <w:color w:val="auto"/>
          </w:rPr>
          <w:t>Form 8-A (File No. 001-34057), filed October 3, 2019.</w:t>
        </w:r>
      </w:hyperlink>
    </w:p>
    <w:p>
      <w:pPr>
        <w:spacing w:after="0" w:line="106" w:lineRule="exact"/>
        <w:rPr>
          <w:rFonts w:ascii="Arial" w:cs="Arial" w:eastAsia="Arial" w:hAnsi="Arial"/>
          <w:sz w:val="17"/>
          <w:szCs w:val="17"/>
          <w:color w:val="auto"/>
        </w:rPr>
      </w:pPr>
    </w:p>
    <w:p>
      <w:pPr>
        <w:jc w:val="both"/>
        <w:ind w:left="480" w:hanging="1254"/>
        <w:spacing w:after="0" w:line="288" w:lineRule="auto"/>
        <w:tabs>
          <w:tab w:leader="none" w:pos="460" w:val="left"/>
        </w:tabs>
        <w:rPr>
          <w:rFonts w:ascii="Arial" w:cs="Arial" w:eastAsia="Arial" w:hAnsi="Arial"/>
          <w:sz w:val="17"/>
          <w:szCs w:val="17"/>
          <w:color w:val="auto"/>
        </w:rPr>
      </w:pPr>
      <w:hyperlink r:id="rId121">
        <w:r>
          <w:rPr>
            <w:rFonts w:ascii="Arial" w:cs="Arial" w:eastAsia="Arial" w:hAnsi="Arial"/>
            <w:sz w:val="17"/>
            <w:szCs w:val="17"/>
            <w:color w:val="auto"/>
          </w:rPr>
          <w:t>*4.7</w:t>
        </w:r>
      </w:hyperlink>
      <w:r>
        <w:rPr>
          <w:rFonts w:ascii="Arial" w:cs="Arial" w:eastAsia="Arial" w:hAnsi="Arial"/>
          <w:sz w:val="17"/>
          <w:szCs w:val="17"/>
          <w:color w:val="auto"/>
        </w:rPr>
        <w:tab/>
      </w:r>
      <w:hyperlink r:id="rId121">
        <w:r>
          <w:rPr>
            <w:rFonts w:ascii="Arial" w:cs="Arial" w:eastAsia="Arial" w:hAnsi="Arial"/>
            <w:sz w:val="17"/>
            <w:szCs w:val="17"/>
            <w:color w:val="auto"/>
          </w:rPr>
          <w:t>Specimen 6.125% Series F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121">
        <w:r>
          <w:rPr>
            <w:rFonts w:ascii="Arial" w:cs="Arial" w:eastAsia="Arial" w:hAnsi="Arial"/>
            <w:sz w:val="17"/>
            <w:szCs w:val="17"/>
            <w:color w:val="auto"/>
          </w:rPr>
          <w:t>Form 8-A (File No 001-34057), filed February 11, 2020.</w:t>
        </w:r>
      </w:hyperlink>
    </w:p>
    <w:p>
      <w:pPr>
        <w:spacing w:after="0" w:line="106"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122">
        <w:r>
          <w:rPr>
            <w:rFonts w:ascii="Arial" w:cs="Arial" w:eastAsia="Arial" w:hAnsi="Arial"/>
            <w:sz w:val="17"/>
            <w:szCs w:val="17"/>
            <w:color w:val="auto"/>
          </w:rPr>
          <w:t>*4.8</w:t>
        </w:r>
      </w:hyperlink>
      <w:r>
        <w:rPr>
          <w:rFonts w:ascii="Arial" w:cs="Arial" w:eastAsia="Arial" w:hAnsi="Arial"/>
          <w:sz w:val="17"/>
          <w:szCs w:val="17"/>
          <w:color w:val="auto"/>
        </w:rPr>
        <w:tab/>
      </w:r>
      <w:hyperlink r:id="rId122">
        <w:r>
          <w:rPr>
            <w:rFonts w:ascii="Arial" w:cs="Arial" w:eastAsia="Arial" w:hAnsi="Arial"/>
            <w:sz w:val="15"/>
            <w:szCs w:val="15"/>
            <w:color w:val="auto"/>
          </w:rPr>
          <w:t>Specimen 7.75% Series G Fixed-Rate Reset Cumulative Redeemable Preferred Stock Certificate, incorporated herein by reference to Exhibit 4.1 of Form</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122">
        <w:r>
          <w:rPr>
            <w:rFonts w:ascii="Arial" w:cs="Arial" w:eastAsia="Arial" w:hAnsi="Arial"/>
            <w:sz w:val="17"/>
            <w:szCs w:val="17"/>
            <w:color w:val="auto"/>
          </w:rPr>
          <w:t>8-A (File No 001-34057), filed September 14, 2022.</w:t>
        </w:r>
      </w:hyperlink>
    </w:p>
    <w:p>
      <w:pPr>
        <w:spacing w:after="0" w:line="158" w:lineRule="exact"/>
        <w:rPr>
          <w:sz w:val="20"/>
          <w:szCs w:val="20"/>
          <w:color w:val="auto"/>
        </w:rPr>
      </w:pPr>
    </w:p>
    <w:p>
      <w:pPr>
        <w:jc w:val="both"/>
        <w:ind w:left="520" w:hanging="1254"/>
        <w:spacing w:after="0" w:line="272" w:lineRule="auto"/>
        <w:tabs>
          <w:tab w:leader="none" w:pos="500" w:val="left"/>
        </w:tabs>
        <w:rPr>
          <w:rFonts w:ascii="Arial" w:cs="Arial" w:eastAsia="Arial" w:hAnsi="Arial"/>
          <w:sz w:val="17"/>
          <w:szCs w:val="17"/>
          <w:color w:val="auto"/>
        </w:rPr>
      </w:pPr>
      <w:hyperlink r:id="rId123">
        <w:r>
          <w:rPr>
            <w:rFonts w:ascii="Arial" w:cs="Arial" w:eastAsia="Arial" w:hAnsi="Arial"/>
            <w:sz w:val="17"/>
            <w:szCs w:val="17"/>
            <w:color w:val="auto"/>
          </w:rPr>
          <w:t>*4.9</w:t>
        </w:r>
      </w:hyperlink>
      <w:r>
        <w:rPr>
          <w:rFonts w:ascii="Arial" w:cs="Arial" w:eastAsia="Arial" w:hAnsi="Arial"/>
          <w:sz w:val="17"/>
          <w:szCs w:val="17"/>
          <w:color w:val="auto"/>
        </w:rPr>
        <w:tab/>
      </w:r>
      <w:hyperlink r:id="rId123">
        <w:r>
          <w:rPr>
            <w:rFonts w:ascii="Arial" w:cs="Arial" w:eastAsia="Arial" w:hAnsi="Arial"/>
            <w:sz w:val="17"/>
            <w:szCs w:val="17"/>
            <w:color w:val="auto"/>
          </w:rPr>
          <w:t>Deposit Agreement relating to 7.00% Series C Fixed-to-Floating Rate Cumulative Redeemable Preferred Stock, dated August 22, 2017, among AGNC</w:t>
        </w:r>
      </w:hyperlink>
      <w:r>
        <w:rPr>
          <w:rFonts w:ascii="Arial" w:cs="Arial" w:eastAsia="Arial" w:hAnsi="Arial"/>
          <w:sz w:val="17"/>
          <w:szCs w:val="17"/>
          <w:color w:val="auto"/>
        </w:rPr>
        <w:t xml:space="preserve"> </w:t>
      </w:r>
      <w:hyperlink r:id="rId123">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123">
        <w:r>
          <w:rPr>
            <w:rFonts w:ascii="Arial" w:cs="Arial" w:eastAsia="Arial" w:hAnsi="Arial"/>
            <w:sz w:val="17"/>
            <w:szCs w:val="17"/>
            <w:color w:val="auto"/>
          </w:rPr>
          <w:t>Exhibit 4.2 of Form 8-K (File No. 001-34057) filed August 22, 2017.</w:t>
        </w:r>
      </w:hyperlink>
    </w:p>
    <w:p>
      <w:pPr>
        <w:spacing w:after="0" w:line="120" w:lineRule="exact"/>
        <w:rPr>
          <w:rFonts w:ascii="Arial" w:cs="Arial" w:eastAsia="Arial" w:hAnsi="Arial"/>
          <w:sz w:val="17"/>
          <w:szCs w:val="17"/>
          <w:color w:val="auto"/>
        </w:rPr>
      </w:pPr>
    </w:p>
    <w:p>
      <w:pPr>
        <w:jc w:val="both"/>
        <w:ind w:left="660" w:hanging="1254"/>
        <w:spacing w:after="0" w:line="272" w:lineRule="auto"/>
        <w:tabs>
          <w:tab w:leader="none" w:pos="640" w:val="left"/>
        </w:tabs>
        <w:rPr>
          <w:rFonts w:ascii="Arial" w:cs="Arial" w:eastAsia="Arial" w:hAnsi="Arial"/>
          <w:sz w:val="17"/>
          <w:szCs w:val="17"/>
          <w:color w:val="auto"/>
        </w:rPr>
      </w:pPr>
      <w:hyperlink r:id="rId123">
        <w:r>
          <w:rPr>
            <w:rFonts w:ascii="Arial" w:cs="Arial" w:eastAsia="Arial" w:hAnsi="Arial"/>
            <w:sz w:val="17"/>
            <w:szCs w:val="17"/>
            <w:color w:val="auto"/>
          </w:rPr>
          <w:t>*4.10</w:t>
        </w:r>
      </w:hyperlink>
      <w:r>
        <w:rPr>
          <w:rFonts w:ascii="Arial" w:cs="Arial" w:eastAsia="Arial" w:hAnsi="Arial"/>
          <w:sz w:val="17"/>
          <w:szCs w:val="17"/>
          <w:color w:val="auto"/>
        </w:rPr>
        <w:tab/>
      </w:r>
      <w:hyperlink r:id="rId123">
        <w:r>
          <w:rPr>
            <w:rFonts w:ascii="Arial" w:cs="Arial" w:eastAsia="Arial" w:hAnsi="Arial"/>
            <w:sz w:val="17"/>
            <w:szCs w:val="17"/>
            <w:color w:val="auto"/>
          </w:rPr>
          <w:t>Form of Depositary Receipt representing 1/1,000th of a share of 7.00% Series C Fixed-to-Floating Rate Cumulative Redeemable Preferred Stock</w:t>
        </w:r>
      </w:hyperlink>
      <w:r>
        <w:rPr>
          <w:rFonts w:ascii="Arial" w:cs="Arial" w:eastAsia="Arial" w:hAnsi="Arial"/>
          <w:sz w:val="17"/>
          <w:szCs w:val="17"/>
          <w:color w:val="auto"/>
        </w:rPr>
        <w:t xml:space="preserve"> </w:t>
      </w:r>
      <w:hyperlink r:id="rId123">
        <w:r>
          <w:rPr>
            <w:rFonts w:ascii="Arial" w:cs="Arial" w:eastAsia="Arial" w:hAnsi="Arial"/>
            <w:sz w:val="17"/>
            <w:szCs w:val="17"/>
            <w:color w:val="auto"/>
          </w:rPr>
          <w:t>(included as part of Exhibit 4.9), incorporated herein by reference to Exhibit A of Exhibit 4.2 of Form 8-K (File No. 001-34057) filed August</w:t>
        </w:r>
      </w:hyperlink>
      <w:r>
        <w:rPr>
          <w:rFonts w:ascii="Arial" w:cs="Arial" w:eastAsia="Arial" w:hAnsi="Arial"/>
          <w:sz w:val="17"/>
          <w:szCs w:val="17"/>
          <w:color w:val="auto"/>
        </w:rPr>
        <w:t xml:space="preserve"> </w:t>
      </w:r>
      <w:hyperlink r:id="rId123">
        <w:r>
          <w:rPr>
            <w:rFonts w:ascii="Arial" w:cs="Arial" w:eastAsia="Arial" w:hAnsi="Arial"/>
            <w:sz w:val="17"/>
            <w:szCs w:val="17"/>
            <w:color w:val="auto"/>
          </w:rPr>
          <w:t>22, 2017.</w:t>
        </w:r>
      </w:hyperlink>
    </w:p>
    <w:p>
      <w:pPr>
        <w:spacing w:after="0" w:line="119" w:lineRule="exact"/>
        <w:rPr>
          <w:rFonts w:ascii="Arial" w:cs="Arial" w:eastAsia="Arial" w:hAnsi="Arial"/>
          <w:sz w:val="17"/>
          <w:szCs w:val="17"/>
          <w:color w:val="auto"/>
        </w:rPr>
      </w:pPr>
    </w:p>
    <w:p>
      <w:pPr>
        <w:jc w:val="both"/>
        <w:ind w:left="600" w:hanging="1254"/>
        <w:spacing w:after="0" w:line="272" w:lineRule="auto"/>
        <w:tabs>
          <w:tab w:leader="none" w:pos="580" w:val="left"/>
        </w:tabs>
        <w:rPr>
          <w:rFonts w:ascii="Arial" w:cs="Arial" w:eastAsia="Arial" w:hAnsi="Arial"/>
          <w:sz w:val="17"/>
          <w:szCs w:val="17"/>
          <w:color w:val="auto"/>
        </w:rPr>
      </w:pPr>
      <w:hyperlink r:id="rId124">
        <w:r>
          <w:rPr>
            <w:rFonts w:ascii="Arial" w:cs="Arial" w:eastAsia="Arial" w:hAnsi="Arial"/>
            <w:sz w:val="17"/>
            <w:szCs w:val="17"/>
            <w:color w:val="auto"/>
          </w:rPr>
          <w:t>*4.11</w:t>
        </w:r>
      </w:hyperlink>
      <w:r>
        <w:rPr>
          <w:rFonts w:ascii="Arial" w:cs="Arial" w:eastAsia="Arial" w:hAnsi="Arial"/>
          <w:sz w:val="17"/>
          <w:szCs w:val="17"/>
          <w:color w:val="auto"/>
        </w:rPr>
        <w:tab/>
      </w:r>
      <w:hyperlink r:id="rId124">
        <w:r>
          <w:rPr>
            <w:rFonts w:ascii="Arial" w:cs="Arial" w:eastAsia="Arial" w:hAnsi="Arial"/>
            <w:sz w:val="17"/>
            <w:szCs w:val="17"/>
            <w:color w:val="auto"/>
          </w:rPr>
          <w:t>Deposit Agreement relating to 6.875% Series D Fixed-to-Floating Rate Cumulative Redeemable Preferred Stock, dated March 6, 2019, among AGNC</w:t>
        </w:r>
      </w:hyperlink>
      <w:r>
        <w:rPr>
          <w:rFonts w:ascii="Arial" w:cs="Arial" w:eastAsia="Arial" w:hAnsi="Arial"/>
          <w:sz w:val="17"/>
          <w:szCs w:val="17"/>
          <w:color w:val="auto"/>
        </w:rPr>
        <w:t xml:space="preserve"> </w:t>
      </w:r>
      <w:hyperlink r:id="rId124">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124">
        <w:r>
          <w:rPr>
            <w:rFonts w:ascii="Arial" w:cs="Arial" w:eastAsia="Arial" w:hAnsi="Arial"/>
            <w:sz w:val="17"/>
            <w:szCs w:val="17"/>
            <w:color w:val="auto"/>
          </w:rPr>
          <w:t>Exhibit 4.2 of Form 8-K (File No. 001-34057) filed March 6, 2019.</w:t>
        </w:r>
      </w:hyperlink>
    </w:p>
    <w:p>
      <w:pPr>
        <w:spacing w:after="0" w:line="120" w:lineRule="exact"/>
        <w:rPr>
          <w:rFonts w:ascii="Arial" w:cs="Arial" w:eastAsia="Arial" w:hAnsi="Arial"/>
          <w:sz w:val="17"/>
          <w:szCs w:val="17"/>
          <w:color w:val="auto"/>
        </w:rPr>
      </w:pPr>
    </w:p>
    <w:p>
      <w:pPr>
        <w:jc w:val="both"/>
        <w:ind w:left="640" w:hanging="1254"/>
        <w:spacing w:after="0" w:line="272" w:lineRule="auto"/>
        <w:tabs>
          <w:tab w:leader="none" w:pos="620" w:val="left"/>
        </w:tabs>
        <w:rPr>
          <w:rFonts w:ascii="Arial" w:cs="Arial" w:eastAsia="Arial" w:hAnsi="Arial"/>
          <w:sz w:val="17"/>
          <w:szCs w:val="17"/>
          <w:color w:val="auto"/>
        </w:rPr>
      </w:pPr>
      <w:hyperlink r:id="rId124">
        <w:r>
          <w:rPr>
            <w:rFonts w:ascii="Arial" w:cs="Arial" w:eastAsia="Arial" w:hAnsi="Arial"/>
            <w:sz w:val="17"/>
            <w:szCs w:val="17"/>
            <w:color w:val="auto"/>
          </w:rPr>
          <w:t>*4.12</w:t>
        </w:r>
      </w:hyperlink>
      <w:r>
        <w:rPr>
          <w:rFonts w:ascii="Arial" w:cs="Arial" w:eastAsia="Arial" w:hAnsi="Arial"/>
          <w:sz w:val="17"/>
          <w:szCs w:val="17"/>
          <w:color w:val="auto"/>
        </w:rPr>
        <w:tab/>
      </w:r>
      <w:hyperlink r:id="rId124">
        <w:r>
          <w:rPr>
            <w:rFonts w:ascii="Arial" w:cs="Arial" w:eastAsia="Arial" w:hAnsi="Arial"/>
            <w:sz w:val="17"/>
            <w:szCs w:val="17"/>
            <w:color w:val="auto"/>
          </w:rPr>
          <w:t>Form of Depositary Receipt representing 1/1,000th of a share of 6.875% Series D Fixed-to-Floating Rate Cumulative Redeemable Preferred Stock</w:t>
        </w:r>
      </w:hyperlink>
      <w:r>
        <w:rPr>
          <w:rFonts w:ascii="Arial" w:cs="Arial" w:eastAsia="Arial" w:hAnsi="Arial"/>
          <w:sz w:val="17"/>
          <w:szCs w:val="17"/>
          <w:color w:val="auto"/>
        </w:rPr>
        <w:t xml:space="preserve"> </w:t>
      </w:r>
      <w:hyperlink r:id="rId124">
        <w:r>
          <w:rPr>
            <w:rFonts w:ascii="Arial" w:cs="Arial" w:eastAsia="Arial" w:hAnsi="Arial"/>
            <w:sz w:val="17"/>
            <w:szCs w:val="17"/>
            <w:color w:val="auto"/>
          </w:rPr>
          <w:t>(included as part of Exhibit 4.11), incorporated herein by reference to Exhibit A of Exhibit 4.2 of Form 8-K (File No. 001-34057) filed March</w:t>
        </w:r>
      </w:hyperlink>
      <w:r>
        <w:rPr>
          <w:rFonts w:ascii="Arial" w:cs="Arial" w:eastAsia="Arial" w:hAnsi="Arial"/>
          <w:sz w:val="17"/>
          <w:szCs w:val="17"/>
          <w:color w:val="auto"/>
        </w:rPr>
        <w:t xml:space="preserve"> </w:t>
      </w:r>
      <w:hyperlink r:id="rId124">
        <w:r>
          <w:rPr>
            <w:rFonts w:ascii="Arial" w:cs="Arial" w:eastAsia="Arial" w:hAnsi="Arial"/>
            <w:sz w:val="17"/>
            <w:szCs w:val="17"/>
            <w:color w:val="auto"/>
          </w:rPr>
          <w:t>6, 2019.</w:t>
        </w:r>
      </w:hyperlink>
    </w:p>
    <w:p>
      <w:pPr>
        <w:spacing w:after="0" w:line="119" w:lineRule="exact"/>
        <w:rPr>
          <w:rFonts w:ascii="Arial" w:cs="Arial" w:eastAsia="Arial" w:hAnsi="Arial"/>
          <w:sz w:val="17"/>
          <w:szCs w:val="17"/>
          <w:color w:val="auto"/>
        </w:rPr>
      </w:pPr>
    </w:p>
    <w:p>
      <w:pPr>
        <w:ind w:left="580" w:right="180" w:hanging="1254"/>
        <w:spacing w:after="0" w:line="272" w:lineRule="auto"/>
        <w:tabs>
          <w:tab w:leader="none" w:pos="560" w:val="left"/>
        </w:tabs>
        <w:rPr>
          <w:rFonts w:ascii="Arial" w:cs="Arial" w:eastAsia="Arial" w:hAnsi="Arial"/>
          <w:sz w:val="17"/>
          <w:szCs w:val="17"/>
          <w:color w:val="auto"/>
        </w:rPr>
      </w:pPr>
      <w:hyperlink r:id="rId125">
        <w:r>
          <w:rPr>
            <w:rFonts w:ascii="Arial" w:cs="Arial" w:eastAsia="Arial" w:hAnsi="Arial"/>
            <w:sz w:val="17"/>
            <w:szCs w:val="17"/>
            <w:color w:val="auto"/>
          </w:rPr>
          <w:t>*4.13</w:t>
        </w:r>
      </w:hyperlink>
      <w:r>
        <w:rPr>
          <w:rFonts w:ascii="Arial" w:cs="Arial" w:eastAsia="Arial" w:hAnsi="Arial"/>
          <w:sz w:val="17"/>
          <w:szCs w:val="17"/>
          <w:color w:val="auto"/>
        </w:rPr>
        <w:tab/>
      </w:r>
      <w:hyperlink r:id="rId125">
        <w:r>
          <w:rPr>
            <w:rFonts w:ascii="Arial" w:cs="Arial" w:eastAsia="Arial" w:hAnsi="Arial"/>
            <w:sz w:val="17"/>
            <w:szCs w:val="17"/>
            <w:color w:val="auto"/>
          </w:rPr>
          <w:t>Deposit Agreement relating to 6.50% Series E Fixed-to-Floating Rate Cumulative Redeemable Preferred Stock, dated October 3, 2019, among AGNC</w:t>
        </w:r>
      </w:hyperlink>
      <w:r>
        <w:rPr>
          <w:rFonts w:ascii="Arial" w:cs="Arial" w:eastAsia="Arial" w:hAnsi="Arial"/>
          <w:sz w:val="17"/>
          <w:szCs w:val="17"/>
          <w:color w:val="auto"/>
        </w:rPr>
        <w:t xml:space="preserve"> </w:t>
      </w:r>
      <w:hyperlink r:id="rId125">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125">
        <w:r>
          <w:rPr>
            <w:rFonts w:ascii="Arial" w:cs="Arial" w:eastAsia="Arial" w:hAnsi="Arial"/>
            <w:sz w:val="17"/>
            <w:szCs w:val="17"/>
            <w:color w:val="auto"/>
          </w:rPr>
          <w:t>Exhibit 4.2 of Form 8-K (File No. 001-34057) filed October 3, 2019.</w:t>
        </w:r>
      </w:hyperlink>
    </w:p>
    <w:p>
      <w:pPr>
        <w:spacing w:after="0" w:line="120" w:lineRule="exact"/>
        <w:rPr>
          <w:rFonts w:ascii="Arial" w:cs="Arial" w:eastAsia="Arial" w:hAnsi="Arial"/>
          <w:sz w:val="17"/>
          <w:szCs w:val="17"/>
          <w:color w:val="auto"/>
        </w:rPr>
      </w:pPr>
    </w:p>
    <w:p>
      <w:pPr>
        <w:jc w:val="both"/>
        <w:ind w:left="580" w:right="560" w:hanging="1254"/>
        <w:spacing w:after="0" w:line="272" w:lineRule="auto"/>
        <w:tabs>
          <w:tab w:leader="none" w:pos="560" w:val="left"/>
        </w:tabs>
        <w:rPr>
          <w:rFonts w:ascii="Arial" w:cs="Arial" w:eastAsia="Arial" w:hAnsi="Arial"/>
          <w:sz w:val="17"/>
          <w:szCs w:val="17"/>
          <w:color w:val="auto"/>
        </w:rPr>
      </w:pPr>
      <w:hyperlink r:id="rId125">
        <w:r>
          <w:rPr>
            <w:rFonts w:ascii="Arial" w:cs="Arial" w:eastAsia="Arial" w:hAnsi="Arial"/>
            <w:sz w:val="17"/>
            <w:szCs w:val="17"/>
            <w:color w:val="auto"/>
          </w:rPr>
          <w:t>*4.14</w:t>
        </w:r>
      </w:hyperlink>
      <w:r>
        <w:rPr>
          <w:rFonts w:ascii="Arial" w:cs="Arial" w:eastAsia="Arial" w:hAnsi="Arial"/>
          <w:sz w:val="17"/>
          <w:szCs w:val="17"/>
          <w:color w:val="auto"/>
        </w:rPr>
        <w:tab/>
      </w:r>
      <w:hyperlink r:id="rId125">
        <w:r>
          <w:rPr>
            <w:rFonts w:ascii="Arial" w:cs="Arial" w:eastAsia="Arial" w:hAnsi="Arial"/>
            <w:sz w:val="17"/>
            <w:szCs w:val="17"/>
            <w:color w:val="auto"/>
          </w:rPr>
          <w:t>Form of Depositary Receipt representing 1/1,000th of a share of 6.50% Series E Fixed-to-Floating Rate Cumulative Redeemable Preferred Stock</w:t>
        </w:r>
      </w:hyperlink>
      <w:r>
        <w:rPr>
          <w:rFonts w:ascii="Arial" w:cs="Arial" w:eastAsia="Arial" w:hAnsi="Arial"/>
          <w:sz w:val="17"/>
          <w:szCs w:val="17"/>
          <w:color w:val="auto"/>
        </w:rPr>
        <w:t xml:space="preserve"> </w:t>
      </w:r>
      <w:hyperlink r:id="rId125">
        <w:r>
          <w:rPr>
            <w:rFonts w:ascii="Arial" w:cs="Arial" w:eastAsia="Arial" w:hAnsi="Arial"/>
            <w:sz w:val="17"/>
            <w:szCs w:val="17"/>
            <w:color w:val="auto"/>
          </w:rPr>
          <w:t>(included as part of Exhibit 4.13), incorporated herein by reference to Exhibit A of Exhibit 4.2 of Form 8-K (File No. 001-34057) filed</w:t>
        </w:r>
      </w:hyperlink>
      <w:r>
        <w:rPr>
          <w:rFonts w:ascii="Arial" w:cs="Arial" w:eastAsia="Arial" w:hAnsi="Arial"/>
          <w:sz w:val="17"/>
          <w:szCs w:val="17"/>
          <w:color w:val="auto"/>
        </w:rPr>
        <w:t xml:space="preserve"> </w:t>
      </w:r>
      <w:hyperlink r:id="rId125">
        <w:r>
          <w:rPr>
            <w:rFonts w:ascii="Arial" w:cs="Arial" w:eastAsia="Arial" w:hAnsi="Arial"/>
            <w:sz w:val="17"/>
            <w:szCs w:val="17"/>
            <w:color w:val="auto"/>
          </w:rPr>
          <w:t>October 3, 2019.</w:t>
        </w:r>
      </w:hyperlink>
    </w:p>
    <w:p>
      <w:pPr>
        <w:spacing w:after="0" w:line="119" w:lineRule="exact"/>
        <w:rPr>
          <w:rFonts w:ascii="Arial" w:cs="Arial" w:eastAsia="Arial" w:hAnsi="Arial"/>
          <w:sz w:val="17"/>
          <w:szCs w:val="17"/>
          <w:color w:val="auto"/>
        </w:rPr>
      </w:pPr>
    </w:p>
    <w:p>
      <w:pPr>
        <w:ind w:left="580" w:right="500" w:hanging="1254"/>
        <w:spacing w:after="0" w:line="272" w:lineRule="auto"/>
        <w:tabs>
          <w:tab w:leader="none" w:pos="560" w:val="left"/>
        </w:tabs>
        <w:rPr>
          <w:rFonts w:ascii="Arial" w:cs="Arial" w:eastAsia="Arial" w:hAnsi="Arial"/>
          <w:sz w:val="17"/>
          <w:szCs w:val="17"/>
          <w:color w:val="auto"/>
        </w:rPr>
      </w:pPr>
      <w:hyperlink r:id="rId126">
        <w:r>
          <w:rPr>
            <w:rFonts w:ascii="Arial" w:cs="Arial" w:eastAsia="Arial" w:hAnsi="Arial"/>
            <w:sz w:val="17"/>
            <w:szCs w:val="17"/>
            <w:color w:val="auto"/>
          </w:rPr>
          <w:t>*4.15</w:t>
        </w:r>
      </w:hyperlink>
      <w:r>
        <w:rPr>
          <w:rFonts w:ascii="Arial" w:cs="Arial" w:eastAsia="Arial" w:hAnsi="Arial"/>
          <w:sz w:val="17"/>
          <w:szCs w:val="17"/>
          <w:color w:val="auto"/>
        </w:rPr>
        <w:tab/>
      </w:r>
      <w:hyperlink r:id="rId126">
        <w:r>
          <w:rPr>
            <w:rFonts w:ascii="Arial" w:cs="Arial" w:eastAsia="Arial" w:hAnsi="Arial"/>
            <w:sz w:val="17"/>
            <w:szCs w:val="17"/>
            <w:color w:val="auto"/>
          </w:rPr>
          <w:t>Deposit Agreement relating to 6.125% Series F Fixed-to-Floating Rate Cumulative Redeemable Preferred Stock, dated February 11, 2020, among</w:t>
        </w:r>
      </w:hyperlink>
      <w:r>
        <w:rPr>
          <w:rFonts w:ascii="Arial" w:cs="Arial" w:eastAsia="Arial" w:hAnsi="Arial"/>
          <w:sz w:val="17"/>
          <w:szCs w:val="17"/>
          <w:color w:val="auto"/>
        </w:rPr>
        <w:t xml:space="preserve"> </w:t>
      </w:r>
      <w:hyperlink r:id="rId126">
        <w:r>
          <w:rPr>
            <w:rFonts w:ascii="Arial" w:cs="Arial" w:eastAsia="Arial" w:hAnsi="Arial"/>
            <w:sz w:val="17"/>
            <w:szCs w:val="17"/>
            <w:color w:val="auto"/>
          </w:rPr>
          <w:t>AGNC Investment Corp., Computershare Inc. and Computershare Trust Company, N.A., jointly as depositary, incorporated herein by</w:t>
        </w:r>
      </w:hyperlink>
      <w:r>
        <w:rPr>
          <w:rFonts w:ascii="Arial" w:cs="Arial" w:eastAsia="Arial" w:hAnsi="Arial"/>
          <w:sz w:val="17"/>
          <w:szCs w:val="17"/>
          <w:color w:val="auto"/>
        </w:rPr>
        <w:t xml:space="preserve"> </w:t>
      </w:r>
      <w:hyperlink r:id="rId126">
        <w:r>
          <w:rPr>
            <w:rFonts w:ascii="Arial" w:cs="Arial" w:eastAsia="Arial" w:hAnsi="Arial"/>
            <w:sz w:val="17"/>
            <w:szCs w:val="17"/>
            <w:color w:val="auto"/>
          </w:rPr>
          <w:t>reference to Exhibit 4.1 of Form 8-K (File No. 001-34057) filed February 11, 2020.</w:t>
        </w:r>
      </w:hyperlink>
    </w:p>
    <w:p>
      <w:pPr>
        <w:spacing w:after="0" w:line="119" w:lineRule="exact"/>
        <w:rPr>
          <w:rFonts w:ascii="Arial" w:cs="Arial" w:eastAsia="Arial" w:hAnsi="Arial"/>
          <w:sz w:val="17"/>
          <w:szCs w:val="17"/>
          <w:color w:val="auto"/>
        </w:rPr>
      </w:pPr>
    </w:p>
    <w:p>
      <w:pPr>
        <w:ind w:left="580" w:right="480" w:hanging="1254"/>
        <w:spacing w:after="0" w:line="272" w:lineRule="auto"/>
        <w:tabs>
          <w:tab w:leader="none" w:pos="560" w:val="left"/>
        </w:tabs>
        <w:rPr>
          <w:rFonts w:ascii="Arial" w:cs="Arial" w:eastAsia="Arial" w:hAnsi="Arial"/>
          <w:sz w:val="17"/>
          <w:szCs w:val="17"/>
          <w:color w:val="auto"/>
        </w:rPr>
      </w:pPr>
      <w:hyperlink r:id="rId126">
        <w:r>
          <w:rPr>
            <w:rFonts w:ascii="Arial" w:cs="Arial" w:eastAsia="Arial" w:hAnsi="Arial"/>
            <w:sz w:val="17"/>
            <w:szCs w:val="17"/>
            <w:color w:val="auto"/>
          </w:rPr>
          <w:t>*4.16</w:t>
        </w:r>
      </w:hyperlink>
      <w:r>
        <w:rPr>
          <w:rFonts w:ascii="Arial" w:cs="Arial" w:eastAsia="Arial" w:hAnsi="Arial"/>
          <w:sz w:val="17"/>
          <w:szCs w:val="17"/>
          <w:color w:val="auto"/>
        </w:rPr>
        <w:tab/>
      </w:r>
      <w:hyperlink r:id="rId126">
        <w:r>
          <w:rPr>
            <w:rFonts w:ascii="Arial" w:cs="Arial" w:eastAsia="Arial" w:hAnsi="Arial"/>
            <w:sz w:val="17"/>
            <w:szCs w:val="17"/>
            <w:color w:val="auto"/>
          </w:rPr>
          <w:t>Form of Depositary Receipt representing 1/1,000th of a share of 6.125% Series F Fixed-to-Floating Rate Cumulative Redeemable Preferred Stock</w:t>
        </w:r>
      </w:hyperlink>
      <w:r>
        <w:rPr>
          <w:rFonts w:ascii="Arial" w:cs="Arial" w:eastAsia="Arial" w:hAnsi="Arial"/>
          <w:sz w:val="17"/>
          <w:szCs w:val="17"/>
          <w:color w:val="auto"/>
        </w:rPr>
        <w:t xml:space="preserve"> </w:t>
      </w:r>
      <w:hyperlink r:id="rId126">
        <w:r>
          <w:rPr>
            <w:rFonts w:ascii="Arial" w:cs="Arial" w:eastAsia="Arial" w:hAnsi="Arial"/>
            <w:sz w:val="17"/>
            <w:szCs w:val="17"/>
            <w:color w:val="auto"/>
          </w:rPr>
          <w:t>(included as part of Exhibit 4.15), incorporated herein by reference to Exhibit A of Exhibit 4.1 of Form 8-K (File No. 001-34057) filed</w:t>
        </w:r>
      </w:hyperlink>
      <w:r>
        <w:rPr>
          <w:rFonts w:ascii="Arial" w:cs="Arial" w:eastAsia="Arial" w:hAnsi="Arial"/>
          <w:sz w:val="17"/>
          <w:szCs w:val="17"/>
          <w:color w:val="auto"/>
        </w:rPr>
        <w:t xml:space="preserve"> </w:t>
      </w:r>
      <w:hyperlink r:id="rId126">
        <w:r>
          <w:rPr>
            <w:rFonts w:ascii="Arial" w:cs="Arial" w:eastAsia="Arial" w:hAnsi="Arial"/>
            <w:sz w:val="17"/>
            <w:szCs w:val="17"/>
            <w:color w:val="auto"/>
          </w:rPr>
          <w:t>February 11, 2020.</w:t>
        </w:r>
      </w:hyperlink>
    </w:p>
    <w:p>
      <w:pPr>
        <w:spacing w:after="0" w:line="119" w:lineRule="exact"/>
        <w:rPr>
          <w:rFonts w:ascii="Arial" w:cs="Arial" w:eastAsia="Arial" w:hAnsi="Arial"/>
          <w:sz w:val="17"/>
          <w:szCs w:val="17"/>
          <w:color w:val="auto"/>
        </w:rPr>
      </w:pPr>
    </w:p>
    <w:p>
      <w:pPr>
        <w:jc w:val="both"/>
        <w:ind w:left="580" w:right="280" w:hanging="1254"/>
        <w:spacing w:after="0" w:line="272" w:lineRule="auto"/>
        <w:tabs>
          <w:tab w:leader="none" w:pos="560" w:val="left"/>
        </w:tabs>
        <w:rPr>
          <w:rFonts w:ascii="Arial" w:cs="Arial" w:eastAsia="Arial" w:hAnsi="Arial"/>
          <w:sz w:val="17"/>
          <w:szCs w:val="17"/>
          <w:color w:val="auto"/>
        </w:rPr>
      </w:pPr>
      <w:hyperlink r:id="rId127">
        <w:r>
          <w:rPr>
            <w:rFonts w:ascii="Arial" w:cs="Arial" w:eastAsia="Arial" w:hAnsi="Arial"/>
            <w:sz w:val="17"/>
            <w:szCs w:val="17"/>
            <w:color w:val="auto"/>
          </w:rPr>
          <w:t>*4.17</w:t>
        </w:r>
      </w:hyperlink>
      <w:r>
        <w:rPr>
          <w:rFonts w:ascii="Arial" w:cs="Arial" w:eastAsia="Arial" w:hAnsi="Arial"/>
          <w:sz w:val="17"/>
          <w:szCs w:val="17"/>
          <w:color w:val="auto"/>
        </w:rPr>
        <w:tab/>
      </w:r>
      <w:hyperlink r:id="rId127">
        <w:r>
          <w:rPr>
            <w:rFonts w:ascii="Arial" w:cs="Arial" w:eastAsia="Arial" w:hAnsi="Arial"/>
            <w:sz w:val="17"/>
            <w:szCs w:val="17"/>
            <w:color w:val="auto"/>
          </w:rPr>
          <w:t>Deposit Agreement relating to 7.75% Series G Fixed-Rate Reset Cumulative Redeemable Preferred Stock, dated September 14, 2022, among AGNC</w:t>
        </w:r>
      </w:hyperlink>
      <w:r>
        <w:rPr>
          <w:rFonts w:ascii="Arial" w:cs="Arial" w:eastAsia="Arial" w:hAnsi="Arial"/>
          <w:sz w:val="17"/>
          <w:szCs w:val="17"/>
          <w:color w:val="auto"/>
        </w:rPr>
        <w:t xml:space="preserve"> </w:t>
      </w:r>
      <w:hyperlink r:id="rId127">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127">
        <w:r>
          <w:rPr>
            <w:rFonts w:ascii="Arial" w:cs="Arial" w:eastAsia="Arial" w:hAnsi="Arial"/>
            <w:sz w:val="17"/>
            <w:szCs w:val="17"/>
            <w:color w:val="auto"/>
          </w:rPr>
          <w:t>Exhibit 4.2 of Form 8-K (File No. 001-34057) filed September 14, 2022.</w:t>
        </w:r>
      </w:hyperlink>
    </w:p>
    <w:p>
      <w:pPr>
        <w:spacing w:after="0" w:line="119" w:lineRule="exact"/>
        <w:rPr>
          <w:rFonts w:ascii="Arial" w:cs="Arial" w:eastAsia="Arial" w:hAnsi="Arial"/>
          <w:sz w:val="17"/>
          <w:szCs w:val="17"/>
          <w:color w:val="auto"/>
        </w:rPr>
      </w:pPr>
    </w:p>
    <w:p>
      <w:pPr>
        <w:ind w:left="580" w:right="40" w:hanging="1254"/>
        <w:spacing w:after="0" w:line="272" w:lineRule="auto"/>
        <w:tabs>
          <w:tab w:leader="none" w:pos="560" w:val="left"/>
        </w:tabs>
        <w:rPr>
          <w:rFonts w:ascii="Arial" w:cs="Arial" w:eastAsia="Arial" w:hAnsi="Arial"/>
          <w:sz w:val="17"/>
          <w:szCs w:val="17"/>
          <w:color w:val="auto"/>
        </w:rPr>
      </w:pPr>
      <w:hyperlink r:id="rId127">
        <w:r>
          <w:rPr>
            <w:rFonts w:ascii="Arial" w:cs="Arial" w:eastAsia="Arial" w:hAnsi="Arial"/>
            <w:sz w:val="17"/>
            <w:szCs w:val="17"/>
            <w:color w:val="auto"/>
          </w:rPr>
          <w:t>*4.18</w:t>
        </w:r>
      </w:hyperlink>
      <w:r>
        <w:rPr>
          <w:rFonts w:ascii="Arial" w:cs="Arial" w:eastAsia="Arial" w:hAnsi="Arial"/>
          <w:sz w:val="17"/>
          <w:szCs w:val="17"/>
          <w:color w:val="auto"/>
        </w:rPr>
        <w:tab/>
      </w:r>
      <w:hyperlink r:id="rId127">
        <w:r>
          <w:rPr>
            <w:rFonts w:ascii="Arial" w:cs="Arial" w:eastAsia="Arial" w:hAnsi="Arial"/>
            <w:sz w:val="17"/>
            <w:szCs w:val="17"/>
            <w:color w:val="auto"/>
          </w:rPr>
          <w:t>Form of Depositary Receipt representing 1/1,000th of a share of 7.75% Series G Fixed-Rate Reset Cumulative Redeemable Preferred Stock (included as</w:t>
        </w:r>
      </w:hyperlink>
      <w:r>
        <w:rPr>
          <w:rFonts w:ascii="Arial" w:cs="Arial" w:eastAsia="Arial" w:hAnsi="Arial"/>
          <w:sz w:val="17"/>
          <w:szCs w:val="17"/>
          <w:color w:val="auto"/>
        </w:rPr>
        <w:t xml:space="preserve"> </w:t>
      </w:r>
      <w:hyperlink r:id="rId127">
        <w:r>
          <w:rPr>
            <w:rFonts w:ascii="Arial" w:cs="Arial" w:eastAsia="Arial" w:hAnsi="Arial"/>
            <w:sz w:val="17"/>
            <w:szCs w:val="17"/>
            <w:color w:val="auto"/>
          </w:rPr>
          <w:t>part of Exhibit 4.17), incorporated herein by reference to Exhibit A of Exhibit 4.2 of Form 8-K (File No. 001-34057) filed September 14,</w:t>
        </w:r>
      </w:hyperlink>
      <w:r>
        <w:rPr>
          <w:rFonts w:ascii="Arial" w:cs="Arial" w:eastAsia="Arial" w:hAnsi="Arial"/>
          <w:sz w:val="17"/>
          <w:szCs w:val="17"/>
          <w:color w:val="auto"/>
        </w:rPr>
        <w:t xml:space="preserve"> </w:t>
      </w:r>
      <w:hyperlink r:id="rId127">
        <w:r>
          <w:rPr>
            <w:rFonts w:ascii="Arial" w:cs="Arial" w:eastAsia="Arial" w:hAnsi="Arial"/>
            <w:sz w:val="17"/>
            <w:szCs w:val="17"/>
            <w:color w:val="auto"/>
          </w:rPr>
          <w:t>2022.</w:t>
        </w:r>
      </w:hyperlink>
    </w:p>
    <w:p>
      <w:pPr>
        <w:spacing w:after="0" w:line="119" w:lineRule="exact"/>
        <w:rPr>
          <w:rFonts w:ascii="Arial" w:cs="Arial" w:eastAsia="Arial" w:hAnsi="Arial"/>
          <w:sz w:val="17"/>
          <w:szCs w:val="17"/>
          <w:color w:val="auto"/>
        </w:rPr>
      </w:pPr>
    </w:p>
    <w:p>
      <w:pPr>
        <w:spacing w:after="0"/>
        <w:tabs>
          <w:tab w:leader="none" w:pos="460" w:val="left"/>
        </w:tabs>
        <w:rPr>
          <w:sz w:val="20"/>
          <w:szCs w:val="20"/>
          <w:color w:val="auto"/>
        </w:rPr>
      </w:pPr>
      <w:r>
        <w:rPr>
          <w:rFonts w:ascii="Arial" w:cs="Arial" w:eastAsia="Arial" w:hAnsi="Arial"/>
          <w:sz w:val="17"/>
          <w:szCs w:val="17"/>
          <w:color w:val="auto"/>
        </w:rPr>
        <w:t>4.19</w:t>
      </w:r>
      <w:r>
        <w:rPr>
          <w:sz w:val="20"/>
          <w:szCs w:val="20"/>
          <w:color w:val="auto"/>
        </w:rPr>
        <w:tab/>
      </w:r>
      <w:r>
        <w:rPr>
          <w:rFonts w:ascii="Arial" w:cs="Arial" w:eastAsia="Arial" w:hAnsi="Arial"/>
          <w:sz w:val="16"/>
          <w:szCs w:val="16"/>
          <w:color w:val="auto"/>
        </w:rPr>
        <w:t>Description of the Registrant’s Securities, filed herewith.</w:t>
      </w:r>
    </w:p>
    <w:p>
      <w:pPr>
        <w:spacing w:after="0" w:line="170" w:lineRule="exact"/>
        <w:rPr>
          <w:rFonts w:ascii="Arial" w:cs="Arial" w:eastAsia="Arial" w:hAnsi="Arial"/>
          <w:sz w:val="17"/>
          <w:szCs w:val="17"/>
          <w:color w:val="auto"/>
        </w:rPr>
      </w:pPr>
    </w:p>
    <w:p>
      <w:pPr>
        <w:spacing w:after="0"/>
        <w:tabs>
          <w:tab w:leader="none" w:pos="680" w:val="left"/>
        </w:tabs>
        <w:rPr>
          <w:rFonts w:ascii="Arial" w:cs="Arial" w:eastAsia="Arial" w:hAnsi="Arial"/>
          <w:sz w:val="16"/>
          <w:szCs w:val="16"/>
          <w:color w:val="auto"/>
        </w:rPr>
      </w:pPr>
      <w:hyperlink r:id="rId128">
        <w:r>
          <w:rPr>
            <w:rFonts w:ascii="Arial" w:cs="Arial" w:eastAsia="Arial" w:hAnsi="Arial"/>
            <w:sz w:val="17"/>
            <w:szCs w:val="17"/>
            <w:color w:val="auto"/>
          </w:rPr>
          <w:t>†* 10.1</w:t>
        </w:r>
      </w:hyperlink>
      <w:r>
        <w:rPr>
          <w:rFonts w:ascii="Arial" w:cs="Arial" w:eastAsia="Arial" w:hAnsi="Arial"/>
          <w:sz w:val="17"/>
          <w:szCs w:val="17"/>
          <w:color w:val="auto"/>
        </w:rPr>
        <w:tab/>
      </w:r>
      <w:hyperlink r:id="rId129">
        <w:r>
          <w:rPr>
            <w:rFonts w:ascii="Arial" w:cs="Arial" w:eastAsia="Arial" w:hAnsi="Arial"/>
            <w:sz w:val="16"/>
            <w:szCs w:val="16"/>
            <w:color w:val="auto"/>
          </w:rPr>
          <w:t>Form of Indemnification Agreement, incorporated herein by reference to Exhibit 10.1 of Form 8-K (File No. 001-34057) filed October 25, 2021.</w:t>
        </w:r>
      </w:hyperlink>
    </w:p>
    <w:p>
      <w:pPr>
        <w:spacing w:after="0" w:line="170" w:lineRule="exact"/>
        <w:rPr>
          <w:sz w:val="20"/>
          <w:szCs w:val="20"/>
          <w:color w:val="auto"/>
        </w:rPr>
      </w:pPr>
    </w:p>
    <w:p>
      <w:pPr>
        <w:ind w:left="700" w:right="420" w:hanging="1254"/>
        <w:spacing w:after="0" w:line="288" w:lineRule="auto"/>
        <w:tabs>
          <w:tab w:leader="none" w:pos="680" w:val="left"/>
        </w:tabs>
        <w:rPr>
          <w:rFonts w:ascii="Arial" w:cs="Arial" w:eastAsia="Arial" w:hAnsi="Arial"/>
          <w:sz w:val="17"/>
          <w:szCs w:val="17"/>
          <w:color w:val="auto"/>
        </w:rPr>
      </w:pPr>
      <w:hyperlink r:id="rId130">
        <w:r>
          <w:rPr>
            <w:rFonts w:ascii="Arial" w:cs="Arial" w:eastAsia="Arial" w:hAnsi="Arial"/>
            <w:sz w:val="17"/>
            <w:szCs w:val="17"/>
            <w:color w:val="auto"/>
          </w:rPr>
          <w:t>†* 10.2</w:t>
        </w:r>
      </w:hyperlink>
      <w:r>
        <w:rPr>
          <w:rFonts w:ascii="Arial" w:cs="Arial" w:eastAsia="Arial" w:hAnsi="Arial"/>
          <w:sz w:val="17"/>
          <w:szCs w:val="17"/>
          <w:color w:val="auto"/>
        </w:rPr>
        <w:tab/>
      </w:r>
      <w:hyperlink r:id="rId130">
        <w:r>
          <w:rPr>
            <w:rFonts w:ascii="Arial" w:cs="Arial" w:eastAsia="Arial" w:hAnsi="Arial"/>
            <w:sz w:val="17"/>
            <w:szCs w:val="17"/>
            <w:color w:val="auto"/>
          </w:rPr>
          <w:t>Fifth Amended and Restated Employment Agreement, dated December 10, 2020, by and between AGNC Mortgage Management, LLC and Gary</w:t>
        </w:r>
      </w:hyperlink>
      <w:r>
        <w:rPr>
          <w:rFonts w:ascii="Arial" w:cs="Arial" w:eastAsia="Arial" w:hAnsi="Arial"/>
          <w:sz w:val="17"/>
          <w:szCs w:val="17"/>
          <w:color w:val="auto"/>
        </w:rPr>
        <w:t xml:space="preserve"> </w:t>
      </w:r>
      <w:hyperlink r:id="rId130">
        <w:r>
          <w:rPr>
            <w:rFonts w:ascii="Arial" w:cs="Arial" w:eastAsia="Arial" w:hAnsi="Arial"/>
            <w:sz w:val="17"/>
            <w:szCs w:val="17"/>
            <w:color w:val="auto"/>
          </w:rPr>
          <w:t>Kain, incorporated herein by reference to Exhibit 10.1 of Form 8-K (File No. 001-34057), filed December 10, 2020.</w:t>
        </w:r>
      </w:hyperlink>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2" w:name="page83"/>
    <w:bookmarkEnd w:id="82"/>
    <w:p>
      <w:pPr>
        <w:jc w:val="center"/>
        <w:ind w:right="200"/>
        <w:spacing w:after="0" w:line="288" w:lineRule="auto"/>
        <w:rPr>
          <w:rFonts w:ascii="Arial" w:cs="Arial" w:eastAsia="Arial" w:hAnsi="Arial"/>
          <w:sz w:val="17"/>
          <w:szCs w:val="17"/>
          <w:color w:val="auto"/>
        </w:rPr>
      </w:pPr>
      <w:hyperlink r:id="rId132">
        <w:r>
          <w:rPr>
            <w:rFonts w:ascii="Arial" w:cs="Arial" w:eastAsia="Arial" w:hAnsi="Arial"/>
            <w:sz w:val="17"/>
            <w:szCs w:val="17"/>
            <w:color w:val="auto"/>
          </w:rPr>
          <w:t>†* 10.3  Second Amended and Restated Employment Agreement, dated December 10, 2020, by and between AGNC Mortgage Management, LLC and Peter</w:t>
        </w:r>
      </w:hyperlink>
      <w:r>
        <w:rPr>
          <w:rFonts w:ascii="Arial" w:cs="Arial" w:eastAsia="Arial" w:hAnsi="Arial"/>
          <w:sz w:val="17"/>
          <w:szCs w:val="17"/>
          <w:color w:val="auto"/>
        </w:rPr>
        <w:t xml:space="preserve"> </w:t>
      </w:r>
      <w:hyperlink r:id="rId132">
        <w:r>
          <w:rPr>
            <w:rFonts w:ascii="Arial" w:cs="Arial" w:eastAsia="Arial" w:hAnsi="Arial"/>
            <w:sz w:val="17"/>
            <w:szCs w:val="17"/>
            <w:color w:val="auto"/>
          </w:rPr>
          <w:t>Federico, incorporated herein by reference to Exhibit 10.2 of Form 8-K (File No. 001-34057), filed December 10, 2020.</w:t>
        </w:r>
      </w:hyperlink>
    </w:p>
    <w:p>
      <w:pPr>
        <w:spacing w:after="0" w:line="106" w:lineRule="exact"/>
        <w:rPr>
          <w:sz w:val="20"/>
          <w:szCs w:val="20"/>
          <w:color w:val="auto"/>
        </w:rPr>
      </w:pPr>
    </w:p>
    <w:p>
      <w:pPr>
        <w:ind w:left="1260" w:right="20" w:hanging="1255"/>
        <w:spacing w:after="0" w:line="288" w:lineRule="auto"/>
        <w:tabs>
          <w:tab w:leader="none" w:pos="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10.4 First Amendment to Second Amended and Restated Employment Agreement dated January 31, 2023 between AGNC Mortgage Management, LLC and Peter Federico, filed herewith.</w:t>
      </w:r>
    </w:p>
    <w:p>
      <w:pPr>
        <w:spacing w:after="0" w:line="106" w:lineRule="exact"/>
        <w:rPr>
          <w:sz w:val="20"/>
          <w:szCs w:val="20"/>
          <w:color w:val="auto"/>
        </w:rPr>
      </w:pPr>
    </w:p>
    <w:p>
      <w:pPr>
        <w:ind w:left="700" w:right="600" w:hanging="1254"/>
        <w:spacing w:after="0" w:line="321" w:lineRule="auto"/>
        <w:tabs>
          <w:tab w:leader="none" w:pos="680" w:val="left"/>
        </w:tabs>
        <w:rPr>
          <w:rFonts w:ascii="Arial" w:cs="Arial" w:eastAsia="Arial" w:hAnsi="Arial"/>
          <w:sz w:val="16"/>
          <w:szCs w:val="16"/>
          <w:color w:val="auto"/>
        </w:rPr>
      </w:pPr>
      <w:hyperlink r:id="rId133">
        <w:r>
          <w:rPr>
            <w:rFonts w:ascii="Arial" w:cs="Arial" w:eastAsia="Arial" w:hAnsi="Arial"/>
            <w:sz w:val="17"/>
            <w:szCs w:val="17"/>
            <w:color w:val="auto"/>
          </w:rPr>
          <w:t>†* 10.5</w:t>
        </w:r>
      </w:hyperlink>
      <w:r>
        <w:rPr>
          <w:rFonts w:ascii="Arial" w:cs="Arial" w:eastAsia="Arial" w:hAnsi="Arial"/>
          <w:sz w:val="17"/>
          <w:szCs w:val="17"/>
          <w:color w:val="auto"/>
        </w:rPr>
        <w:tab/>
      </w:r>
      <w:hyperlink r:id="rId133">
        <w:r>
          <w:rPr>
            <w:rFonts w:ascii="Arial" w:cs="Arial" w:eastAsia="Arial" w:hAnsi="Arial"/>
            <w:sz w:val="16"/>
            <w:szCs w:val="16"/>
            <w:color w:val="auto"/>
          </w:rPr>
          <w:t>Second Amended and Restated Employment Agreement, dated December 10, 2020, by and between AGNC Mortgage Management, LLC and</w:t>
        </w:r>
      </w:hyperlink>
      <w:r>
        <w:rPr>
          <w:rFonts w:ascii="Arial" w:cs="Arial" w:eastAsia="Arial" w:hAnsi="Arial"/>
          <w:sz w:val="16"/>
          <w:szCs w:val="16"/>
          <w:color w:val="auto"/>
        </w:rPr>
        <w:t xml:space="preserve"> </w:t>
      </w:r>
      <w:hyperlink r:id="rId133">
        <w:r>
          <w:rPr>
            <w:rFonts w:ascii="Arial" w:cs="Arial" w:eastAsia="Arial" w:hAnsi="Arial"/>
            <w:sz w:val="16"/>
            <w:szCs w:val="16"/>
            <w:color w:val="auto"/>
          </w:rPr>
          <w:t>Christopher Kuehl, incorporated herein by reference to Exhibit 10.3 of Form 8-K (File No. 001-34057), filed December 10, 2020.</w:t>
        </w:r>
      </w:hyperlink>
    </w:p>
    <w:p>
      <w:pPr>
        <w:spacing w:after="0" w:line="83" w:lineRule="exact"/>
        <w:rPr>
          <w:rFonts w:ascii="Arial" w:cs="Arial" w:eastAsia="Arial" w:hAnsi="Arial"/>
          <w:sz w:val="17"/>
          <w:szCs w:val="17"/>
          <w:color w:val="auto"/>
        </w:rPr>
      </w:pPr>
    </w:p>
    <w:p>
      <w:pPr>
        <w:ind w:left="1260" w:right="20" w:hanging="1255"/>
        <w:spacing w:after="0" w:line="288" w:lineRule="auto"/>
        <w:tabs>
          <w:tab w:leader="none" w:pos="136"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10.6 First Amendment to Second Amended and Restated Employment Agreement dated January 31, 2023 between AGNC Mortgage Management, LLC and Christopher Kuehl, filed herewith.</w:t>
      </w:r>
    </w:p>
    <w:p>
      <w:pPr>
        <w:spacing w:after="0" w:line="106" w:lineRule="exact"/>
        <w:rPr>
          <w:rFonts w:ascii="Arial" w:cs="Arial" w:eastAsia="Arial" w:hAnsi="Arial"/>
          <w:sz w:val="17"/>
          <w:szCs w:val="17"/>
          <w:color w:val="auto"/>
        </w:rPr>
      </w:pPr>
    </w:p>
    <w:p>
      <w:pPr>
        <w:ind w:left="700" w:right="380" w:hanging="1254"/>
        <w:spacing w:after="0" w:line="288" w:lineRule="auto"/>
        <w:tabs>
          <w:tab w:leader="none" w:pos="680" w:val="left"/>
        </w:tabs>
        <w:rPr>
          <w:rFonts w:ascii="Arial" w:cs="Arial" w:eastAsia="Arial" w:hAnsi="Arial"/>
          <w:sz w:val="17"/>
          <w:szCs w:val="17"/>
          <w:color w:val="auto"/>
        </w:rPr>
      </w:pPr>
      <w:hyperlink r:id="rId134">
        <w:r>
          <w:rPr>
            <w:rFonts w:ascii="Arial" w:cs="Arial" w:eastAsia="Arial" w:hAnsi="Arial"/>
            <w:sz w:val="17"/>
            <w:szCs w:val="17"/>
            <w:color w:val="auto"/>
          </w:rPr>
          <w:t>†* 10.7</w:t>
        </w:r>
      </w:hyperlink>
      <w:r>
        <w:rPr>
          <w:rFonts w:ascii="Arial" w:cs="Arial" w:eastAsia="Arial" w:hAnsi="Arial"/>
          <w:sz w:val="17"/>
          <w:szCs w:val="17"/>
          <w:color w:val="auto"/>
        </w:rPr>
        <w:tab/>
      </w:r>
      <w:hyperlink r:id="rId134">
        <w:r>
          <w:rPr>
            <w:rFonts w:ascii="Arial" w:cs="Arial" w:eastAsia="Arial" w:hAnsi="Arial"/>
            <w:sz w:val="17"/>
            <w:szCs w:val="17"/>
            <w:color w:val="auto"/>
          </w:rPr>
          <w:t>Amended and Restated Employment Agreement, dated January 22, 2021, by and between AGNC Mortgage Management, LLC and Bernice Bell,</w:t>
        </w:r>
      </w:hyperlink>
      <w:r>
        <w:rPr>
          <w:rFonts w:ascii="Arial" w:cs="Arial" w:eastAsia="Arial" w:hAnsi="Arial"/>
          <w:sz w:val="17"/>
          <w:szCs w:val="17"/>
          <w:color w:val="auto"/>
        </w:rPr>
        <w:t xml:space="preserve"> </w:t>
      </w:r>
      <w:hyperlink r:id="rId134">
        <w:r>
          <w:rPr>
            <w:rFonts w:ascii="Arial" w:cs="Arial" w:eastAsia="Arial" w:hAnsi="Arial"/>
            <w:sz w:val="17"/>
            <w:szCs w:val="17"/>
            <w:color w:val="auto"/>
          </w:rPr>
          <w:t>incorporated herein by reference to Exhibit 10.1 of Form 8-K (File No. 001-34057), filed January 22, 2021.</w:t>
        </w:r>
      </w:hyperlink>
    </w:p>
    <w:p>
      <w:pPr>
        <w:spacing w:after="0" w:line="106" w:lineRule="exact"/>
        <w:rPr>
          <w:rFonts w:ascii="Arial" w:cs="Arial" w:eastAsia="Arial" w:hAnsi="Arial"/>
          <w:sz w:val="17"/>
          <w:szCs w:val="17"/>
          <w:color w:val="auto"/>
        </w:rPr>
      </w:pPr>
    </w:p>
    <w:p>
      <w:pPr>
        <w:ind w:left="700" w:right="500" w:hanging="1254"/>
        <w:spacing w:after="0" w:line="321" w:lineRule="auto"/>
        <w:tabs>
          <w:tab w:leader="none" w:pos="680" w:val="left"/>
        </w:tabs>
        <w:rPr>
          <w:rFonts w:ascii="Arial" w:cs="Arial" w:eastAsia="Arial" w:hAnsi="Arial"/>
          <w:sz w:val="16"/>
          <w:szCs w:val="16"/>
          <w:color w:val="auto"/>
        </w:rPr>
      </w:pPr>
      <w:hyperlink r:id="rId135">
        <w:r>
          <w:rPr>
            <w:rFonts w:ascii="Arial" w:cs="Arial" w:eastAsia="Arial" w:hAnsi="Arial"/>
            <w:sz w:val="17"/>
            <w:szCs w:val="17"/>
            <w:color w:val="auto"/>
          </w:rPr>
          <w:t>†* 10.8</w:t>
        </w:r>
      </w:hyperlink>
      <w:r>
        <w:rPr>
          <w:rFonts w:ascii="Arial" w:cs="Arial" w:eastAsia="Arial" w:hAnsi="Arial"/>
          <w:sz w:val="17"/>
          <w:szCs w:val="17"/>
          <w:color w:val="auto"/>
        </w:rPr>
        <w:tab/>
      </w:r>
      <w:hyperlink r:id="rId135">
        <w:r>
          <w:rPr>
            <w:rFonts w:ascii="Arial" w:cs="Arial" w:eastAsia="Arial" w:hAnsi="Arial"/>
            <w:sz w:val="16"/>
            <w:szCs w:val="16"/>
            <w:color w:val="auto"/>
          </w:rPr>
          <w:t>First Amendment to Amended and Restated Employment Agreement dated January 21, 2022 between AGNC Mortgage Management, LLC and</w:t>
        </w:r>
      </w:hyperlink>
      <w:r>
        <w:rPr>
          <w:rFonts w:ascii="Arial" w:cs="Arial" w:eastAsia="Arial" w:hAnsi="Arial"/>
          <w:sz w:val="16"/>
          <w:szCs w:val="16"/>
          <w:color w:val="auto"/>
        </w:rPr>
        <w:t xml:space="preserve"> </w:t>
      </w:r>
      <w:hyperlink r:id="rId135">
        <w:r>
          <w:rPr>
            <w:rFonts w:ascii="Arial" w:cs="Arial" w:eastAsia="Arial" w:hAnsi="Arial"/>
            <w:sz w:val="16"/>
            <w:szCs w:val="16"/>
            <w:color w:val="auto"/>
          </w:rPr>
          <w:t>Bernice Bell, incorporated herein by reference to Exhibit 10.1 of Form 8-K (File No. 001-34057), filed January 21, 2022.</w:t>
        </w:r>
      </w:hyperlink>
    </w:p>
    <w:p>
      <w:pPr>
        <w:spacing w:after="0" w:line="83" w:lineRule="exact"/>
        <w:rPr>
          <w:rFonts w:ascii="Arial" w:cs="Arial" w:eastAsia="Arial" w:hAnsi="Arial"/>
          <w:sz w:val="17"/>
          <w:szCs w:val="17"/>
          <w:color w:val="auto"/>
        </w:rPr>
      </w:pPr>
    </w:p>
    <w:p>
      <w:pPr>
        <w:ind w:left="700" w:right="300" w:hanging="1254"/>
        <w:spacing w:after="0" w:line="288" w:lineRule="auto"/>
        <w:tabs>
          <w:tab w:leader="none" w:pos="680" w:val="left"/>
        </w:tabs>
        <w:rPr>
          <w:rFonts w:ascii="Arial" w:cs="Arial" w:eastAsia="Arial" w:hAnsi="Arial"/>
          <w:sz w:val="17"/>
          <w:szCs w:val="17"/>
          <w:color w:val="auto"/>
        </w:rPr>
      </w:pPr>
      <w:hyperlink r:id="rId136">
        <w:r>
          <w:rPr>
            <w:rFonts w:ascii="Arial" w:cs="Arial" w:eastAsia="Arial" w:hAnsi="Arial"/>
            <w:sz w:val="17"/>
            <w:szCs w:val="17"/>
            <w:color w:val="auto"/>
          </w:rPr>
          <w:t>†* 10.9</w:t>
        </w:r>
      </w:hyperlink>
      <w:r>
        <w:rPr>
          <w:rFonts w:ascii="Arial" w:cs="Arial" w:eastAsia="Arial" w:hAnsi="Arial"/>
          <w:sz w:val="17"/>
          <w:szCs w:val="17"/>
          <w:color w:val="auto"/>
        </w:rPr>
        <w:tab/>
      </w:r>
      <w:hyperlink r:id="rId136">
        <w:r>
          <w:rPr>
            <w:rFonts w:ascii="Arial" w:cs="Arial" w:eastAsia="Arial" w:hAnsi="Arial"/>
            <w:sz w:val="17"/>
            <w:szCs w:val="17"/>
            <w:color w:val="auto"/>
          </w:rPr>
          <w:t>Second Amendment to Amended and Restated Employment Agreement dated January 31, 2023 between AGNC Mortgage Management, LLC and</w:t>
        </w:r>
      </w:hyperlink>
      <w:r>
        <w:rPr>
          <w:rFonts w:ascii="Arial" w:cs="Arial" w:eastAsia="Arial" w:hAnsi="Arial"/>
          <w:sz w:val="17"/>
          <w:szCs w:val="17"/>
          <w:color w:val="auto"/>
        </w:rPr>
        <w:t xml:space="preserve"> </w:t>
      </w:r>
      <w:hyperlink r:id="rId136">
        <w:r>
          <w:rPr>
            <w:rFonts w:ascii="Arial" w:cs="Arial" w:eastAsia="Arial" w:hAnsi="Arial"/>
            <w:sz w:val="17"/>
            <w:szCs w:val="17"/>
            <w:color w:val="auto"/>
          </w:rPr>
          <w:t>Bernice Bell, incorporated by reference to Exhibit 10.3 of Form 8-K (File No. 001-34057), filed February 3, 2023.</w:t>
        </w:r>
      </w:hyperlink>
    </w:p>
    <w:p>
      <w:pPr>
        <w:spacing w:after="0" w:line="106" w:lineRule="exact"/>
        <w:rPr>
          <w:rFonts w:ascii="Arial" w:cs="Arial" w:eastAsia="Arial" w:hAnsi="Arial"/>
          <w:sz w:val="17"/>
          <w:szCs w:val="17"/>
          <w:color w:val="auto"/>
        </w:rPr>
      </w:pPr>
    </w:p>
    <w:p>
      <w:pPr>
        <w:ind w:left="780" w:right="440" w:hanging="1254"/>
        <w:spacing w:after="0" w:line="288" w:lineRule="auto"/>
        <w:tabs>
          <w:tab w:leader="none" w:pos="760" w:val="left"/>
        </w:tabs>
        <w:rPr>
          <w:rFonts w:ascii="Arial" w:cs="Arial" w:eastAsia="Arial" w:hAnsi="Arial"/>
          <w:sz w:val="17"/>
          <w:szCs w:val="17"/>
          <w:color w:val="auto"/>
        </w:rPr>
      </w:pPr>
      <w:hyperlink r:id="rId137">
        <w:r>
          <w:rPr>
            <w:rFonts w:ascii="Arial" w:cs="Arial" w:eastAsia="Arial" w:hAnsi="Arial"/>
            <w:sz w:val="17"/>
            <w:szCs w:val="17"/>
            <w:color w:val="auto"/>
          </w:rPr>
          <w:t>†* 10.10</w:t>
        </w:r>
      </w:hyperlink>
      <w:r>
        <w:rPr>
          <w:rFonts w:ascii="Arial" w:cs="Arial" w:eastAsia="Arial" w:hAnsi="Arial"/>
          <w:sz w:val="17"/>
          <w:szCs w:val="17"/>
          <w:color w:val="auto"/>
        </w:rPr>
        <w:tab/>
      </w:r>
      <w:hyperlink r:id="rId137">
        <w:r>
          <w:rPr>
            <w:rFonts w:ascii="Arial" w:cs="Arial" w:eastAsia="Arial" w:hAnsi="Arial"/>
            <w:sz w:val="17"/>
            <w:szCs w:val="17"/>
            <w:color w:val="auto"/>
          </w:rPr>
          <w:t>Amended and Restated Employment Agreement, dated January 22, 2021, by and between AGNC Mortgage Management, LLC and Aaron Pas,</w:t>
        </w:r>
      </w:hyperlink>
      <w:r>
        <w:rPr>
          <w:rFonts w:ascii="Arial" w:cs="Arial" w:eastAsia="Arial" w:hAnsi="Arial"/>
          <w:sz w:val="17"/>
          <w:szCs w:val="17"/>
          <w:color w:val="auto"/>
        </w:rPr>
        <w:t xml:space="preserve"> </w:t>
      </w:r>
      <w:hyperlink r:id="rId137">
        <w:r>
          <w:rPr>
            <w:rFonts w:ascii="Arial" w:cs="Arial" w:eastAsia="Arial" w:hAnsi="Arial"/>
            <w:sz w:val="17"/>
            <w:szCs w:val="17"/>
            <w:color w:val="auto"/>
          </w:rPr>
          <w:t>incorporated herein by reference to Exhibit 10.2 of Form 8-K (File No. 001-34057), filed January 22, 2021.</w:t>
        </w:r>
      </w:hyperlink>
    </w:p>
    <w:p>
      <w:pPr>
        <w:spacing w:after="0" w:line="106" w:lineRule="exact"/>
        <w:rPr>
          <w:rFonts w:ascii="Arial" w:cs="Arial" w:eastAsia="Arial" w:hAnsi="Arial"/>
          <w:sz w:val="17"/>
          <w:szCs w:val="17"/>
          <w:color w:val="auto"/>
        </w:rPr>
      </w:pPr>
    </w:p>
    <w:p>
      <w:pPr>
        <w:ind w:left="780" w:right="420" w:hanging="1254"/>
        <w:spacing w:after="0" w:line="321" w:lineRule="auto"/>
        <w:tabs>
          <w:tab w:leader="none" w:pos="760" w:val="left"/>
        </w:tabs>
        <w:rPr>
          <w:rFonts w:ascii="Arial" w:cs="Arial" w:eastAsia="Arial" w:hAnsi="Arial"/>
          <w:sz w:val="16"/>
          <w:szCs w:val="16"/>
          <w:color w:val="auto"/>
        </w:rPr>
      </w:pPr>
      <w:hyperlink r:id="rId138">
        <w:r>
          <w:rPr>
            <w:rFonts w:ascii="Arial" w:cs="Arial" w:eastAsia="Arial" w:hAnsi="Arial"/>
            <w:sz w:val="17"/>
            <w:szCs w:val="17"/>
            <w:color w:val="auto"/>
          </w:rPr>
          <w:t>†* 10.11</w:t>
        </w:r>
      </w:hyperlink>
      <w:r>
        <w:rPr>
          <w:rFonts w:ascii="Arial" w:cs="Arial" w:eastAsia="Arial" w:hAnsi="Arial"/>
          <w:sz w:val="17"/>
          <w:szCs w:val="17"/>
          <w:color w:val="auto"/>
        </w:rPr>
        <w:tab/>
      </w:r>
      <w:hyperlink r:id="rId138">
        <w:r>
          <w:rPr>
            <w:rFonts w:ascii="Arial" w:cs="Arial" w:eastAsia="Arial" w:hAnsi="Arial"/>
            <w:sz w:val="16"/>
            <w:szCs w:val="16"/>
            <w:color w:val="auto"/>
          </w:rPr>
          <w:t>First Amendment to Amended and Restated Employment Agreement dated January 21, 2022 between AGNC Mortgage Management, LLC and</w:t>
        </w:r>
      </w:hyperlink>
      <w:r>
        <w:rPr>
          <w:rFonts w:ascii="Arial" w:cs="Arial" w:eastAsia="Arial" w:hAnsi="Arial"/>
          <w:sz w:val="16"/>
          <w:szCs w:val="16"/>
          <w:color w:val="auto"/>
        </w:rPr>
        <w:t xml:space="preserve"> </w:t>
      </w:r>
      <w:hyperlink r:id="rId138">
        <w:r>
          <w:rPr>
            <w:rFonts w:ascii="Arial" w:cs="Arial" w:eastAsia="Arial" w:hAnsi="Arial"/>
            <w:sz w:val="16"/>
            <w:szCs w:val="16"/>
            <w:color w:val="auto"/>
          </w:rPr>
          <w:t>Aaron Pas, incorporated herein by reference to Exhibit 10.8 of Form 10-K (File No, 001-34057), filed February 23, 2022.</w:t>
        </w:r>
      </w:hyperlink>
    </w:p>
    <w:p>
      <w:pPr>
        <w:spacing w:after="0" w:line="83" w:lineRule="exact"/>
        <w:rPr>
          <w:rFonts w:ascii="Arial" w:cs="Arial" w:eastAsia="Arial" w:hAnsi="Arial"/>
          <w:sz w:val="17"/>
          <w:szCs w:val="17"/>
          <w:color w:val="auto"/>
        </w:rPr>
      </w:pPr>
    </w:p>
    <w:p>
      <w:pPr>
        <w:ind w:left="780" w:hanging="1254"/>
        <w:spacing w:after="0" w:line="288" w:lineRule="auto"/>
        <w:tabs>
          <w:tab w:leader="none" w:pos="760" w:val="left"/>
        </w:tabs>
        <w:rPr>
          <w:rFonts w:ascii="Arial" w:cs="Arial" w:eastAsia="Arial" w:hAnsi="Arial"/>
          <w:sz w:val="17"/>
          <w:szCs w:val="17"/>
          <w:color w:val="auto"/>
        </w:rPr>
      </w:pPr>
      <w:hyperlink r:id="rId139">
        <w:r>
          <w:rPr>
            <w:rFonts w:ascii="Arial" w:cs="Arial" w:eastAsia="Arial" w:hAnsi="Arial"/>
            <w:sz w:val="17"/>
            <w:szCs w:val="17"/>
            <w:color w:val="auto"/>
          </w:rPr>
          <w:t>†* 10.12</w:t>
        </w:r>
      </w:hyperlink>
      <w:r>
        <w:rPr>
          <w:rFonts w:ascii="Arial" w:cs="Arial" w:eastAsia="Arial" w:hAnsi="Arial"/>
          <w:sz w:val="17"/>
          <w:szCs w:val="17"/>
          <w:color w:val="auto"/>
        </w:rPr>
        <w:tab/>
      </w:r>
      <w:hyperlink r:id="rId139">
        <w:r>
          <w:rPr>
            <w:rFonts w:ascii="Arial" w:cs="Arial" w:eastAsia="Arial" w:hAnsi="Arial"/>
            <w:sz w:val="17"/>
            <w:szCs w:val="17"/>
            <w:color w:val="auto"/>
          </w:rPr>
          <w:t>Amended and Restated Employment Agreement, dated January 22, 2021, by and between AGNC Mortgage Management, LLC and Kenneth Pollack,</w:t>
        </w:r>
      </w:hyperlink>
      <w:r>
        <w:rPr>
          <w:rFonts w:ascii="Arial" w:cs="Arial" w:eastAsia="Arial" w:hAnsi="Arial"/>
          <w:sz w:val="17"/>
          <w:szCs w:val="17"/>
          <w:color w:val="auto"/>
        </w:rPr>
        <w:t xml:space="preserve"> </w:t>
      </w:r>
      <w:hyperlink r:id="rId139">
        <w:r>
          <w:rPr>
            <w:rFonts w:ascii="Arial" w:cs="Arial" w:eastAsia="Arial" w:hAnsi="Arial"/>
            <w:sz w:val="17"/>
            <w:szCs w:val="17"/>
            <w:color w:val="auto"/>
          </w:rPr>
          <w:t>incorporated herein by reference to Exhibit 10.15 of Form 10-K (File No. 001-34057), filed February 26, 2021.</w:t>
        </w:r>
      </w:hyperlink>
    </w:p>
    <w:p>
      <w:pPr>
        <w:spacing w:after="0" w:line="106" w:lineRule="exact"/>
        <w:rPr>
          <w:rFonts w:ascii="Arial" w:cs="Arial" w:eastAsia="Arial" w:hAnsi="Arial"/>
          <w:sz w:val="17"/>
          <w:szCs w:val="17"/>
          <w:color w:val="auto"/>
        </w:rPr>
      </w:pPr>
    </w:p>
    <w:p>
      <w:pPr>
        <w:ind w:left="780" w:right="400" w:hanging="1254"/>
        <w:spacing w:after="0" w:line="321" w:lineRule="auto"/>
        <w:tabs>
          <w:tab w:leader="none" w:pos="760" w:val="left"/>
        </w:tabs>
        <w:rPr>
          <w:rFonts w:ascii="Arial" w:cs="Arial" w:eastAsia="Arial" w:hAnsi="Arial"/>
          <w:sz w:val="16"/>
          <w:szCs w:val="16"/>
          <w:color w:val="auto"/>
        </w:rPr>
      </w:pPr>
      <w:hyperlink r:id="rId140">
        <w:r>
          <w:rPr>
            <w:rFonts w:ascii="Arial" w:cs="Arial" w:eastAsia="Arial" w:hAnsi="Arial"/>
            <w:sz w:val="17"/>
            <w:szCs w:val="17"/>
            <w:color w:val="auto"/>
          </w:rPr>
          <w:t>†* 10.13</w:t>
        </w:r>
      </w:hyperlink>
      <w:r>
        <w:rPr>
          <w:rFonts w:ascii="Arial" w:cs="Arial" w:eastAsia="Arial" w:hAnsi="Arial"/>
          <w:sz w:val="17"/>
          <w:szCs w:val="17"/>
          <w:color w:val="auto"/>
        </w:rPr>
        <w:tab/>
      </w:r>
      <w:hyperlink r:id="rId140">
        <w:r>
          <w:rPr>
            <w:rFonts w:ascii="Arial" w:cs="Arial" w:eastAsia="Arial" w:hAnsi="Arial"/>
            <w:sz w:val="16"/>
            <w:szCs w:val="16"/>
            <w:color w:val="auto"/>
          </w:rPr>
          <w:t>First Amendment to Amended and Restated Employment Agreement dated January 21, 2022 between AGNC Mortgage Management, LLC and</w:t>
        </w:r>
      </w:hyperlink>
      <w:r>
        <w:rPr>
          <w:rFonts w:ascii="Arial" w:cs="Arial" w:eastAsia="Arial" w:hAnsi="Arial"/>
          <w:sz w:val="16"/>
          <w:szCs w:val="16"/>
          <w:color w:val="auto"/>
        </w:rPr>
        <w:t xml:space="preserve"> </w:t>
      </w:r>
      <w:hyperlink r:id="rId140">
        <w:r>
          <w:rPr>
            <w:rFonts w:ascii="Arial" w:cs="Arial" w:eastAsia="Arial" w:hAnsi="Arial"/>
            <w:sz w:val="16"/>
            <w:szCs w:val="16"/>
            <w:color w:val="auto"/>
          </w:rPr>
          <w:t>Kenneth Pollack, incorporated herein by reference to Exhibit 10.2 of Form 8-K (File No. 001-34057), filed January 21, 2022.</w:t>
        </w:r>
      </w:hyperlink>
    </w:p>
    <w:p>
      <w:pPr>
        <w:spacing w:after="0" w:line="83" w:lineRule="exact"/>
        <w:rPr>
          <w:rFonts w:ascii="Arial" w:cs="Arial" w:eastAsia="Arial" w:hAnsi="Arial"/>
          <w:sz w:val="17"/>
          <w:szCs w:val="17"/>
          <w:color w:val="auto"/>
        </w:rPr>
      </w:pPr>
    </w:p>
    <w:p>
      <w:pPr>
        <w:ind w:left="740" w:right="260" w:hanging="1254"/>
        <w:spacing w:after="0" w:line="321" w:lineRule="auto"/>
        <w:tabs>
          <w:tab w:leader="none" w:pos="720" w:val="left"/>
        </w:tabs>
        <w:rPr>
          <w:rFonts w:ascii="Arial" w:cs="Arial" w:eastAsia="Arial" w:hAnsi="Arial"/>
          <w:sz w:val="16"/>
          <w:szCs w:val="16"/>
          <w:color w:val="auto"/>
        </w:rPr>
      </w:pPr>
      <w:r>
        <w:rPr>
          <w:rFonts w:ascii="Arial" w:cs="Arial" w:eastAsia="Arial" w:hAnsi="Arial"/>
          <w:sz w:val="17"/>
          <w:szCs w:val="17"/>
          <w:color w:val="auto"/>
        </w:rPr>
        <w:t>†*10.14</w:t>
      </w:r>
      <w:r>
        <w:rPr>
          <w:sz w:val="20"/>
          <w:szCs w:val="20"/>
          <w:color w:val="auto"/>
        </w:rPr>
        <w:tab/>
      </w:r>
      <w:hyperlink r:id="rId141">
        <w:r>
          <w:rPr>
            <w:rFonts w:ascii="Arial" w:cs="Arial" w:eastAsia="Arial" w:hAnsi="Arial"/>
            <w:sz w:val="16"/>
            <w:szCs w:val="16"/>
            <w:color w:val="auto"/>
          </w:rPr>
          <w:t>Second Amendment to Amended and Restated Employment Agreement dated January 31, 2023 between AGNC Mortgage Management, LLC and</w:t>
        </w:r>
      </w:hyperlink>
      <w:r>
        <w:rPr>
          <w:rFonts w:ascii="Arial" w:cs="Arial" w:eastAsia="Arial" w:hAnsi="Arial"/>
          <w:sz w:val="16"/>
          <w:szCs w:val="16"/>
          <w:color w:val="auto"/>
        </w:rPr>
        <w:t xml:space="preserve"> </w:t>
      </w:r>
      <w:hyperlink r:id="rId141">
        <w:r>
          <w:rPr>
            <w:rFonts w:ascii="Arial" w:cs="Arial" w:eastAsia="Arial" w:hAnsi="Arial"/>
            <w:sz w:val="16"/>
            <w:szCs w:val="16"/>
            <w:color w:val="auto"/>
          </w:rPr>
          <w:t>Kenneth Pollack, incorporated by reference to Exhibit 10.4 of Form 8-K (File No. 001-34057), filed February 3, 2023.</w:t>
        </w:r>
      </w:hyperlink>
    </w:p>
    <w:p>
      <w:pPr>
        <w:spacing w:after="0" w:line="83" w:lineRule="exact"/>
        <w:rPr>
          <w:sz w:val="20"/>
          <w:szCs w:val="20"/>
          <w:color w:val="auto"/>
        </w:rPr>
      </w:pPr>
    </w:p>
    <w:p>
      <w:pPr>
        <w:ind w:left="780" w:right="20" w:hanging="1254"/>
        <w:spacing w:after="0" w:line="288" w:lineRule="auto"/>
        <w:tabs>
          <w:tab w:leader="none" w:pos="760" w:val="left"/>
        </w:tabs>
        <w:rPr>
          <w:rFonts w:ascii="Arial" w:cs="Arial" w:eastAsia="Arial" w:hAnsi="Arial"/>
          <w:sz w:val="17"/>
          <w:szCs w:val="17"/>
          <w:color w:val="auto"/>
        </w:rPr>
      </w:pPr>
      <w:hyperlink r:id="rId142">
        <w:r>
          <w:rPr>
            <w:rFonts w:ascii="Arial" w:cs="Arial" w:eastAsia="Arial" w:hAnsi="Arial"/>
            <w:sz w:val="17"/>
            <w:szCs w:val="17"/>
            <w:color w:val="auto"/>
          </w:rPr>
          <w:t>†* 10.15</w:t>
        </w:r>
      </w:hyperlink>
      <w:r>
        <w:rPr>
          <w:rFonts w:ascii="Arial" w:cs="Arial" w:eastAsia="Arial" w:hAnsi="Arial"/>
          <w:sz w:val="17"/>
          <w:szCs w:val="17"/>
          <w:color w:val="auto"/>
        </w:rPr>
        <w:tab/>
      </w:r>
      <w:hyperlink r:id="rId142">
        <w:r>
          <w:rPr>
            <w:rFonts w:ascii="Arial" w:cs="Arial" w:eastAsia="Arial" w:hAnsi="Arial"/>
            <w:sz w:val="17"/>
            <w:szCs w:val="17"/>
            <w:color w:val="auto"/>
          </w:rPr>
          <w:t>Amended and Restated AGNC Investment Corp. 2016 Equity and Incentive Compensation Plan, incorporated herein by reference to Exhibit 10.11 of</w:t>
        </w:r>
      </w:hyperlink>
      <w:r>
        <w:rPr>
          <w:rFonts w:ascii="Arial" w:cs="Arial" w:eastAsia="Arial" w:hAnsi="Arial"/>
          <w:sz w:val="17"/>
          <w:szCs w:val="17"/>
          <w:color w:val="auto"/>
        </w:rPr>
        <w:t xml:space="preserve"> </w:t>
      </w:r>
      <w:hyperlink r:id="rId142">
        <w:r>
          <w:rPr>
            <w:rFonts w:ascii="Arial" w:cs="Arial" w:eastAsia="Arial" w:hAnsi="Arial"/>
            <w:sz w:val="17"/>
            <w:szCs w:val="17"/>
            <w:color w:val="auto"/>
          </w:rPr>
          <w:t>Form 10-K (File No, 001-34057), filed February 23, 2022.</w:t>
        </w:r>
      </w:hyperlink>
    </w:p>
    <w:p>
      <w:pPr>
        <w:spacing w:after="0" w:line="106" w:lineRule="exact"/>
        <w:rPr>
          <w:rFonts w:ascii="Arial" w:cs="Arial" w:eastAsia="Arial" w:hAnsi="Arial"/>
          <w:sz w:val="17"/>
          <w:szCs w:val="17"/>
          <w:color w:val="auto"/>
        </w:rPr>
      </w:pPr>
    </w:p>
    <w:p>
      <w:pPr>
        <w:ind w:left="780" w:right="440" w:hanging="1254"/>
        <w:spacing w:after="0" w:line="321" w:lineRule="auto"/>
        <w:tabs>
          <w:tab w:leader="none" w:pos="760" w:val="left"/>
        </w:tabs>
        <w:rPr>
          <w:rFonts w:ascii="Arial" w:cs="Arial" w:eastAsia="Arial" w:hAnsi="Arial"/>
          <w:sz w:val="16"/>
          <w:szCs w:val="16"/>
          <w:color w:val="auto"/>
        </w:rPr>
      </w:pPr>
      <w:hyperlink r:id="rId143">
        <w:r>
          <w:rPr>
            <w:rFonts w:ascii="Arial" w:cs="Arial" w:eastAsia="Arial" w:hAnsi="Arial"/>
            <w:sz w:val="17"/>
            <w:szCs w:val="17"/>
            <w:color w:val="auto"/>
          </w:rPr>
          <w:t>†* 10.16</w:t>
        </w:r>
      </w:hyperlink>
      <w:r>
        <w:rPr>
          <w:rFonts w:ascii="Arial" w:cs="Arial" w:eastAsia="Arial" w:hAnsi="Arial"/>
          <w:sz w:val="17"/>
          <w:szCs w:val="17"/>
          <w:color w:val="auto"/>
        </w:rPr>
        <w:tab/>
      </w:r>
      <w:hyperlink r:id="rId143">
        <w:r>
          <w:rPr>
            <w:rFonts w:ascii="Arial" w:cs="Arial" w:eastAsia="Arial" w:hAnsi="Arial"/>
            <w:sz w:val="16"/>
            <w:szCs w:val="16"/>
            <w:color w:val="auto"/>
          </w:rPr>
          <w:t>Form of AGNC Investment Corp. 2016 Equity and Incentive Compensation Plan Restricted Stock Unit Agreement for Section 16 Officers with</w:t>
        </w:r>
      </w:hyperlink>
      <w:r>
        <w:rPr>
          <w:rFonts w:ascii="Arial" w:cs="Arial" w:eastAsia="Arial" w:hAnsi="Arial"/>
          <w:sz w:val="16"/>
          <w:szCs w:val="16"/>
          <w:color w:val="auto"/>
        </w:rPr>
        <w:t xml:space="preserve"> </w:t>
      </w:r>
      <w:hyperlink r:id="rId143">
        <w:r>
          <w:rPr>
            <w:rFonts w:ascii="Arial" w:cs="Arial" w:eastAsia="Arial" w:hAnsi="Arial"/>
            <w:sz w:val="16"/>
            <w:szCs w:val="16"/>
            <w:color w:val="auto"/>
          </w:rPr>
          <w:t>Employment Contracts, incorporated herein by reference to Exhibit 10.8 of Form 10-K (File No. 001-34057), filed February 27, 2017.</w:t>
        </w:r>
      </w:hyperlink>
    </w:p>
    <w:p>
      <w:pPr>
        <w:spacing w:after="0" w:line="83" w:lineRule="exact"/>
        <w:rPr>
          <w:rFonts w:ascii="Arial" w:cs="Arial" w:eastAsia="Arial" w:hAnsi="Arial"/>
          <w:sz w:val="17"/>
          <w:szCs w:val="17"/>
          <w:color w:val="auto"/>
        </w:rPr>
      </w:pPr>
    </w:p>
    <w:p>
      <w:pPr>
        <w:ind w:left="780" w:right="340" w:hanging="1254"/>
        <w:spacing w:after="0" w:line="288" w:lineRule="auto"/>
        <w:tabs>
          <w:tab w:leader="none" w:pos="760" w:val="left"/>
        </w:tabs>
        <w:rPr>
          <w:rFonts w:ascii="Arial" w:cs="Arial" w:eastAsia="Arial" w:hAnsi="Arial"/>
          <w:sz w:val="17"/>
          <w:szCs w:val="17"/>
          <w:color w:val="auto"/>
        </w:rPr>
      </w:pPr>
      <w:hyperlink r:id="rId144">
        <w:r>
          <w:rPr>
            <w:rFonts w:ascii="Arial" w:cs="Arial" w:eastAsia="Arial" w:hAnsi="Arial"/>
            <w:sz w:val="17"/>
            <w:szCs w:val="17"/>
            <w:color w:val="auto"/>
          </w:rPr>
          <w:t>†* 10.17</w:t>
        </w:r>
      </w:hyperlink>
      <w:r>
        <w:rPr>
          <w:rFonts w:ascii="Arial" w:cs="Arial" w:eastAsia="Arial" w:hAnsi="Arial"/>
          <w:sz w:val="17"/>
          <w:szCs w:val="17"/>
          <w:color w:val="auto"/>
        </w:rPr>
        <w:tab/>
      </w:r>
      <w:hyperlink r:id="rId144">
        <w:r>
          <w:rPr>
            <w:rFonts w:ascii="Arial" w:cs="Arial" w:eastAsia="Arial" w:hAnsi="Arial"/>
            <w:sz w:val="17"/>
            <w:szCs w:val="17"/>
            <w:color w:val="auto"/>
          </w:rPr>
          <w:t>Form of AGNC Investment Corp. 2016 Equity and Incentive Compensation Plan Restricted Stock Unit Agreement for Non-Employee Directors,</w:t>
        </w:r>
      </w:hyperlink>
      <w:r>
        <w:rPr>
          <w:rFonts w:ascii="Arial" w:cs="Arial" w:eastAsia="Arial" w:hAnsi="Arial"/>
          <w:sz w:val="17"/>
          <w:szCs w:val="17"/>
          <w:color w:val="auto"/>
        </w:rPr>
        <w:t xml:space="preserve"> </w:t>
      </w:r>
      <w:hyperlink r:id="rId144">
        <w:r>
          <w:rPr>
            <w:rFonts w:ascii="Arial" w:cs="Arial" w:eastAsia="Arial" w:hAnsi="Arial"/>
            <w:sz w:val="17"/>
            <w:szCs w:val="17"/>
            <w:color w:val="auto"/>
          </w:rPr>
          <w:t>incorporated herein by reference to Exhibit 10.14 of Form 10-K (File No. 001-34057), filed February 26, 2018.</w:t>
        </w:r>
      </w:hyperlink>
    </w:p>
    <w:p>
      <w:pPr>
        <w:spacing w:after="0" w:line="106" w:lineRule="exact"/>
        <w:rPr>
          <w:rFonts w:ascii="Arial" w:cs="Arial" w:eastAsia="Arial" w:hAnsi="Arial"/>
          <w:sz w:val="17"/>
          <w:szCs w:val="17"/>
          <w:color w:val="auto"/>
        </w:rPr>
      </w:pPr>
    </w:p>
    <w:p>
      <w:pPr>
        <w:ind w:left="780" w:right="20" w:hanging="1254"/>
        <w:spacing w:after="0" w:line="288" w:lineRule="auto"/>
        <w:tabs>
          <w:tab w:leader="none" w:pos="760" w:val="left"/>
        </w:tabs>
        <w:rPr>
          <w:rFonts w:ascii="Arial" w:cs="Arial" w:eastAsia="Arial" w:hAnsi="Arial"/>
          <w:sz w:val="17"/>
          <w:szCs w:val="17"/>
          <w:color w:val="auto"/>
        </w:rPr>
      </w:pPr>
      <w:hyperlink r:id="rId145">
        <w:r>
          <w:rPr>
            <w:rFonts w:ascii="Arial" w:cs="Arial" w:eastAsia="Arial" w:hAnsi="Arial"/>
            <w:sz w:val="17"/>
            <w:szCs w:val="17"/>
            <w:color w:val="auto"/>
          </w:rPr>
          <w:t>†* 10.18</w:t>
        </w:r>
      </w:hyperlink>
      <w:r>
        <w:rPr>
          <w:rFonts w:ascii="Arial" w:cs="Arial" w:eastAsia="Arial" w:hAnsi="Arial"/>
          <w:sz w:val="17"/>
          <w:szCs w:val="17"/>
          <w:color w:val="auto"/>
        </w:rPr>
        <w:tab/>
      </w:r>
      <w:hyperlink r:id="rId145">
        <w:r>
          <w:rPr>
            <w:rFonts w:ascii="Arial" w:cs="Arial" w:eastAsia="Arial" w:hAnsi="Arial"/>
            <w:sz w:val="17"/>
            <w:szCs w:val="17"/>
            <w:color w:val="auto"/>
          </w:rPr>
          <w:t>Form of AGNC Investment Corp. 2016 Equity and Incentive Compensation Plan Deferred Stock Unit Agreement incorporated herein by reference to</w:t>
        </w:r>
      </w:hyperlink>
      <w:r>
        <w:rPr>
          <w:rFonts w:ascii="Arial" w:cs="Arial" w:eastAsia="Arial" w:hAnsi="Arial"/>
          <w:sz w:val="17"/>
          <w:szCs w:val="17"/>
          <w:color w:val="auto"/>
        </w:rPr>
        <w:t xml:space="preserve"> </w:t>
      </w:r>
      <w:hyperlink r:id="rId145">
        <w:r>
          <w:rPr>
            <w:rFonts w:ascii="Arial" w:cs="Arial" w:eastAsia="Arial" w:hAnsi="Arial"/>
            <w:sz w:val="17"/>
            <w:szCs w:val="17"/>
            <w:color w:val="auto"/>
          </w:rPr>
          <w:t>Exhibit 10 of Form 10-Q for the quarter ended September 30, 2018 (File No. 001-34057), filed November 5, 2018.</w:t>
        </w:r>
      </w:hyperlink>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bookmarkStart w:id="83" w:name="page84"/>
    <w:bookmarkEnd w:id="83"/>
    <w:p>
      <w:pPr>
        <w:ind w:left="780" w:right="460" w:hanging="1254"/>
        <w:spacing w:after="0" w:line="321" w:lineRule="auto"/>
        <w:tabs>
          <w:tab w:leader="none" w:pos="760" w:val="left"/>
        </w:tabs>
        <w:rPr>
          <w:rFonts w:ascii="Arial" w:cs="Arial" w:eastAsia="Arial" w:hAnsi="Arial"/>
          <w:sz w:val="16"/>
          <w:szCs w:val="16"/>
          <w:color w:val="auto"/>
        </w:rPr>
      </w:pPr>
      <w:hyperlink r:id="rId147">
        <w:r>
          <w:rPr>
            <w:rFonts w:ascii="Arial" w:cs="Arial" w:eastAsia="Arial" w:hAnsi="Arial"/>
            <w:sz w:val="17"/>
            <w:szCs w:val="17"/>
            <w:color w:val="auto"/>
          </w:rPr>
          <w:t>†* 10.19</w:t>
        </w:r>
      </w:hyperlink>
      <w:r>
        <w:rPr>
          <w:rFonts w:ascii="Arial" w:cs="Arial" w:eastAsia="Arial" w:hAnsi="Arial"/>
          <w:sz w:val="17"/>
          <w:szCs w:val="17"/>
          <w:color w:val="auto"/>
        </w:rPr>
        <w:tab/>
      </w:r>
      <w:hyperlink r:id="rId147">
        <w:r>
          <w:rPr>
            <w:rFonts w:ascii="Arial" w:cs="Arial" w:eastAsia="Arial" w:hAnsi="Arial"/>
            <w:sz w:val="16"/>
            <w:szCs w:val="16"/>
            <w:color w:val="auto"/>
          </w:rPr>
          <w:t>Form of AGNC Investment Corp. 2016 Equity and Incentive Compensation Plan Restricted Stock Unit Agreement for Section 16 Officers with</w:t>
        </w:r>
      </w:hyperlink>
      <w:r>
        <w:rPr>
          <w:rFonts w:ascii="Arial" w:cs="Arial" w:eastAsia="Arial" w:hAnsi="Arial"/>
          <w:sz w:val="16"/>
          <w:szCs w:val="16"/>
          <w:color w:val="auto"/>
        </w:rPr>
        <w:t xml:space="preserve"> </w:t>
      </w:r>
      <w:hyperlink r:id="rId147">
        <w:r>
          <w:rPr>
            <w:rFonts w:ascii="Arial" w:cs="Arial" w:eastAsia="Arial" w:hAnsi="Arial"/>
            <w:sz w:val="16"/>
            <w:szCs w:val="16"/>
            <w:color w:val="auto"/>
          </w:rPr>
          <w:t>Retirement Provisions, incorporated herein by reference to Exhibit 10.15 of Form 10-K (File No. 001-34057), filed February 22, 2019.</w:t>
        </w:r>
      </w:hyperlink>
    </w:p>
    <w:p>
      <w:pPr>
        <w:spacing w:after="0" w:line="83" w:lineRule="exact"/>
        <w:rPr>
          <w:rFonts w:ascii="Arial" w:cs="Arial" w:eastAsia="Arial" w:hAnsi="Arial"/>
          <w:sz w:val="17"/>
          <w:szCs w:val="17"/>
          <w:color w:val="auto"/>
        </w:rPr>
      </w:pPr>
    </w:p>
    <w:p>
      <w:pPr>
        <w:jc w:val="both"/>
        <w:ind w:left="780" w:hanging="1254"/>
        <w:spacing w:after="0" w:line="272" w:lineRule="auto"/>
        <w:tabs>
          <w:tab w:leader="none" w:pos="760" w:val="left"/>
        </w:tabs>
        <w:rPr>
          <w:rFonts w:ascii="Arial" w:cs="Arial" w:eastAsia="Arial" w:hAnsi="Arial"/>
          <w:sz w:val="17"/>
          <w:szCs w:val="17"/>
          <w:color w:val="auto"/>
        </w:rPr>
      </w:pPr>
      <w:hyperlink r:id="rId148">
        <w:r>
          <w:rPr>
            <w:rFonts w:ascii="Arial" w:cs="Arial" w:eastAsia="Arial" w:hAnsi="Arial"/>
            <w:sz w:val="17"/>
            <w:szCs w:val="17"/>
            <w:color w:val="auto"/>
          </w:rPr>
          <w:t>†* 10.20</w:t>
        </w:r>
      </w:hyperlink>
      <w:r>
        <w:rPr>
          <w:rFonts w:ascii="Arial" w:cs="Arial" w:eastAsia="Arial" w:hAnsi="Arial"/>
          <w:sz w:val="17"/>
          <w:szCs w:val="17"/>
          <w:color w:val="auto"/>
        </w:rPr>
        <w:tab/>
      </w:r>
      <w:hyperlink r:id="rId148">
        <w:r>
          <w:rPr>
            <w:rFonts w:ascii="Arial" w:cs="Arial" w:eastAsia="Arial" w:hAnsi="Arial"/>
            <w:sz w:val="17"/>
            <w:szCs w:val="17"/>
            <w:color w:val="auto"/>
          </w:rPr>
          <w:t>Form of AGNC Investment Corp. 2016 Equity and Incentive Compensation Plan Performance-Based Restricted Stock Unit Agreement for Section 16</w:t>
        </w:r>
      </w:hyperlink>
      <w:r>
        <w:rPr>
          <w:rFonts w:ascii="Arial" w:cs="Arial" w:eastAsia="Arial" w:hAnsi="Arial"/>
          <w:sz w:val="17"/>
          <w:szCs w:val="17"/>
          <w:color w:val="auto"/>
        </w:rPr>
        <w:t xml:space="preserve"> </w:t>
      </w:r>
      <w:hyperlink r:id="rId148">
        <w:r>
          <w:rPr>
            <w:rFonts w:ascii="Arial" w:cs="Arial" w:eastAsia="Arial" w:hAnsi="Arial"/>
            <w:sz w:val="17"/>
            <w:szCs w:val="17"/>
            <w:color w:val="auto"/>
          </w:rPr>
          <w:t>Officers with Retirement Provisions, incorporated herein by reference to Exhibit 10.16 of Form 10-K (File No. 001-34057), filed February 22,</w:t>
        </w:r>
      </w:hyperlink>
      <w:r>
        <w:rPr>
          <w:rFonts w:ascii="Arial" w:cs="Arial" w:eastAsia="Arial" w:hAnsi="Arial"/>
          <w:sz w:val="17"/>
          <w:szCs w:val="17"/>
          <w:color w:val="auto"/>
        </w:rPr>
        <w:t xml:space="preserve"> </w:t>
      </w:r>
      <w:hyperlink r:id="rId148">
        <w:r>
          <w:rPr>
            <w:rFonts w:ascii="Arial" w:cs="Arial" w:eastAsia="Arial" w:hAnsi="Arial"/>
            <w:sz w:val="17"/>
            <w:szCs w:val="17"/>
            <w:color w:val="auto"/>
          </w:rPr>
          <w:t>2019.</w:t>
        </w:r>
      </w:hyperlink>
    </w:p>
    <w:p>
      <w:pPr>
        <w:spacing w:after="0" w:line="120" w:lineRule="exact"/>
        <w:rPr>
          <w:rFonts w:ascii="Arial" w:cs="Arial" w:eastAsia="Arial" w:hAnsi="Arial"/>
          <w:sz w:val="17"/>
          <w:szCs w:val="17"/>
          <w:color w:val="auto"/>
        </w:rPr>
      </w:pPr>
    </w:p>
    <w:p>
      <w:pPr>
        <w:jc w:val="both"/>
        <w:ind w:left="780" w:hanging="1254"/>
        <w:spacing w:after="0" w:line="272" w:lineRule="auto"/>
        <w:tabs>
          <w:tab w:leader="none" w:pos="760" w:val="left"/>
        </w:tabs>
        <w:rPr>
          <w:rFonts w:ascii="Arial" w:cs="Arial" w:eastAsia="Arial" w:hAnsi="Arial"/>
          <w:sz w:val="17"/>
          <w:szCs w:val="17"/>
          <w:color w:val="auto"/>
        </w:rPr>
      </w:pPr>
      <w:hyperlink r:id="rId149">
        <w:r>
          <w:rPr>
            <w:rFonts w:ascii="Arial" w:cs="Arial" w:eastAsia="Arial" w:hAnsi="Arial"/>
            <w:sz w:val="17"/>
            <w:szCs w:val="17"/>
            <w:color w:val="auto"/>
          </w:rPr>
          <w:t>†* 10.21</w:t>
        </w:r>
      </w:hyperlink>
      <w:r>
        <w:rPr>
          <w:rFonts w:ascii="Arial" w:cs="Arial" w:eastAsia="Arial" w:hAnsi="Arial"/>
          <w:sz w:val="17"/>
          <w:szCs w:val="17"/>
          <w:color w:val="auto"/>
        </w:rPr>
        <w:tab/>
      </w:r>
      <w:hyperlink r:id="rId149">
        <w:r>
          <w:rPr>
            <w:rFonts w:ascii="Arial" w:cs="Arial" w:eastAsia="Arial" w:hAnsi="Arial"/>
            <w:sz w:val="17"/>
            <w:szCs w:val="17"/>
            <w:color w:val="auto"/>
          </w:rPr>
          <w:t>Form of AGNC Investment Corp. 2016 Equity and Incentive Compensation Plan Performance-Based Restricted Stock Unit Agreement for Section 16</w:t>
        </w:r>
      </w:hyperlink>
      <w:r>
        <w:rPr>
          <w:rFonts w:ascii="Arial" w:cs="Arial" w:eastAsia="Arial" w:hAnsi="Arial"/>
          <w:sz w:val="17"/>
          <w:szCs w:val="17"/>
          <w:color w:val="auto"/>
        </w:rPr>
        <w:t xml:space="preserve"> </w:t>
      </w:r>
      <w:hyperlink r:id="rId149">
        <w:r>
          <w:rPr>
            <w:rFonts w:ascii="Arial" w:cs="Arial" w:eastAsia="Arial" w:hAnsi="Arial"/>
            <w:sz w:val="17"/>
            <w:szCs w:val="17"/>
            <w:color w:val="auto"/>
          </w:rPr>
          <w:t>Officers with Employment Contracts, incorporated herein by reference to Exhibit 10.17 of Form 10-K (File No. 001-34057), filed February 22,</w:t>
        </w:r>
      </w:hyperlink>
      <w:r>
        <w:rPr>
          <w:rFonts w:ascii="Arial" w:cs="Arial" w:eastAsia="Arial" w:hAnsi="Arial"/>
          <w:sz w:val="17"/>
          <w:szCs w:val="17"/>
          <w:color w:val="auto"/>
        </w:rPr>
        <w:t xml:space="preserve"> </w:t>
      </w:r>
      <w:hyperlink r:id="rId149">
        <w:r>
          <w:rPr>
            <w:rFonts w:ascii="Arial" w:cs="Arial" w:eastAsia="Arial" w:hAnsi="Arial"/>
            <w:sz w:val="17"/>
            <w:szCs w:val="17"/>
            <w:color w:val="auto"/>
          </w:rPr>
          <w:t>2019.</w:t>
        </w:r>
      </w:hyperlink>
    </w:p>
    <w:p>
      <w:pPr>
        <w:spacing w:after="0" w:line="119" w:lineRule="exact"/>
        <w:rPr>
          <w:rFonts w:ascii="Arial" w:cs="Arial" w:eastAsia="Arial" w:hAnsi="Arial"/>
          <w:sz w:val="17"/>
          <w:szCs w:val="17"/>
          <w:color w:val="auto"/>
        </w:rPr>
      </w:pPr>
    </w:p>
    <w:p>
      <w:pPr>
        <w:ind w:left="780" w:right="460" w:hanging="1254"/>
        <w:spacing w:after="0" w:line="321" w:lineRule="auto"/>
        <w:tabs>
          <w:tab w:leader="none" w:pos="760" w:val="left"/>
        </w:tabs>
        <w:rPr>
          <w:rFonts w:ascii="Arial" w:cs="Arial" w:eastAsia="Arial" w:hAnsi="Arial"/>
          <w:sz w:val="16"/>
          <w:szCs w:val="16"/>
          <w:color w:val="auto"/>
        </w:rPr>
      </w:pPr>
      <w:hyperlink r:id="rId150">
        <w:r>
          <w:rPr>
            <w:rFonts w:ascii="Arial" w:cs="Arial" w:eastAsia="Arial" w:hAnsi="Arial"/>
            <w:sz w:val="17"/>
            <w:szCs w:val="17"/>
            <w:color w:val="auto"/>
          </w:rPr>
          <w:t>†* 10.22</w:t>
        </w:r>
      </w:hyperlink>
      <w:r>
        <w:rPr>
          <w:rFonts w:ascii="Arial" w:cs="Arial" w:eastAsia="Arial" w:hAnsi="Arial"/>
          <w:sz w:val="17"/>
          <w:szCs w:val="17"/>
          <w:color w:val="auto"/>
        </w:rPr>
        <w:tab/>
      </w:r>
      <w:hyperlink r:id="rId150">
        <w:r>
          <w:rPr>
            <w:rFonts w:ascii="Arial" w:cs="Arial" w:eastAsia="Arial" w:hAnsi="Arial"/>
            <w:sz w:val="16"/>
            <w:szCs w:val="16"/>
            <w:color w:val="auto"/>
          </w:rPr>
          <w:t>Form of AGNC Investment Corp. 2016 Equity and Incentive Compensation Plan Restricted Stock Unit Agreement for Section 16 Officers with</w:t>
        </w:r>
      </w:hyperlink>
      <w:r>
        <w:rPr>
          <w:rFonts w:ascii="Arial" w:cs="Arial" w:eastAsia="Arial" w:hAnsi="Arial"/>
          <w:sz w:val="16"/>
          <w:szCs w:val="16"/>
          <w:color w:val="auto"/>
        </w:rPr>
        <w:t xml:space="preserve"> </w:t>
      </w:r>
      <w:hyperlink r:id="rId150">
        <w:r>
          <w:rPr>
            <w:rFonts w:ascii="Arial" w:cs="Arial" w:eastAsia="Arial" w:hAnsi="Arial"/>
            <w:sz w:val="16"/>
            <w:szCs w:val="16"/>
            <w:color w:val="auto"/>
          </w:rPr>
          <w:t>Retirement Provisions, incorporated herein by reference to Exhibit 10.26 of Form 10-K (File No. 001-34057), filed February 26, 2021.</w:t>
        </w:r>
      </w:hyperlink>
    </w:p>
    <w:p>
      <w:pPr>
        <w:spacing w:after="0" w:line="83" w:lineRule="exact"/>
        <w:rPr>
          <w:rFonts w:ascii="Arial" w:cs="Arial" w:eastAsia="Arial" w:hAnsi="Arial"/>
          <w:sz w:val="17"/>
          <w:szCs w:val="17"/>
          <w:color w:val="auto"/>
        </w:rPr>
      </w:pPr>
    </w:p>
    <w:p>
      <w:pPr>
        <w:jc w:val="both"/>
        <w:ind w:left="780" w:hanging="1254"/>
        <w:spacing w:after="0" w:line="272" w:lineRule="auto"/>
        <w:tabs>
          <w:tab w:leader="none" w:pos="760" w:val="left"/>
        </w:tabs>
        <w:rPr>
          <w:rFonts w:ascii="Arial" w:cs="Arial" w:eastAsia="Arial" w:hAnsi="Arial"/>
          <w:sz w:val="17"/>
          <w:szCs w:val="17"/>
          <w:color w:val="auto"/>
        </w:rPr>
      </w:pPr>
      <w:hyperlink r:id="rId151">
        <w:r>
          <w:rPr>
            <w:rFonts w:ascii="Arial" w:cs="Arial" w:eastAsia="Arial" w:hAnsi="Arial"/>
            <w:sz w:val="17"/>
            <w:szCs w:val="17"/>
            <w:color w:val="auto"/>
          </w:rPr>
          <w:t>†* 10.23</w:t>
        </w:r>
      </w:hyperlink>
      <w:r>
        <w:rPr>
          <w:rFonts w:ascii="Arial" w:cs="Arial" w:eastAsia="Arial" w:hAnsi="Arial"/>
          <w:sz w:val="17"/>
          <w:szCs w:val="17"/>
          <w:color w:val="auto"/>
        </w:rPr>
        <w:tab/>
      </w:r>
      <w:hyperlink r:id="rId151">
        <w:r>
          <w:rPr>
            <w:rFonts w:ascii="Arial" w:cs="Arial" w:eastAsia="Arial" w:hAnsi="Arial"/>
            <w:sz w:val="17"/>
            <w:szCs w:val="17"/>
            <w:color w:val="auto"/>
          </w:rPr>
          <w:t>Form of AGNC Investment Corp. 2016 Equity and Incentive Compensation Plan Performance-Based Restricted Stock Unit Agreement for Section 16</w:t>
        </w:r>
      </w:hyperlink>
      <w:r>
        <w:rPr>
          <w:rFonts w:ascii="Arial" w:cs="Arial" w:eastAsia="Arial" w:hAnsi="Arial"/>
          <w:sz w:val="17"/>
          <w:szCs w:val="17"/>
          <w:color w:val="auto"/>
        </w:rPr>
        <w:t xml:space="preserve"> </w:t>
      </w:r>
      <w:hyperlink r:id="rId151">
        <w:r>
          <w:rPr>
            <w:rFonts w:ascii="Arial" w:cs="Arial" w:eastAsia="Arial" w:hAnsi="Arial"/>
            <w:sz w:val="17"/>
            <w:szCs w:val="17"/>
            <w:color w:val="auto"/>
          </w:rPr>
          <w:t>Officers with Retirement Provisions, incorporated herein by reference to Exhibit 10.27 of Form 10-K (File No. 001-34057), filed February 26,</w:t>
        </w:r>
      </w:hyperlink>
      <w:r>
        <w:rPr>
          <w:rFonts w:ascii="Arial" w:cs="Arial" w:eastAsia="Arial" w:hAnsi="Arial"/>
          <w:sz w:val="17"/>
          <w:szCs w:val="17"/>
          <w:color w:val="auto"/>
        </w:rPr>
        <w:t xml:space="preserve"> </w:t>
      </w:r>
      <w:hyperlink r:id="rId151">
        <w:r>
          <w:rPr>
            <w:rFonts w:ascii="Arial" w:cs="Arial" w:eastAsia="Arial" w:hAnsi="Arial"/>
            <w:sz w:val="17"/>
            <w:szCs w:val="17"/>
            <w:color w:val="auto"/>
          </w:rPr>
          <w:t>2021.</w:t>
        </w:r>
      </w:hyperlink>
    </w:p>
    <w:p>
      <w:pPr>
        <w:spacing w:after="0" w:line="119" w:lineRule="exact"/>
        <w:rPr>
          <w:rFonts w:ascii="Arial" w:cs="Arial" w:eastAsia="Arial" w:hAnsi="Arial"/>
          <w:sz w:val="17"/>
          <w:szCs w:val="17"/>
          <w:color w:val="auto"/>
        </w:rPr>
      </w:pPr>
    </w:p>
    <w:p>
      <w:pPr>
        <w:ind w:left="780" w:right="460" w:hanging="1254"/>
        <w:spacing w:after="0" w:line="321" w:lineRule="auto"/>
        <w:tabs>
          <w:tab w:leader="none" w:pos="760" w:val="left"/>
        </w:tabs>
        <w:rPr>
          <w:rFonts w:ascii="Arial" w:cs="Arial" w:eastAsia="Arial" w:hAnsi="Arial"/>
          <w:sz w:val="16"/>
          <w:szCs w:val="16"/>
          <w:color w:val="auto"/>
        </w:rPr>
      </w:pPr>
      <w:hyperlink r:id="rId152">
        <w:r>
          <w:rPr>
            <w:rFonts w:ascii="Arial" w:cs="Arial" w:eastAsia="Arial" w:hAnsi="Arial"/>
            <w:sz w:val="17"/>
            <w:szCs w:val="17"/>
            <w:color w:val="auto"/>
          </w:rPr>
          <w:t>†* 10.24</w:t>
        </w:r>
      </w:hyperlink>
      <w:r>
        <w:rPr>
          <w:rFonts w:ascii="Arial" w:cs="Arial" w:eastAsia="Arial" w:hAnsi="Arial"/>
          <w:sz w:val="17"/>
          <w:szCs w:val="17"/>
          <w:color w:val="auto"/>
        </w:rPr>
        <w:tab/>
      </w:r>
      <w:hyperlink r:id="rId152">
        <w:r>
          <w:rPr>
            <w:rFonts w:ascii="Arial" w:cs="Arial" w:eastAsia="Arial" w:hAnsi="Arial"/>
            <w:sz w:val="16"/>
            <w:szCs w:val="16"/>
            <w:color w:val="auto"/>
          </w:rPr>
          <w:t>Form of AGNC Investment Corp. 2016 Equity and Incentive Compensation Plan Restricted Stock Unit Agreement for Section 16 Officers with</w:t>
        </w:r>
      </w:hyperlink>
      <w:r>
        <w:rPr>
          <w:rFonts w:ascii="Arial" w:cs="Arial" w:eastAsia="Arial" w:hAnsi="Arial"/>
          <w:sz w:val="16"/>
          <w:szCs w:val="16"/>
          <w:color w:val="auto"/>
        </w:rPr>
        <w:t xml:space="preserve"> </w:t>
      </w:r>
      <w:hyperlink r:id="rId152">
        <w:r>
          <w:rPr>
            <w:rFonts w:ascii="Arial" w:cs="Arial" w:eastAsia="Arial" w:hAnsi="Arial"/>
            <w:sz w:val="16"/>
            <w:szCs w:val="16"/>
            <w:color w:val="auto"/>
          </w:rPr>
          <w:t>Employment Contracts, incorporated herein by reference to Exhibit 10.28 of Form 10-K (File No. 001-34057), filed February 26, 2021.</w:t>
        </w:r>
      </w:hyperlink>
    </w:p>
    <w:p>
      <w:pPr>
        <w:spacing w:after="0" w:line="83" w:lineRule="exact"/>
        <w:rPr>
          <w:rFonts w:ascii="Arial" w:cs="Arial" w:eastAsia="Arial" w:hAnsi="Arial"/>
          <w:sz w:val="17"/>
          <w:szCs w:val="17"/>
          <w:color w:val="auto"/>
        </w:rPr>
      </w:pPr>
    </w:p>
    <w:p>
      <w:pPr>
        <w:jc w:val="both"/>
        <w:ind w:left="780" w:hanging="1254"/>
        <w:spacing w:after="0" w:line="272" w:lineRule="auto"/>
        <w:tabs>
          <w:tab w:leader="none" w:pos="760" w:val="left"/>
        </w:tabs>
        <w:rPr>
          <w:rFonts w:ascii="Arial" w:cs="Arial" w:eastAsia="Arial" w:hAnsi="Arial"/>
          <w:sz w:val="17"/>
          <w:szCs w:val="17"/>
          <w:color w:val="auto"/>
        </w:rPr>
      </w:pPr>
      <w:hyperlink r:id="rId153">
        <w:r>
          <w:rPr>
            <w:rFonts w:ascii="Arial" w:cs="Arial" w:eastAsia="Arial" w:hAnsi="Arial"/>
            <w:sz w:val="17"/>
            <w:szCs w:val="17"/>
            <w:color w:val="auto"/>
          </w:rPr>
          <w:t>†* 10.25</w:t>
        </w:r>
      </w:hyperlink>
      <w:r>
        <w:rPr>
          <w:rFonts w:ascii="Arial" w:cs="Arial" w:eastAsia="Arial" w:hAnsi="Arial"/>
          <w:sz w:val="17"/>
          <w:szCs w:val="17"/>
          <w:color w:val="auto"/>
        </w:rPr>
        <w:tab/>
      </w:r>
      <w:hyperlink r:id="rId153">
        <w:r>
          <w:rPr>
            <w:rFonts w:ascii="Arial" w:cs="Arial" w:eastAsia="Arial" w:hAnsi="Arial"/>
            <w:sz w:val="17"/>
            <w:szCs w:val="17"/>
            <w:color w:val="auto"/>
          </w:rPr>
          <w:t>Form of AGNC Investment Corp. 2016 Equity and Incentive Compensation Plan Performance-Based Restricted Stock Unit Agreement for Section 16</w:t>
        </w:r>
      </w:hyperlink>
      <w:r>
        <w:rPr>
          <w:rFonts w:ascii="Arial" w:cs="Arial" w:eastAsia="Arial" w:hAnsi="Arial"/>
          <w:sz w:val="17"/>
          <w:szCs w:val="17"/>
          <w:color w:val="auto"/>
        </w:rPr>
        <w:t xml:space="preserve"> </w:t>
      </w:r>
      <w:hyperlink r:id="rId153">
        <w:r>
          <w:rPr>
            <w:rFonts w:ascii="Arial" w:cs="Arial" w:eastAsia="Arial" w:hAnsi="Arial"/>
            <w:sz w:val="17"/>
            <w:szCs w:val="17"/>
            <w:color w:val="auto"/>
          </w:rPr>
          <w:t>Officers with Employment Contracts, incorporated herein by reference to Exhibit 10.29 of Form 10-K (File No. 001-34057), filed February 26,</w:t>
        </w:r>
      </w:hyperlink>
      <w:r>
        <w:rPr>
          <w:rFonts w:ascii="Arial" w:cs="Arial" w:eastAsia="Arial" w:hAnsi="Arial"/>
          <w:sz w:val="17"/>
          <w:szCs w:val="17"/>
          <w:color w:val="auto"/>
        </w:rPr>
        <w:t xml:space="preserve"> </w:t>
      </w:r>
      <w:hyperlink r:id="rId153">
        <w:r>
          <w:rPr>
            <w:rFonts w:ascii="Arial" w:cs="Arial" w:eastAsia="Arial" w:hAnsi="Arial"/>
            <w:sz w:val="17"/>
            <w:szCs w:val="17"/>
            <w:color w:val="auto"/>
          </w:rPr>
          <w:t>2021</w:t>
        </w:r>
      </w:hyperlink>
    </w:p>
    <w:p>
      <w:pPr>
        <w:spacing w:after="0" w:line="120" w:lineRule="exact"/>
        <w:rPr>
          <w:rFonts w:ascii="Arial" w:cs="Arial" w:eastAsia="Arial" w:hAnsi="Arial"/>
          <w:sz w:val="17"/>
          <w:szCs w:val="17"/>
          <w:color w:val="auto"/>
        </w:rPr>
      </w:pPr>
    </w:p>
    <w:p>
      <w:pPr>
        <w:spacing w:after="0"/>
        <w:tabs>
          <w:tab w:leader="none" w:pos="420" w:val="left"/>
        </w:tabs>
        <w:rPr>
          <w:rFonts w:ascii="Arial" w:cs="Arial" w:eastAsia="Arial" w:hAnsi="Arial"/>
          <w:sz w:val="15"/>
          <w:szCs w:val="15"/>
          <w:color w:val="auto"/>
        </w:rPr>
      </w:pPr>
      <w:r>
        <w:rPr>
          <w:rFonts w:ascii="Arial" w:cs="Arial" w:eastAsia="Arial" w:hAnsi="Arial"/>
          <w:sz w:val="17"/>
          <w:szCs w:val="17"/>
          <w:color w:val="auto"/>
        </w:rPr>
        <w:t>*14</w:t>
      </w:r>
      <w:r>
        <w:rPr>
          <w:sz w:val="20"/>
          <w:szCs w:val="20"/>
          <w:color w:val="auto"/>
        </w:rPr>
        <w:tab/>
      </w:r>
      <w:hyperlink r:id="rId154">
        <w:r>
          <w:rPr>
            <w:rFonts w:ascii="Arial" w:cs="Arial" w:eastAsia="Arial" w:hAnsi="Arial"/>
            <w:sz w:val="15"/>
            <w:szCs w:val="15"/>
            <w:color w:val="auto"/>
          </w:rPr>
          <w:t>AGNC Investment Corp. Code of Ethics and Conduct, adopted January 23, 2020, incorporated herein by reference to Exhibit 14 of Form 10-K (File No.</w:t>
        </w:r>
      </w:hyperlink>
    </w:p>
    <w:p>
      <w:pPr>
        <w:spacing w:after="0" w:line="26"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hyperlink r:id="rId154">
        <w:r>
          <w:rPr>
            <w:rFonts w:ascii="Arial" w:cs="Arial" w:eastAsia="Arial" w:hAnsi="Arial"/>
            <w:sz w:val="17"/>
            <w:szCs w:val="17"/>
            <w:color w:val="auto"/>
          </w:rPr>
          <w:t>001-34057), filed February 25, 2020.</w:t>
        </w:r>
      </w:hyperlink>
    </w:p>
    <w:p>
      <w:pPr>
        <w:spacing w:after="0" w:line="158" w:lineRule="exact"/>
        <w:rPr>
          <w:rFonts w:ascii="Arial" w:cs="Arial" w:eastAsia="Arial" w:hAnsi="Arial"/>
          <w:sz w:val="17"/>
          <w:szCs w:val="17"/>
          <w:color w:val="auto"/>
        </w:rPr>
      </w:pPr>
    </w:p>
    <w:p>
      <w:pPr>
        <w:ind w:left="360" w:hanging="355"/>
        <w:spacing w:after="0"/>
        <w:tabs>
          <w:tab w:leader="none" w:pos="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Subsidiaries of the Company and jurisdiction of incorporation:</w:t>
      </w:r>
    </w:p>
    <w:p>
      <w:pPr>
        <w:spacing w:after="0" w:line="170" w:lineRule="exact"/>
        <w:rPr>
          <w:rFonts w:ascii="Arial" w:cs="Arial" w:eastAsia="Arial" w:hAnsi="Arial"/>
          <w:sz w:val="17"/>
          <w:szCs w:val="17"/>
          <w:color w:val="auto"/>
        </w:rPr>
      </w:pPr>
    </w:p>
    <w:p>
      <w:pPr>
        <w:ind w:left="1480" w:hanging="221"/>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AGNC TRS, LLC, a Delaware limited liability company</w:t>
      </w:r>
    </w:p>
    <w:p>
      <w:pPr>
        <w:spacing w:after="0" w:line="170" w:lineRule="exact"/>
        <w:rPr>
          <w:rFonts w:ascii="Arial" w:cs="Arial" w:eastAsia="Arial" w:hAnsi="Arial"/>
          <w:sz w:val="17"/>
          <w:szCs w:val="17"/>
          <w:color w:val="auto"/>
        </w:rPr>
      </w:pPr>
    </w:p>
    <w:p>
      <w:pPr>
        <w:ind w:left="1480" w:hanging="221"/>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Bethesda Securities, LLC, a Delaware limited liability company</w:t>
      </w:r>
    </w:p>
    <w:p>
      <w:pPr>
        <w:spacing w:after="0" w:line="170" w:lineRule="exact"/>
        <w:rPr>
          <w:rFonts w:ascii="Arial" w:cs="Arial" w:eastAsia="Arial" w:hAnsi="Arial"/>
          <w:sz w:val="17"/>
          <w:szCs w:val="17"/>
          <w:color w:val="auto"/>
        </w:rPr>
      </w:pPr>
    </w:p>
    <w:p>
      <w:pPr>
        <w:ind w:left="1480" w:hanging="221"/>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AGNC Mortgage Management, LLC, a Delaware limited liability company</w:t>
      </w:r>
    </w:p>
    <w:p>
      <w:pPr>
        <w:spacing w:after="0" w:line="170" w:lineRule="exact"/>
        <w:rPr>
          <w:rFonts w:ascii="Arial" w:cs="Arial" w:eastAsia="Arial" w:hAnsi="Arial"/>
          <w:sz w:val="17"/>
          <w:szCs w:val="17"/>
          <w:color w:val="auto"/>
        </w:rPr>
      </w:pPr>
    </w:p>
    <w:p>
      <w:pPr>
        <w:ind w:left="360" w:hanging="355"/>
        <w:spacing w:after="0"/>
        <w:tabs>
          <w:tab w:leader="none" w:pos="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Consent of Ernst &amp; Young LLP, filed herewith.</w:t>
      </w:r>
    </w:p>
    <w:p>
      <w:pPr>
        <w:spacing w:after="0" w:line="170" w:lineRule="exact"/>
        <w:rPr>
          <w:rFonts w:ascii="Arial" w:cs="Arial" w:eastAsia="Arial" w:hAnsi="Arial"/>
          <w:sz w:val="17"/>
          <w:szCs w:val="17"/>
          <w:color w:val="auto"/>
        </w:rPr>
      </w:pPr>
    </w:p>
    <w:p>
      <w:pPr>
        <w:ind w:left="360" w:hanging="355"/>
        <w:spacing w:after="0"/>
        <w:tabs>
          <w:tab w:leader="none" w:pos="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Powers of Attorney of directors, filed herewith.</w:t>
      </w:r>
    </w:p>
    <w:p>
      <w:pPr>
        <w:spacing w:after="0" w:line="17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31.1  Certification of CEO Pursuant to Section 302(a) of the Sarbanes-Oxley Act of 2002.</w:t>
      </w:r>
    </w:p>
    <w:p>
      <w:pPr>
        <w:spacing w:after="0" w:line="17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31.2  Certification of CFO Pursuant to Section 302(a) of the Sarbanes-Oxley Act of 2002.</w:t>
      </w:r>
    </w:p>
    <w:p>
      <w:pPr>
        <w:spacing w:after="0" w:line="170" w:lineRule="exact"/>
        <w:rPr>
          <w:rFonts w:ascii="Arial" w:cs="Arial" w:eastAsia="Arial" w:hAnsi="Arial"/>
          <w:sz w:val="17"/>
          <w:szCs w:val="17"/>
          <w:color w:val="auto"/>
        </w:rPr>
      </w:pPr>
    </w:p>
    <w:p>
      <w:pPr>
        <w:ind w:left="360" w:hanging="355"/>
        <w:spacing w:after="0"/>
        <w:tabs>
          <w:tab w:leader="none" w:pos="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Certification of CEO and CFO Pursuant to Section 906 of the Sarbanes-Oxley Act of 2002.</w:t>
      </w:r>
    </w:p>
    <w:p>
      <w:pPr>
        <w:sectPr>
          <w:pgSz w:w="11900" w:h="16838" w:orient="portrait"/>
          <w:cols w:equalWidth="0" w:num="1">
            <w:col w:w="11240"/>
          </w:cols>
          <w:pgMar w:left="320" w:top="1029" w:right="339" w:bottom="1440" w:gutter="0" w:footer="0" w:header="0"/>
        </w:sectPr>
      </w:pPr>
    </w:p>
    <w:p>
      <w:pPr>
        <w:spacing w:after="0" w:line="17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15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5"/>
          <w:szCs w:val="15"/>
          <w:color w:val="auto"/>
        </w:rPr>
        <w:t>The instance document does not appear in the interactive data file because its XBRL tags are embedded within the inline XBRL document</w:t>
      </w:r>
    </w:p>
    <w:p>
      <w:pPr>
        <w:spacing w:after="0" w:line="192" w:lineRule="exact"/>
        <w:rPr>
          <w:rFonts w:ascii="Arial" w:cs="Arial" w:eastAsia="Arial" w:hAnsi="Arial"/>
          <w:sz w:val="17"/>
          <w:szCs w:val="17"/>
          <w:color w:val="auto"/>
        </w:rPr>
      </w:pPr>
    </w:p>
    <w:p>
      <w:pPr>
        <w:sectPr>
          <w:pgSz w:w="11900" w:h="16838" w:orient="portrait"/>
          <w:cols w:equalWidth="0" w:num="2">
            <w:col w:w="760" w:space="180"/>
            <w:col w:w="10300"/>
          </w:cols>
          <w:pgMar w:left="320" w:top="1029"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Schema Document</w:t>
      </w:r>
    </w:p>
    <w:p>
      <w:pPr>
        <w:spacing w:after="0" w:line="193" w:lineRule="exact"/>
        <w:rPr>
          <w:rFonts w:ascii="Arial" w:cs="Arial" w:eastAsia="Arial" w:hAnsi="Arial"/>
          <w:sz w:val="17"/>
          <w:szCs w:val="17"/>
          <w:color w:val="auto"/>
        </w:rPr>
      </w:pPr>
    </w:p>
    <w:p>
      <w:pPr>
        <w:sectPr>
          <w:pgSz w:w="11900" w:h="16838" w:orient="portrait"/>
          <w:cols w:equalWidth="0" w:num="2">
            <w:col w:w="820" w:space="180"/>
            <w:col w:w="10240"/>
          </w:cols>
          <w:pgMar w:left="320" w:top="1029"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101.CAL**</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81" w:lineRule="exact"/>
        <w:rPr>
          <w:rFonts w:ascii="Arial" w:cs="Arial" w:eastAsia="Arial" w:hAnsi="Arial"/>
          <w:sz w:val="17"/>
          <w:szCs w:val="17"/>
          <w:color w:val="auto"/>
        </w:rPr>
      </w:pPr>
    </w:p>
    <w:p>
      <w:pPr>
        <w:sectPr>
          <w:pgSz w:w="11900" w:h="16838" w:orient="portrait"/>
          <w:cols w:equalWidth="0" w:num="2">
            <w:col w:w="840" w:space="160"/>
            <w:col w:w="10240"/>
          </w:cols>
          <w:pgMar w:left="320" w:top="1029"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101.LAB**</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81" w:lineRule="exact"/>
        <w:rPr>
          <w:rFonts w:ascii="Arial" w:cs="Arial" w:eastAsia="Arial" w:hAnsi="Arial"/>
          <w:sz w:val="17"/>
          <w:szCs w:val="17"/>
          <w:color w:val="auto"/>
        </w:rPr>
      </w:pPr>
    </w:p>
    <w:p>
      <w:pPr>
        <w:sectPr>
          <w:pgSz w:w="11900" w:h="16838" w:orient="portrait"/>
          <w:cols w:equalWidth="0" w:num="2">
            <w:col w:w="840" w:space="160"/>
            <w:col w:w="10240"/>
          </w:cols>
          <w:pgMar w:left="320" w:top="1029"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Presentation Linkbase Document</w:t>
      </w:r>
    </w:p>
    <w:p>
      <w:pPr>
        <w:spacing w:after="0" w:line="193" w:lineRule="exact"/>
        <w:rPr>
          <w:rFonts w:ascii="Arial" w:cs="Arial" w:eastAsia="Arial" w:hAnsi="Arial"/>
          <w:sz w:val="17"/>
          <w:szCs w:val="17"/>
          <w:color w:val="auto"/>
        </w:rPr>
      </w:pPr>
    </w:p>
    <w:p>
      <w:pPr>
        <w:sectPr>
          <w:pgSz w:w="11900" w:h="16838" w:orient="portrait"/>
          <w:cols w:equalWidth="0" w:num="2">
            <w:col w:w="800" w:space="180"/>
            <w:col w:w="10260"/>
          </w:cols>
          <w:pgMar w:left="320" w:top="1029"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37" w:lineRule="exact"/>
        <w:rPr>
          <w:rFonts w:ascii="Arial" w:cs="Arial" w:eastAsia="Arial" w:hAnsi="Arial"/>
          <w:sz w:val="17"/>
          <w:szCs w:val="17"/>
          <w:color w:val="auto"/>
        </w:rPr>
      </w:pPr>
    </w:p>
    <w:p>
      <w:pPr>
        <w:sectPr>
          <w:pgSz w:w="11900" w:h="16838" w:orient="portrait"/>
          <w:cols w:equalWidth="0" w:num="2">
            <w:col w:w="820" w:space="160"/>
            <w:col w:w="10260"/>
          </w:cols>
          <w:pgMar w:left="320" w:top="1029" w:right="339" w:bottom="1440" w:gutter="0" w:footer="0" w:header="0"/>
          <w:type w:val="continuous"/>
        </w:sectPr>
      </w:pPr>
    </w:p>
    <w:p>
      <w:pPr>
        <w:spacing w:after="0"/>
        <w:rPr>
          <w:sz w:val="20"/>
          <w:szCs w:val="20"/>
          <w:color w:val="auto"/>
        </w:rPr>
      </w:pPr>
      <w:r>
        <w:rPr>
          <w:rFonts w:ascii="Arial" w:cs="Arial" w:eastAsia="Arial" w:hAnsi="Arial"/>
          <w:sz w:val="10"/>
          <w:szCs w:val="10"/>
          <w:color w:val="auto"/>
        </w:rPr>
        <w:t>________________________________</w:t>
      </w:r>
    </w:p>
    <w:p>
      <w:pPr>
        <w:spacing w:after="0" w:line="7" w:lineRule="exact"/>
        <w:rPr>
          <w:rFonts w:ascii="Arial" w:cs="Arial" w:eastAsia="Arial" w:hAnsi="Arial"/>
          <w:sz w:val="17"/>
          <w:szCs w:val="17"/>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Previously filed</w:t>
      </w:r>
    </w:p>
    <w:p>
      <w:pPr>
        <w:spacing w:after="0" w:line="23" w:lineRule="exact"/>
        <w:rPr>
          <w:rFonts w:ascii="Arial" w:cs="Arial" w:eastAsia="Arial" w:hAnsi="Arial"/>
          <w:sz w:val="17"/>
          <w:szCs w:val="17"/>
          <w:color w:val="auto"/>
        </w:rPr>
      </w:pPr>
    </w:p>
    <w:p>
      <w:pPr>
        <w:ind w:left="640" w:right="720" w:hanging="635"/>
        <w:spacing w:after="0" w:line="273" w:lineRule="auto"/>
        <w:tabs>
          <w:tab w:leader="none" w:pos="3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exhibit is being furnished rather than filed, and shall not be deemed incorporated by reference into any filing, in accordance with Item 601 of Regulation S-K</w:t>
      </w: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84" w:name="page85"/>
    <w:bookmarkEnd w:id="84"/>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249"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6"/>
          <w:szCs w:val="16"/>
          <w:color w:val="auto"/>
        </w:rPr>
        <w:t>Exhibits</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See the exhibits filed herewith.</w:t>
      </w:r>
    </w:p>
    <w:p>
      <w:pPr>
        <w:spacing w:after="0" w:line="211" w:lineRule="exact"/>
        <w:rPr>
          <w:sz w:val="20"/>
          <w:szCs w:val="20"/>
          <w:color w:val="auto"/>
        </w:rPr>
      </w:pPr>
    </w:p>
    <w:p>
      <w:pPr>
        <w:ind w:left="660" w:right="6519" w:hanging="224"/>
        <w:spacing w:after="0" w:line="288" w:lineRule="auto"/>
        <w:tabs>
          <w:tab w:leader="none" w:pos="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Additional financial statement schedules None.</w:t>
      </w:r>
    </w:p>
    <w:p>
      <w:pPr>
        <w:spacing w:after="0" w:line="200" w:lineRule="exact"/>
        <w:rPr>
          <w:sz w:val="20"/>
          <w:szCs w:val="20"/>
          <w:color w:val="auto"/>
        </w:rPr>
      </w:pPr>
    </w:p>
    <w:p>
      <w:pPr>
        <w:spacing w:after="0" w:line="28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872"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right="220" w:firstLine="431"/>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AGNC I</w:t>
      </w:r>
      <w:r>
        <w:rPr>
          <w:rFonts w:ascii="Arial" w:cs="Arial" w:eastAsia="Arial" w:hAnsi="Arial"/>
          <w:sz w:val="13"/>
          <w:szCs w:val="13"/>
          <w:color w:val="auto"/>
        </w:rPr>
        <w:t>NVESTMENT</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p>
    <w:p>
      <w:pPr>
        <w:spacing w:after="0" w:line="92" w:lineRule="exact"/>
        <w:rPr>
          <w:sz w:val="20"/>
          <w:szCs w:val="20"/>
          <w:color w:val="auto"/>
        </w:rPr>
      </w:pPr>
    </w:p>
    <w:p>
      <w:pPr>
        <w:ind w:left="5540"/>
        <w:spacing w:after="0"/>
        <w:tabs>
          <w:tab w:leader="none" w:pos="7780" w:val="left"/>
          <w:tab w:leader="none" w:pos="8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24765</wp:posOffset>
            </wp:positionV>
            <wp:extent cx="3269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3269615"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Peter J. Federico</w:t>
      </w:r>
    </w:p>
    <w:p>
      <w:pPr>
        <w:jc w:val="center"/>
        <w:ind w:left="6040"/>
        <w:spacing w:after="0" w:line="214" w:lineRule="auto"/>
        <w:rPr>
          <w:sz w:val="20"/>
          <w:szCs w:val="20"/>
          <w:color w:val="auto"/>
        </w:rPr>
      </w:pPr>
      <w:r>
        <w:rPr>
          <w:rFonts w:ascii="Arial" w:cs="Arial" w:eastAsia="Arial" w:hAnsi="Arial"/>
          <w:sz w:val="14"/>
          <w:szCs w:val="14"/>
          <w:b w:val="1"/>
          <w:bCs w:val="1"/>
          <w:color w:val="auto"/>
        </w:rPr>
        <w:t>President and</w:t>
      </w:r>
    </w:p>
    <w:p>
      <w:pPr>
        <w:jc w:val="center"/>
        <w:ind w:left="6040"/>
        <w:spacing w:after="0"/>
        <w:rPr>
          <w:sz w:val="20"/>
          <w:szCs w:val="20"/>
          <w:color w:val="auto"/>
        </w:rPr>
      </w:pPr>
      <w:r>
        <w:rPr>
          <w:rFonts w:ascii="Arial" w:cs="Arial" w:eastAsia="Arial" w:hAnsi="Arial"/>
          <w:sz w:val="14"/>
          <w:szCs w:val="14"/>
          <w:b w:val="1"/>
          <w:bCs w:val="1"/>
          <w:color w:val="auto"/>
        </w:rPr>
        <w:t>Chief Executive Officer (Principal Executive Officer)</w:t>
      </w:r>
    </w:p>
    <w:p>
      <w:pPr>
        <w:spacing w:after="0" w:line="1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7"/>
          <w:szCs w:val="17"/>
          <w:color w:val="auto"/>
        </w:rPr>
        <w:t>Date:</w:t>
        <w:tab/>
        <w:t>February 24, 2023</w:t>
      </w:r>
    </w:p>
    <w:p>
      <w:pPr>
        <w:spacing w:after="0" w:line="210" w:lineRule="exact"/>
        <w:rPr>
          <w:sz w:val="20"/>
          <w:szCs w:val="20"/>
          <w:color w:val="auto"/>
        </w:rPr>
      </w:pPr>
    </w:p>
    <w:p>
      <w:pPr>
        <w:ind w:firstLine="422"/>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80" w:type="dxa"/>
            <w:vAlign w:val="bottom"/>
            <w:gridSpan w:val="3"/>
          </w:tcPr>
          <w:p>
            <w:pPr>
              <w:jc w:val="center"/>
              <w:ind w:right="980"/>
              <w:spacing w:after="0"/>
              <w:rPr>
                <w:sz w:val="20"/>
                <w:szCs w:val="20"/>
                <w:color w:val="auto"/>
              </w:rPr>
            </w:pPr>
            <w:r>
              <w:rPr>
                <w:rFonts w:ascii="Arial" w:cs="Arial" w:eastAsia="Arial" w:hAnsi="Arial"/>
                <w:sz w:val="12"/>
                <w:szCs w:val="12"/>
                <w:b w:val="1"/>
                <w:bCs w:val="1"/>
                <w:color w:val="auto"/>
                <w:w w:val="91"/>
              </w:rPr>
              <w:t>Name</w:t>
            </w:r>
          </w:p>
        </w:tc>
        <w:tc>
          <w:tcPr>
            <w:tcW w:w="148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8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Director, President and Chief Executive</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9"/>
              </w:rPr>
              <w:t>/s/</w:t>
            </w:r>
          </w:p>
        </w:tc>
        <w:tc>
          <w:tcPr>
            <w:tcW w:w="22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7"/>
                <w:szCs w:val="17"/>
                <w:color w:val="auto"/>
                <w:w w:val="96"/>
              </w:rPr>
              <w:t>P</w:t>
            </w:r>
            <w:r>
              <w:rPr>
                <w:rFonts w:ascii="Arial" w:cs="Arial" w:eastAsia="Arial" w:hAnsi="Arial"/>
                <w:sz w:val="13"/>
                <w:szCs w:val="13"/>
                <w:color w:val="auto"/>
                <w:w w:val="96"/>
              </w:rPr>
              <w:t>ETER</w:t>
            </w:r>
            <w:r>
              <w:rPr>
                <w:rFonts w:ascii="Arial" w:cs="Arial" w:eastAsia="Arial" w:hAnsi="Arial"/>
                <w:sz w:val="17"/>
                <w:szCs w:val="17"/>
                <w:color w:val="auto"/>
                <w:w w:val="96"/>
              </w:rPr>
              <w:t xml:space="preserve"> J. F</w:t>
            </w:r>
            <w:r>
              <w:rPr>
                <w:rFonts w:ascii="Arial" w:cs="Arial" w:eastAsia="Arial" w:hAnsi="Arial"/>
                <w:sz w:val="13"/>
                <w:szCs w:val="13"/>
                <w:color w:val="auto"/>
                <w:w w:val="96"/>
              </w:rPr>
              <w:t>EDERICO</w:t>
            </w: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Officer (Principal Executive Officer)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0"/>
              </w:rPr>
              <w:t>Peter J. Federico</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Executive Vice President and Chief</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32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8"/>
              </w:rPr>
              <w:t xml:space="preserve">/s/ </w:t>
            </w:r>
            <w:r>
              <w:rPr>
                <w:rFonts w:ascii="Arial" w:cs="Arial" w:eastAsia="Arial" w:hAnsi="Arial"/>
                <w:sz w:val="17"/>
                <w:szCs w:val="17"/>
                <w:color w:val="auto"/>
                <w:w w:val="98"/>
              </w:rPr>
              <w:t>B</w:t>
            </w:r>
            <w:r>
              <w:rPr>
                <w:rFonts w:ascii="Arial" w:cs="Arial" w:eastAsia="Arial" w:hAnsi="Arial"/>
                <w:sz w:val="13"/>
                <w:szCs w:val="13"/>
                <w:color w:val="auto"/>
                <w:w w:val="98"/>
              </w:rPr>
              <w:t>ERNICE</w:t>
            </w:r>
            <w:r>
              <w:rPr>
                <w:rFonts w:ascii="Arial" w:cs="Arial" w:eastAsia="Arial" w:hAnsi="Arial"/>
                <w:sz w:val="16"/>
                <w:szCs w:val="16"/>
                <w:color w:val="auto"/>
                <w:w w:val="98"/>
              </w:rPr>
              <w:t xml:space="preserve"> </w:t>
            </w:r>
            <w:r>
              <w:rPr>
                <w:rFonts w:ascii="Arial" w:cs="Arial" w:eastAsia="Arial" w:hAnsi="Arial"/>
                <w:sz w:val="17"/>
                <w:szCs w:val="17"/>
                <w:color w:val="auto"/>
                <w:w w:val="98"/>
              </w:rPr>
              <w:t>E. B</w:t>
            </w:r>
            <w:r>
              <w:rPr>
                <w:rFonts w:ascii="Arial" w:cs="Arial" w:eastAsia="Arial" w:hAnsi="Arial"/>
                <w:sz w:val="13"/>
                <w:szCs w:val="13"/>
                <w:color w:val="auto"/>
                <w:w w:val="98"/>
              </w:rPr>
              <w:t>ELL</w:t>
            </w:r>
          </w:p>
        </w:tc>
        <w:tc>
          <w:tcPr>
            <w:tcW w:w="308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Financial Officer (Principal Financial</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vMerge w:val="continue"/>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Officer and Principal Accounting Officer)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Arial" w:cs="Arial" w:eastAsia="Arial" w:hAnsi="Arial"/>
                <w:sz w:val="12"/>
                <w:szCs w:val="12"/>
                <w:b w:val="1"/>
                <w:bCs w:val="1"/>
                <w:color w:val="auto"/>
                <w:w w:val="92"/>
              </w:rPr>
              <w:t>Bernice E. Bell</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rPr>
              <w:t>/s/  G</w:t>
            </w:r>
            <w:r>
              <w:rPr>
                <w:rFonts w:ascii="Arial" w:cs="Arial" w:eastAsia="Arial" w:hAnsi="Arial"/>
                <w:sz w:val="13"/>
                <w:szCs w:val="13"/>
                <w:color w:val="auto"/>
              </w:rPr>
              <w:t>ARY</w:t>
            </w:r>
            <w:r>
              <w:rPr>
                <w:rFonts w:ascii="Arial" w:cs="Arial" w:eastAsia="Arial" w:hAnsi="Arial"/>
                <w:sz w:val="17"/>
                <w:szCs w:val="17"/>
                <w:color w:val="auto"/>
              </w:rPr>
              <w:t xml:space="preserve"> D. K</w:t>
            </w:r>
            <w:r>
              <w:rPr>
                <w:rFonts w:ascii="Arial" w:cs="Arial" w:eastAsia="Arial" w:hAnsi="Arial"/>
                <w:sz w:val="13"/>
                <w:szCs w:val="13"/>
                <w:color w:val="auto"/>
              </w:rPr>
              <w:t>AIN</w:t>
            </w: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 Executive Chair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9"/>
              </w:rPr>
              <w:t>Gary D. Kain</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8"/>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2"/>
              </w:rPr>
              <w:t>Donna J. Blank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6"/>
              </w:rPr>
              <w:t>Morris A. Davis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Arial" w:cs="Arial" w:eastAsia="Arial" w:hAnsi="Arial"/>
                <w:sz w:val="12"/>
                <w:szCs w:val="12"/>
                <w:b w:val="1"/>
                <w:bCs w:val="1"/>
                <w:color w:val="auto"/>
                <w:w w:val="92"/>
              </w:rPr>
              <w:t>John D. Fisk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2"/>
              </w:rPr>
              <w:t>Andrew A. Johnson, Jr.</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5"/>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1"/>
              </w:rPr>
              <w:t>Prue B. Larocca</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5"/>
              </w:rPr>
              <w:t>Paul E. Mullings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w w:val="90"/>
              </w:rPr>
              <w:t>February 24, 2023</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3"/>
              </w:rPr>
              <w:t>Frances R. Spark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5"/>
        </w:trPr>
        <w:tc>
          <w:tcPr>
            <w:tcW w:w="520" w:type="dxa"/>
            <w:vAlign w:val="bottom"/>
          </w:tcPr>
          <w:p>
            <w:pPr>
              <w:ind w:left="100"/>
              <w:spacing w:after="0"/>
              <w:rPr>
                <w:sz w:val="20"/>
                <w:szCs w:val="20"/>
                <w:color w:val="auto"/>
              </w:rPr>
            </w:pPr>
            <w:r>
              <w:rPr>
                <w:rFonts w:ascii="Arial" w:cs="Arial" w:eastAsia="Arial" w:hAnsi="Arial"/>
                <w:sz w:val="16"/>
                <w:szCs w:val="16"/>
                <w:color w:val="auto"/>
              </w:rPr>
              <w:t>*By:</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/s/</w:t>
            </w:r>
          </w:p>
        </w:tc>
        <w:tc>
          <w:tcPr>
            <w:tcW w:w="228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ENNETH</w:t>
            </w:r>
            <w:r>
              <w:rPr>
                <w:rFonts w:ascii="Arial" w:cs="Arial" w:eastAsia="Arial" w:hAnsi="Arial"/>
                <w:sz w:val="17"/>
                <w:szCs w:val="17"/>
                <w:color w:val="auto"/>
              </w:rPr>
              <w:t xml:space="preserve"> </w:t>
            </w:r>
            <w:r>
              <w:rPr>
                <w:rFonts w:ascii="Arial" w:cs="Arial" w:eastAsia="Arial" w:hAnsi="Arial"/>
                <w:sz w:val="15"/>
                <w:szCs w:val="15"/>
                <w:color w:val="auto"/>
              </w:rPr>
              <w:t>L.</w:t>
            </w:r>
            <w:r>
              <w:rPr>
                <w:rFonts w:ascii="Arial" w:cs="Arial" w:eastAsia="Arial" w:hAnsi="Arial"/>
                <w:sz w:val="17"/>
                <w:szCs w:val="17"/>
                <w:color w:val="auto"/>
              </w:rPr>
              <w:t xml:space="preserve"> P</w:t>
            </w:r>
            <w:r>
              <w:rPr>
                <w:rFonts w:ascii="Arial" w:cs="Arial" w:eastAsia="Arial" w:hAnsi="Arial"/>
                <w:sz w:val="13"/>
                <w:szCs w:val="13"/>
                <w:color w:val="auto"/>
              </w:rPr>
              <w:t>OLLACK</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3"/>
              </w:rPr>
              <w:t>Kenneth L. Pollack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3"/>
          </w:tcPr>
          <w:p>
            <w:pPr>
              <w:jc w:val="center"/>
              <w:ind w:right="960"/>
              <w:spacing w:after="0"/>
              <w:rPr>
                <w:sz w:val="20"/>
                <w:szCs w:val="20"/>
                <w:color w:val="auto"/>
              </w:rPr>
            </w:pPr>
            <w:r>
              <w:rPr>
                <w:rFonts w:ascii="Arial" w:cs="Arial" w:eastAsia="Arial" w:hAnsi="Arial"/>
                <w:sz w:val="12"/>
                <w:szCs w:val="12"/>
                <w:b w:val="1"/>
                <w:bCs w:val="1"/>
                <w:i w:val="1"/>
                <w:iCs w:val="1"/>
                <w:color w:val="auto"/>
                <w:w w:val="89"/>
              </w:rPr>
              <w:t>Attorney-in-fact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2"/>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17"/>
                <w:szCs w:val="17"/>
                <w:color w:val="auto"/>
              </w:rPr>
              <w:t>84</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6"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1"/>
          <w:szCs w:val="21"/>
          <w:color w:val="auto"/>
        </w:rPr>
        <w:t>Exhibit 4.19</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THE REGISTRANT’S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REGISTERED PURSUANT TO SECTION 12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SECURITIES EXCHANGE ACT OF 1934</w:t>
      </w:r>
    </w:p>
    <w:p>
      <w:pPr>
        <w:spacing w:after="0" w:line="200" w:lineRule="exact"/>
        <w:rPr>
          <w:sz w:val="20"/>
          <w:szCs w:val="20"/>
          <w:color w:val="auto"/>
        </w:rPr>
      </w:pPr>
    </w:p>
    <w:p>
      <w:pPr>
        <w:spacing w:after="0" w:line="26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following description sets forth certain material terms and provisions of AGNC Investment Corp.’s securities that are registered under Section 12 of the Securities Exchange Act of 1934, as amended.</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The description below does not purport to be complete and is qualified in its entirety by reference to our Amended and Restated Certificate of Incorporation, as filed with the Secretary of State of Delaware on April 23, 2020 (the “Charter”), our Amended and Restated Bylaws (the “Bylaws”), as in effect since March 11, 2021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As of December 31, 2022, we had six classes of registered securities listed on The Nasdaq Global Select Market, our common stock and 7.000%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23,000 shares have been designated as our 6.125% Series F Fixed-to-Floating Rate Cumulative Redeemable Preferred Stock (“Series F Preferred Stock”), and 6,900 shares have been designated as our</w:t>
      </w:r>
    </w:p>
    <w:p>
      <w:pPr>
        <w:spacing w:after="0" w:line="5"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7.75% Series G Fixed-Rate Reset Cumulative Redeemable Preferred Stock (“Series G Preferred Stock”). As of December 31, 2022, 574,566,747 shares of our common stock, 13,000 shares of our Series C Preferred Stock, 9,400 shares of our Series D Preferred Stock, 16,100 shares of our Series E Preferred Stock, 23,000 shares of our Series F Preferred Stock, and 6,000 shares of our Series G Preferred Stock were issued and outstanding.</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Voting Rights</w:t>
      </w:r>
    </w:p>
    <w:p>
      <w:pPr>
        <w:spacing w:after="0" w:line="108" w:lineRule="exact"/>
        <w:rPr>
          <w:sz w:val="20"/>
          <w:szCs w:val="20"/>
          <w:color w:val="auto"/>
        </w:rPr>
      </w:pPr>
    </w:p>
    <w:p>
      <w:pPr>
        <w:ind w:right="440"/>
        <w:spacing w:after="0" w:line="293" w:lineRule="auto"/>
        <w:rPr>
          <w:sz w:val="20"/>
          <w:szCs w:val="20"/>
          <w:color w:val="auto"/>
        </w:rPr>
      </w:pPr>
      <w:r>
        <w:rPr>
          <w:rFonts w:ascii="Arial" w:cs="Arial" w:eastAsia="Arial" w:hAnsi="Arial"/>
          <w:sz w:val="17"/>
          <w:szCs w:val="17"/>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w:t>
      </w:r>
    </w:p>
    <w:p>
      <w:pPr>
        <w:sectPr>
          <w:pgSz w:w="11900" w:h="16838" w:orient="portrait"/>
          <w:cols w:equalWidth="0" w:num="1">
            <w:col w:w="11240"/>
          </w:cols>
          <w:pgMar w:left="320" w:top="876" w:right="339" w:bottom="1440" w:gutter="0" w:footer="0" w:header="0"/>
        </w:sectPr>
      </w:pPr>
    </w:p>
    <w:bookmarkStart w:id="87" w:name="page88"/>
    <w:bookmarkEnd w:id="87"/>
    <w:p>
      <w:pPr>
        <w:ind w:right="80"/>
        <w:spacing w:after="0" w:line="262" w:lineRule="auto"/>
        <w:rPr>
          <w:sz w:val="20"/>
          <w:szCs w:val="20"/>
          <w:color w:val="auto"/>
        </w:rPr>
      </w:pPr>
      <w:r>
        <w:rPr>
          <w:rFonts w:ascii="Arial" w:cs="Arial" w:eastAsia="Arial" w:hAnsi="Arial"/>
          <w:sz w:val="19"/>
          <w:szCs w:val="19"/>
          <w:color w:val="auto"/>
        </w:rPr>
        <w:t>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1"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On our liquidation, dissolution or winding up, each of our common stockholders will be entitled to a pro rata dividend of any assets available for distribution to common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Matters</w:t>
      </w:r>
    </w:p>
    <w:p>
      <w:pPr>
        <w:spacing w:after="0" w:line="108" w:lineRule="exact"/>
        <w:rPr>
          <w:sz w:val="20"/>
          <w:szCs w:val="20"/>
          <w:color w:val="auto"/>
        </w:rPr>
      </w:pPr>
    </w:p>
    <w:p>
      <w:pPr>
        <w:jc w:val="both"/>
        <w:ind w:right="40"/>
        <w:spacing w:after="0" w:line="264" w:lineRule="auto"/>
        <w:rPr>
          <w:sz w:val="20"/>
          <w:szCs w:val="20"/>
          <w:color w:val="auto"/>
        </w:rPr>
      </w:pPr>
      <w:r>
        <w:rPr>
          <w:rFonts w:ascii="Arial" w:cs="Arial" w:eastAsia="Arial" w:hAnsi="Arial"/>
          <w:sz w:val="19"/>
          <w:szCs w:val="19"/>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Description of Series C Preferred Stock Underlying Our Depositary Shares</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2022. Each depositary share represents 1/1,000th of a share of Series C Preferred Stock. The depositary shares underlying the Series C Preferred Stock are listed on the Nasdaq Global Select Market under the symbol “AGNCN.”</w:t>
      </w: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C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shares of the Series C Preferred Stock are entitled to receive, when, as and if declared by our Board of Directors, out of</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funds legally available for the payment of dividends, cumulative cash dividends. The initial dividend rate for the Series C Preferred Stock from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and including the date of original issuance to, but not including, October 15, 2022 (the “Fixed Rate Period”) was at the rate of 7.00% of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$25,000 liquidation preference per share of Series C Preferred Stock per annum (equivalent to $1,750 per annum per share of Series C Preferred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Stock or $1.75 per annum per depositary share). On and after October 15, 2022 (the “Floating Rate Period”), dividends on the Series C Preferred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Stock began accumulating at a percentage of the $25,000 liquidation preference per share of Series C Preferred Stock equal to an annual floating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rate of the Three-Month LIBOR Rate plus a spread of 5.111%. Dividends on the Series C Preferred Stock accumulate daily and are cumulative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from, and including, the date of original issue (August 22, 2017) and are payable quarterly in arrears on the 15</w:t>
      </w:r>
      <w:r>
        <w:rPr>
          <w:rFonts w:ascii="Arial" w:cs="Arial" w:eastAsia="Arial" w:hAnsi="Arial"/>
          <w:sz w:val="10"/>
          <w:szCs w:val="10"/>
          <w:color w:val="auto"/>
        </w:rPr>
        <w:t>th</w:t>
      </w:r>
      <w:r>
        <w:rPr>
          <w:rFonts w:ascii="Arial" w:cs="Arial" w:eastAsia="Arial" w:hAnsi="Arial"/>
          <w:sz w:val="17"/>
          <w:szCs w:val="17"/>
          <w:color w:val="auto"/>
        </w:rPr>
        <w:t xml:space="preserve"> day of each January, April, July</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and October; provided that if any dividend payment date is not a business day, then the</w:t>
      </w:r>
    </w:p>
    <w:p>
      <w:pPr>
        <w:sectPr>
          <w:pgSz w:w="11900" w:h="16838" w:orient="portrait"/>
          <w:cols w:equalWidth="0" w:num="1">
            <w:col w:w="11240"/>
          </w:cols>
          <w:pgMar w:left="320" w:top="867" w:right="339" w:bottom="1440" w:gutter="0" w:footer="0" w:header="0"/>
        </w:sectPr>
      </w:pPr>
    </w:p>
    <w:bookmarkStart w:id="88" w:name="page89"/>
    <w:bookmarkEnd w:id="88"/>
    <w:p>
      <w:pPr>
        <w:ind w:right="160"/>
        <w:spacing w:after="0" w:line="293" w:lineRule="auto"/>
        <w:rPr>
          <w:sz w:val="20"/>
          <w:szCs w:val="20"/>
          <w:color w:val="auto"/>
        </w:rPr>
      </w:pPr>
      <w:r>
        <w:rPr>
          <w:rFonts w:ascii="Arial" w:cs="Arial" w:eastAsia="Arial" w:hAnsi="Arial"/>
          <w:sz w:val="17"/>
          <w:szCs w:val="17"/>
          <w:color w:val="auto"/>
        </w:rPr>
        <w:t>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C Preferred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87" w:lineRule="exact"/>
        <w:rPr>
          <w:sz w:val="20"/>
          <w:szCs w:val="20"/>
          <w:color w:val="auto"/>
        </w:rPr>
      </w:pPr>
    </w:p>
    <w:p>
      <w:pPr>
        <w:jc w:val="both"/>
        <w:ind w:right="80"/>
        <w:spacing w:after="0" w:line="295"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Series C Preferred Stock became redeemable on October 15, 2022. We may, at our option, redeem any or all of the shares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Series C Preferred Stock at $25,000 per share ($25.00 per depositary share) plus any accumulated and unpaid dividends to, but not including, the redemption date. In addition, upon the occurrence of a Change of Control (as defined in the Series C Certificate of Designations),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5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i w:val="1"/>
          <w:iCs w:val="1"/>
          <w:color w:val="auto"/>
        </w:rPr>
        <w:t>Maturity</w:t>
      </w:r>
      <w:r>
        <w:rPr>
          <w:rFonts w:ascii="Arial" w:cs="Arial" w:eastAsia="Arial" w:hAnsi="Arial"/>
          <w:sz w:val="19"/>
          <w:szCs w:val="19"/>
          <w:color w:val="auto"/>
        </w:rPr>
        <w:t>. The Series C Preferred Stock has no stated maturity, is not subject to any sinking fund or mandatory redemption and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indefinitely unless repurchased or redeemed by us or converted into our common stock in connection with a Change of Control by the holders of Series C Preferred Stock.</w:t>
      </w:r>
    </w:p>
    <w:p>
      <w:pPr>
        <w:spacing w:after="0" w:line="63"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Series C Preferred Stock will generally have no voting rights. However, if we do not pay dividends on the Series C</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C Preferred Stock will have the right (subject to our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Description of Series D Preferred Stock Underlying Our Depositary Shares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 Certificate of Designations became effective upon filing on March 5, 2019. On March 6, 2019, we issued 9,000</w:t>
      </w:r>
    </w:p>
    <w:p>
      <w:pPr>
        <w:sectPr>
          <w:pgSz w:w="11900" w:h="16838" w:orient="portrait"/>
          <w:cols w:equalWidth="0" w:num="1">
            <w:col w:w="11240"/>
          </w:cols>
          <w:pgMar w:left="320" w:top="867" w:right="339" w:bottom="1440" w:gutter="0" w:footer="0" w:header="0"/>
        </w:sectPr>
      </w:pPr>
    </w:p>
    <w:bookmarkStart w:id="89" w:name="page90"/>
    <w:bookmarkEnd w:id="89"/>
    <w:p>
      <w:pPr>
        <w:ind w:right="20"/>
        <w:spacing w:after="0" w:line="293" w:lineRule="auto"/>
        <w:rPr>
          <w:sz w:val="20"/>
          <w:szCs w:val="20"/>
          <w:color w:val="auto"/>
        </w:rPr>
      </w:pPr>
      <w:r>
        <w:rPr>
          <w:rFonts w:ascii="Arial" w:cs="Arial" w:eastAsia="Arial" w:hAnsi="Arial"/>
          <w:sz w:val="17"/>
          <w:szCs w:val="17"/>
          <w:color w:val="auto"/>
        </w:rPr>
        <w:t>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2022. Each depositary share represents 1/1,000th of a share of Series D Preferred Stock. The depositary shares underlying the Series D Preferred Stock are listed on the Nasdaq Global Select Market under the symbol “AGNCM.”</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D Preferred Stock ranks, with respect to rights to the payment of dividends and the distribution of assets upon our liquidation,</w:t>
      </w:r>
      <w:r>
        <w:rPr>
          <w:rFonts w:ascii="Arial" w:cs="Arial" w:eastAsia="Arial" w:hAnsi="Arial"/>
          <w:sz w:val="19"/>
          <w:szCs w:val="19"/>
          <w:i w:val="1"/>
          <w:iCs w:val="1"/>
          <w:color w:val="auto"/>
        </w:rPr>
        <w:t xml:space="preserve"> </w:t>
      </w:r>
      <w:r>
        <w:rPr>
          <w:rFonts w:ascii="Arial" w:cs="Arial" w:eastAsia="Arial" w:hAnsi="Arial"/>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shares of the Series D Preferred Stock are entitled to receive, when, as and if declared by our Board of Directors, out of</w:t>
      </w:r>
      <w:r>
        <w:rPr>
          <w:rFonts w:ascii="Arial" w:cs="Arial" w:eastAsia="Arial" w:hAnsi="Arial"/>
          <w:sz w:val="18"/>
          <w:szCs w:val="18"/>
          <w:i w:val="1"/>
          <w:iCs w:val="1"/>
          <w:color w:val="auto"/>
        </w:rPr>
        <w:t xml:space="preserve"> </w:t>
      </w:r>
      <w:r>
        <w:rPr>
          <w:rFonts w:ascii="Arial" w:cs="Arial" w:eastAsia="Arial" w:hAnsi="Arial"/>
          <w:sz w:val="18"/>
          <w:szCs w:val="18"/>
          <w:color w:val="auto"/>
        </w:rPr>
        <w:t>funds legally available for the payment of dividends, cumulative cash dividends. The initial dividend rate for the Series D Preferred Stock from and including the date of original issuance to, but not including, April 15, 2024 (the “Fixed Rate Period”) is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will accumulate at a percentage of the $25,000 liquidation preference per share of Series D Preferred Stock equal to an annual floating rate of the Three-Month LIBOR Rate plus a spread of 4.332%. Dividends on the Series D Preferred Stock accumulate daily and are cumulative from, and including, the date of original issue (March 6, 2019) and are payable quarterly in arrears on the 15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D Preferred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87"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Series D Preferred Stock will not be redeemable by us prior to April 15, 2024, except under circumstances intended to preserve</w:t>
      </w:r>
      <w:r>
        <w:rPr>
          <w:rFonts w:ascii="Arial" w:cs="Arial" w:eastAsia="Arial" w:hAnsi="Arial"/>
          <w:sz w:val="17"/>
          <w:szCs w:val="17"/>
          <w:i w:val="1"/>
          <w:iCs w:val="1"/>
          <w:color w:val="auto"/>
        </w:rPr>
        <w:t xml:space="preserve"> </w:t>
      </w:r>
      <w:r>
        <w:rPr>
          <w:rFonts w:ascii="Arial" w:cs="Arial" w:eastAsia="Arial" w:hAnsi="Arial"/>
          <w:sz w:val="17"/>
          <w:szCs w:val="17"/>
          <w:color w:val="auto"/>
        </w:rPr>
        <w:t>our qualification as a REIT for federal income tax purposes and except upon the occurrence of a Change of Control (as defined in the Series D Certificate of Designations). On or after April 15, 2024, we may, at our option, redeem any or all of the shares of the Series D Preferred Stock at $25,000 per share ($25.00 per depositary share) plus any accumulated and unpaid dividends to, but not including, the redemption date.</w:t>
      </w:r>
    </w:p>
    <w:p>
      <w:pPr>
        <w:sectPr>
          <w:pgSz w:w="11900" w:h="16838" w:orient="portrait"/>
          <w:cols w:equalWidth="0" w:num="1">
            <w:col w:w="11240"/>
          </w:cols>
          <w:pgMar w:left="320" w:top="868" w:right="339" w:bottom="1440" w:gutter="0" w:footer="0" w:header="0"/>
        </w:sectPr>
      </w:pPr>
    </w:p>
    <w:bookmarkStart w:id="90" w:name="page91"/>
    <w:bookmarkEnd w:id="90"/>
    <w:p>
      <w:pPr>
        <w:ind w:right="40"/>
        <w:spacing w:after="0" w:line="264" w:lineRule="auto"/>
        <w:rPr>
          <w:sz w:val="20"/>
          <w:szCs w:val="20"/>
          <w:color w:val="auto"/>
        </w:rPr>
      </w:pPr>
      <w:r>
        <w:rPr>
          <w:rFonts w:ascii="Arial" w:cs="Arial" w:eastAsia="Arial" w:hAnsi="Arial"/>
          <w:sz w:val="19"/>
          <w:szCs w:val="19"/>
          <w:color w:val="auto"/>
        </w:rPr>
        <w:t>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i w:val="1"/>
          <w:iCs w:val="1"/>
          <w:color w:val="auto"/>
        </w:rPr>
        <w:t>Maturity</w:t>
      </w:r>
      <w:r>
        <w:rPr>
          <w:rFonts w:ascii="Arial" w:cs="Arial" w:eastAsia="Arial" w:hAnsi="Arial"/>
          <w:sz w:val="19"/>
          <w:szCs w:val="19"/>
          <w:color w:val="auto"/>
        </w:rPr>
        <w:t>. The Series D Preferred Stock has no stated maturity, is not subject to any sinking fund or mandatory redemption and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indefinitely unless repurchased or redeemed by us or converted into our common stock in connection with a Change of Control by the holders of Series D Preferred Stock.</w:t>
      </w:r>
    </w:p>
    <w:p>
      <w:pPr>
        <w:spacing w:after="0" w:line="7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Series D Preferred Stock will generally have no voting rights. However, if we do not pay dividends on the Series D</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76"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D Preferred Stock will have the right (subject to our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Description of Series E Preferred Stock Underlying Our Depositary Shares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2022. Each depositary share represents 1/1,000th of a share of Series E Preferred Stock. The depositary shares underlying the Series E Preferred Stock are listed on the Nasdaq Global Select Market under the symbol “AGNCO.”</w:t>
      </w:r>
    </w:p>
    <w:p>
      <w:pPr>
        <w:spacing w:after="0" w:line="59"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E Preferred Stock ranks, with respect to rights to the payment of dividends and the distribution of assets upon our liquidation,</w:t>
      </w:r>
      <w:r>
        <w:rPr>
          <w:rFonts w:ascii="Arial" w:cs="Arial" w:eastAsia="Arial" w:hAnsi="Arial"/>
          <w:sz w:val="19"/>
          <w:szCs w:val="19"/>
          <w:i w:val="1"/>
          <w:iCs w:val="1"/>
          <w:color w:val="auto"/>
        </w:rPr>
        <w:t xml:space="preserve"> </w:t>
      </w:r>
      <w:r>
        <w:rPr>
          <w:rFonts w:ascii="Arial" w:cs="Arial" w:eastAsia="Arial" w:hAnsi="Arial"/>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2"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i w:val="1"/>
          <w:iCs w:val="1"/>
          <w:color w:val="auto"/>
        </w:rPr>
        <w:t>Distributions</w:t>
      </w:r>
      <w:r>
        <w:rPr>
          <w:rFonts w:ascii="Arial" w:cs="Arial" w:eastAsia="Arial" w:hAnsi="Arial"/>
          <w:sz w:val="19"/>
          <w:szCs w:val="19"/>
          <w:color w:val="auto"/>
        </w:rPr>
        <w:t>. Holders of shares of the Series E Preferred Stock are entitled to receive, when, as and if declared by our Board of Directors, out of</w:t>
      </w:r>
      <w:r>
        <w:rPr>
          <w:rFonts w:ascii="Arial" w:cs="Arial" w:eastAsia="Arial" w:hAnsi="Arial"/>
          <w:sz w:val="19"/>
          <w:szCs w:val="19"/>
          <w:i w:val="1"/>
          <w:iCs w:val="1"/>
          <w:color w:val="auto"/>
        </w:rPr>
        <w:t xml:space="preserve"> </w:t>
      </w:r>
      <w:r>
        <w:rPr>
          <w:rFonts w:ascii="Arial" w:cs="Arial" w:eastAsia="Arial" w:hAnsi="Arial"/>
          <w:sz w:val="19"/>
          <w:szCs w:val="19"/>
          <w:color w:val="auto"/>
        </w:rPr>
        <w:t>funds legally available for the payment of dividends, cumulative cash dividends. The initial dividend rate for the Series E Preferred Stock from and including the date of original issuance to, but not</w:t>
      </w:r>
    </w:p>
    <w:p>
      <w:pPr>
        <w:sectPr>
          <w:pgSz w:w="11900" w:h="16838" w:orient="portrait"/>
          <w:cols w:equalWidth="0" w:num="1">
            <w:col w:w="11240"/>
          </w:cols>
          <w:pgMar w:left="320" w:top="868" w:right="339" w:bottom="1440" w:gutter="0" w:footer="0" w:header="0"/>
        </w:sectPr>
      </w:pPr>
    </w:p>
    <w:bookmarkStart w:id="91" w:name="page92"/>
    <w:bookmarkEnd w:id="91"/>
    <w:p>
      <w:pPr>
        <w:ind w:right="60"/>
        <w:spacing w:after="0" w:line="285" w:lineRule="auto"/>
        <w:rPr>
          <w:sz w:val="20"/>
          <w:szCs w:val="20"/>
          <w:color w:val="auto"/>
        </w:rPr>
      </w:pPr>
      <w:r>
        <w:rPr>
          <w:rFonts w:ascii="Arial" w:cs="Arial" w:eastAsia="Arial" w:hAnsi="Arial"/>
          <w:sz w:val="17"/>
          <w:szCs w:val="17"/>
          <w:color w:val="auto"/>
        </w:rPr>
        <w:t>including, October 15, 2024 (the “Fixed Rate Period”) is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will accumulate at a percentage of the $25,000 liquidation preference per share of Series E Preferred Stock equal to an annual floating rate of the Three-Month LIBOR Rate plus a spread of</w:t>
      </w:r>
    </w:p>
    <w:p>
      <w:pPr>
        <w:spacing w:after="0" w:line="2"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4.993%. Dividends on the Series E Preferred Stock accumulate daily and are cumulative from, and including, the date of original issue (October 3, 2019) and are payable quarterly in arrears on the 15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spacing w:after="0" w:line="53"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E Preferred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68"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E Preferred Stock will not be redeemable by us prior to October 15, 2024, except under circumstances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our qualification as a REIT for federal income tax purposes and except upon the occurrence of a Change of Control (as defined in the Series E Certificate of Designations). On or after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Maturity</w:t>
      </w:r>
      <w:r>
        <w:rPr>
          <w:rFonts w:ascii="Arial" w:cs="Arial" w:eastAsia="Arial" w:hAnsi="Arial"/>
          <w:sz w:val="19"/>
          <w:szCs w:val="19"/>
          <w:color w:val="auto"/>
        </w:rPr>
        <w:t>. The Series E Preferred Stock has no stated maturity, is not subject to any sinking fund or mandatory redemption and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indefinitely unless repurchased or redeemed by us or converted into our common stock in connection with a Change of Control by the holders of Series E Preferred Stock.</w:t>
      </w:r>
    </w:p>
    <w:p>
      <w:pPr>
        <w:spacing w:after="0" w:line="57"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Series E Preferred Stock will generally have no voting rights. However, if we do not pay dividends on the Series 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spacing w:after="0" w:line="59" w:lineRule="exact"/>
        <w:rPr>
          <w:sz w:val="20"/>
          <w:szCs w:val="20"/>
          <w:color w:val="auto"/>
        </w:rPr>
      </w:pPr>
    </w:p>
    <w:p>
      <w:pPr>
        <w:jc w:val="both"/>
        <w:ind w:right="280"/>
        <w:spacing w:after="0" w:line="264"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E Preferred Stock will have the right (subject to our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Series E Preferred Stock in whole or in part, as described above, prior to the Change of Control Conversion Date (as defined in the Series E Certificate of Designations)) to convert some or</w:t>
      </w:r>
    </w:p>
    <w:p>
      <w:pPr>
        <w:sectPr>
          <w:pgSz w:w="11900" w:h="16838" w:orient="portrait"/>
          <w:cols w:equalWidth="0" w:num="1">
            <w:col w:w="11240"/>
          </w:cols>
          <w:pgMar w:left="320" w:top="867" w:right="339" w:bottom="1440" w:gutter="0" w:footer="0" w:header="0"/>
        </w:sectPr>
      </w:pPr>
    </w:p>
    <w:bookmarkStart w:id="92" w:name="page93"/>
    <w:bookmarkEnd w:id="92"/>
    <w:p>
      <w:pPr>
        <w:jc w:val="both"/>
        <w:ind w:right="220"/>
        <w:spacing w:after="0" w:line="285" w:lineRule="auto"/>
        <w:rPr>
          <w:sz w:val="20"/>
          <w:szCs w:val="20"/>
          <w:color w:val="auto"/>
        </w:rPr>
      </w:pPr>
      <w:r>
        <w:rPr>
          <w:rFonts w:ascii="Arial" w:cs="Arial" w:eastAsia="Arial" w:hAnsi="Arial"/>
          <w:sz w:val="18"/>
          <w:szCs w:val="18"/>
          <w:color w:val="auto"/>
        </w:rPr>
        <w:t>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Description of Series F Preferred Stock Underlying Our Depositary Shares</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2022. Each depositary share represents 1/1,000th of a share of Series F Preferred Stock. The depositary shares underlying the Series F Preferred Stock are listed on the Nasdaq Global Select Market under the symbol “AGNCP.”</w:t>
      </w:r>
    </w:p>
    <w:p>
      <w:pPr>
        <w:spacing w:after="0" w:line="55" w:lineRule="exact"/>
        <w:rPr>
          <w:sz w:val="20"/>
          <w:szCs w:val="20"/>
          <w:color w:val="auto"/>
        </w:rPr>
      </w:pPr>
    </w:p>
    <w:p>
      <w:pPr>
        <w:spacing w:after="0" w:line="254"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F Preferred Stock ranks, with respect to rights to the payment of dividends and the distribution of assets upon our liquidation,</w:t>
      </w:r>
      <w:r>
        <w:rPr>
          <w:rFonts w:ascii="Arial" w:cs="Arial" w:eastAsia="Arial" w:hAnsi="Arial"/>
          <w:sz w:val="19"/>
          <w:szCs w:val="19"/>
          <w:i w:val="1"/>
          <w:iCs w:val="1"/>
          <w:color w:val="auto"/>
        </w:rPr>
        <w:t xml:space="preserve"> </w:t>
      </w:r>
      <w:r>
        <w:rPr>
          <w:rFonts w:ascii="Arial" w:cs="Arial" w:eastAsia="Arial" w:hAnsi="Arial"/>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shares of the Series F Preferred Stock are entitled to receive, when, as and if declared by our Board of Directors, out of</w:t>
      </w:r>
      <w:r>
        <w:rPr>
          <w:rFonts w:ascii="Arial" w:cs="Arial" w:eastAsia="Arial" w:hAnsi="Arial"/>
          <w:sz w:val="18"/>
          <w:szCs w:val="18"/>
          <w:i w:val="1"/>
          <w:iCs w:val="1"/>
          <w:color w:val="auto"/>
        </w:rPr>
        <w:t xml:space="preserve"> </w:t>
      </w:r>
      <w:r>
        <w:rPr>
          <w:rFonts w:ascii="Arial" w:cs="Arial" w:eastAsia="Arial" w:hAnsi="Arial"/>
          <w:sz w:val="18"/>
          <w:szCs w:val="18"/>
          <w:color w:val="auto"/>
        </w:rPr>
        <w:t>funds legally available for the payment of 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will accumulate at a percentage of the $25,000 liquidation preference per share of Series F Preferred Stock equal to an annual floating rate of the Three-Month LIBOR Rate plus a spread of 4.697%. Dividends on the Series F Preferred Stock accumulate daily and are cumulative from, and including, the date of original issue (February 11, 2020) and are payable quarterly in arrears on the 15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7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In the event of our voluntary or involuntary liquidation, dissolution or winding up, holders of the Series F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entitled to be paid out of the assets 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w:t>
      </w:r>
    </w:p>
    <w:p>
      <w:pPr>
        <w:sectPr>
          <w:pgSz w:w="11900" w:h="16838" w:orient="portrait"/>
          <w:cols w:equalWidth="0" w:num="1">
            <w:col w:w="11240"/>
          </w:cols>
          <w:pgMar w:left="320" w:top="868" w:right="339" w:bottom="1440" w:gutter="0" w:footer="0" w:header="0"/>
        </w:sectPr>
      </w:pPr>
    </w:p>
    <w:bookmarkStart w:id="93" w:name="page94"/>
    <w:bookmarkEnd w:id="93"/>
    <w:p>
      <w:pPr>
        <w:ind w:right="280"/>
        <w:spacing w:after="0" w:line="284" w:lineRule="auto"/>
        <w:rPr>
          <w:sz w:val="20"/>
          <w:szCs w:val="20"/>
          <w:color w:val="auto"/>
        </w:rPr>
      </w:pPr>
      <w:r>
        <w:rPr>
          <w:rFonts w:ascii="Arial" w:cs="Arial" w:eastAsia="Arial" w:hAnsi="Arial"/>
          <w:sz w:val="19"/>
          <w:szCs w:val="19"/>
          <w:color w:val="auto"/>
        </w:rPr>
        <w:t>distribution of assets is made to holders of our common stock or any other class or series of our stock that we may issue that ranks junior to the Series F Preferred Stock as to liquidation rights.</w:t>
      </w:r>
    </w:p>
    <w:p>
      <w:pPr>
        <w:spacing w:after="0" w:line="45"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F Preferred Stock will not be redeemable by us prior to April 15, 2025, except under circumstances intended to preserve</w:t>
      </w:r>
      <w:r>
        <w:rPr>
          <w:rFonts w:ascii="Arial" w:cs="Arial" w:eastAsia="Arial" w:hAnsi="Arial"/>
          <w:sz w:val="18"/>
          <w:szCs w:val="18"/>
          <w:i w:val="1"/>
          <w:iCs w:val="1"/>
          <w:color w:val="auto"/>
        </w:rPr>
        <w:t xml:space="preserve"> </w:t>
      </w:r>
      <w:r>
        <w:rPr>
          <w:rFonts w:ascii="Arial" w:cs="Arial" w:eastAsia="Arial" w:hAnsi="Arial"/>
          <w:sz w:val="18"/>
          <w:szCs w:val="18"/>
          <w:color w:val="auto"/>
        </w:rPr>
        <w:t>our qualification as a REIT for federal income tax purposes and except upon the occurrence of a Change of Control (as defined in the Series F Certificate of Designations). On or after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Maturity</w:t>
      </w:r>
      <w:r>
        <w:rPr>
          <w:rFonts w:ascii="Arial" w:cs="Arial" w:eastAsia="Arial" w:hAnsi="Arial"/>
          <w:sz w:val="19"/>
          <w:szCs w:val="19"/>
          <w:color w:val="auto"/>
        </w:rPr>
        <w:t>. The Series F Preferred Stock has no stated maturity, is not subject to any sinking fund or mandatory redemption and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indefinitely unless repurchased or redeemed by us or converted into our common stock in connection with a Change of Control by the holders of Series F Preferred Stock.</w:t>
      </w:r>
    </w:p>
    <w:p>
      <w:pPr>
        <w:spacing w:after="0" w:line="57"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Series F Preferred Stock will generally have no voting rights. However, if we do not pay dividends on the Series 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F Preferred Stock will have the right (subject to our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Description of Series G Preferred Stock Underlying Our Depositary Shares</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On September 13, 2022, we filed a certificate of designations (the “Series G Certificate of Designations”) with the Secretary of State of the State of Delaware to designate 6,900 shares of our Series G Preferred Stock with the powers, designations, preferences and other rights set forth in the Series G Certificate of Designations. The Series G Certificate of Designations became effective upon filing on September 13, 2022. On September 14, 2022, we issued 6,000 shares of the Series G Preferred Stock, which shares were deposited with Computershare Inc. and Computershare Trust Company, N.A., jointly as depositary, against which depositary receipts evidencing 6,000,000 depositary shares were issued, all of which remain outstanding as of December 31, 2022. Each depositary share represents 1/1,000th of a share of Series G Preferred Stock. The depositary shares underlying the Series G Preferred Stock are listed on the Nasdaq Global Select Market under the symbol “AGNCL.”</w:t>
      </w:r>
    </w:p>
    <w:p>
      <w:pPr>
        <w:spacing w:after="0" w:line="41"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Series G Preferred Stock ranks, with respect to rights to the payment of dividends and the distribution of assets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G Preferred Stock with respect to rights to the payment of dividends and the distribution of assets upon our liquidation, dissolution or winding up, including the Series G Preferred Stock; (3) junior to all equity securities issued by us with terms specifically providing that those equity securities rank senior to the Series G</w:t>
      </w:r>
    </w:p>
    <w:p>
      <w:pPr>
        <w:sectPr>
          <w:pgSz w:w="11900" w:h="16838" w:orient="portrait"/>
          <w:cols w:equalWidth="0" w:num="1">
            <w:col w:w="11240"/>
          </w:cols>
          <w:pgMar w:left="320" w:top="867" w:right="339" w:bottom="1440" w:gutter="0" w:footer="0" w:header="0"/>
        </w:sectPr>
      </w:pPr>
    </w:p>
    <w:bookmarkStart w:id="94" w:name="page95"/>
    <w:bookmarkEnd w:id="94"/>
    <w:p>
      <w:pPr>
        <w:ind w:right="220"/>
        <w:spacing w:after="0" w:line="264" w:lineRule="auto"/>
        <w:rPr>
          <w:sz w:val="20"/>
          <w:szCs w:val="20"/>
          <w:color w:val="auto"/>
        </w:rPr>
      </w:pPr>
      <w:r>
        <w:rPr>
          <w:rFonts w:ascii="Arial" w:cs="Arial" w:eastAsia="Arial" w:hAnsi="Arial"/>
          <w:sz w:val="19"/>
          <w:szCs w:val="19"/>
          <w:color w:val="auto"/>
        </w:rPr>
        <w:t>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spacing w:after="0" w:line="283"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shares of the Series G Preferred Stock are entitled to receive,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legally available for the payment of dividends, cumulative cash dividends. The initial dividend rate for the Series G Preferred Stock from and including the date of original issuance to, but not including, October 15, 2027 is at the rate of 7.75% of the $25,000 liquidation preference per share of Series G Preferred Stock per annum (equivalent to $1,937.50 per annum per share of Series G Preferred Stock or $1.93750 per annum per depositary share). On and after October 15, 2027, dividends on the Series G Preferred Stock will accumulate at a percentage of the $25,000 liquidation preference per share of Series G Preferred Stock during each reset period at a rate per annum equal to the five-year U.S. Treasury Rate as of the most recent dividend determination date plus a spread of 4.39% per annum. The “reset period” means the period from, and including, the first reset date and each date falling on the fifth anniversary of the preceding reset date but excluding the next following reset date. Dividends on the Series G Preferred Stock are payable quarterly in arrears on the 15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G Preferred Stock at the close of business on the applicable record date, which shall be the first day of the calendar month, in which the applicable dividend payment date falls.</w:t>
      </w:r>
    </w:p>
    <w:p>
      <w:pPr>
        <w:spacing w:after="0" w:line="52" w:lineRule="exact"/>
        <w:rPr>
          <w:sz w:val="20"/>
          <w:szCs w:val="20"/>
          <w:color w:val="auto"/>
        </w:rPr>
      </w:pPr>
    </w:p>
    <w:p>
      <w:pPr>
        <w:spacing w:after="0" w:line="258"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G Preferred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G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G Preferred Stock as to liquidation rights.</w:t>
      </w:r>
    </w:p>
    <w:p>
      <w:pPr>
        <w:spacing w:after="0" w:line="68"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G Preferred Stock will not be redeemable by us prior to October 15, 2027, except under circumstances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our qualification as a REIT for federal income tax purposes and except upon the occurrence of a Change of Control (as defined in the Series G Certificate of Designations). On or after October 15, 2027, we may, at our option, redeem any or all of the shares of the Series G Preferred Stock at $25,000 per share ($25.00 per depositary share) plus any accumulated and unpaid dividends to, but not including, the redemption date. In addition, upon the occurrence of a Change of Control, we may, at our option, redeem any or all of the shares of Series G Preferred Stock within 120 days after the first date on which such Change of Control occurred at $25,000 per share ($25.00 per depositary share) plus any accumulated and unpaid dividends to, but not including, the redemption date.</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Maturity</w:t>
      </w:r>
      <w:r>
        <w:rPr>
          <w:rFonts w:ascii="Arial" w:cs="Arial" w:eastAsia="Arial" w:hAnsi="Arial"/>
          <w:sz w:val="19"/>
          <w:szCs w:val="19"/>
          <w:color w:val="auto"/>
        </w:rPr>
        <w:t>. The Series G Preferred Stock has no stated maturity, is not subject to any sinking fund or mandatory redemption and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indefinitely unless repurchased or redeemed by us or converted into our common stock in connection with a Change of Control by the holders of Series G Preferred Stock.</w:t>
      </w:r>
    </w:p>
    <w:p>
      <w:pPr>
        <w:spacing w:after="0" w:line="57"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Series G Preferred Stock will generally have no voting rights. However, if we do not pay dividends on the Series G</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for six or more quarterly dividend periods (whether or not consecutive), the holders of the Series G Preferred Stock (voting separately as a class with the holders of all other classes or series of our preferred stock we may issue upon which like voting rights have been conferred and are exercisable and which are entitled to vote as a class with the Series G Preferred Stock in the election referred to below) will be entitled to vote for the election of two additional directors to serve on our Board of Directors until we pay, or declare and set aside funds for the payment of, all dividends that we owe on the Series G Preferred Stock, subject to certain limitations. In addition, the affirmative vote of the holders of at least two-thirds of the outstanding shares of Series G Preferred Stock is required for us to authorize or issue any class or series of stock ranking senior to the</w:t>
      </w:r>
    </w:p>
    <w:p>
      <w:pPr>
        <w:sectPr>
          <w:pgSz w:w="11900" w:h="16838" w:orient="portrait"/>
          <w:cols w:equalWidth="0" w:num="1">
            <w:col w:w="11240"/>
          </w:cols>
          <w:pgMar w:left="320" w:top="867" w:right="339" w:bottom="1440" w:gutter="0" w:footer="0" w:header="0"/>
        </w:sectPr>
      </w:pPr>
    </w:p>
    <w:bookmarkStart w:id="95" w:name="page96"/>
    <w:bookmarkEnd w:id="95"/>
    <w:p>
      <w:pPr>
        <w:ind w:right="20"/>
        <w:spacing w:after="0" w:line="344" w:lineRule="auto"/>
        <w:rPr>
          <w:sz w:val="20"/>
          <w:szCs w:val="20"/>
          <w:color w:val="auto"/>
        </w:rPr>
      </w:pPr>
      <w:r>
        <w:rPr>
          <w:rFonts w:ascii="Arial" w:cs="Arial" w:eastAsia="Arial" w:hAnsi="Arial"/>
          <w:sz w:val="17"/>
          <w:szCs w:val="17"/>
          <w:color w:val="auto"/>
        </w:rPr>
        <w:t>Series G Preferred Stock with respect to the payment of dividends or the distribution of assets on liquidation, dissolution or winding up, to amend any provision of our Charter so as to materially and adversely affect any rights of the Series G Preferred Stock or to take certain other actions.</w:t>
      </w:r>
    </w:p>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G Preferred Stock will have the right (subject to our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Series G Preferred Stock in whole or in part, as described above, prior to the Change of Control Conversion Date (as defined in the Series G Certificate of Designations)) to convert some or all of the Series G Preferred Stock held by such holder on the Change of Control Conversion Date into a number of shares of our common stock per share of Series G Preferred Stock determined by a formula, in each case, on the terms and subject to the conditions described in the Series G Certificate of Designations, including provisions for the receipt, under specified circumstances, of alternative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Restrictions on Ownership and Transfer of Our Capital Stock</w:t>
      </w:r>
    </w:p>
    <w:p>
      <w:pPr>
        <w:spacing w:after="0" w:line="114"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78"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ectPr>
          <w:pgSz w:w="11900" w:h="16838" w:orient="portrait"/>
          <w:cols w:equalWidth="0" w:num="1">
            <w:col w:w="11200"/>
          </w:cols>
          <w:pgMar w:left="320" w:top="868" w:right="379" w:bottom="1440" w:gutter="0" w:footer="0" w:header="0"/>
        </w:sectPr>
      </w:pPr>
    </w:p>
    <w:bookmarkStart w:id="96" w:name="page97"/>
    <w:bookmarkEnd w:id="96"/>
    <w:p>
      <w:pPr>
        <w:spacing w:after="0" w:line="286" w:lineRule="auto"/>
        <w:rPr>
          <w:sz w:val="20"/>
          <w:szCs w:val="20"/>
          <w:color w:val="auto"/>
        </w:rPr>
      </w:pPr>
      <w:r>
        <w:rPr>
          <w:rFonts w:ascii="Arial" w:cs="Arial" w:eastAsia="Arial" w:hAnsi="Arial"/>
          <w:sz w:val="17"/>
          <w:szCs w:val="17"/>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6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47"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ectPr>
          <w:pgSz w:w="11900" w:h="16838" w:orient="portrait"/>
          <w:cols w:equalWidth="0" w:num="1">
            <w:col w:w="11240"/>
          </w:cols>
          <w:pgMar w:left="320" w:top="868" w:right="339" w:bottom="1440" w:gutter="0" w:footer="0" w:header="0"/>
        </w:sectPr>
      </w:pPr>
    </w:p>
    <w:bookmarkStart w:id="97" w:name="page98"/>
    <w:bookmarkEnd w:id="97"/>
    <w:p>
      <w:pPr>
        <w:ind w:right="20"/>
        <w:spacing w:after="0" w:line="284" w:lineRule="auto"/>
        <w:rPr>
          <w:sz w:val="20"/>
          <w:szCs w:val="20"/>
          <w:color w:val="auto"/>
        </w:rPr>
      </w:pPr>
      <w:r>
        <w:rPr>
          <w:rFonts w:ascii="Arial" w:cs="Arial" w:eastAsia="Arial" w:hAnsi="Arial"/>
          <w:sz w:val="19"/>
          <w:szCs w:val="19"/>
          <w:color w:val="auto"/>
        </w:rPr>
        <w:t>These ownership limitations could delay, defer or prevent a transaction or a change in control that might involve a premium price for our common stock or might otherwise be in the best interests of our stockholders.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Delaware Law and Our Charter and Bylaws</w:t>
      </w:r>
    </w:p>
    <w:p>
      <w:pPr>
        <w:spacing w:after="0" w:line="127"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Stockholder Action by Written Consent</w:t>
      </w:r>
    </w:p>
    <w:p>
      <w:pPr>
        <w:spacing w:after="0" w:line="121" w:lineRule="exact"/>
        <w:rPr>
          <w:sz w:val="20"/>
          <w:szCs w:val="20"/>
          <w:color w:val="auto"/>
        </w:rPr>
      </w:pPr>
    </w:p>
    <w:p>
      <w:pPr>
        <w:ind w:right="240"/>
        <w:spacing w:after="0" w:line="270" w:lineRule="auto"/>
        <w:rPr>
          <w:sz w:val="20"/>
          <w:szCs w:val="20"/>
          <w:color w:val="auto"/>
        </w:rPr>
      </w:pPr>
      <w:r>
        <w:rPr>
          <w:rFonts w:ascii="Arial" w:cs="Arial" w:eastAsia="Arial" w:hAnsi="Arial"/>
          <w:sz w:val="19"/>
          <w:szCs w:val="19"/>
          <w:color w:val="auto"/>
        </w:rPr>
        <w:t>Our Charter provides that stockholder action may not be taken by written consent in lieu of a meeting and that stockholder action may be taken only at an annual or special meeting of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Elimination of the Ability to Call Special Meetings</w:t>
      </w:r>
    </w:p>
    <w:p>
      <w:pPr>
        <w:spacing w:after="0" w:line="121" w:lineRule="exact"/>
        <w:rPr>
          <w:sz w:val="20"/>
          <w:szCs w:val="20"/>
          <w:color w:val="auto"/>
        </w:rPr>
      </w:pPr>
    </w:p>
    <w:p>
      <w:pPr>
        <w:ind w:right="340"/>
        <w:spacing w:after="0" w:line="297" w:lineRule="auto"/>
        <w:rPr>
          <w:sz w:val="20"/>
          <w:szCs w:val="20"/>
          <w:color w:val="auto"/>
        </w:rPr>
      </w:pPr>
      <w:r>
        <w:rPr>
          <w:rFonts w:ascii="Arial" w:cs="Arial" w:eastAsia="Arial" w:hAnsi="Arial"/>
          <w:sz w:val="17"/>
          <w:szCs w:val="17"/>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Removal of Directors; Board of Directors Vacancies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Our Charter provides that members of our Board of Directors may be removed at any time with or without cause,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Amendment of Certificate of Incorporation and By-laws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ectPr>
          <w:pgSz w:w="11900" w:h="16838" w:orient="portrait"/>
          <w:cols w:equalWidth="0" w:num="1">
            <w:col w:w="11220"/>
          </w:cols>
          <w:pgMar w:left="320" w:top="867" w:right="35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Section 203 of the DGCL</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ectPr>
          <w:pgSz w:w="11900" w:h="16838" w:orient="portrait"/>
          <w:cols w:equalWidth="0" w:num="1">
            <w:col w:w="11160"/>
          </w:cols>
          <w:pgMar w:left="320" w:top="862" w:right="41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SECOND AMENDED AND RESTATED EMPLOYMENT AGREEMENT</w:t>
      </w:r>
    </w:p>
    <w:p>
      <w:pPr>
        <w:spacing w:after="0" w:line="88" w:lineRule="exact"/>
        <w:rPr>
          <w:sz w:val="20"/>
          <w:szCs w:val="20"/>
          <w:color w:val="auto"/>
        </w:rPr>
      </w:pPr>
    </w:p>
    <w:p>
      <w:pPr>
        <w:ind w:right="360" w:firstLine="627"/>
        <w:spacing w:after="0" w:line="242" w:lineRule="auto"/>
        <w:rPr>
          <w:sz w:val="20"/>
          <w:szCs w:val="20"/>
          <w:color w:val="auto"/>
        </w:rPr>
      </w:pPr>
      <w:r>
        <w:rPr>
          <w:rFonts w:ascii="Arial" w:cs="Arial" w:eastAsia="Arial" w:hAnsi="Arial"/>
          <w:sz w:val="17"/>
          <w:szCs w:val="17"/>
          <w:color w:val="auto"/>
        </w:rPr>
        <w:t>This First Amendment (“</w:t>
      </w:r>
      <w:r>
        <w:rPr>
          <w:rFonts w:ascii="Arial" w:cs="Arial" w:eastAsia="Arial" w:hAnsi="Arial"/>
          <w:sz w:val="17"/>
          <w:szCs w:val="17"/>
          <w:u w:val="single" w:color="auto"/>
          <w:color w:val="auto"/>
        </w:rPr>
        <w:t>Amendment</w:t>
      </w:r>
      <w:r>
        <w:rPr>
          <w:rFonts w:ascii="Arial" w:cs="Arial" w:eastAsia="Arial" w:hAnsi="Arial"/>
          <w:sz w:val="17"/>
          <w:szCs w:val="17"/>
          <w:color w:val="auto"/>
        </w:rPr>
        <w:t>”) to the Second Amended and Restated Employment Agreement dated December 10, 2021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Peter J. Federico (the “</w:t>
      </w:r>
      <w:r>
        <w:rPr>
          <w:rFonts w:ascii="Arial" w:cs="Arial" w:eastAsia="Arial" w:hAnsi="Arial"/>
          <w:sz w:val="17"/>
          <w:szCs w:val="17"/>
          <w:u w:val="single" w:color="auto"/>
          <w:color w:val="auto"/>
        </w:rPr>
        <w:t>Executive</w:t>
      </w:r>
      <w:r>
        <w:rPr>
          <w:rFonts w:ascii="Arial" w:cs="Arial" w:eastAsia="Arial" w:hAnsi="Arial"/>
          <w:sz w:val="17"/>
          <w:szCs w:val="17"/>
          <w:color w:val="auto"/>
        </w:rPr>
        <w:t>”) and AGNC Mortgage Management,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Company</w:t>
      </w:r>
      <w:r>
        <w:rPr>
          <w:rFonts w:ascii="Arial" w:cs="Arial" w:eastAsia="Arial" w:hAnsi="Arial"/>
          <w:sz w:val="19"/>
          <w:szCs w:val="19"/>
          <w:color w:val="auto"/>
        </w:rPr>
        <w:t>”), is entered into as of January 31, 2023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5"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W I T N E S S E T H:</w:t>
      </w:r>
    </w:p>
    <w:p>
      <w:pPr>
        <w:spacing w:after="0" w:line="180" w:lineRule="exact"/>
        <w:rPr>
          <w:sz w:val="20"/>
          <w:szCs w:val="20"/>
          <w:color w:val="auto"/>
        </w:rPr>
      </w:pPr>
    </w:p>
    <w:p>
      <w:pPr>
        <w:jc w:val="both"/>
        <w:ind w:firstLine="228"/>
        <w:spacing w:after="0" w:line="241" w:lineRule="auto"/>
        <w:rPr>
          <w:sz w:val="20"/>
          <w:szCs w:val="20"/>
          <w:color w:val="auto"/>
        </w:rPr>
      </w:pPr>
      <w:r>
        <w:rPr>
          <w:rFonts w:ascii="Arial" w:cs="Arial" w:eastAsia="Arial" w:hAnsi="Arial"/>
          <w:sz w:val="19"/>
          <w:szCs w:val="19"/>
          <w:color w:val="auto"/>
        </w:rPr>
        <w:t>WHEREAS, the Company and the Executive are parties to the Agreement and wish to enter into this Amendment to revise certain terms and conditions of the Agreement on and after the Effective Date;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 and</w:t>
      </w:r>
    </w:p>
    <w:p>
      <w:pPr>
        <w:spacing w:after="0" w:line="174" w:lineRule="exact"/>
        <w:rPr>
          <w:sz w:val="20"/>
          <w:szCs w:val="20"/>
          <w:color w:val="auto"/>
        </w:rPr>
      </w:pPr>
    </w:p>
    <w:p>
      <w:pPr>
        <w:jc w:val="both"/>
        <w:ind w:firstLine="363"/>
        <w:spacing w:after="0" w:line="232" w:lineRule="auto"/>
        <w:rPr>
          <w:sz w:val="20"/>
          <w:szCs w:val="20"/>
          <w:color w:val="auto"/>
        </w:rPr>
      </w:pPr>
      <w:r>
        <w:rPr>
          <w:rFonts w:ascii="Arial" w:cs="Arial" w:eastAsia="Arial" w:hAnsi="Arial"/>
          <w:sz w:val="19"/>
          <w:szCs w:val="19"/>
          <w:color w:val="auto"/>
        </w:rPr>
        <w:t>WHEREAS, it is a condition to the Executive’s continued employment by the Company that the Executive execute and deliver this Amendment, and in order to induce the Executive to continue the Executive’s employment, the Company has agreed to provide the Executive with the rights and benefits described more fully herein.</w:t>
      </w:r>
    </w:p>
    <w:p>
      <w:pPr>
        <w:spacing w:after="0" w:line="150" w:lineRule="exact"/>
        <w:rPr>
          <w:sz w:val="20"/>
          <w:szCs w:val="20"/>
          <w:color w:val="auto"/>
        </w:rPr>
      </w:pPr>
    </w:p>
    <w:p>
      <w:pPr>
        <w:jc w:val="both"/>
        <w:ind w:firstLine="270"/>
        <w:spacing w:after="0" w:line="241" w:lineRule="auto"/>
        <w:rPr>
          <w:sz w:val="20"/>
          <w:szCs w:val="20"/>
          <w:color w:val="auto"/>
        </w:rPr>
      </w:pPr>
      <w:r>
        <w:rPr>
          <w:rFonts w:ascii="Arial" w:cs="Arial" w:eastAsia="Arial" w:hAnsi="Arial"/>
          <w:sz w:val="19"/>
          <w:szCs w:val="19"/>
          <w:color w:val="auto"/>
        </w:rPr>
        <w:t>NOW, THEREFORE, in consideration of the mutual covenants, representations, warranties and agreements contained herein, and for other valuable consideration, the receipt and adequacy of which are hereby acknowledged, the parties hereto agree as follows:</w:t>
      </w:r>
    </w:p>
    <w:p>
      <w:pPr>
        <w:spacing w:after="0" w:line="175" w:lineRule="exact"/>
        <w:rPr>
          <w:sz w:val="20"/>
          <w:szCs w:val="20"/>
          <w:color w:val="auto"/>
        </w:rPr>
      </w:pPr>
    </w:p>
    <w:p>
      <w:pPr>
        <w:ind w:left="1260" w:hanging="628"/>
        <w:spacing w:after="0"/>
        <w:tabs>
          <w:tab w:leader="none" w:pos="1260" w:val="left"/>
        </w:tabs>
        <w:numPr>
          <w:ilvl w:val="0"/>
          <w:numId w:val="68"/>
        </w:numPr>
        <w:rPr>
          <w:rFonts w:ascii="Arial" w:cs="Arial" w:eastAsia="Arial" w:hAnsi="Arial"/>
          <w:sz w:val="21"/>
          <w:szCs w:val="21"/>
          <w:color w:val="auto"/>
        </w:rPr>
      </w:pPr>
      <w:r>
        <w:rPr>
          <w:rFonts w:ascii="Arial" w:cs="Arial" w:eastAsia="Arial" w:hAnsi="Arial"/>
          <w:sz w:val="19"/>
          <w:szCs w:val="19"/>
          <w:color w:val="auto"/>
        </w:rPr>
        <w:t>Paragraph 4(b) of the Agreement is amended and restated in its entirety to read as follows:</w:t>
      </w:r>
    </w:p>
    <w:p>
      <w:pPr>
        <w:spacing w:after="0" w:line="163" w:lineRule="exact"/>
        <w:rPr>
          <w:rFonts w:ascii="Arial" w:cs="Arial" w:eastAsia="Arial" w:hAnsi="Arial"/>
          <w:sz w:val="21"/>
          <w:szCs w:val="21"/>
          <w:color w:val="auto"/>
        </w:rPr>
      </w:pPr>
    </w:p>
    <w:p>
      <w:pPr>
        <w:jc w:val="both"/>
        <w:ind w:right="460" w:firstLine="1416"/>
        <w:spacing w:after="0" w:line="238" w:lineRule="auto"/>
        <w:tabs>
          <w:tab w:leader="none" w:pos="1937"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Annual Cash Bonus</w:t>
      </w:r>
      <w:r>
        <w:rPr>
          <w:rFonts w:ascii="Arial" w:cs="Arial" w:eastAsia="Arial" w:hAnsi="Arial"/>
          <w:sz w:val="17"/>
          <w:szCs w:val="17"/>
          <w:color w:val="auto"/>
        </w:rPr>
        <w:t>. With respect to each calendar year during the Employment Period, the Executive shall be eligible to earn an annual cash bonus. The actual annual bonus may range from 0% up to 200% of a target value (the “</w:t>
      </w:r>
      <w:r>
        <w:rPr>
          <w:rFonts w:ascii="Arial" w:cs="Arial" w:eastAsia="Arial" w:hAnsi="Arial"/>
          <w:sz w:val="17"/>
          <w:szCs w:val="17"/>
          <w:u w:val="single" w:color="auto"/>
          <w:color w:val="auto"/>
        </w:rPr>
        <w:t>Target Annual Bonus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based on the level of achievement of specified performance measures and goals set by the Compensation Committee (with, subject to the Compensation Committee Charter, input from the Executive) for such calendar year (the “</w:t>
      </w:r>
      <w:r>
        <w:rPr>
          <w:rFonts w:ascii="Arial" w:cs="Arial" w:eastAsia="Arial" w:hAnsi="Arial"/>
          <w:sz w:val="17"/>
          <w:szCs w:val="17"/>
          <w:u w:val="single" w:color="auto"/>
          <w:color w:val="auto"/>
        </w:rPr>
        <w:t>Annual Performance Goals</w:t>
      </w:r>
      <w:r>
        <w:rPr>
          <w:rFonts w:ascii="Arial" w:cs="Arial" w:eastAsia="Arial" w:hAnsi="Arial"/>
          <w:sz w:val="17"/>
          <w:szCs w:val="17"/>
          <w:color w:val="auto"/>
        </w:rPr>
        <w:t>”). For performance in calendar year 2023 and each calendar year thereafter, the Target Annual Bonus Amount shall be no less than $4,500,000. The Compensation Committee (with, subject to the Compensation Committee Charter, input from the Executive), in its reasonable judgment, shall determine the weightings of each performance measure and a threshold, target and maximum performance goal for each measure no later than ninety (90) days after the beginning of each calendar year.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85" w:lineRule="exact"/>
        <w:rPr>
          <w:rFonts w:ascii="Arial" w:cs="Arial" w:eastAsia="Arial" w:hAnsi="Arial"/>
          <w:sz w:val="17"/>
          <w:szCs w:val="17"/>
          <w:color w:val="auto"/>
        </w:rPr>
      </w:pPr>
    </w:p>
    <w:p>
      <w:pPr>
        <w:ind w:left="1260" w:hanging="628"/>
        <w:spacing w:after="0"/>
        <w:tabs>
          <w:tab w:leader="none" w:pos="1260" w:val="left"/>
        </w:tabs>
        <w:numPr>
          <w:ilvl w:val="0"/>
          <w:numId w:val="68"/>
        </w:numPr>
        <w:rPr>
          <w:rFonts w:ascii="Arial" w:cs="Arial" w:eastAsia="Arial" w:hAnsi="Arial"/>
          <w:sz w:val="21"/>
          <w:szCs w:val="21"/>
          <w:color w:val="auto"/>
        </w:rPr>
      </w:pPr>
      <w:r>
        <w:rPr>
          <w:rFonts w:ascii="Arial" w:cs="Arial" w:eastAsia="Arial" w:hAnsi="Arial"/>
          <w:sz w:val="19"/>
          <w:szCs w:val="19"/>
          <w:color w:val="auto"/>
        </w:rPr>
        <w:t>Paragraph 4(c) of the Agreement is amended and restated in its entirety to read as follows:</w:t>
      </w:r>
    </w:p>
    <w:p>
      <w:pPr>
        <w:spacing w:after="0" w:line="163" w:lineRule="exact"/>
        <w:rPr>
          <w:rFonts w:ascii="Arial" w:cs="Arial" w:eastAsia="Arial" w:hAnsi="Arial"/>
          <w:sz w:val="21"/>
          <w:szCs w:val="21"/>
          <w:color w:val="auto"/>
        </w:rPr>
      </w:pPr>
    </w:p>
    <w:p>
      <w:pPr>
        <w:jc w:val="both"/>
        <w:ind w:right="480" w:firstLine="863"/>
        <w:spacing w:after="0" w:line="231" w:lineRule="auto"/>
        <w:tabs>
          <w:tab w:leader="none" w:pos="130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Long-Term Incentive Awards</w:t>
      </w:r>
      <w:r>
        <w:rPr>
          <w:rFonts w:ascii="Arial" w:cs="Arial" w:eastAsia="Arial" w:hAnsi="Arial"/>
          <w:sz w:val="18"/>
          <w:szCs w:val="18"/>
          <w:color w:val="auto"/>
        </w:rPr>
        <w:t>. During the first quarter of calendar year 2023, and during the first quarter of each calendar year thereafter, subject to approval by the Board, AGNC shall grant the Executive a long-term incentive award with an aggregate target fair value of no less than $5,000,000 (the “</w:t>
      </w:r>
      <w:r>
        <w:rPr>
          <w:rFonts w:ascii="Arial" w:cs="Arial" w:eastAsia="Arial" w:hAnsi="Arial"/>
          <w:sz w:val="18"/>
          <w:szCs w:val="18"/>
          <w:u w:val="single" w:color="auto"/>
          <w:color w:val="auto"/>
        </w:rPr>
        <w:t>Target Annual LTIA</w:t>
      </w:r>
      <w:r>
        <w:rPr>
          <w:rFonts w:ascii="Arial" w:cs="Arial" w:eastAsia="Arial" w:hAnsi="Arial"/>
          <w:sz w:val="18"/>
          <w:szCs w:val="18"/>
          <w:color w:val="auto"/>
        </w:rPr>
        <w:t>”). 67% of the Target Annual LTIA (the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shall vest based upon the achievement of certain specified performance metrics (as determined by the Compensation Committee in its reasonable judgment) (the “</w:t>
      </w:r>
      <w:r>
        <w:rPr>
          <w:rFonts w:ascii="Arial" w:cs="Arial" w:eastAsia="Arial" w:hAnsi="Arial"/>
          <w:sz w:val="18"/>
          <w:szCs w:val="18"/>
          <w:u w:val="single" w:color="auto"/>
          <w:color w:val="auto"/>
        </w:rPr>
        <w:t>Performance-Based Metrics</w:t>
      </w:r>
      <w:r>
        <w:rPr>
          <w:rFonts w:ascii="Arial" w:cs="Arial" w:eastAsia="Arial" w:hAnsi="Arial"/>
          <w:sz w:val="18"/>
          <w:szCs w:val="18"/>
          <w:color w:val="auto"/>
        </w:rPr>
        <w:t>”) measured over a three-year performance period with the amount of shares and the associated performance targets specified at or before the grant date of the</w:t>
      </w:r>
    </w:p>
    <w:p>
      <w:pPr>
        <w:sectPr>
          <w:pgSz w:w="11900" w:h="16838" w:orient="portrait"/>
          <w:cols w:equalWidth="0" w:num="1">
            <w:col w:w="11240"/>
          </w:cols>
          <w:pgMar w:left="320" w:top="13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award. If the Performance-Based Metrics are exceeded (as determined by the Compensation Committee in its reasonable judgment), the</w:t>
      </w:r>
    </w:p>
    <w:p>
      <w:pPr>
        <w:spacing w:after="0" w:line="5" w:lineRule="exact"/>
        <w:rPr>
          <w:sz w:val="20"/>
          <w:szCs w:val="20"/>
          <w:color w:val="auto"/>
        </w:rPr>
      </w:pPr>
    </w:p>
    <w:p>
      <w:pPr>
        <w:ind w:right="460"/>
        <w:spacing w:after="0" w:line="232" w:lineRule="auto"/>
        <w:rPr>
          <w:sz w:val="20"/>
          <w:szCs w:val="20"/>
          <w:color w:val="auto"/>
        </w:rPr>
      </w:pPr>
      <w:r>
        <w:rPr>
          <w:rFonts w:ascii="Arial" w:cs="Arial" w:eastAsia="Arial" w:hAnsi="Arial"/>
          <w:sz w:val="17"/>
          <w:szCs w:val="17"/>
          <w:color w:val="auto"/>
        </w:rPr>
        <w:t>Executive may earn up to 200% of the target number of shares underlying the Performance-Based Award. The remaining 33% of the Target Annual LTIA that does not have Performance-Based Metrics shall vest over a three-year period, with 1/3 of such portion vesting following</w:t>
      </w:r>
    </w:p>
    <w:p>
      <w:pPr>
        <w:spacing w:after="0" w:line="228" w:lineRule="auto"/>
        <w:rPr>
          <w:sz w:val="20"/>
          <w:szCs w:val="20"/>
          <w:color w:val="auto"/>
        </w:rPr>
      </w:pPr>
      <w:r>
        <w:rPr>
          <w:rFonts w:ascii="Arial" w:cs="Arial" w:eastAsia="Arial" w:hAnsi="Arial"/>
          <w:sz w:val="18"/>
          <w:szCs w:val="18"/>
          <w:color w:val="auto"/>
        </w:rPr>
        <w:t>each of the first, second and third anniversaries of the grant date. Notwithstanding the foregoing, each Target Annual LTIA shall be subject</w:t>
      </w:r>
    </w:p>
    <w:p>
      <w:pPr>
        <w:ind w:right="480"/>
        <w:spacing w:after="0" w:line="232" w:lineRule="auto"/>
        <w:rPr>
          <w:sz w:val="20"/>
          <w:szCs w:val="20"/>
          <w:color w:val="auto"/>
        </w:rPr>
      </w:pPr>
      <w:r>
        <w:rPr>
          <w:rFonts w:ascii="Arial" w:cs="Arial" w:eastAsia="Arial" w:hAnsi="Arial"/>
          <w:sz w:val="17"/>
          <w:szCs w:val="17"/>
          <w:color w:val="auto"/>
        </w:rPr>
        <w:t>to the terms and conditions of the Equity Plan and the applicable award agreement(s) to be entered into between AGNC and the Executive, which shall be consistent with the terms hereof. In the event that AGNC cannot grant the Target Annual LTIA to the Executive during any</w:t>
      </w:r>
    </w:p>
    <w:p>
      <w:pPr>
        <w:spacing w:after="0" w:line="228" w:lineRule="auto"/>
        <w:rPr>
          <w:sz w:val="20"/>
          <w:szCs w:val="20"/>
          <w:color w:val="auto"/>
        </w:rPr>
      </w:pPr>
      <w:r>
        <w:rPr>
          <w:rFonts w:ascii="Arial" w:cs="Arial" w:eastAsia="Arial" w:hAnsi="Arial"/>
          <w:sz w:val="18"/>
          <w:szCs w:val="18"/>
          <w:color w:val="auto"/>
        </w:rPr>
        <w:t>such calendar year, AGNC shall instead provide a cash award to the Executive with an equivalent fair value and under equivalent vesting</w:t>
      </w:r>
    </w:p>
    <w:p>
      <w:pPr>
        <w:ind w:right="480"/>
        <w:spacing w:after="0" w:line="224" w:lineRule="auto"/>
        <w:rPr>
          <w:sz w:val="20"/>
          <w:szCs w:val="20"/>
          <w:color w:val="auto"/>
        </w:rPr>
      </w:pPr>
      <w:r>
        <w:rPr>
          <w:rFonts w:ascii="Arial" w:cs="Arial" w:eastAsia="Arial" w:hAnsi="Arial"/>
          <w:sz w:val="19"/>
          <w:szCs w:val="19"/>
          <w:color w:val="auto"/>
        </w:rPr>
        <w:t>terms, which shall be subject to the terms and conditions of an applicable award agreement to be entered into between AGNC and the Executive (as approved by the Compensation Committee).</w:t>
      </w:r>
    </w:p>
    <w:p>
      <w:pPr>
        <w:spacing w:after="0" w:line="171" w:lineRule="exact"/>
        <w:rPr>
          <w:sz w:val="20"/>
          <w:szCs w:val="20"/>
          <w:color w:val="auto"/>
        </w:rPr>
      </w:pPr>
    </w:p>
    <w:p>
      <w:pPr>
        <w:ind w:left="1260" w:hanging="628"/>
        <w:spacing w:after="0"/>
        <w:tabs>
          <w:tab w:leader="none" w:pos="1260" w:val="left"/>
        </w:tabs>
        <w:numPr>
          <w:ilvl w:val="0"/>
          <w:numId w:val="69"/>
        </w:numPr>
        <w:rPr>
          <w:rFonts w:ascii="Arial" w:cs="Arial" w:eastAsia="Arial" w:hAnsi="Arial"/>
          <w:sz w:val="19"/>
          <w:szCs w:val="19"/>
          <w:color w:val="auto"/>
        </w:rPr>
      </w:pPr>
      <w:r>
        <w:rPr>
          <w:rFonts w:ascii="Arial" w:cs="Arial" w:eastAsia="Arial" w:hAnsi="Arial"/>
          <w:sz w:val="17"/>
          <w:szCs w:val="17"/>
          <w:color w:val="auto"/>
        </w:rPr>
        <w:t>Article 4 of the Agreement is amended by deleting the last sentence of Paragraph (a) thereof and adding a Paragraph (i) thereto as</w:t>
      </w:r>
    </w:p>
    <w:p>
      <w:pPr>
        <w:spacing w:after="0"/>
        <w:rPr>
          <w:rFonts w:ascii="Arial" w:cs="Arial" w:eastAsia="Arial" w:hAnsi="Arial"/>
          <w:sz w:val="19"/>
          <w:szCs w:val="19"/>
          <w:color w:val="auto"/>
        </w:rPr>
      </w:pPr>
      <w:r>
        <w:rPr>
          <w:rFonts w:ascii="Arial" w:cs="Arial" w:eastAsia="Arial" w:hAnsi="Arial"/>
          <w:sz w:val="19"/>
          <w:szCs w:val="19"/>
          <w:color w:val="auto"/>
        </w:rPr>
        <w:t>follows:</w:t>
      </w:r>
    </w:p>
    <w:p>
      <w:pPr>
        <w:spacing w:after="0" w:line="170" w:lineRule="exact"/>
        <w:rPr>
          <w:rFonts w:ascii="Arial" w:cs="Arial" w:eastAsia="Arial" w:hAnsi="Arial"/>
          <w:sz w:val="19"/>
          <w:szCs w:val="19"/>
          <w:color w:val="auto"/>
        </w:rPr>
      </w:pPr>
    </w:p>
    <w:p>
      <w:pPr>
        <w:ind w:right="220" w:firstLine="1259"/>
        <w:spacing w:after="0" w:line="224" w:lineRule="auto"/>
        <w:tabs>
          <w:tab w:leader="none" w:pos="1671" w:val="left"/>
        </w:tabs>
        <w:numPr>
          <w:ilvl w:val="1"/>
          <w:numId w:val="69"/>
        </w:numPr>
        <w:rPr>
          <w:rFonts w:ascii="Arial" w:cs="Arial" w:eastAsia="Arial" w:hAnsi="Arial"/>
          <w:sz w:val="19"/>
          <w:szCs w:val="19"/>
          <w:color w:val="auto"/>
        </w:rPr>
      </w:pPr>
      <w:r>
        <w:rPr>
          <w:rFonts w:ascii="Arial" w:cs="Arial" w:eastAsia="Arial" w:hAnsi="Arial"/>
          <w:sz w:val="19"/>
          <w:szCs w:val="19"/>
          <w:color w:val="auto"/>
        </w:rPr>
        <w:t>With respect to periods commencing on and after January 1, 2024, the Compensation Committee shall review Executive’s Base Salary, Target Annual Bonus Amount, and Target Annual LTIA (each, a “Target Pay Element”) from time to time and may, in its sole discretion, increase the amount of one or more of the Target Pay Elements; provided, however, that the amount of each Target Pay Element (at target) shall not be lowered from the amount then in effect from time to time.</w:t>
      </w:r>
    </w:p>
    <w:p>
      <w:pPr>
        <w:spacing w:after="0" w:line="164" w:lineRule="exact"/>
        <w:rPr>
          <w:rFonts w:ascii="Arial" w:cs="Arial" w:eastAsia="Arial" w:hAnsi="Arial"/>
          <w:sz w:val="19"/>
          <w:szCs w:val="19"/>
          <w:color w:val="auto"/>
        </w:rPr>
      </w:pPr>
    </w:p>
    <w:p>
      <w:pPr>
        <w:ind w:left="1260" w:hanging="628"/>
        <w:spacing w:after="0"/>
        <w:tabs>
          <w:tab w:leader="none" w:pos="1260" w:val="left"/>
        </w:tabs>
        <w:numPr>
          <w:ilvl w:val="0"/>
          <w:numId w:val="69"/>
        </w:numPr>
        <w:rPr>
          <w:rFonts w:ascii="Arial" w:cs="Arial" w:eastAsia="Arial" w:hAnsi="Arial"/>
          <w:sz w:val="21"/>
          <w:szCs w:val="21"/>
          <w:color w:val="auto"/>
        </w:rPr>
      </w:pPr>
      <w:r>
        <w:rPr>
          <w:rFonts w:ascii="Arial" w:cs="Arial" w:eastAsia="Arial" w:hAnsi="Arial"/>
          <w:sz w:val="19"/>
          <w:szCs w:val="19"/>
          <w:u w:val="single" w:color="auto"/>
          <w:color w:val="auto"/>
        </w:rPr>
        <w:t>Effect on Agreement</w:t>
      </w:r>
      <w:r>
        <w:rPr>
          <w:rFonts w:ascii="Arial" w:cs="Arial" w:eastAsia="Arial" w:hAnsi="Arial"/>
          <w:sz w:val="19"/>
          <w:szCs w:val="19"/>
          <w:color w:val="auto"/>
        </w:rPr>
        <w:t>. Other than as specifically amended herein, the Agreement shall remain in full force and effect.</w:t>
      </w:r>
    </w:p>
    <w:p>
      <w:pPr>
        <w:spacing w:after="0" w:line="176" w:lineRule="exact"/>
        <w:rPr>
          <w:rFonts w:ascii="Arial" w:cs="Arial" w:eastAsia="Arial" w:hAnsi="Arial"/>
          <w:sz w:val="21"/>
          <w:szCs w:val="21"/>
          <w:color w:val="auto"/>
        </w:rPr>
      </w:pPr>
    </w:p>
    <w:p>
      <w:pPr>
        <w:ind w:firstLine="632"/>
        <w:spacing w:after="0" w:line="228" w:lineRule="auto"/>
        <w:tabs>
          <w:tab w:leader="none" w:pos="1255" w:val="left"/>
        </w:tabs>
        <w:numPr>
          <w:ilvl w:val="0"/>
          <w:numId w:val="69"/>
        </w:numPr>
        <w:rPr>
          <w:rFonts w:ascii="Arial" w:cs="Arial" w:eastAsia="Arial" w:hAnsi="Arial"/>
          <w:sz w:val="21"/>
          <w:szCs w:val="21"/>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Amendment together with the Agreement embodies the complete agreement and understanding between the parties with respect to the subject matter hereof.</w:t>
      </w:r>
    </w:p>
    <w:p>
      <w:pPr>
        <w:spacing w:after="0" w:line="177" w:lineRule="exact"/>
        <w:rPr>
          <w:rFonts w:ascii="Arial" w:cs="Arial" w:eastAsia="Arial" w:hAnsi="Arial"/>
          <w:sz w:val="21"/>
          <w:szCs w:val="21"/>
          <w:color w:val="auto"/>
        </w:rPr>
      </w:pPr>
    </w:p>
    <w:p>
      <w:pPr>
        <w:ind w:firstLine="632"/>
        <w:spacing w:after="0" w:line="228" w:lineRule="auto"/>
        <w:tabs>
          <w:tab w:leader="none" w:pos="1255" w:val="left"/>
        </w:tabs>
        <w:numPr>
          <w:ilvl w:val="0"/>
          <w:numId w:val="69"/>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one or more counterparts (including electronically transmitted counterparts), each of which shall be deemed to be an original, but all of which together will constitute one and the same instrument.</w:t>
      </w:r>
    </w:p>
    <w:p>
      <w:pPr>
        <w:spacing w:after="0" w:line="177" w:lineRule="exact"/>
        <w:rPr>
          <w:rFonts w:ascii="Arial" w:cs="Arial" w:eastAsia="Arial" w:hAnsi="Arial"/>
          <w:sz w:val="21"/>
          <w:szCs w:val="21"/>
          <w:color w:val="auto"/>
        </w:rPr>
      </w:pPr>
    </w:p>
    <w:p>
      <w:pPr>
        <w:jc w:val="both"/>
        <w:ind w:firstLine="632"/>
        <w:spacing w:after="0"/>
        <w:tabs>
          <w:tab w:leader="none" w:pos="1255" w:val="left"/>
        </w:tabs>
        <w:numPr>
          <w:ilvl w:val="0"/>
          <w:numId w:val="69"/>
        </w:numPr>
        <w:rPr>
          <w:rFonts w:ascii="Arial" w:cs="Arial" w:eastAsia="Arial" w:hAnsi="Arial"/>
          <w:sz w:val="19"/>
          <w:szCs w:val="19"/>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This Amendment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Amendment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ON FOLLOWING PAGE]</w:t>
      </w:r>
    </w:p>
    <w:p>
      <w:pPr>
        <w:sectPr>
          <w:pgSz w:w="11900" w:h="16838" w:orient="portrait"/>
          <w:cols w:equalWidth="0" w:num="1">
            <w:col w:w="11240"/>
          </w:cols>
          <w:pgMar w:left="320" w:top="13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1"/>
          <w:szCs w:val="2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AGNC MORTGAGE MANAGEMENT, LLC</w:t>
      </w:r>
    </w:p>
    <w:p>
      <w:pPr>
        <w:spacing w:after="0" w:line="200" w:lineRule="exact"/>
        <w:rPr>
          <w:sz w:val="20"/>
          <w:szCs w:val="20"/>
          <w:color w:val="auto"/>
        </w:rPr>
      </w:pPr>
    </w:p>
    <w:p>
      <w:pPr>
        <w:spacing w:after="0" w:line="30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1"/>
          <w:szCs w:val="21"/>
          <w:color w:val="auto"/>
        </w:rPr>
        <w:t>By:</w:t>
        <w:tab/>
        <w:t>/s/ Kenneth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17780</wp:posOffset>
            </wp:positionV>
            <wp:extent cx="1617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Kenneth Pollack</w:t>
      </w:r>
    </w:p>
    <w:p>
      <w:pPr>
        <w:spacing w:after="0" w:line="6"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Executive Vice President and</w:t>
      </w:r>
    </w:p>
    <w:p>
      <w:pPr>
        <w:ind w:left="4520"/>
        <w:spacing w:after="0"/>
        <w:rPr>
          <w:sz w:val="20"/>
          <w:szCs w:val="20"/>
          <w:color w:val="auto"/>
        </w:rPr>
      </w:pPr>
      <w:r>
        <w:rPr>
          <w:rFonts w:ascii="Arial" w:cs="Arial" w:eastAsia="Arial" w:hAnsi="Arial"/>
          <w:sz w:val="21"/>
          <w:szCs w:val="21"/>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EXECUTIVE</w:t>
      </w:r>
    </w:p>
    <w:p>
      <w:pPr>
        <w:spacing w:after="0" w:line="287" w:lineRule="exact"/>
        <w:rPr>
          <w:sz w:val="20"/>
          <w:szCs w:val="20"/>
          <w:color w:val="auto"/>
        </w:rPr>
      </w:pPr>
    </w:p>
    <w:p>
      <w:pPr>
        <w:ind w:left="3900"/>
        <w:spacing w:after="0"/>
        <w:rPr>
          <w:sz w:val="20"/>
          <w:szCs w:val="20"/>
          <w:color w:val="auto"/>
        </w:rPr>
      </w:pPr>
      <w:r>
        <w:rPr>
          <w:rFonts w:ascii="Arial" w:cs="Arial" w:eastAsia="Arial" w:hAnsi="Arial"/>
          <w:sz w:val="21"/>
          <w:szCs w:val="21"/>
          <w:u w:val="single" w:color="auto"/>
          <w:color w:val="auto"/>
        </w:rPr>
        <w:t>/s/ Peter Federico</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Peter Federico</w:t>
      </w:r>
    </w:p>
    <w:p>
      <w:pPr>
        <w:sectPr>
          <w:pgSz w:w="11900" w:h="16838" w:orient="portrait"/>
          <w:cols w:equalWidth="0" w:num="1">
            <w:col w:w="11040"/>
          </w:cols>
          <w:pgMar w:left="520" w:top="13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SECOND AMENDED AND RESTATED EMPLOYMENT AGREEMENT</w:t>
      </w:r>
    </w:p>
    <w:p>
      <w:pPr>
        <w:spacing w:after="0" w:line="88" w:lineRule="exact"/>
        <w:rPr>
          <w:sz w:val="20"/>
          <w:szCs w:val="20"/>
          <w:color w:val="auto"/>
        </w:rPr>
      </w:pPr>
    </w:p>
    <w:p>
      <w:pPr>
        <w:ind w:right="280" w:firstLine="627"/>
        <w:spacing w:after="0" w:line="242" w:lineRule="auto"/>
        <w:rPr>
          <w:sz w:val="20"/>
          <w:szCs w:val="20"/>
          <w:color w:val="auto"/>
        </w:rPr>
      </w:pPr>
      <w:r>
        <w:rPr>
          <w:rFonts w:ascii="Arial" w:cs="Arial" w:eastAsia="Arial" w:hAnsi="Arial"/>
          <w:sz w:val="17"/>
          <w:szCs w:val="17"/>
          <w:color w:val="auto"/>
        </w:rPr>
        <w:t>This First Amendment (“</w:t>
      </w:r>
      <w:r>
        <w:rPr>
          <w:rFonts w:ascii="Arial" w:cs="Arial" w:eastAsia="Arial" w:hAnsi="Arial"/>
          <w:sz w:val="17"/>
          <w:szCs w:val="17"/>
          <w:u w:val="single" w:color="auto"/>
          <w:color w:val="auto"/>
        </w:rPr>
        <w:t>Amendment</w:t>
      </w:r>
      <w:r>
        <w:rPr>
          <w:rFonts w:ascii="Arial" w:cs="Arial" w:eastAsia="Arial" w:hAnsi="Arial"/>
          <w:sz w:val="17"/>
          <w:szCs w:val="17"/>
          <w:color w:val="auto"/>
        </w:rPr>
        <w:t>”) to the Second Amended and Restated Employment Agreement dated December 10, 2021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Christopher J. Kuehl (the “</w:t>
      </w:r>
      <w:r>
        <w:rPr>
          <w:rFonts w:ascii="Arial" w:cs="Arial" w:eastAsia="Arial" w:hAnsi="Arial"/>
          <w:sz w:val="17"/>
          <w:szCs w:val="17"/>
          <w:u w:val="single" w:color="auto"/>
          <w:color w:val="auto"/>
        </w:rPr>
        <w:t>Executive</w:t>
      </w:r>
      <w:r>
        <w:rPr>
          <w:rFonts w:ascii="Arial" w:cs="Arial" w:eastAsia="Arial" w:hAnsi="Arial"/>
          <w:sz w:val="17"/>
          <w:szCs w:val="17"/>
          <w:color w:val="auto"/>
        </w:rPr>
        <w:t>”) and AGNC Mortgage Management,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Company</w:t>
      </w:r>
      <w:r>
        <w:rPr>
          <w:rFonts w:ascii="Arial" w:cs="Arial" w:eastAsia="Arial" w:hAnsi="Arial"/>
          <w:sz w:val="19"/>
          <w:szCs w:val="19"/>
          <w:color w:val="auto"/>
        </w:rPr>
        <w:t>”), is entered into as of January 31, 2023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5"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W I T N E S S E T H:</w:t>
      </w:r>
    </w:p>
    <w:p>
      <w:pPr>
        <w:spacing w:after="0" w:line="180" w:lineRule="exact"/>
        <w:rPr>
          <w:sz w:val="20"/>
          <w:szCs w:val="20"/>
          <w:color w:val="auto"/>
        </w:rPr>
      </w:pPr>
    </w:p>
    <w:p>
      <w:pPr>
        <w:jc w:val="both"/>
        <w:ind w:firstLine="228"/>
        <w:spacing w:after="0" w:line="241" w:lineRule="auto"/>
        <w:rPr>
          <w:sz w:val="20"/>
          <w:szCs w:val="20"/>
          <w:color w:val="auto"/>
        </w:rPr>
      </w:pPr>
      <w:r>
        <w:rPr>
          <w:rFonts w:ascii="Arial" w:cs="Arial" w:eastAsia="Arial" w:hAnsi="Arial"/>
          <w:sz w:val="19"/>
          <w:szCs w:val="19"/>
          <w:color w:val="auto"/>
        </w:rPr>
        <w:t>WHEREAS, the Company and the Executive are parties to the Agreement and wish to enter into this Amendment to revise certain terms and conditions of the Agreement on and after the Effective Date;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 and</w:t>
      </w:r>
    </w:p>
    <w:p>
      <w:pPr>
        <w:spacing w:after="0" w:line="174" w:lineRule="exact"/>
        <w:rPr>
          <w:sz w:val="20"/>
          <w:szCs w:val="20"/>
          <w:color w:val="auto"/>
        </w:rPr>
      </w:pPr>
    </w:p>
    <w:p>
      <w:pPr>
        <w:jc w:val="both"/>
        <w:ind w:firstLine="363"/>
        <w:spacing w:after="0" w:line="232" w:lineRule="auto"/>
        <w:rPr>
          <w:sz w:val="20"/>
          <w:szCs w:val="20"/>
          <w:color w:val="auto"/>
        </w:rPr>
      </w:pPr>
      <w:r>
        <w:rPr>
          <w:rFonts w:ascii="Arial" w:cs="Arial" w:eastAsia="Arial" w:hAnsi="Arial"/>
          <w:sz w:val="19"/>
          <w:szCs w:val="19"/>
          <w:color w:val="auto"/>
        </w:rPr>
        <w:t>WHEREAS, it is a condition to the Executive’s continued employment by the Company that the Executive execute and deliver this Amendment, and in order to induce the Executive to continue the Executive’s employment, the Company has agreed to provide the Executive with the rights and benefits described more fully herein.</w:t>
      </w:r>
    </w:p>
    <w:p>
      <w:pPr>
        <w:spacing w:after="0" w:line="150" w:lineRule="exact"/>
        <w:rPr>
          <w:sz w:val="20"/>
          <w:szCs w:val="20"/>
          <w:color w:val="auto"/>
        </w:rPr>
      </w:pPr>
    </w:p>
    <w:p>
      <w:pPr>
        <w:jc w:val="both"/>
        <w:ind w:firstLine="270"/>
        <w:spacing w:after="0" w:line="241" w:lineRule="auto"/>
        <w:rPr>
          <w:sz w:val="20"/>
          <w:szCs w:val="20"/>
          <w:color w:val="auto"/>
        </w:rPr>
      </w:pPr>
      <w:r>
        <w:rPr>
          <w:rFonts w:ascii="Arial" w:cs="Arial" w:eastAsia="Arial" w:hAnsi="Arial"/>
          <w:sz w:val="19"/>
          <w:szCs w:val="19"/>
          <w:color w:val="auto"/>
        </w:rPr>
        <w:t>NOW, THEREFORE, in consideration of the mutual covenants, representations, warranties and agreements contained herein, and for other valuable consideration, the receipt and adequacy of which are hereby acknowledged, the parties hereto agree as follows:</w:t>
      </w:r>
    </w:p>
    <w:p>
      <w:pPr>
        <w:spacing w:after="0" w:line="175" w:lineRule="exact"/>
        <w:rPr>
          <w:sz w:val="20"/>
          <w:szCs w:val="20"/>
          <w:color w:val="auto"/>
        </w:rPr>
      </w:pPr>
    </w:p>
    <w:p>
      <w:pPr>
        <w:ind w:left="1260" w:hanging="628"/>
        <w:spacing w:after="0"/>
        <w:tabs>
          <w:tab w:leader="none" w:pos="1260" w:val="left"/>
        </w:tabs>
        <w:numPr>
          <w:ilvl w:val="1"/>
          <w:numId w:val="70"/>
        </w:numPr>
        <w:rPr>
          <w:rFonts w:ascii="Arial" w:cs="Arial" w:eastAsia="Arial" w:hAnsi="Arial"/>
          <w:sz w:val="21"/>
          <w:szCs w:val="21"/>
          <w:color w:val="auto"/>
        </w:rPr>
      </w:pPr>
      <w:r>
        <w:rPr>
          <w:rFonts w:ascii="Arial" w:cs="Arial" w:eastAsia="Arial" w:hAnsi="Arial"/>
          <w:sz w:val="19"/>
          <w:szCs w:val="19"/>
          <w:color w:val="auto"/>
        </w:rPr>
        <w:t>Paragraph 4(b) of the Agreement is amended and restated in its entirety to read as follows:</w:t>
      </w:r>
    </w:p>
    <w:p>
      <w:pPr>
        <w:spacing w:after="0" w:line="163" w:lineRule="exact"/>
        <w:rPr>
          <w:rFonts w:ascii="Arial" w:cs="Arial" w:eastAsia="Arial" w:hAnsi="Arial"/>
          <w:sz w:val="21"/>
          <w:szCs w:val="21"/>
          <w:color w:val="auto"/>
        </w:rPr>
      </w:pPr>
    </w:p>
    <w:p>
      <w:pPr>
        <w:jc w:val="both"/>
        <w:ind w:right="480" w:firstLine="1259"/>
        <w:spacing w:after="0" w:line="236" w:lineRule="auto"/>
        <w:tabs>
          <w:tab w:leader="none" w:pos="1819" w:val="left"/>
        </w:tabs>
        <w:numPr>
          <w:ilvl w:val="3"/>
          <w:numId w:val="70"/>
        </w:numPr>
        <w:rPr>
          <w:rFonts w:ascii="Arial" w:cs="Arial" w:eastAsia="Arial" w:hAnsi="Arial"/>
          <w:sz w:val="17"/>
          <w:szCs w:val="17"/>
          <w:color w:val="auto"/>
        </w:rPr>
      </w:pPr>
      <w:r>
        <w:rPr>
          <w:rFonts w:ascii="Arial" w:cs="Arial" w:eastAsia="Arial" w:hAnsi="Arial"/>
          <w:sz w:val="17"/>
          <w:szCs w:val="17"/>
          <w:u w:val="single" w:color="auto"/>
          <w:color w:val="auto"/>
        </w:rPr>
        <w:t>Annual Cash Bonus</w:t>
      </w:r>
      <w:r>
        <w:rPr>
          <w:rFonts w:ascii="Arial" w:cs="Arial" w:eastAsia="Arial" w:hAnsi="Arial"/>
          <w:sz w:val="17"/>
          <w:szCs w:val="17"/>
          <w:color w:val="auto"/>
        </w:rPr>
        <w:t>. With respect to each calendar year during the Employment Period, the Executive shall be eligible to earn an annual cash bonus. The actual annual bonus may range from 0% up to 200% of a target value (the “</w:t>
      </w:r>
      <w:r>
        <w:rPr>
          <w:rFonts w:ascii="Arial" w:cs="Arial" w:eastAsia="Arial" w:hAnsi="Arial"/>
          <w:sz w:val="17"/>
          <w:szCs w:val="17"/>
          <w:u w:val="single" w:color="auto"/>
          <w:color w:val="auto"/>
        </w:rPr>
        <w:t>Target Annual Bonus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based on the level of achievement of specified performance measures and goals set by the Compensation Committee (in consultation with the Chief Executive Officer of the Company) for such calendar year (the “</w:t>
      </w:r>
      <w:r>
        <w:rPr>
          <w:rFonts w:ascii="Arial" w:cs="Arial" w:eastAsia="Arial" w:hAnsi="Arial"/>
          <w:sz w:val="17"/>
          <w:szCs w:val="17"/>
          <w:u w:val="single" w:color="auto"/>
          <w:color w:val="auto"/>
        </w:rPr>
        <w:t>Annual Performance Goals</w:t>
      </w:r>
      <w:r>
        <w:rPr>
          <w:rFonts w:ascii="Arial" w:cs="Arial" w:eastAsia="Arial" w:hAnsi="Arial"/>
          <w:sz w:val="17"/>
          <w:szCs w:val="17"/>
          <w:color w:val="auto"/>
        </w:rPr>
        <w:t>”). For performance in calendar year 2023 and each calendar year thereafter, the Target Annual Bonus Amount shall be no less than $2,700,000. The Compensation Committee (in consultation with the Chief Executive Officer of the Company), in its reasonable judgment, shall determine the weightings of each performance measure and a threshold, target and maximum performance goal for each measure no later than ninety</w:t>
      </w:r>
    </w:p>
    <w:p>
      <w:pPr>
        <w:spacing w:after="0" w:line="3" w:lineRule="exact"/>
        <w:rPr>
          <w:rFonts w:ascii="Arial" w:cs="Arial" w:eastAsia="Arial" w:hAnsi="Arial"/>
          <w:sz w:val="17"/>
          <w:szCs w:val="17"/>
          <w:color w:val="auto"/>
        </w:rPr>
      </w:pPr>
    </w:p>
    <w:p>
      <w:pPr>
        <w:jc w:val="both"/>
        <w:ind w:right="460" w:firstLine="5"/>
        <w:spacing w:after="0" w:line="228" w:lineRule="auto"/>
        <w:tabs>
          <w:tab w:leader="none" w:pos="3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days after the beginning of each calendar year.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76" w:lineRule="exact"/>
        <w:rPr>
          <w:rFonts w:ascii="Arial" w:cs="Arial" w:eastAsia="Arial" w:hAnsi="Arial"/>
          <w:sz w:val="18"/>
          <w:szCs w:val="18"/>
          <w:color w:val="auto"/>
        </w:rPr>
      </w:pPr>
    </w:p>
    <w:p>
      <w:pPr>
        <w:ind w:left="1260" w:hanging="628"/>
        <w:spacing w:after="0"/>
        <w:tabs>
          <w:tab w:leader="none" w:pos="1260" w:val="left"/>
        </w:tabs>
        <w:numPr>
          <w:ilvl w:val="1"/>
          <w:numId w:val="71"/>
        </w:numPr>
        <w:rPr>
          <w:rFonts w:ascii="Arial" w:cs="Arial" w:eastAsia="Arial" w:hAnsi="Arial"/>
          <w:sz w:val="21"/>
          <w:szCs w:val="21"/>
          <w:color w:val="auto"/>
        </w:rPr>
      </w:pPr>
      <w:r>
        <w:rPr>
          <w:rFonts w:ascii="Arial" w:cs="Arial" w:eastAsia="Arial" w:hAnsi="Arial"/>
          <w:sz w:val="19"/>
          <w:szCs w:val="19"/>
          <w:color w:val="auto"/>
        </w:rPr>
        <w:t>Paragraph 4(c) of the Agreement is amended and restated in its entirety to read as follows:</w:t>
      </w:r>
    </w:p>
    <w:p>
      <w:pPr>
        <w:spacing w:after="0" w:line="163" w:lineRule="exact"/>
        <w:rPr>
          <w:rFonts w:ascii="Arial" w:cs="Arial" w:eastAsia="Arial" w:hAnsi="Arial"/>
          <w:sz w:val="21"/>
          <w:szCs w:val="21"/>
          <w:color w:val="auto"/>
        </w:rPr>
      </w:pPr>
    </w:p>
    <w:p>
      <w:pPr>
        <w:jc w:val="both"/>
        <w:ind w:right="460" w:firstLine="863"/>
        <w:spacing w:after="0" w:line="231" w:lineRule="auto"/>
        <w:tabs>
          <w:tab w:leader="none" w:pos="1301"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Long-Term Incentive Awards</w:t>
      </w:r>
      <w:r>
        <w:rPr>
          <w:rFonts w:ascii="Arial" w:cs="Arial" w:eastAsia="Arial" w:hAnsi="Arial"/>
          <w:sz w:val="18"/>
          <w:szCs w:val="18"/>
          <w:color w:val="auto"/>
        </w:rPr>
        <w:t>. During the first quarter of calendar year 2023, and during the first quarter of each calendar year thereafter, subject to approval by the Board, AGNC shall grant the Executive a long-term incentive award with an aggregate target fair value no less than $2,430,000 (the “</w:t>
      </w:r>
      <w:r>
        <w:rPr>
          <w:rFonts w:ascii="Arial" w:cs="Arial" w:eastAsia="Arial" w:hAnsi="Arial"/>
          <w:sz w:val="18"/>
          <w:szCs w:val="18"/>
          <w:u w:val="single" w:color="auto"/>
          <w:color w:val="auto"/>
        </w:rPr>
        <w:t>Target Annual LTIA</w:t>
      </w:r>
      <w:r>
        <w:rPr>
          <w:rFonts w:ascii="Arial" w:cs="Arial" w:eastAsia="Arial" w:hAnsi="Arial"/>
          <w:sz w:val="18"/>
          <w:szCs w:val="18"/>
          <w:color w:val="auto"/>
        </w:rPr>
        <w:t>”). 50% of the Target Annual LTIA (the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shall vest based upon the achievement of certain specified performance metrics (as determined by the Compensation Committee in its reasonable judgment) (the “</w:t>
      </w:r>
      <w:r>
        <w:rPr>
          <w:rFonts w:ascii="Arial" w:cs="Arial" w:eastAsia="Arial" w:hAnsi="Arial"/>
          <w:sz w:val="18"/>
          <w:szCs w:val="18"/>
          <w:u w:val="single" w:color="auto"/>
          <w:color w:val="auto"/>
        </w:rPr>
        <w:t>Performance-Based Metrics</w:t>
      </w:r>
      <w:r>
        <w:rPr>
          <w:rFonts w:ascii="Arial" w:cs="Arial" w:eastAsia="Arial" w:hAnsi="Arial"/>
          <w:sz w:val="18"/>
          <w:szCs w:val="18"/>
          <w:color w:val="auto"/>
        </w:rPr>
        <w:t>”) measured over a three-year performance period with the amount of shares and the associated performance targets specified at or before the grant date of the</w:t>
      </w:r>
    </w:p>
    <w:p>
      <w:pPr>
        <w:sectPr>
          <w:pgSz w:w="11900" w:h="16838" w:orient="portrait"/>
          <w:cols w:equalWidth="0" w:num="1">
            <w:col w:w="11240"/>
          </w:cols>
          <w:pgMar w:left="320" w:top="13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award. If the Performance-Based Metrics are exceeded (as determined by the Compensation Committee in its reasonable judgment), the</w:t>
      </w:r>
    </w:p>
    <w:p>
      <w:pPr>
        <w:spacing w:after="0" w:line="5" w:lineRule="exact"/>
        <w:rPr>
          <w:sz w:val="20"/>
          <w:szCs w:val="20"/>
          <w:color w:val="auto"/>
        </w:rPr>
      </w:pPr>
    </w:p>
    <w:p>
      <w:pPr>
        <w:ind w:right="460"/>
        <w:spacing w:after="0" w:line="232" w:lineRule="auto"/>
        <w:rPr>
          <w:sz w:val="20"/>
          <w:szCs w:val="20"/>
          <w:color w:val="auto"/>
        </w:rPr>
      </w:pPr>
      <w:r>
        <w:rPr>
          <w:rFonts w:ascii="Arial" w:cs="Arial" w:eastAsia="Arial" w:hAnsi="Arial"/>
          <w:sz w:val="17"/>
          <w:szCs w:val="17"/>
          <w:color w:val="auto"/>
        </w:rPr>
        <w:t>Executive may earn up to 200% of the target number of shares underlying the Performance-Based Award. The remaining 50% of the Target Annual LTIA that does not have Performance-Based Metrics shall vest over a three-year period, with 1/3 of such portion vesting following</w:t>
      </w:r>
    </w:p>
    <w:p>
      <w:pPr>
        <w:spacing w:after="0" w:line="228" w:lineRule="auto"/>
        <w:rPr>
          <w:sz w:val="20"/>
          <w:szCs w:val="20"/>
          <w:color w:val="auto"/>
        </w:rPr>
      </w:pPr>
      <w:r>
        <w:rPr>
          <w:rFonts w:ascii="Arial" w:cs="Arial" w:eastAsia="Arial" w:hAnsi="Arial"/>
          <w:sz w:val="18"/>
          <w:szCs w:val="18"/>
          <w:color w:val="auto"/>
        </w:rPr>
        <w:t>each of the first, second and third anniversaries of the grant date. Notwithstanding the foregoing, each Target Annual LTIA shall be subject</w:t>
      </w:r>
    </w:p>
    <w:p>
      <w:pPr>
        <w:ind w:right="480"/>
        <w:spacing w:after="0" w:line="232" w:lineRule="auto"/>
        <w:rPr>
          <w:sz w:val="20"/>
          <w:szCs w:val="20"/>
          <w:color w:val="auto"/>
        </w:rPr>
      </w:pPr>
      <w:r>
        <w:rPr>
          <w:rFonts w:ascii="Arial" w:cs="Arial" w:eastAsia="Arial" w:hAnsi="Arial"/>
          <w:sz w:val="17"/>
          <w:szCs w:val="17"/>
          <w:color w:val="auto"/>
        </w:rPr>
        <w:t>to the terms and conditions of the Equity Plan and the applicable award agreement(s) to be entered into between AGNC and the Executive, which shall be consistent with the terms hereof. In the event that AGNC cannot grant the Target Annual LTIA to the Executive during any</w:t>
      </w:r>
    </w:p>
    <w:p>
      <w:pPr>
        <w:spacing w:after="0" w:line="228" w:lineRule="auto"/>
        <w:rPr>
          <w:sz w:val="20"/>
          <w:szCs w:val="20"/>
          <w:color w:val="auto"/>
        </w:rPr>
      </w:pPr>
      <w:r>
        <w:rPr>
          <w:rFonts w:ascii="Arial" w:cs="Arial" w:eastAsia="Arial" w:hAnsi="Arial"/>
          <w:sz w:val="18"/>
          <w:szCs w:val="18"/>
          <w:color w:val="auto"/>
        </w:rPr>
        <w:t>such calendar year, AGNC shall instead provide a cash award to the Executive with an equivalent fair value and under equivalent vesting</w:t>
      </w:r>
    </w:p>
    <w:p>
      <w:pPr>
        <w:ind w:right="480"/>
        <w:spacing w:after="0" w:line="224" w:lineRule="auto"/>
        <w:rPr>
          <w:sz w:val="20"/>
          <w:szCs w:val="20"/>
          <w:color w:val="auto"/>
        </w:rPr>
      </w:pPr>
      <w:r>
        <w:rPr>
          <w:rFonts w:ascii="Arial" w:cs="Arial" w:eastAsia="Arial" w:hAnsi="Arial"/>
          <w:sz w:val="19"/>
          <w:szCs w:val="19"/>
          <w:color w:val="auto"/>
        </w:rPr>
        <w:t>terms, which shall be subject to the terms and conditions of an applicable award agreement to be entered into between AGNC and the Executive (as approved by the Compensation Committee).</w:t>
      </w:r>
    </w:p>
    <w:p>
      <w:pPr>
        <w:spacing w:after="0" w:line="171" w:lineRule="exact"/>
        <w:rPr>
          <w:sz w:val="20"/>
          <w:szCs w:val="20"/>
          <w:color w:val="auto"/>
        </w:rPr>
      </w:pPr>
    </w:p>
    <w:p>
      <w:pPr>
        <w:ind w:left="1260" w:hanging="628"/>
        <w:spacing w:after="0"/>
        <w:tabs>
          <w:tab w:leader="none" w:pos="1260" w:val="left"/>
        </w:tabs>
        <w:numPr>
          <w:ilvl w:val="0"/>
          <w:numId w:val="72"/>
        </w:numPr>
        <w:rPr>
          <w:rFonts w:ascii="Arial" w:cs="Arial" w:eastAsia="Arial" w:hAnsi="Arial"/>
          <w:sz w:val="19"/>
          <w:szCs w:val="19"/>
          <w:color w:val="auto"/>
        </w:rPr>
      </w:pPr>
      <w:r>
        <w:rPr>
          <w:rFonts w:ascii="Arial" w:cs="Arial" w:eastAsia="Arial" w:hAnsi="Arial"/>
          <w:sz w:val="17"/>
          <w:szCs w:val="17"/>
          <w:color w:val="auto"/>
        </w:rPr>
        <w:t>Article 4 of the Agreement is amended by deleting the last sentence of Paragraph (a) thereof and adding a Paragraph (i) thereto as</w:t>
      </w:r>
    </w:p>
    <w:p>
      <w:pPr>
        <w:spacing w:after="0"/>
        <w:rPr>
          <w:rFonts w:ascii="Arial" w:cs="Arial" w:eastAsia="Arial" w:hAnsi="Arial"/>
          <w:sz w:val="19"/>
          <w:szCs w:val="19"/>
          <w:color w:val="auto"/>
        </w:rPr>
      </w:pPr>
      <w:r>
        <w:rPr>
          <w:rFonts w:ascii="Arial" w:cs="Arial" w:eastAsia="Arial" w:hAnsi="Arial"/>
          <w:sz w:val="19"/>
          <w:szCs w:val="19"/>
          <w:color w:val="auto"/>
        </w:rPr>
        <w:t>follows:</w:t>
      </w:r>
    </w:p>
    <w:p>
      <w:pPr>
        <w:spacing w:after="0" w:line="170" w:lineRule="exact"/>
        <w:rPr>
          <w:rFonts w:ascii="Arial" w:cs="Arial" w:eastAsia="Arial" w:hAnsi="Arial"/>
          <w:sz w:val="19"/>
          <w:szCs w:val="19"/>
          <w:color w:val="auto"/>
        </w:rPr>
      </w:pPr>
    </w:p>
    <w:p>
      <w:pPr>
        <w:ind w:right="240" w:firstLine="1259"/>
        <w:spacing w:after="0" w:line="237" w:lineRule="auto"/>
        <w:tabs>
          <w:tab w:leader="none" w:pos="1671"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 respect to periods commencing on and after January 1, 2024, the Compensation Committee in consultation with the Chief Executive Officer shall review Executive’s Base Salary, Target Annual Bonus Amount, and Target Annual LTIA (each, a “Target Pay Element”) from time to time and may, in its sole discretion, increase the amount of one or more of the Target Pay Elements; provided, however, that the amount of each Target Pay Element (at target) shall not be lowered from the amount then in effect from time to time.</w:t>
      </w:r>
    </w:p>
    <w:p>
      <w:pPr>
        <w:spacing w:after="0" w:line="162" w:lineRule="exact"/>
        <w:rPr>
          <w:rFonts w:ascii="Arial" w:cs="Arial" w:eastAsia="Arial" w:hAnsi="Arial"/>
          <w:sz w:val="18"/>
          <w:szCs w:val="18"/>
          <w:color w:val="auto"/>
        </w:rPr>
      </w:pPr>
    </w:p>
    <w:p>
      <w:pPr>
        <w:ind w:left="1260" w:hanging="628"/>
        <w:spacing w:after="0"/>
        <w:tabs>
          <w:tab w:leader="none" w:pos="1260" w:val="left"/>
        </w:tabs>
        <w:numPr>
          <w:ilvl w:val="0"/>
          <w:numId w:val="72"/>
        </w:numPr>
        <w:rPr>
          <w:rFonts w:ascii="Arial" w:cs="Arial" w:eastAsia="Arial" w:hAnsi="Arial"/>
          <w:sz w:val="21"/>
          <w:szCs w:val="21"/>
          <w:color w:val="auto"/>
        </w:rPr>
      </w:pPr>
      <w:r>
        <w:rPr>
          <w:rFonts w:ascii="Arial" w:cs="Arial" w:eastAsia="Arial" w:hAnsi="Arial"/>
          <w:sz w:val="19"/>
          <w:szCs w:val="19"/>
          <w:u w:val="single" w:color="auto"/>
          <w:color w:val="auto"/>
        </w:rPr>
        <w:t>Effect on Agreement</w:t>
      </w:r>
      <w:r>
        <w:rPr>
          <w:rFonts w:ascii="Arial" w:cs="Arial" w:eastAsia="Arial" w:hAnsi="Arial"/>
          <w:sz w:val="19"/>
          <w:szCs w:val="19"/>
          <w:color w:val="auto"/>
        </w:rPr>
        <w:t>. Other than as specifically amended herein, the Agreement shall remain in full force and effect.</w:t>
      </w:r>
    </w:p>
    <w:p>
      <w:pPr>
        <w:spacing w:after="0" w:line="176" w:lineRule="exact"/>
        <w:rPr>
          <w:rFonts w:ascii="Arial" w:cs="Arial" w:eastAsia="Arial" w:hAnsi="Arial"/>
          <w:sz w:val="21"/>
          <w:szCs w:val="21"/>
          <w:color w:val="auto"/>
        </w:rPr>
      </w:pPr>
    </w:p>
    <w:p>
      <w:pPr>
        <w:ind w:firstLine="632"/>
        <w:spacing w:after="0" w:line="228" w:lineRule="auto"/>
        <w:tabs>
          <w:tab w:leader="none" w:pos="1255" w:val="left"/>
        </w:tabs>
        <w:numPr>
          <w:ilvl w:val="0"/>
          <w:numId w:val="72"/>
        </w:numPr>
        <w:rPr>
          <w:rFonts w:ascii="Arial" w:cs="Arial" w:eastAsia="Arial" w:hAnsi="Arial"/>
          <w:sz w:val="21"/>
          <w:szCs w:val="21"/>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Amendment together with the Agreement embodies the complete agreement and understanding between the parties with respect to the subject matter hereof.</w:t>
      </w:r>
    </w:p>
    <w:p>
      <w:pPr>
        <w:spacing w:after="0" w:line="177" w:lineRule="exact"/>
        <w:rPr>
          <w:rFonts w:ascii="Arial" w:cs="Arial" w:eastAsia="Arial" w:hAnsi="Arial"/>
          <w:sz w:val="21"/>
          <w:szCs w:val="21"/>
          <w:color w:val="auto"/>
        </w:rPr>
      </w:pPr>
    </w:p>
    <w:p>
      <w:pPr>
        <w:ind w:firstLine="632"/>
        <w:spacing w:after="0" w:line="228" w:lineRule="auto"/>
        <w:tabs>
          <w:tab w:leader="none" w:pos="1255" w:val="left"/>
        </w:tabs>
        <w:numPr>
          <w:ilvl w:val="0"/>
          <w:numId w:val="72"/>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one or more counterparts (including electronically transmitted counterparts), each of which shall be deemed to be an original, but all of which together will constitute one and the same instrument.</w:t>
      </w:r>
    </w:p>
    <w:p>
      <w:pPr>
        <w:spacing w:after="0" w:line="177" w:lineRule="exact"/>
        <w:rPr>
          <w:rFonts w:ascii="Arial" w:cs="Arial" w:eastAsia="Arial" w:hAnsi="Arial"/>
          <w:sz w:val="21"/>
          <w:szCs w:val="21"/>
          <w:color w:val="auto"/>
        </w:rPr>
      </w:pPr>
    </w:p>
    <w:p>
      <w:pPr>
        <w:jc w:val="both"/>
        <w:ind w:firstLine="632"/>
        <w:spacing w:after="0"/>
        <w:tabs>
          <w:tab w:leader="none" w:pos="1255"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This Amendment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Amendment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ON FOLLOWING PAGE]</w:t>
      </w:r>
    </w:p>
    <w:p>
      <w:pPr>
        <w:sectPr>
          <w:pgSz w:w="11900" w:h="16838" w:orient="portrait"/>
          <w:cols w:equalWidth="0" w:num="1">
            <w:col w:w="11240"/>
          </w:cols>
          <w:pgMar w:left="320" w:top="13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AGNC MORTGAGE MANAGEMENT, LLC</w:t>
      </w:r>
    </w:p>
    <w:p>
      <w:pPr>
        <w:spacing w:after="0" w:line="200" w:lineRule="exact"/>
        <w:rPr>
          <w:sz w:val="20"/>
          <w:szCs w:val="20"/>
          <w:color w:val="auto"/>
        </w:rPr>
      </w:pPr>
    </w:p>
    <w:p>
      <w:pPr>
        <w:spacing w:after="0" w:line="309" w:lineRule="exact"/>
        <w:rPr>
          <w:sz w:val="20"/>
          <w:szCs w:val="20"/>
          <w:color w:val="auto"/>
        </w:rPr>
      </w:pPr>
    </w:p>
    <w:p>
      <w:pPr>
        <w:ind w:left="4100"/>
        <w:spacing w:after="0"/>
        <w:tabs>
          <w:tab w:leader="none" w:pos="4700" w:val="left"/>
        </w:tabs>
        <w:rPr>
          <w:sz w:val="20"/>
          <w:szCs w:val="20"/>
          <w:color w:val="auto"/>
        </w:rPr>
      </w:pPr>
      <w:r>
        <w:rPr>
          <w:rFonts w:ascii="Arial" w:cs="Arial" w:eastAsia="Arial" w:hAnsi="Arial"/>
          <w:sz w:val="21"/>
          <w:szCs w:val="21"/>
          <w:color w:val="auto"/>
        </w:rPr>
        <w:t>By:</w:t>
        <w:tab/>
        <w:t>/s/ Peter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17780</wp:posOffset>
            </wp:positionV>
            <wp:extent cx="1617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13"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Name: Peter Federico</w:t>
      </w:r>
    </w:p>
    <w:p>
      <w:pPr>
        <w:spacing w:after="0" w:line="6" w:lineRule="exact"/>
        <w:rPr>
          <w:sz w:val="20"/>
          <w:szCs w:val="20"/>
          <w:color w:val="auto"/>
        </w:rPr>
      </w:pPr>
    </w:p>
    <w:p>
      <w:pPr>
        <w:ind w:left="4100"/>
        <w:spacing w:after="0"/>
        <w:tabs>
          <w:tab w:leader="none" w:pos="47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President and Chief</w:t>
      </w:r>
    </w:p>
    <w:p>
      <w:pPr>
        <w:jc w:val="center"/>
        <w:ind w:right="320"/>
        <w:spacing w:after="0"/>
        <w:rPr>
          <w:sz w:val="20"/>
          <w:szCs w:val="20"/>
          <w:color w:val="auto"/>
        </w:rPr>
      </w:pPr>
      <w:r>
        <w:rPr>
          <w:rFonts w:ascii="Arial" w:cs="Arial" w:eastAsia="Arial" w:hAnsi="Arial"/>
          <w:sz w:val="21"/>
          <w:szCs w:val="2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EXECUTIVE</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/s/ Christopher Kuehl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14605</wp:posOffset>
            </wp:positionV>
            <wp:extent cx="1228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47"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Christopher Kuehl</w:t>
      </w:r>
    </w:p>
    <w:p>
      <w:pPr>
        <w:sectPr>
          <w:pgSz w:w="11900" w:h="16838" w:orient="portrait"/>
          <w:cols w:equalWidth="0" w:num="1">
            <w:col w:w="11240"/>
          </w:cols>
          <w:pgMar w:left="320" w:top="13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49" w:lineRule="exact"/>
        <w:rPr>
          <w:sz w:val="20"/>
          <w:szCs w:val="20"/>
          <w:color w:val="auto"/>
        </w:rPr>
      </w:pPr>
    </w:p>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Form S-8 (No. 333-151027),</w:t>
      </w:r>
    </w:p>
    <w:p>
      <w:pPr>
        <w:spacing w:after="0" w:line="25" w:lineRule="exact"/>
        <w:rPr>
          <w:rFonts w:ascii="Arial" w:cs="Arial" w:eastAsia="Arial" w:hAnsi="Arial"/>
          <w:sz w:val="17"/>
          <w:szCs w:val="17"/>
          <w:color w:val="auto"/>
        </w:rPr>
      </w:pPr>
    </w:p>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Form S-8 (No. 333-216282),</w:t>
      </w:r>
    </w:p>
    <w:p>
      <w:pPr>
        <w:spacing w:after="0" w:line="13" w:lineRule="exact"/>
        <w:rPr>
          <w:rFonts w:ascii="Arial" w:cs="Arial" w:eastAsia="Arial" w:hAnsi="Arial"/>
          <w:sz w:val="17"/>
          <w:szCs w:val="17"/>
          <w:color w:val="auto"/>
        </w:rPr>
      </w:pPr>
    </w:p>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Form S-8 (No. 333-255904), and</w:t>
      </w:r>
    </w:p>
    <w:p>
      <w:pPr>
        <w:spacing w:after="0" w:line="13" w:lineRule="exact"/>
        <w:rPr>
          <w:rFonts w:ascii="Arial" w:cs="Arial" w:eastAsia="Arial" w:hAnsi="Arial"/>
          <w:sz w:val="17"/>
          <w:szCs w:val="17"/>
          <w:color w:val="auto"/>
        </w:rPr>
      </w:pPr>
    </w:p>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Form S-3 (No. 333-257014);</w:t>
      </w:r>
    </w:p>
    <w:p>
      <w:pPr>
        <w:spacing w:after="0" w:line="200" w:lineRule="exact"/>
        <w:rPr>
          <w:sz w:val="20"/>
          <w:szCs w:val="20"/>
          <w:color w:val="auto"/>
        </w:rPr>
      </w:pPr>
    </w:p>
    <w:p>
      <w:pPr>
        <w:spacing w:after="0" w:line="272" w:lineRule="exact"/>
        <w:rPr>
          <w:sz w:val="20"/>
          <w:szCs w:val="20"/>
          <w:color w:val="auto"/>
        </w:rPr>
      </w:pPr>
    </w:p>
    <w:p>
      <w:pPr>
        <w:jc w:val="both"/>
        <w:ind w:right="520"/>
        <w:spacing w:after="0" w:line="272" w:lineRule="auto"/>
        <w:rPr>
          <w:sz w:val="20"/>
          <w:szCs w:val="20"/>
          <w:color w:val="auto"/>
        </w:rPr>
      </w:pPr>
      <w:r>
        <w:rPr>
          <w:rFonts w:ascii="Arial" w:cs="Arial" w:eastAsia="Arial" w:hAnsi="Arial"/>
          <w:sz w:val="17"/>
          <w:szCs w:val="17"/>
          <w:color w:val="auto"/>
        </w:rPr>
        <w:t>of our reports dated February 24, 2023, with respect to the consolidated financial statements of AGNC Investment Corp., and the effectiveness of internal control over financial reporting of AGNC Investment Corp., included in this Annual Report (Form 10-K) of AGNC Investment Corp.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ectPr>
          <w:pgSz w:w="11900" w:h="16838" w:orient="portrait"/>
          <w:cols w:equalWidth="0" w:num="1">
            <w:col w:w="11240"/>
          </w:cols>
          <w:pgMar w:left="320" w:top="86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t>Exhibit 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jc w:val="both"/>
        <w:ind w:firstLine="221"/>
        <w:spacing w:after="0" w:line="252" w:lineRule="exact"/>
        <w:rPr>
          <w:sz w:val="20"/>
          <w:szCs w:val="20"/>
          <w:color w:val="auto"/>
        </w:rPr>
      </w:pPr>
      <w:r>
        <w:rPr>
          <w:rFonts w:ascii="Arial" w:cs="Arial" w:eastAsia="Arial" w:hAnsi="Arial"/>
          <w:sz w:val="20"/>
          <w:szCs w:val="20"/>
          <w:color w:val="auto"/>
        </w:rPr>
        <w:t>KNOW ALL MEN BY THESE PRESENTS, that the undersigned directors and officers of AGNC Investment Corp., a corporation organized under the laws of the state of Delaware (the “Corporation”), hereby constitute and appoint Bernice Bell, Kenneth Pollack and Kasey Reisman and each of them (with full power to each of them to act alone), his/her true and lawful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2022,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and agents, or any of them, may lawfully do or cause to be done by virtue hereof.</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WITNESS WHEREOF, each of the undersigned directors and/or officers has hereunto set his/her hand and seal, as of the date specified.</w:t>
      </w:r>
    </w:p>
    <w:p>
      <w:pPr>
        <w:spacing w:after="0" w:line="18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AGNC INVESTMENT CORP.</w:t>
      </w:r>
    </w:p>
    <w:p>
      <w:pPr>
        <w:spacing w:after="0" w:line="200" w:lineRule="exact"/>
        <w:rPr>
          <w:sz w:val="20"/>
          <w:szCs w:val="20"/>
          <w:color w:val="auto"/>
        </w:rPr>
      </w:pP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21"/>
          <w:szCs w:val="21"/>
          <w:color w:val="auto"/>
        </w:rPr>
        <w:t xml:space="preserve">Dated: </w:t>
      </w:r>
      <w:r>
        <w:rPr>
          <w:rFonts w:ascii="Arial" w:cs="Arial" w:eastAsia="Arial" w:hAnsi="Arial"/>
          <w:sz w:val="19"/>
          <w:szCs w:val="19"/>
          <w:color w:val="auto"/>
        </w:rPr>
        <w:t>January 26, 2023</w:t>
      </w:r>
      <w:r>
        <w:rPr>
          <w:sz w:val="20"/>
          <w:szCs w:val="20"/>
          <w:color w:val="auto"/>
        </w:rPr>
        <w:tab/>
      </w:r>
      <w:r>
        <w:rPr>
          <w:rFonts w:ascii="Arial" w:cs="Arial" w:eastAsia="Arial" w:hAnsi="Arial"/>
          <w:sz w:val="16"/>
          <w:szCs w:val="16"/>
          <w:u w:val="single" w:color="auto"/>
          <w:color w:val="auto"/>
        </w:rPr>
        <w:t>/s/ Peter J. Federico</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Peter J. Federico</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President and Chief Executive Officer</w:t>
      </w:r>
    </w:p>
    <w:p>
      <w:pPr>
        <w:sectPr>
          <w:pgSz w:w="11900" w:h="16838" w:orient="portrait"/>
          <w:cols w:equalWidth="0" w:num="1">
            <w:col w:w="11240"/>
          </w:cols>
          <w:pgMar w:left="320" w:top="1124" w:right="339" w:bottom="1440" w:gutter="0" w:footer="0" w:header="0"/>
        </w:sectPr>
      </w:pPr>
    </w:p>
    <w:bookmarkStart w:id="107" w:name="page108"/>
    <w:bookmarkEnd w:id="107"/>
    <w:p>
      <w:pPr>
        <w:spacing w:after="0" w:line="18" w:lineRule="exact"/>
        <w:rPr>
          <w:sz w:val="20"/>
          <w:szCs w:val="20"/>
          <w:color w:val="auto"/>
        </w:rPr>
      </w:pPr>
    </w:p>
    <w:p>
      <w:pPr>
        <w:jc w:val="right"/>
        <w:ind w:right="1200"/>
        <w:spacing w:after="0"/>
        <w:rPr>
          <w:sz w:val="20"/>
          <w:szCs w:val="20"/>
          <w:color w:val="auto"/>
        </w:rPr>
      </w:pPr>
      <w:r>
        <w:rPr>
          <w:rFonts w:ascii="Arial" w:cs="Arial" w:eastAsia="Arial" w:hAnsi="Arial"/>
          <w:sz w:val="21"/>
          <w:szCs w:val="21"/>
          <w:b w:val="1"/>
          <w:bCs w:val="1"/>
          <w:u w:val="single" w:color="auto"/>
          <w:color w:val="auto"/>
        </w:rPr>
        <w:t>Signature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/s/ Donna J. Blank</w:t>
      </w:r>
    </w:p>
    <w:p>
      <w:pPr>
        <w:spacing w:after="0"/>
        <w:rPr>
          <w:sz w:val="20"/>
          <w:szCs w:val="20"/>
          <w:color w:val="auto"/>
        </w:rPr>
      </w:pPr>
      <w:r>
        <w:rPr>
          <w:rFonts w:ascii="Arial" w:cs="Arial" w:eastAsia="Arial" w:hAnsi="Arial"/>
          <w:sz w:val="19"/>
          <w:szCs w:val="19"/>
          <w:color w:val="auto"/>
        </w:rPr>
        <w:t>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86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Morris A. Davis</w:t>
      </w:r>
    </w:p>
    <w:p>
      <w:pPr>
        <w:spacing w:after="0"/>
        <w:rPr>
          <w:sz w:val="20"/>
          <w:szCs w:val="20"/>
          <w:color w:val="auto"/>
        </w:rPr>
      </w:pPr>
      <w:r>
        <w:rPr>
          <w:rFonts w:ascii="Arial" w:cs="Arial" w:eastAsia="Arial" w:hAnsi="Arial"/>
          <w:sz w:val="19"/>
          <w:szCs w:val="19"/>
          <w:color w:val="auto"/>
        </w:rPr>
        <w:t>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687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Peter J. Federico</w:t>
      </w:r>
    </w:p>
    <w:p>
      <w:pPr>
        <w:spacing w:after="0"/>
        <w:rPr>
          <w:sz w:val="20"/>
          <w:szCs w:val="20"/>
          <w:color w:val="auto"/>
        </w:rPr>
      </w:pPr>
      <w:r>
        <w:rPr>
          <w:rFonts w:ascii="Arial" w:cs="Arial" w:eastAsia="Arial" w:hAnsi="Arial"/>
          <w:sz w:val="19"/>
          <w:szCs w:val="19"/>
          <w:color w:val="auto"/>
        </w:rPr>
        <w:t>Peter J.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891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John D. Fisk</w:t>
      </w:r>
    </w:p>
    <w:p>
      <w:pPr>
        <w:spacing w:after="0"/>
        <w:rPr>
          <w:sz w:val="20"/>
          <w:szCs w:val="20"/>
          <w:color w:val="auto"/>
        </w:rPr>
      </w:pPr>
      <w:r>
        <w:rPr>
          <w:rFonts w:ascii="Arial" w:cs="Arial" w:eastAsia="Arial" w:hAnsi="Arial"/>
          <w:sz w:val="19"/>
          <w:szCs w:val="19"/>
          <w:color w:val="auto"/>
        </w:rPr>
        <w:t>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4935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Andrew A. Johnson, Jr.</w:t>
      </w:r>
    </w:p>
    <w:p>
      <w:pPr>
        <w:spacing w:after="0"/>
        <w:rPr>
          <w:sz w:val="20"/>
          <w:szCs w:val="20"/>
          <w:color w:val="auto"/>
        </w:rPr>
      </w:pPr>
      <w:r>
        <w:rPr>
          <w:rFonts w:ascii="Arial" w:cs="Arial" w:eastAsia="Arial" w:hAnsi="Arial"/>
          <w:sz w:val="19"/>
          <w:szCs w:val="19"/>
          <w:color w:val="auto"/>
        </w:rPr>
        <w:t>Andrew A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430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Gary D. Kain</w:t>
      </w:r>
    </w:p>
    <w:p>
      <w:pPr>
        <w:spacing w:after="0"/>
        <w:rPr>
          <w:sz w:val="20"/>
          <w:szCs w:val="20"/>
          <w:color w:val="auto"/>
        </w:rPr>
      </w:pPr>
      <w:r>
        <w:rPr>
          <w:rFonts w:ascii="Arial" w:cs="Arial" w:eastAsia="Arial" w:hAnsi="Arial"/>
          <w:sz w:val="19"/>
          <w:szCs w:val="19"/>
          <w:color w:val="auto"/>
        </w:rPr>
        <w:t>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5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Prue B. Larocca</w:t>
      </w:r>
    </w:p>
    <w:p>
      <w:pPr>
        <w:spacing w:after="0"/>
        <w:rPr>
          <w:sz w:val="20"/>
          <w:szCs w:val="20"/>
          <w:color w:val="auto"/>
        </w:rPr>
      </w:pPr>
      <w:r>
        <w:rPr>
          <w:rFonts w:ascii="Arial" w:cs="Arial" w:eastAsia="Arial" w:hAnsi="Arial"/>
          <w:sz w:val="19"/>
          <w:szCs w:val="19"/>
          <w:color w:val="auto"/>
        </w:rPr>
        <w:t>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2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Paul E. Mullings</w:t>
      </w:r>
    </w:p>
    <w:p>
      <w:pPr>
        <w:spacing w:after="0"/>
        <w:rPr>
          <w:sz w:val="20"/>
          <w:szCs w:val="20"/>
          <w:color w:val="auto"/>
        </w:rPr>
      </w:pPr>
      <w:r>
        <w:rPr>
          <w:rFonts w:ascii="Arial" w:cs="Arial" w:eastAsia="Arial" w:hAnsi="Arial"/>
          <w:sz w:val="19"/>
          <w:szCs w:val="19"/>
          <w:color w:val="auto"/>
        </w:rPr>
        <w:t>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6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 Frances R. Spark</w:t>
      </w:r>
    </w:p>
    <w:p>
      <w:pPr>
        <w:spacing w:after="0"/>
        <w:rPr>
          <w:sz w:val="20"/>
          <w:szCs w:val="20"/>
          <w:color w:val="auto"/>
        </w:rPr>
      </w:pPr>
      <w:r>
        <w:rPr>
          <w:rFonts w:ascii="Arial" w:cs="Arial" w:eastAsia="Arial" w:hAnsi="Arial"/>
          <w:sz w:val="19"/>
          <w:szCs w:val="19"/>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399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21"/>
                <w:szCs w:val="21"/>
                <w:b w:val="1"/>
                <w:bCs w:val="1"/>
                <w:color w:val="auto"/>
                <w:w w:val="97"/>
              </w:rPr>
              <w:t>Title</w:t>
            </w: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21"/>
                <w:szCs w:val="21"/>
                <w:b w:val="1"/>
                <w:bCs w:val="1"/>
                <w:color w:val="auto"/>
                <w:w w:val="92"/>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754"/>
        </w:trPr>
        <w:tc>
          <w:tcPr>
            <w:tcW w:w="3460" w:type="dxa"/>
            <w:vAlign w:val="bottom"/>
            <w:gridSpan w:val="3"/>
          </w:tcPr>
          <w:p>
            <w:pPr>
              <w:jc w:val="center"/>
              <w:ind w:right="400"/>
              <w:spacing w:after="0"/>
              <w:rPr>
                <w:sz w:val="20"/>
                <w:szCs w:val="20"/>
                <w:color w:val="auto"/>
              </w:rPr>
            </w:pPr>
            <w:r>
              <w:rPr>
                <w:rFonts w:ascii="Arial" w:cs="Arial" w:eastAsia="Arial" w:hAnsi="Arial"/>
                <w:sz w:val="19"/>
                <w:szCs w:val="19"/>
                <w:color w:val="auto"/>
                <w:w w:val="92"/>
              </w:rPr>
              <w:t>Director, President and Chief Executive</w:t>
            </w:r>
          </w:p>
        </w:tc>
        <w:tc>
          <w:tcPr>
            <w:tcW w:w="1720" w:type="dxa"/>
            <w:vAlign w:val="bottom"/>
            <w:gridSpan w:val="3"/>
            <w:vMerge w:val="restart"/>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147"/>
        </w:trPr>
        <w:tc>
          <w:tcPr>
            <w:tcW w:w="3460" w:type="dxa"/>
            <w:vAlign w:val="bottom"/>
            <w:gridSpan w:val="3"/>
            <w:vMerge w:val="restart"/>
          </w:tcPr>
          <w:p>
            <w:pPr>
              <w:jc w:val="center"/>
              <w:ind w:right="400"/>
              <w:spacing w:after="0"/>
              <w:rPr>
                <w:sz w:val="20"/>
                <w:szCs w:val="20"/>
                <w:color w:val="auto"/>
              </w:rPr>
            </w:pPr>
            <w:r>
              <w:rPr>
                <w:rFonts w:ascii="Arial" w:cs="Arial" w:eastAsia="Arial" w:hAnsi="Arial"/>
                <w:sz w:val="19"/>
                <w:szCs w:val="19"/>
                <w:color w:val="auto"/>
                <w:w w:val="96"/>
              </w:rPr>
              <w:t>Officer</w:t>
            </w: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7"/>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3"/>
              </w:rPr>
              <w:t>Director, Executive Chair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Arial" w:cs="Arial" w:eastAsia="Arial" w:hAnsi="Arial"/>
                <w:sz w:val="19"/>
                <w:szCs w:val="19"/>
                <w:color w:val="auto"/>
                <w:w w:val="96"/>
              </w:rPr>
              <w:t>Director</w:t>
            </w:r>
          </w:p>
        </w:tc>
        <w:tc>
          <w:tcPr>
            <w:tcW w:w="1720" w:type="dxa"/>
            <w:vAlign w:val="bottom"/>
            <w:gridSpan w:val="3"/>
          </w:tcPr>
          <w:p>
            <w:pPr>
              <w:jc w:val="center"/>
              <w:ind w:left="304"/>
              <w:spacing w:after="0"/>
              <w:rPr>
                <w:sz w:val="20"/>
                <w:szCs w:val="20"/>
                <w:color w:val="auto"/>
              </w:rPr>
            </w:pPr>
            <w:r>
              <w:rPr>
                <w:rFonts w:ascii="Arial" w:cs="Arial" w:eastAsia="Arial" w:hAnsi="Arial"/>
                <w:sz w:val="19"/>
                <w:szCs w:val="19"/>
                <w:color w:val="auto"/>
                <w:w w:val="89"/>
              </w:rPr>
              <w:t>January 26, 2023</w:t>
            </w:r>
          </w:p>
        </w:tc>
        <w:tc>
          <w:tcPr>
            <w:tcW w:w="0" w:type="dxa"/>
            <w:vAlign w:val="bottom"/>
          </w:tcPr>
          <w:p>
            <w:pPr>
              <w:spacing w:after="0"/>
              <w:rPr>
                <w:sz w:val="1"/>
                <w:szCs w:val="1"/>
                <w:color w:val="auto"/>
              </w:rPr>
            </w:pPr>
          </w:p>
        </w:tc>
      </w:tr>
    </w:tbl>
    <w:p>
      <w:pPr>
        <w:sectPr>
          <w:pgSz w:w="11900" w:h="16838" w:orient="portrait"/>
          <w:cols w:equalWidth="0" w:num="2">
            <w:col w:w="3480" w:space="720"/>
            <w:col w:w="5180"/>
          </w:cols>
          <w:pgMar w:left="1100" w:top="970" w:right="14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Peter J. Federico, certify that:</w:t>
      </w:r>
    </w:p>
    <w:p>
      <w:pPr>
        <w:spacing w:after="0" w:line="157" w:lineRule="exact"/>
        <w:rPr>
          <w:sz w:val="20"/>
          <w:szCs w:val="20"/>
          <w:color w:val="auto"/>
        </w:rPr>
      </w:pPr>
    </w:p>
    <w:p>
      <w:pPr>
        <w:ind w:left="740" w:hanging="304"/>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AGNC Investment Corp.;</w:t>
      </w:r>
    </w:p>
    <w:p>
      <w:pPr>
        <w:spacing w:after="0" w:line="157" w:lineRule="exact"/>
        <w:rPr>
          <w:rFonts w:ascii="Arial" w:cs="Arial" w:eastAsia="Arial" w:hAnsi="Arial"/>
          <w:sz w:val="17"/>
          <w:szCs w:val="17"/>
          <w:color w:val="auto"/>
        </w:rPr>
      </w:pPr>
    </w:p>
    <w:p>
      <w:pPr>
        <w:jc w:val="both"/>
        <w:ind w:left="820" w:hanging="384"/>
        <w:spacing w:after="0" w:line="272" w:lineRule="auto"/>
        <w:tabs>
          <w:tab w:leader="none" w:pos="7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820" w:hanging="384"/>
        <w:spacing w:after="0" w:line="288" w:lineRule="auto"/>
        <w:tabs>
          <w:tab w:leader="none" w:pos="7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820" w:hanging="384"/>
        <w:spacing w:after="0" w:line="272" w:lineRule="auto"/>
        <w:tabs>
          <w:tab w:leader="none" w:pos="83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jc w:val="both"/>
        <w:ind w:left="1380" w:hanging="395"/>
        <w:spacing w:after="0" w:line="272" w:lineRule="auto"/>
        <w:tabs>
          <w:tab w:leader="none" w:pos="1355"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7"/>
          <w:szCs w:val="17"/>
          <w:color w:val="auto"/>
        </w:rPr>
      </w:pPr>
    </w:p>
    <w:p>
      <w:pPr>
        <w:jc w:val="both"/>
        <w:ind w:left="1380" w:hanging="395"/>
        <w:spacing w:after="0" w:line="272" w:lineRule="auto"/>
        <w:tabs>
          <w:tab w:leader="none" w:pos="1431"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380" w:hanging="395"/>
        <w:spacing w:after="0" w:line="321" w:lineRule="auto"/>
        <w:tabs>
          <w:tab w:leader="none" w:pos="1448"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380" w:hanging="395"/>
        <w:spacing w:after="0" w:line="272" w:lineRule="auto"/>
        <w:tabs>
          <w:tab w:leader="none" w:pos="137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left="820" w:hanging="384"/>
        <w:spacing w:after="0" w:line="288" w:lineRule="auto"/>
        <w:tabs>
          <w:tab w:leader="none" w:pos="77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2" w:lineRule="exact"/>
        <w:rPr>
          <w:rFonts w:ascii="Arial" w:cs="Arial" w:eastAsia="Arial" w:hAnsi="Arial"/>
          <w:sz w:val="17"/>
          <w:szCs w:val="17"/>
          <w:color w:val="auto"/>
        </w:rPr>
      </w:pPr>
    </w:p>
    <w:p>
      <w:pPr>
        <w:ind w:left="1380" w:hanging="395"/>
        <w:spacing w:after="0" w:line="288" w:lineRule="auto"/>
        <w:tabs>
          <w:tab w:leader="none" w:pos="1476"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80" w:hanging="395"/>
        <w:spacing w:after="0" w:line="288" w:lineRule="auto"/>
        <w:tabs>
          <w:tab w:leader="none" w:pos="1425"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February 24, 2023</w:t>
      </w:r>
    </w:p>
    <w:p>
      <w:pPr>
        <w:spacing w:after="0" w:line="223"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24765</wp:posOffset>
            </wp:positionV>
            <wp:extent cx="2348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Peter J. Federico</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President and Chief Executive Officer (Principal</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Executive Officer)</w:t>
      </w:r>
    </w:p>
    <w:p>
      <w:pPr>
        <w:sectPr>
          <w:pgSz w:w="11900" w:h="16838" w:orient="portrait"/>
          <w:cols w:equalWidth="0" w:num="1">
            <w:col w:w="11240"/>
          </w:cols>
          <w:pgMar w:left="320" w:top="87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I, Bernice E. Bell, certify that:</w:t>
      </w:r>
    </w:p>
    <w:p>
      <w:pPr>
        <w:spacing w:after="0" w:line="157" w:lineRule="exact"/>
        <w:rPr>
          <w:sz w:val="20"/>
          <w:szCs w:val="20"/>
          <w:color w:val="auto"/>
        </w:rPr>
      </w:pPr>
    </w:p>
    <w:p>
      <w:pPr>
        <w:ind w:left="740" w:hanging="304"/>
        <w:spacing w:after="0"/>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AGNC Investment Corp;</w:t>
      </w:r>
    </w:p>
    <w:p>
      <w:pPr>
        <w:spacing w:after="0" w:line="157" w:lineRule="exact"/>
        <w:rPr>
          <w:rFonts w:ascii="Arial" w:cs="Arial" w:eastAsia="Arial" w:hAnsi="Arial"/>
          <w:sz w:val="17"/>
          <w:szCs w:val="17"/>
          <w:color w:val="auto"/>
        </w:rPr>
      </w:pPr>
    </w:p>
    <w:p>
      <w:pPr>
        <w:jc w:val="both"/>
        <w:ind w:left="820" w:hanging="384"/>
        <w:spacing w:after="0" w:line="272" w:lineRule="auto"/>
        <w:tabs>
          <w:tab w:leader="none" w:pos="782"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820" w:hanging="384"/>
        <w:spacing w:after="0" w:line="288" w:lineRule="auto"/>
        <w:tabs>
          <w:tab w:leader="none" w:pos="7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820" w:hanging="384"/>
        <w:spacing w:after="0" w:line="272" w:lineRule="auto"/>
        <w:tabs>
          <w:tab w:leader="none" w:pos="8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jc w:val="both"/>
        <w:ind w:left="1380" w:hanging="395"/>
        <w:spacing w:after="0" w:line="272" w:lineRule="auto"/>
        <w:tabs>
          <w:tab w:leader="none" w:pos="1355"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6" w:lineRule="exact"/>
        <w:rPr>
          <w:rFonts w:ascii="Arial" w:cs="Arial" w:eastAsia="Arial" w:hAnsi="Arial"/>
          <w:sz w:val="17"/>
          <w:szCs w:val="17"/>
          <w:color w:val="auto"/>
        </w:rPr>
      </w:pPr>
    </w:p>
    <w:p>
      <w:pPr>
        <w:jc w:val="both"/>
        <w:ind w:left="1380" w:hanging="395"/>
        <w:spacing w:after="0" w:line="272" w:lineRule="auto"/>
        <w:tabs>
          <w:tab w:leader="none" w:pos="1431"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380" w:hanging="395"/>
        <w:spacing w:after="0" w:line="321" w:lineRule="auto"/>
        <w:tabs>
          <w:tab w:leader="none" w:pos="1448"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380" w:hanging="395"/>
        <w:spacing w:after="0" w:line="272" w:lineRule="auto"/>
        <w:tabs>
          <w:tab w:leader="none" w:pos="137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left="820" w:hanging="384"/>
        <w:spacing w:after="0" w:line="288" w:lineRule="auto"/>
        <w:tabs>
          <w:tab w:leader="none" w:pos="77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2" w:lineRule="exact"/>
        <w:rPr>
          <w:rFonts w:ascii="Arial" w:cs="Arial" w:eastAsia="Arial" w:hAnsi="Arial"/>
          <w:sz w:val="17"/>
          <w:szCs w:val="17"/>
          <w:color w:val="auto"/>
        </w:rPr>
      </w:pPr>
    </w:p>
    <w:p>
      <w:pPr>
        <w:ind w:left="1380" w:hanging="395"/>
        <w:spacing w:after="0" w:line="288" w:lineRule="auto"/>
        <w:tabs>
          <w:tab w:leader="none" w:pos="1357"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80" w:hanging="395"/>
        <w:spacing w:after="0" w:line="288" w:lineRule="auto"/>
        <w:tabs>
          <w:tab w:leader="none" w:pos="1425"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February 24, 2023</w:t>
      </w:r>
    </w:p>
    <w:p>
      <w:pPr>
        <w:spacing w:after="0" w:line="223"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7"/>
          <w:szCs w:val="17"/>
          <w:color w:val="auto"/>
        </w:rPr>
        <w:t>/s/</w:t>
        <w:tab/>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24765</wp:posOffset>
            </wp:positionV>
            <wp:extent cx="23482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Bernice E. Bell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Executive Vice President and Chief Financial</w:t>
      </w:r>
    </w:p>
    <w:p>
      <w:pPr>
        <w:ind w:left="620"/>
        <w:spacing w:after="0"/>
        <w:rPr>
          <w:sz w:val="20"/>
          <w:szCs w:val="20"/>
          <w:color w:val="auto"/>
        </w:rPr>
      </w:pPr>
      <w:r>
        <w:rPr>
          <w:rFonts w:ascii="Arial" w:cs="Arial" w:eastAsia="Arial" w:hAnsi="Arial"/>
          <w:sz w:val="17"/>
          <w:szCs w:val="17"/>
          <w:color w:val="auto"/>
        </w:rPr>
        <w:t>Officer (Principal Financial Officer)</w:t>
      </w:r>
    </w:p>
    <w:p>
      <w:pPr>
        <w:sectPr>
          <w:pgSz w:w="11900" w:h="16838" w:orient="portrait"/>
          <w:cols w:equalWidth="0" w:num="1">
            <w:col w:w="11240"/>
          </w:cols>
          <w:pgMar w:left="320" w:top="87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color w:val="auto"/>
        </w:rPr>
        <w:t>Exhibit 32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58" w:lineRule="exact"/>
        <w:rPr>
          <w:sz w:val="20"/>
          <w:szCs w:val="20"/>
          <w:color w:val="auto"/>
        </w:rPr>
      </w:pPr>
    </w:p>
    <w:p>
      <w:pPr>
        <w:ind w:right="720" w:firstLine="314"/>
        <w:spacing w:after="0" w:line="321" w:lineRule="auto"/>
        <w:rPr>
          <w:sz w:val="20"/>
          <w:szCs w:val="20"/>
          <w:color w:val="auto"/>
        </w:rPr>
      </w:pPr>
      <w:r>
        <w:rPr>
          <w:rFonts w:ascii="Arial" w:cs="Arial" w:eastAsia="Arial" w:hAnsi="Arial"/>
          <w:sz w:val="16"/>
          <w:szCs w:val="16"/>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83" w:lineRule="exact"/>
        <w:rPr>
          <w:sz w:val="20"/>
          <w:szCs w:val="20"/>
          <w:color w:val="auto"/>
        </w:rPr>
      </w:pPr>
    </w:p>
    <w:p>
      <w:pPr>
        <w:ind w:left="640" w:right="80" w:hanging="322"/>
        <w:spacing w:after="0" w:line="288"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2022 (the “Report”) fully complies with the requirements of Section 13(a) of the Securities Exchange Act of 1934 (15 U.S.C. 78m); and</w:t>
      </w:r>
    </w:p>
    <w:p>
      <w:pPr>
        <w:spacing w:after="0" w:line="105" w:lineRule="exact"/>
        <w:rPr>
          <w:rFonts w:ascii="Arial" w:cs="Arial" w:eastAsia="Arial" w:hAnsi="Arial"/>
          <w:sz w:val="17"/>
          <w:szCs w:val="17"/>
          <w:color w:val="auto"/>
        </w:rPr>
      </w:pPr>
    </w:p>
    <w:p>
      <w:pPr>
        <w:ind w:left="640" w:hanging="322"/>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Peter J. Federico</w:t>
            </w:r>
          </w:p>
        </w:tc>
      </w:tr>
      <w:tr>
        <w:trPr>
          <w:trHeight w:val="184"/>
        </w:trPr>
        <w:tc>
          <w:tcPr>
            <w:tcW w:w="700" w:type="dxa"/>
            <w:vAlign w:val="bottom"/>
          </w:tcPr>
          <w:p>
            <w:pPr>
              <w:spacing w:after="0" w:line="184"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84" w:lineRule="exact"/>
              <w:rPr>
                <w:sz w:val="20"/>
                <w:szCs w:val="20"/>
                <w:color w:val="auto"/>
              </w:rPr>
            </w:pPr>
            <w:r>
              <w:rPr>
                <w:rFonts w:ascii="Arial" w:cs="Arial" w:eastAsia="Arial" w:hAnsi="Arial"/>
                <w:sz w:val="17"/>
                <w:szCs w:val="17"/>
                <w:color w:val="auto"/>
              </w:rPr>
              <w:t>President and</w:t>
            </w:r>
          </w:p>
        </w:tc>
      </w:tr>
      <w:tr>
        <w:trPr>
          <w:trHeight w:val="221"/>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February 24, 2023</w:t>
            </w:r>
          </w:p>
        </w:tc>
      </w:tr>
      <w:tr>
        <w:trPr>
          <w:trHeight w:val="477"/>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Bernice E. Bell</w:t>
            </w:r>
          </w:p>
        </w:tc>
      </w:tr>
      <w:tr>
        <w:trPr>
          <w:trHeight w:val="184"/>
        </w:trPr>
        <w:tc>
          <w:tcPr>
            <w:tcW w:w="700" w:type="dxa"/>
            <w:vAlign w:val="bottom"/>
          </w:tcPr>
          <w:p>
            <w:pPr>
              <w:spacing w:after="0" w:line="184"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84" w:lineRule="exact"/>
              <w:rPr>
                <w:sz w:val="20"/>
                <w:szCs w:val="20"/>
                <w:color w:val="auto"/>
              </w:rPr>
            </w:pPr>
            <w:r>
              <w:rPr>
                <w:rFonts w:ascii="Arial" w:cs="Arial" w:eastAsia="Arial" w:hAnsi="Arial"/>
                <w:sz w:val="17"/>
                <w:szCs w:val="17"/>
                <w:color w:val="auto"/>
              </w:rPr>
              <w:t>Executive Vice President and</w:t>
            </w:r>
          </w:p>
        </w:tc>
      </w:tr>
      <w:tr>
        <w:trPr>
          <w:trHeight w:val="221"/>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(Principal Financial Officer)</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February 24, 2023</w:t>
            </w:r>
          </w:p>
        </w:tc>
      </w:tr>
    </w:tbl>
    <w:p>
      <w:pPr>
        <w:spacing w:after="0" w:line="9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6"/>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2"/>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2"/>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lowerRoman"/>
      <w:start w:val="4"/>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lowerLetter"/>
      <w:start w:val="1"/>
    </w:lvl>
    <w:lvl w:ilvl="1">
      <w:lvlJc w:val="left"/>
      <w:lvlText w:val="(%2)"/>
      <w:numFmt w:val="decimal"/>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decimal"/>
      <w:start w:val="21"/>
    </w:lvl>
    <w:lvl w:ilvl="1">
      <w:lvlJc w:val="left"/>
      <w:lvlText w:val="%2)"/>
      <w:numFmt w:val="decimal"/>
      <w:start w:val="1"/>
    </w:lvl>
  </w:abstractNum>
  <w:abstractNum w:abstractNumId="63">
    <w:nsid w:val="5F5E7FD0"/>
    <w:multiLevelType w:val="hybridMultilevel"/>
    <w:lvl w:ilvl="0">
      <w:lvlJc w:val="left"/>
      <w:lvlText w:val="%1"/>
      <w:numFmt w:val="decimal"/>
      <w:start w:val="23"/>
    </w:lvl>
    <w:lvl w:ilvl="1">
      <w:lvlJc w:val="left"/>
      <w:lvlText w:val="%2"/>
      <w:numFmt w:val="decimal"/>
      <w:start w:val="1"/>
    </w:lvl>
  </w:abstractNum>
  <w:abstractNum w:abstractNumId="64">
    <w:nsid w:val="98A3148"/>
    <w:multiLevelType w:val="hybridMultilevel"/>
    <w:lvl w:ilvl="0">
      <w:lvlJc w:val="left"/>
      <w:lvlText w:val="%1"/>
      <w:numFmt w:val="decimal"/>
      <w:start w:val="32"/>
    </w:lvl>
    <w:lvl w:ilvl="1">
      <w:lvlJc w:val="left"/>
      <w:lvlText w:val="%2"/>
      <w:numFmt w:val="decimal"/>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lowerLetter"/>
      <w:start w:val="3"/>
    </w:lvl>
  </w:abstractNum>
  <w:abstractNum w:abstractNumId="67">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2"/>
    </w:lvl>
  </w:abstractNum>
  <w:abstractNum w:abstractNumId="68">
    <w:nsid w:val="168E121F"/>
    <w:multiLevelType w:val="hybridMultilevel"/>
    <w:lvl w:ilvl="0">
      <w:lvlJc w:val="left"/>
      <w:lvlText w:val="%1."/>
      <w:numFmt w:val="decimal"/>
      <w:start w:val="3"/>
    </w:lvl>
    <w:lvl w:ilvl="1">
      <w:lvlJc w:val="left"/>
      <w:lvlText w:val="(%2)"/>
      <w:numFmt w:val="lowerRoman"/>
      <w:start w:val="1"/>
    </w:lvl>
  </w:abstractNum>
  <w:abstractNum w:abstractNumId="69">
    <w:nsid w:val="1EBA5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70">
    <w:nsid w:val="661E3F1E"/>
    <w:multiLevelType w:val="hybridMultilevel"/>
    <w:lvl w:ilvl="0">
      <w:lvlJc w:val="left"/>
      <w:lvlText w:val="(%1)"/>
      <w:numFmt w:val="decimal"/>
      <w:start w:val="90"/>
    </w:lvl>
    <w:lvl w:ilvl="1">
      <w:lvlJc w:val="left"/>
      <w:lvlText w:val="%2."/>
      <w:numFmt w:val="decimal"/>
      <w:start w:val="2"/>
    </w:lvl>
    <w:lvl w:ilvl="2">
      <w:lvlJc w:val="left"/>
      <w:lvlText w:val="(%3)"/>
      <w:numFmt w:val="lowerLetter"/>
      <w:start w:val="3"/>
    </w:lvl>
    <w:lvl w:ilvl="3">
      <w:lvlJc w:val="left"/>
      <w:lvlText w:val="%4"/>
      <w:numFmt w:val="lowerLetter"/>
      <w:start w:val="1"/>
    </w:lvl>
  </w:abstractNum>
  <w:abstractNum w:abstractNumId="71">
    <w:nsid w:val="5DC79EA8"/>
    <w:multiLevelType w:val="hybridMultilevel"/>
    <w:lvl w:ilvl="0">
      <w:lvlJc w:val="left"/>
      <w:lvlText w:val="%1."/>
      <w:numFmt w:val="decimal"/>
      <w:start w:val="3"/>
    </w:lvl>
    <w:lvl w:ilvl="1">
      <w:lvlJc w:val="left"/>
      <w:lvlText w:val="(%2)"/>
      <w:numFmt w:val="lowerRoman"/>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9" Type="http://schemas.openxmlformats.org/officeDocument/2006/relationships/image" Target="media/image100.png"/><Relationship Id="rId131" Type="http://schemas.openxmlformats.org/officeDocument/2006/relationships/image" Target="media/image101.png"/><Relationship Id="rId146"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07" Type="http://schemas.openxmlformats.org/officeDocument/2006/relationships/hyperlink" Target="http://www.sec.gov/Archives/edgar/data/1423689/000142368922000014/agncexhibit3112312110-k.htm" TargetMode="External"/><Relationship Id="rId108" Type="http://schemas.openxmlformats.org/officeDocument/2006/relationships/hyperlink" Target="http://www.sec.gov/Archives/edgar/data/1423689/000142368921000017/arbylaws-march2021vrevised.htm" TargetMode="External"/><Relationship Id="rId109" Type="http://schemas.openxmlformats.org/officeDocument/2006/relationships/hyperlink" Target="http://www.sec.gov/Archives/edgar/data/1423689/000142368917000044/ex35certificateofdesignati.htm" TargetMode="External"/><Relationship Id="rId110" Type="http://schemas.openxmlformats.org/officeDocument/2006/relationships/hyperlink" Target="http://www.sec.gov/Archives/edgar/data/1423689/000142368917000065/certificateofelimination.htm" TargetMode="External"/><Relationship Id="rId111" Type="http://schemas.openxmlformats.org/officeDocument/2006/relationships/hyperlink" Target="http://www.sec.gov/Archives/edgar/data/1423689/000142368919000019/certificateofdesignations.htm" TargetMode="External"/><Relationship Id="rId112" Type="http://schemas.openxmlformats.org/officeDocument/2006/relationships/hyperlink" Target="http://www.sec.gov/Archives/edgar/data/1423689/000142368919000064/certofdesignations.htm" TargetMode="External"/><Relationship Id="rId113" Type="http://schemas.openxmlformats.org/officeDocument/2006/relationships/hyperlink" Target="http://www.sec.gov/Archives/edgar/data/1423689/000142368919000078/certificateofeliminati.htm" TargetMode="External"/><Relationship Id="rId114" Type="http://schemas.openxmlformats.org/officeDocument/2006/relationships/hyperlink" Target="http://www.sec.gov/Archives/edgar/data/1423689/000142368920000012/certificateofdesignations-.htm" TargetMode="External"/><Relationship Id="rId115" Type="http://schemas.openxmlformats.org/officeDocument/2006/relationships/hyperlink" Target="http://www.sec.gov/Archives/edgar/data/1423689/000142368922000061/seriesgcertificateofdesign.htm" TargetMode="External"/><Relationship Id="rId116" Type="http://schemas.openxmlformats.org/officeDocument/2006/relationships/hyperlink" Target="http://www.sec.gov/Archives/edgar/data/1423689/000142368922000076/exhibit43.htm" TargetMode="External"/><Relationship Id="rId117" Type="http://schemas.openxmlformats.org/officeDocument/2006/relationships/hyperlink" Target="http://www.sec.gov/Archives/edgar/data/1423689/000142368917000044/exhibit41.htm" TargetMode="External"/><Relationship Id="rId118" Type="http://schemas.openxmlformats.org/officeDocument/2006/relationships/hyperlink" Target="http://www.sec.gov/Archives/edgar/data/1423689/000142368919000019/stockcertificateb98.htm" TargetMode="External"/><Relationship Id="rId120" Type="http://schemas.openxmlformats.org/officeDocument/2006/relationships/hyperlink" Target="http://www.sec.gov/Archives/edgar/data/1423689/000142368919000064/stockcertificate.htm" TargetMode="External"/><Relationship Id="rId121" Type="http://schemas.openxmlformats.org/officeDocument/2006/relationships/hyperlink" Target="http://www.sec.gov/Archives/edgar/data/1423689/000142368920000012/stockcertificate.htm" TargetMode="External"/><Relationship Id="rId122" Type="http://schemas.openxmlformats.org/officeDocument/2006/relationships/hyperlink" Target="http://www.sec.gov/Archives/edgar/data/1423689/000142368922000061/stockcertificate1.htm" TargetMode="External"/><Relationship Id="rId123" Type="http://schemas.openxmlformats.org/officeDocument/2006/relationships/hyperlink" Target="http://www.sec.gov/Archives/edgar/data/1423689/000142368917000049/depositagreement.htm" TargetMode="External"/><Relationship Id="rId124" Type="http://schemas.openxmlformats.org/officeDocument/2006/relationships/hyperlink" Target="http://www.sec.gov/Archives/edgar/data/1423689/000142368919000021/prefddepositagmt.htm" TargetMode="External"/><Relationship Id="rId125" Type="http://schemas.openxmlformats.org/officeDocument/2006/relationships/hyperlink" Target="http://www.sec.gov/Archives/edgar/data/1423689/000142368919000068/depositagmt-prefe.htm" TargetMode="External"/><Relationship Id="rId126" Type="http://schemas.openxmlformats.org/officeDocument/2006/relationships/hyperlink" Target="http://www.sec.gov/Archives/edgar/data/1423689/000142368920000014/depositaryagmt-seriesf.htm" TargetMode="External"/><Relationship Id="rId127" Type="http://schemas.openxmlformats.org/officeDocument/2006/relationships/hyperlink" Target="http://www.sec.gov/Archives/edgar/data/1423689/000142368922000069/depositaryagmt.htm" TargetMode="External"/><Relationship Id="rId128" Type="http://schemas.openxmlformats.org/officeDocument/2006/relationships/hyperlink" Target="http://www.sec.gov/Archives/edgar/data/1423689/000142368921000059/a101indem.htm" TargetMode="External"/><Relationship Id="rId129" Type="http://schemas.openxmlformats.org/officeDocument/2006/relationships/hyperlink" Target="http://www.sec.gov/Archives/edgar/data/1423689/000142368921000066/a101indem.htm" TargetMode="External"/><Relationship Id="rId130" Type="http://schemas.openxmlformats.org/officeDocument/2006/relationships/hyperlink" Target="http://www.sec.gov/Archives/edgar/data/1423689/000119312520314929/d95688dex101.htm" TargetMode="External"/><Relationship Id="rId132" Type="http://schemas.openxmlformats.org/officeDocument/2006/relationships/hyperlink" Target="http://www.sec.gov/Archives/edgar/data/1423689/000119312520314929/d95688dex102.htm" TargetMode="External"/><Relationship Id="rId133" Type="http://schemas.openxmlformats.org/officeDocument/2006/relationships/hyperlink" Target="http://www.sec.gov/Archives/edgar/data/1423689/000119312520314929/d95688dex103.htm" TargetMode="External"/><Relationship Id="rId134" Type="http://schemas.openxmlformats.org/officeDocument/2006/relationships/hyperlink" Target="http://www.sec.gov/Archives/edgar/data/1423689/000142368921000005/bell12221.htm" TargetMode="External"/><Relationship Id="rId135" Type="http://schemas.openxmlformats.org/officeDocument/2006/relationships/hyperlink" Target="http://www.sec.gov/Archives/edgar/data/1423689/000142368922000004/bbell.htm" TargetMode="External"/><Relationship Id="rId136" Type="http://schemas.openxmlformats.org/officeDocument/2006/relationships/hyperlink" Target="http://www.sec.gov/Archives/edgar/data/1423689/000142368923000008/amdt2bell.htm" TargetMode="External"/><Relationship Id="rId137" Type="http://schemas.openxmlformats.org/officeDocument/2006/relationships/hyperlink" Target="http://www.sec.gov/Archives/edgar/data/1423689/000142368921000005/pas12221.htm" TargetMode="External"/><Relationship Id="rId138" Type="http://schemas.openxmlformats.org/officeDocument/2006/relationships/hyperlink" Target="http://www.sec.gov/Archives/edgar/data/1423689/000142368922000014/agncexhibit10812312110-k.htm" TargetMode="External"/><Relationship Id="rId139" Type="http://schemas.openxmlformats.org/officeDocument/2006/relationships/hyperlink" Target="http://www.sec.gov/Archives/edgar/data/1423689/000142368921000011/agncexhibit101512312010-k.htm" TargetMode="External"/><Relationship Id="rId140" Type="http://schemas.openxmlformats.org/officeDocument/2006/relationships/hyperlink" Target="http://www.sec.gov/Archives/edgar/data/1423689/000142368922000004/pollack.htm" TargetMode="External"/><Relationship Id="rId141" Type="http://schemas.openxmlformats.org/officeDocument/2006/relationships/hyperlink" Target="http://www.sec.gov/Archives/edgar/data/1423689/000142368923000008/amdt2pollack.htm" TargetMode="External"/><Relationship Id="rId142" Type="http://schemas.openxmlformats.org/officeDocument/2006/relationships/hyperlink" Target="http://www.sec.gov/Archives/edgar/data/1423689/000142368922000014/agncexhibit101112312110-k.htm" TargetMode="External"/><Relationship Id="rId143" Type="http://schemas.openxmlformats.org/officeDocument/2006/relationships/hyperlink" Target="http://www.sec.gov/Archives/edgar/data/1423689/000142368917000011/exhibit10812311610-k.htm" TargetMode="External"/><Relationship Id="rId144" Type="http://schemas.openxmlformats.org/officeDocument/2006/relationships/hyperlink" Target="http://www.sec.gov/Archives/edgar/data/1423689/000142368918000007/agncexhibit101412311710-k.htm" TargetMode="External"/><Relationship Id="rId145" Type="http://schemas.openxmlformats.org/officeDocument/2006/relationships/hyperlink" Target="http://www.sec.gov/Archives/edgar/data/1423689/000142368918000047/agncexhibit109301810-q.htm" TargetMode="External"/><Relationship Id="rId147" Type="http://schemas.openxmlformats.org/officeDocument/2006/relationships/hyperlink" Target="http://www.sec.gov/Archives/edgar/data/1423689/000142368919000007/agncexhibit101512311810-k.htm" TargetMode="External"/><Relationship Id="rId148" Type="http://schemas.openxmlformats.org/officeDocument/2006/relationships/hyperlink" Target="http://www.sec.gov/Archives/edgar/data/1423689/000142368919000007/agncexhibit101612311810-k.htm" TargetMode="External"/><Relationship Id="rId149" Type="http://schemas.openxmlformats.org/officeDocument/2006/relationships/hyperlink" Target="http://www.sec.gov/Archives/edgar/data/1423689/000142368919000007/agncexhibit101712311810-k.htm" TargetMode="External"/><Relationship Id="rId150" Type="http://schemas.openxmlformats.org/officeDocument/2006/relationships/hyperlink" Target="http://www.sec.gov/Archives/edgar/data/1423689/000142368921000011/agncexhibit102612312010-k.htm" TargetMode="External"/><Relationship Id="rId151" Type="http://schemas.openxmlformats.org/officeDocument/2006/relationships/hyperlink" Target="http://www.sec.gov/Archives/edgar/data/1423689/000142368921000011/agncexhibit102712312010-k.htm" TargetMode="External"/><Relationship Id="rId152" Type="http://schemas.openxmlformats.org/officeDocument/2006/relationships/hyperlink" Target="http://www.sec.gov/Archives/edgar/data/1423689/000142368921000011/agncexhibit102812312010-k.htm" TargetMode="External"/><Relationship Id="rId153" Type="http://schemas.openxmlformats.org/officeDocument/2006/relationships/hyperlink" Target="http://www.sec.gov/Archives/edgar/data/1423689/000142368921000011/agncexhibit102912312010-k.htm" TargetMode="External"/><Relationship Id="rId154" Type="http://schemas.openxmlformats.org/officeDocument/2006/relationships/hyperlink" Target="http://www.sec.gov/Archives/edgar/data/1423689/000142368920000019/0001423689-20-00001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2023-02-27T05:22:36Z</dcterms:created>
  <dcterms:modified xsi:type="dcterms:W3CDTF">2023-02-27T05:22:36Z</dcterms:modified>
</cp:coreProperties>
</file>